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70F2886C" w14:textId="04E5FA87" w:rsidR="00A1123D" w:rsidRDefault="00D06306" w:rsidP="00A1123D">
      <w:pPr>
        <w:pStyle w:val="Heading1"/>
        <w:spacing w:before="240" w:after="0"/>
      </w:pPr>
      <w:r>
        <w:t>RF m</w:t>
      </w:r>
      <w:r w:rsidR="00330F4E">
        <w:t>emoryless polynomial</w:t>
      </w:r>
      <w:r w:rsidR="00FE315A">
        <w:t xml:space="preserve"> model</w:t>
      </w:r>
    </w:p>
    <w:p w14:paraId="083FD391" w14:textId="77777777" w:rsidR="00A1123D" w:rsidRPr="003A2827" w:rsidRDefault="00A1123D" w:rsidP="00A1123D">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28EC4974" w14:textId="0DA7071B" w:rsidR="00C904D1" w:rsidRDefault="00C904D1" w:rsidP="00C904D1">
      <w:r>
        <w:t>This is the basis for memoryless nonlinearity. However, this specific type of model is typically used for the receiver, e.g. to model IM2 and IM3.</w:t>
      </w:r>
    </w:p>
    <w:p w14:paraId="1DC7E78C" w14:textId="57887B24" w:rsidR="00AD0431" w:rsidRDefault="00AD0431" w:rsidP="00C904D1">
      <w:r>
        <w:t xml:space="preserve">IM2 is typically generated by the quadrature downconverter (finite mismatch in the differential outputs). </w:t>
      </w:r>
      <w:r w:rsidR="001B5244">
        <w:t xml:space="preserve">IM3 can be generated by any stage. Everything ends up at baseband after </w:t>
      </w:r>
      <w:r w:rsidR="001B5244">
        <w:lastRenderedPageBreak/>
        <w:t>downconversion. By measuring the tone amplitudes (fundamental, IM2, IM3), you can find the coefficients that model th</w:t>
      </w:r>
      <w:r w:rsidR="00B546AD">
        <w:t>e</w:t>
      </w:r>
      <w:r w:rsidR="001B5244">
        <w:t xml:space="preserve"> entire Rx path.</w:t>
      </w:r>
    </w:p>
    <w:p w14:paraId="6759738E" w14:textId="7051379A" w:rsidR="00885495" w:rsidRDefault="009E6F05" w:rsidP="00C904D1">
      <w:r>
        <w:t>Let’s say you apply two tones to the Rx input,</w:t>
      </w:r>
    </w:p>
    <w:p w14:paraId="7E06D342" w14:textId="754FDA56" w:rsidR="009E6F05" w:rsidRPr="00A374C8" w:rsidRDefault="009E6F05"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2E976B19" w14:textId="7068B854" w:rsidR="00A374C8" w:rsidRPr="00A1123D" w:rsidRDefault="00A374C8" w:rsidP="00C904D1">
      <w:r>
        <w:t>Ignoring out-of-band mixing products,</w:t>
      </w:r>
    </w:p>
    <w:p w14:paraId="057FC47A" w14:textId="0AC43277" w:rsidR="00A1123D" w:rsidRPr="00A374C8" w:rsidRDefault="00A374C8" w:rsidP="00C904D1">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082BACFC" w14:textId="54B2E333" w:rsidR="00A374C8" w:rsidRDefault="00A374C8" w:rsidP="00C904D1">
      <w:r>
        <w:t>IM2 is already at baseband. Ignoring gain compression, let the baseband fundamental and IM3 be</w:t>
      </w:r>
    </w:p>
    <w:p w14:paraId="6E73A47A" w14:textId="6B4DD9D9" w:rsidR="00A374C8" w:rsidRPr="00A374C8" w:rsidRDefault="00A374C8"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4F1796B3" w14:textId="79F60F42" w:rsidR="00A374C8" w:rsidRDefault="00AD03BB" w:rsidP="00C904D1">
      <w:r>
        <w:t>Where the LO frequency is chosen s.t. none of the terms overlap (e.g. the LO can be well below the fundamental and IM3 terms).</w:t>
      </w:r>
    </w:p>
    <w:p w14:paraId="75D48232" w14:textId="030C1778" w:rsidR="00AD03BB" w:rsidRDefault="000248E7" w:rsidP="00C904D1">
      <w:r>
        <w:t xml:space="preserve">Then the terms seen by </w:t>
      </w:r>
    </w:p>
    <w:p w14:paraId="7BBF7C32" w14:textId="600BB6D1" w:rsidR="000248E7" w:rsidRPr="009E6F05" w:rsidRDefault="000248E7" w:rsidP="00C904D1">
      <w:r>
        <w:t>I don’t think the ¾ term matters. Ultimately IIP3 and IIP2 are determined by the power measurements, not by the formula. It’s just important to keep the formulas consistent between two-tone and complex waveform simulations.</w:t>
      </w:r>
    </w:p>
    <w:p w14:paraId="11F5C1FA" w14:textId="77777777" w:rsidR="009E6F05" w:rsidRPr="009E6F05" w:rsidRDefault="009E6F05" w:rsidP="00C904D1"/>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0248E7"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0248E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r>
        <w:t>Plugging in,</w:t>
      </w:r>
    </w:p>
    <w:p w14:paraId="1C047DB6" w14:textId="30AC3441" w:rsidR="003A2827" w:rsidRPr="00E357B3" w:rsidRDefault="000248E7"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0248E7"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0248E7"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0248E7"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0248E7"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0248E7"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0248E7"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0248E7"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Pr="00D23064" w:rsidRDefault="000248E7"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5DF2726D" w14:textId="0BCA2317" w:rsidR="00D23064" w:rsidRDefault="00D23064"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4E4DA797" w14:textId="77777777" w:rsidR="00306609" w:rsidRPr="00AB39A0" w:rsidRDefault="000248E7"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35A11976" w14:textId="0B1A4BCC" w:rsidR="00AB39A0"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303816BF" w14:textId="6079946E" w:rsidR="00D23064" w:rsidRPr="00D23064"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e>
          </m:d>
        </m:oMath>
      </m:oMathPara>
    </w:p>
    <w:p w14:paraId="2C9FD1E0" w14:textId="74D6CE57" w:rsidR="00D23064"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465496CB" w14:textId="2244EFAC" w:rsidR="00AB39A0" w:rsidRPr="00C52491" w:rsidRDefault="00AB39A0"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0248E7"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0248E7"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0248E7"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0248E7"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0248E7"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0248E7"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0248E7"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0248E7"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0248E7"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0248E7"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0248E7"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t>Using the lowpass equivalent model to calculate IIP2 and IIP3 yields the same result as the RF model.</w:t>
      </w:r>
    </w:p>
    <w:p w14:paraId="78F750B7" w14:textId="2B2A0AED" w:rsidR="00AB39A0" w:rsidRPr="00AB39A0" w:rsidRDefault="00AB39A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06DDB85" w14:textId="0DDD3B02" w:rsidR="00AB39A0" w:rsidRPr="001F5B70" w:rsidRDefault="00AB39A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05898468" w14:textId="3BF18E50" w:rsidR="001F5B70" w:rsidRDefault="001F5B7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6E685FF3" w14:textId="77777777" w:rsidR="00AB39A0" w:rsidRPr="00731DA5" w:rsidRDefault="00AB39A0"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4DC33FF7" w14:textId="09E9F0F0" w:rsidR="00731DA5" w:rsidRPr="00731DA5" w:rsidRDefault="00731DA5" w:rsidP="00AB39A0">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06B8A2DA" w14:textId="64FA08DC" w:rsidR="00731DA5" w:rsidRPr="00B9406D" w:rsidRDefault="00731DA5" w:rsidP="00AB39A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7C807B24" w14:textId="20B0C06F" w:rsidR="00B9406D" w:rsidRPr="00B9406D" w:rsidRDefault="00B9406D" w:rsidP="00AB39A0">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38A254D" w14:textId="58894B16" w:rsidR="00B9406D" w:rsidRPr="00B9406D" w:rsidRDefault="00B9406D"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372DAD91" w14:textId="114C0862" w:rsidR="00AB39A0" w:rsidRDefault="004F6D6F" w:rsidP="005D0883">
      <w:r>
        <w:t>The DC term and the IM2 terms do not have the same relative powers as in the RF model. This seems to be one difference b/w two-tone simulation and complex waveform simulation.</w:t>
      </w:r>
      <w:r w:rsidR="004C63E4">
        <w:t xml:space="preserve"> So then which model is correct?</w:t>
      </w:r>
    </w:p>
    <w:p w14:paraId="097C5652" w14:textId="129941AA" w:rsidR="00DA547A" w:rsidRDefault="00DA547A" w:rsidP="005D0883">
      <w:r>
        <w:t>I think we should compare desired and IM2 for the RF models.</w:t>
      </w:r>
    </w:p>
    <w:p w14:paraId="6143ADD9" w14:textId="31E3AF4F"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E0684E0" w14:textId="08E9DD85" w:rsidR="00DA547A" w:rsidRPr="00DA547A" w:rsidRDefault="00DA547A" w:rsidP="005D0883">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E050938" w14:textId="3DAFC2C2"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oMath>
      </m:oMathPara>
    </w:p>
    <w:p w14:paraId="2CB81098" w14:textId="654EB7B4" w:rsidR="00DA547A" w:rsidRPr="002D2C15"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2ED8A12" w14:textId="0166411E" w:rsidR="002D2C15" w:rsidRDefault="002D2C15" w:rsidP="005D0883">
      <w:r>
        <w:t>Another thing is this is one fundamental to one IM2 (there are two fundamentals).</w:t>
      </w:r>
    </w:p>
    <w:p w14:paraId="16230F7F" w14:textId="7C946EC0" w:rsidR="002D2C15" w:rsidRDefault="002D2C15" w:rsidP="005D0883">
      <w:r>
        <w:t>In complex waveform, you are getting the entire signal.</w:t>
      </w:r>
    </w:p>
    <w:p w14:paraId="65073F6A" w14:textId="399649C3" w:rsidR="002D2C15" w:rsidRDefault="002D2C1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3DDD714" w14:textId="770DC7DD" w:rsidR="002D2C15" w:rsidRPr="002D2C15" w:rsidRDefault="002D2C15" w:rsidP="005D088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F469D9B" w14:textId="77777777" w:rsidR="00137E07" w:rsidRDefault="004D4785" w:rsidP="005D0883">
      <w:r>
        <w:lastRenderedPageBreak/>
        <w:t xml:space="preserve">Remember, ultimately the only true model is the RF two-tone test. That is how to calculate the coefficients. </w:t>
      </w:r>
    </w:p>
    <w:p w14:paraId="0A59D4B0" w14:textId="098E8558" w:rsidR="00137E07" w:rsidRDefault="00137E07" w:rsidP="005D0883">
      <w:r>
        <w:t xml:space="preserve">In the two-tone test, when you are measuring IM2, you will also be measuring the fundamental after downconversion. In our RF model, the fundamental is still at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but that’s not actually true in measurement.</w:t>
      </w:r>
      <w:r w:rsidR="00021765">
        <w:t xml:space="preserve"> In a two-tone test, where do we put the LO?</w:t>
      </w:r>
    </w:p>
    <w:p w14:paraId="1F5A6B05" w14:textId="746DD2E0" w:rsidR="001C2609" w:rsidRDefault="001C2609" w:rsidP="005D0883">
      <w:r>
        <w:t xml:space="preserve">I think it’s fine if we put it in between the two tones. Let’s say the two tones are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m:rPr>
                    <m:sty m:val="p"/>
                  </m:rPr>
                  <w:rPr>
                    <w:rFonts w:ascii="Cambria Math" w:hAnsi="Cambria Math"/>
                  </w:rPr>
                  <m:t>Δ</m:t>
                </m:r>
                <m:r>
                  <w:rPr>
                    <w:rFonts w:ascii="Cambria Math" w:hAnsi="Cambria Math"/>
                  </w:rPr>
                  <m:t>ωt</m:t>
                </m:r>
              </m:e>
            </m:d>
          </m:e>
        </m:func>
      </m:oMath>
      <w:r>
        <w:t xml:space="preserve">. Then at baseband, they are </w:t>
      </w:r>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w:r>
        <w:t>.</w:t>
      </w:r>
    </w:p>
    <w:p w14:paraId="10A3D0D8" w14:textId="0FF7D125" w:rsidR="001C2609" w:rsidRDefault="001C2609" w:rsidP="005D0883">
      <w:r>
        <w:t>In any case, you are still measuring power in one tone.</w:t>
      </w:r>
    </w:p>
    <w:p w14:paraId="3B3D027C" w14:textId="6D6DCB80" w:rsidR="00DD5057" w:rsidRDefault="00DD5057" w:rsidP="005D0883">
      <w:r>
        <w:t>I</w:t>
      </w:r>
      <w:r w:rsidR="00250317">
        <w:t>n lowpass equivalent simulation</w:t>
      </w:r>
      <w:r>
        <w:t xml:space="preserve"> with complex waveform</w:t>
      </w:r>
      <w:r w:rsidR="00250317">
        <w:t xml:space="preserve">, </w:t>
      </w:r>
      <w:r>
        <w:t>you are measuring the power of the entire desired signal. That’s a power factor of 2. The “IM2” term combines the DC and the low-frequency beats.</w:t>
      </w:r>
      <w:r w:rsidR="00D62A7A">
        <w:t xml:space="preserve"> (</w:t>
      </w:r>
      <w:r>
        <w:t>If you think of the complex waveform as the sum of a bunch of sinusoids – and pretty white spectrum too.</w:t>
      </w:r>
      <w:r w:rsidR="00D62A7A">
        <w:t>)</w:t>
      </w:r>
    </w:p>
    <w:p w14:paraId="27F72FCC" w14:textId="0EA13562" w:rsidR="00D62A7A" w:rsidRDefault="00D62A7A" w:rsidP="005D0883">
      <w:r>
        <w:t xml:space="preserve">Remember, the envelope term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w:r>
        <w:t xml:space="preserve"> is not white at all. There is heavy DC in there.</w:t>
      </w:r>
    </w:p>
    <w:p w14:paraId="111334EC" w14:textId="040C7271" w:rsidR="00E95BD9" w:rsidRDefault="00E95BD9" w:rsidP="005D0883">
      <w:r>
        <w:t>Lowpass equivalent simulation of two-tone test is not exactly the same as RF model b/c of the DC term.</w:t>
      </w:r>
      <w:r w:rsidR="00722A91">
        <w:t xml:space="preserve"> But you can get a1, a2, a3 from this simulation. How to translate to complex waveform?</w:t>
      </w:r>
    </w:p>
    <w:p w14:paraId="2890D20C" w14:textId="56D6CE68" w:rsidR="00722A91" w:rsidRDefault="00722A91" w:rsidP="005D0883">
      <w:r>
        <w:t>I think you should make the total signal power and the total DC+IM2 power the same in both lowpass equivalents. So</w:t>
      </w:r>
    </w:p>
    <w:p w14:paraId="7780B143" w14:textId="001B010A" w:rsidR="00056765" w:rsidRPr="00056765" w:rsidRDefault="00056765" w:rsidP="005D0883">
      <w:r>
        <w:t xml:space="preserve">Complex: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0EB743FD" w14:textId="3D229495" w:rsidR="00056765" w:rsidRDefault="00056765" w:rsidP="005D0883">
      <w:r>
        <w:t xml:space="preserve">Two-tone: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rad>
          <m:radPr>
            <m:degHide m:val="1"/>
            <m:ctrlPr>
              <w:rPr>
                <w:rFonts w:ascii="Cambria Math" w:hAnsi="Cambria Math"/>
                <w:i/>
              </w:rPr>
            </m:ctrlPr>
          </m:radPr>
          <m:deg/>
          <m:e>
            <m:r>
              <w:rPr>
                <w:rFonts w:ascii="Cambria Math" w:hAnsi="Cambria Math"/>
              </w:rPr>
              <m:t>6</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48E2F04D" w14:textId="77D5369F"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FA08022" w14:textId="35910F67"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3A8049F0" w14:textId="21C2F421"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DEFEFFC" w14:textId="55B0F8DC" w:rsidR="00693D3B" w:rsidRPr="00B144C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3C82D8E6" w14:textId="12ACF150" w:rsidR="00B144CB" w:rsidRDefault="00B144CB" w:rsidP="005D0883">
      <w:r>
        <w:t xml:space="preserve">Total power of even-order terms is equal to </w:t>
      </w:r>
      <m:oMath>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or equivalently an amplitude of </w:t>
      </w:r>
      <m:oMath>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76927B0B" w14:textId="50C54F37" w:rsidR="00B144CB" w:rsidRDefault="00B144CB" w:rsidP="005D0883">
      <w:r>
        <w:t xml:space="preserve">Total power of fundamental is </w:t>
      </w:r>
      <m:oMath>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or equivalently an amplitude of </w:t>
      </w:r>
      <m:oMath>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t>.</w:t>
      </w:r>
    </w:p>
    <w:p w14:paraId="1DB6A6D9" w14:textId="4B36D7FA" w:rsidR="007F2A46" w:rsidRPr="00693D3B" w:rsidRDefault="00520C4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2</m:t>
              </m:r>
            </m:e>
          </m:rad>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4D403B5C" w14:textId="53193D84" w:rsidR="002D2C15" w:rsidRPr="002D2C15" w:rsidRDefault="004D4785" w:rsidP="005D0883">
      <w:r>
        <w:t>The question is how to assess the impact of IM2 in a lowpass equivalent simulation.</w:t>
      </w:r>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0248E7"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0248E7"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0248E7"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42A74F" w14:textId="09BC8A68" w:rsidR="00222790" w:rsidRPr="00084D04" w:rsidRDefault="00222790" w:rsidP="00084D04">
      <w:r>
        <w:t>Since this is a function only of envelope, I think the output of this model should have odd symmetry.</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2F7876B2" w14:textId="1EEDFB75" w:rsidR="00DC583E" w:rsidRDefault="003C6B9C" w:rsidP="00DC583E">
      <w:pPr>
        <w:pStyle w:val="Heading2"/>
      </w:pPr>
      <w:r>
        <w:t>Generalized m</w:t>
      </w:r>
      <w:r w:rsidR="00DC583E">
        <w:t>emory polynomials</w:t>
      </w:r>
      <w:r>
        <w:t xml:space="preserve"> (GMP)</w:t>
      </w:r>
    </w:p>
    <w:p w14:paraId="65438C5B" w14:textId="20124D38" w:rsidR="00101626" w:rsidRPr="00101626" w:rsidRDefault="00101626" w:rsidP="00101626">
      <m:oMath>
        <m:r>
          <w:rPr>
            <w:rFonts w:ascii="Cambria Math" w:hAnsi="Cambria Math"/>
          </w:rPr>
          <m:t>x</m:t>
        </m:r>
      </m:oMath>
      <w:r>
        <w:t xml:space="preserve"> and </w:t>
      </w:r>
      <m:oMath>
        <m:r>
          <w:rPr>
            <w:rFonts w:ascii="Cambria Math" w:hAnsi="Cambria Math"/>
          </w:rPr>
          <m:t>y</m:t>
        </m:r>
      </m:oMath>
      <w:r>
        <w:t xml:space="preserve"> are the input and output of the DPD block. Let </w:t>
      </w:r>
      <m:oMath>
        <m:r>
          <w:rPr>
            <w:rFonts w:ascii="Cambria Math" w:hAnsi="Cambria Math"/>
          </w:rPr>
          <m:t>x</m:t>
        </m:r>
      </m:oMath>
      <w:r>
        <w:t xml:space="preserve"> and </w:t>
      </w:r>
      <m:oMath>
        <m:r>
          <w:rPr>
            <w:rFonts w:ascii="Cambria Math" w:hAnsi="Cambria Math"/>
          </w:rPr>
          <m:t>y</m:t>
        </m:r>
      </m:oMath>
      <w:r>
        <w:t xml:space="preserve"> be at full scale s.t.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e>
            </m:d>
          </m:e>
        </m:func>
        <m:r>
          <w:rPr>
            <w:rFonts w:ascii="Cambria Math" w:hAnsi="Cambria Math"/>
          </w:rPr>
          <m:t>=1</m:t>
        </m:r>
      </m:oMath>
      <w:r>
        <w:t xml:space="preserve"> (normalized to the bitwidth</w:t>
      </w:r>
      <w:r w:rsidR="00742108">
        <w:t>).</w:t>
      </w:r>
    </w:p>
    <w:p w14:paraId="762E44B0" w14:textId="4D20EBE7" w:rsidR="00DC583E" w:rsidRPr="00DC021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rPr>
            <m:t>x+⋯</m:t>
          </m:r>
        </m:oMath>
      </m:oMathPara>
    </w:p>
    <w:p w14:paraId="072FB34B" w14:textId="3B82FE74" w:rsidR="00DC0218" w:rsidRPr="00931AB0"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e>
          </m:d>
        </m:oMath>
      </m:oMathPara>
    </w:p>
    <w:p w14:paraId="665027E7" w14:textId="5DFCF9AE" w:rsidR="00931AB0" w:rsidRDefault="00931AB0" w:rsidP="00DC583E">
      <w:pPr>
        <w:rPr>
          <w:rFonts w:asciiTheme="majorHAnsi" w:eastAsiaTheme="majorEastAsia" w:hAnsiTheme="majorHAnsi" w:cstheme="majorBidi"/>
        </w:rPr>
      </w:pPr>
      <w:r>
        <w:rPr>
          <w:rFonts w:asciiTheme="majorHAnsi" w:eastAsiaTheme="majorEastAsia" w:hAnsiTheme="majorHAnsi" w:cstheme="majorBidi"/>
        </w:rPr>
        <w:t xml:space="preserve">When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=1</m:t>
        </m:r>
      </m:oMath>
      <w:r w:rsidR="006F506F">
        <w:rPr>
          <w:rFonts w:asciiTheme="majorHAnsi" w:eastAsiaTheme="majorEastAsia" w:hAnsiTheme="majorHAnsi" w:cstheme="majorBidi"/>
        </w:rPr>
        <w:t>,</w:t>
      </w:r>
    </w:p>
    <w:p w14:paraId="625F292F" w14:textId="1A4A8B0E" w:rsidR="00931AB0" w:rsidRPr="00931AB0" w:rsidRDefault="006F506F" w:rsidP="00DC583E">
      <w:pPr>
        <w:rPr>
          <w:rFonts w:asciiTheme="majorHAnsi" w:eastAsiaTheme="majorEastAsia" w:hAnsiTheme="majorHAnsi" w:cstheme="majorBidi"/>
        </w:rPr>
      </w:pPr>
      <m:oMathPara>
        <m:oMath>
          <m:r>
            <w:rPr>
              <w:rFonts w:ascii="Cambria Math" w:eastAsiaTheme="majorEastAsia" w:hAnsi="Cambria Math" w:cstheme="majorBidi"/>
            </w:rPr>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oMath>
      </m:oMathPara>
    </w:p>
    <w:p w14:paraId="3A3FD81E" w14:textId="235DE48F" w:rsidR="00931AB0" w:rsidRPr="00931AB0" w:rsidRDefault="00931AB0" w:rsidP="00DC583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=1</m:t>
          </m:r>
        </m:oMath>
      </m:oMathPara>
    </w:p>
    <w:p w14:paraId="174AB5B8" w14:textId="5EBB0F0D" w:rsidR="00DC583E" w:rsidRPr="00DC583E" w:rsidRDefault="00A552B3" w:rsidP="00DC583E">
      <w:pPr>
        <w:rPr>
          <w:rFonts w:asciiTheme="majorHAnsi" w:eastAsiaTheme="majorEastAsia" w:hAnsiTheme="majorHAnsi" w:cstheme="majorBidi"/>
        </w:rPr>
      </w:pPr>
      <w:r>
        <w:rPr>
          <w:rFonts w:asciiTheme="majorHAnsi" w:eastAsiaTheme="majorEastAsia" w:hAnsiTheme="majorHAnsi" w:cstheme="majorBidi"/>
        </w:rPr>
        <w:t xml:space="preserve">In the digital front end, the output of the DPD block should be at full scale, which means that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B</m:t>
            </m:r>
          </m:sup>
        </m:sSup>
      </m:oMath>
      <w:r w:rsidR="00E602A9">
        <w:rPr>
          <w:rFonts w:asciiTheme="majorHAnsi" w:eastAsiaTheme="majorEastAsia" w:hAnsiTheme="majorHAnsi" w:cstheme="majorBidi"/>
        </w:rPr>
        <w:t xml:space="preserve"> where </w:t>
      </w:r>
      <m:oMath>
        <m:r>
          <w:rPr>
            <w:rFonts w:ascii="Cambria Math" w:eastAsiaTheme="majorEastAsia" w:hAnsi="Cambria Math" w:cstheme="majorBidi"/>
          </w:rPr>
          <m:t>B</m:t>
        </m:r>
      </m:oMath>
      <w:r w:rsidR="00E602A9">
        <w:rPr>
          <w:rFonts w:asciiTheme="majorHAnsi" w:eastAsiaTheme="majorEastAsia" w:hAnsiTheme="majorHAnsi" w:cstheme="majorBidi"/>
        </w:rPr>
        <w:t xml:space="preserve"> is the bitwidth.</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w:lastRenderedPageBreak/>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0248E7"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0248E7"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0248E7"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0248E7"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0248E7"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0248E7"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0248E7"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0248E7"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0248E7"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0248E7"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0248E7"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0248E7"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0248E7"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0248E7"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0248E7"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0248E7"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0248E7"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0248E7"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0248E7"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0248E7"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0248E7"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0248E7"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0248E7"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0248E7"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0248E7"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0248E7"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48E7"/>
    <w:rsid w:val="0002607B"/>
    <w:rsid w:val="00033594"/>
    <w:rsid w:val="00036FE4"/>
    <w:rsid w:val="000378C7"/>
    <w:rsid w:val="00042736"/>
    <w:rsid w:val="00056765"/>
    <w:rsid w:val="00084D04"/>
    <w:rsid w:val="000A0673"/>
    <w:rsid w:val="000C060E"/>
    <w:rsid w:val="000C1498"/>
    <w:rsid w:val="00101626"/>
    <w:rsid w:val="00115B5D"/>
    <w:rsid w:val="00137E07"/>
    <w:rsid w:val="00151FF4"/>
    <w:rsid w:val="00197798"/>
    <w:rsid w:val="001B5244"/>
    <w:rsid w:val="001C02B2"/>
    <w:rsid w:val="001C2609"/>
    <w:rsid w:val="001D676D"/>
    <w:rsid w:val="001E1150"/>
    <w:rsid w:val="001E78DE"/>
    <w:rsid w:val="001F5B70"/>
    <w:rsid w:val="00204D7B"/>
    <w:rsid w:val="00222790"/>
    <w:rsid w:val="00234277"/>
    <w:rsid w:val="00250317"/>
    <w:rsid w:val="00251367"/>
    <w:rsid w:val="00264ACA"/>
    <w:rsid w:val="002832E5"/>
    <w:rsid w:val="002A22F1"/>
    <w:rsid w:val="002C441D"/>
    <w:rsid w:val="002D2C15"/>
    <w:rsid w:val="002D4022"/>
    <w:rsid w:val="00304F7C"/>
    <w:rsid w:val="00306609"/>
    <w:rsid w:val="0031081B"/>
    <w:rsid w:val="00330F4E"/>
    <w:rsid w:val="003622BB"/>
    <w:rsid w:val="00370FE7"/>
    <w:rsid w:val="00387DE5"/>
    <w:rsid w:val="003A05E8"/>
    <w:rsid w:val="003A092F"/>
    <w:rsid w:val="003A2827"/>
    <w:rsid w:val="003C412E"/>
    <w:rsid w:val="003C6B9C"/>
    <w:rsid w:val="003E4221"/>
    <w:rsid w:val="003F2F27"/>
    <w:rsid w:val="00406109"/>
    <w:rsid w:val="0043189D"/>
    <w:rsid w:val="004501D9"/>
    <w:rsid w:val="004715DC"/>
    <w:rsid w:val="00485269"/>
    <w:rsid w:val="004A49ED"/>
    <w:rsid w:val="004C63E4"/>
    <w:rsid w:val="004D4785"/>
    <w:rsid w:val="004E284A"/>
    <w:rsid w:val="004F4CC2"/>
    <w:rsid w:val="004F5C57"/>
    <w:rsid w:val="004F6D6F"/>
    <w:rsid w:val="00520C4C"/>
    <w:rsid w:val="0052627A"/>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6F506F"/>
    <w:rsid w:val="00722A91"/>
    <w:rsid w:val="00731DA5"/>
    <w:rsid w:val="00742108"/>
    <w:rsid w:val="007665AF"/>
    <w:rsid w:val="00773D9D"/>
    <w:rsid w:val="00795942"/>
    <w:rsid w:val="007B131B"/>
    <w:rsid w:val="007D5F5F"/>
    <w:rsid w:val="007F2A46"/>
    <w:rsid w:val="007F78A9"/>
    <w:rsid w:val="0082652F"/>
    <w:rsid w:val="00826818"/>
    <w:rsid w:val="00832A40"/>
    <w:rsid w:val="00854F25"/>
    <w:rsid w:val="00880E02"/>
    <w:rsid w:val="00885495"/>
    <w:rsid w:val="008C117A"/>
    <w:rsid w:val="008E3969"/>
    <w:rsid w:val="008F712C"/>
    <w:rsid w:val="0092478C"/>
    <w:rsid w:val="00931AB0"/>
    <w:rsid w:val="009E4C6D"/>
    <w:rsid w:val="009E6F05"/>
    <w:rsid w:val="009F70D0"/>
    <w:rsid w:val="00A1123D"/>
    <w:rsid w:val="00A24DD7"/>
    <w:rsid w:val="00A374C8"/>
    <w:rsid w:val="00A44C4A"/>
    <w:rsid w:val="00A44EF6"/>
    <w:rsid w:val="00A46E08"/>
    <w:rsid w:val="00A552B3"/>
    <w:rsid w:val="00A72878"/>
    <w:rsid w:val="00A8145D"/>
    <w:rsid w:val="00A821F7"/>
    <w:rsid w:val="00AB39A0"/>
    <w:rsid w:val="00AD03BB"/>
    <w:rsid w:val="00AD0431"/>
    <w:rsid w:val="00AE51A7"/>
    <w:rsid w:val="00B144CB"/>
    <w:rsid w:val="00B167F3"/>
    <w:rsid w:val="00B546AD"/>
    <w:rsid w:val="00B54707"/>
    <w:rsid w:val="00B64604"/>
    <w:rsid w:val="00B67A1D"/>
    <w:rsid w:val="00B9406D"/>
    <w:rsid w:val="00B94B11"/>
    <w:rsid w:val="00BA6E80"/>
    <w:rsid w:val="00BD242B"/>
    <w:rsid w:val="00BF6A9F"/>
    <w:rsid w:val="00C057E8"/>
    <w:rsid w:val="00C05E0B"/>
    <w:rsid w:val="00C11EF5"/>
    <w:rsid w:val="00C13A75"/>
    <w:rsid w:val="00C179F4"/>
    <w:rsid w:val="00C20468"/>
    <w:rsid w:val="00C52491"/>
    <w:rsid w:val="00C72831"/>
    <w:rsid w:val="00C825E3"/>
    <w:rsid w:val="00C87B47"/>
    <w:rsid w:val="00C904D1"/>
    <w:rsid w:val="00C96210"/>
    <w:rsid w:val="00CB10F9"/>
    <w:rsid w:val="00CE6DC1"/>
    <w:rsid w:val="00CE6E8D"/>
    <w:rsid w:val="00D06306"/>
    <w:rsid w:val="00D23064"/>
    <w:rsid w:val="00D62A7A"/>
    <w:rsid w:val="00D72962"/>
    <w:rsid w:val="00D76A2E"/>
    <w:rsid w:val="00D82FF4"/>
    <w:rsid w:val="00D94248"/>
    <w:rsid w:val="00DA547A"/>
    <w:rsid w:val="00DA5932"/>
    <w:rsid w:val="00DC0218"/>
    <w:rsid w:val="00DC583E"/>
    <w:rsid w:val="00DD5057"/>
    <w:rsid w:val="00E24667"/>
    <w:rsid w:val="00E27865"/>
    <w:rsid w:val="00E357B3"/>
    <w:rsid w:val="00E40B6C"/>
    <w:rsid w:val="00E55040"/>
    <w:rsid w:val="00E568C2"/>
    <w:rsid w:val="00E602A9"/>
    <w:rsid w:val="00E86166"/>
    <w:rsid w:val="00E95BD9"/>
    <w:rsid w:val="00EA2113"/>
    <w:rsid w:val="00EC2190"/>
    <w:rsid w:val="00ED6DC8"/>
    <w:rsid w:val="00F0731A"/>
    <w:rsid w:val="00F23791"/>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A0"/>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TotalTime>
  <Pages>11</Pages>
  <Words>2497</Words>
  <Characters>16182</Characters>
  <Application>Microsoft Office Word</Application>
  <DocSecurity>0</DocSecurity>
  <Lines>703</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197</cp:revision>
  <dcterms:created xsi:type="dcterms:W3CDTF">2025-10-18T22:49:00Z</dcterms:created>
  <dcterms:modified xsi:type="dcterms:W3CDTF">2025-10-28T04:30:00Z</dcterms:modified>
</cp:coreProperties>
</file>