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FA4E08"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507DC3"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Pr>
          <w:rFonts w:asciiTheme="majorHAnsi" w:eastAsiaTheme="majorEastAsia" w:hAnsiTheme="majorHAnsi" w:cstheme="majorBidi"/>
        </w:rPr>
        <w:t>.</w:t>
      </w:r>
    </w:p>
    <w:p w14:paraId="5D577210" w14:textId="14984006" w:rsidR="00115EA1" w:rsidRDefault="00115EA1"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is the solution to the homogeneous DE:</w:t>
      </w:r>
    </w:p>
    <w:p w14:paraId="456BE127" w14:textId="3D16B997" w:rsidR="00115EA1" w:rsidRPr="00115EA1" w:rsidRDefault="00115EA1"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115EA1"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115EA1"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5763BF"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A81A5A"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6241A15D" w14:textId="1962E283" w:rsidR="00C85B3E" w:rsidRPr="00FA4E08" w:rsidRDefault="00C85B3E" w:rsidP="00FA4E08">
      <w:pPr>
        <w:rPr>
          <w:rFonts w:asciiTheme="majorHAnsi" w:eastAsiaTheme="majorEastAsia" w:hAnsiTheme="majorHAnsi" w:cstheme="majorBidi"/>
        </w:rPr>
      </w:pPr>
    </w:p>
    <w:p w14:paraId="34D9B0D4" w14:textId="77777777" w:rsidR="00FA4E08" w:rsidRPr="00FA4E08" w:rsidRDefault="00FA4E08" w:rsidP="00FA4E08"/>
    <w:p w14:paraId="7DF10B9D" w14:textId="1EA24A4B" w:rsidR="009B7C80" w:rsidRPr="009B7C80" w:rsidRDefault="009B7C80" w:rsidP="009B7C80">
      <w:r>
        <w:t xml:space="preserve">LCCDE are one of the most fundamental tools for modeling systems. In CT, </w:t>
      </w:r>
    </w:p>
    <w:p w14:paraId="64502391" w14:textId="385D92A3" w:rsidR="00C325E4" w:rsidRDefault="00C325E4" w:rsidP="00C325E4">
      <w:r>
        <w:t>If system is at rest, LCCDE system is LTI.</w:t>
      </w:r>
      <w:r w:rsidR="00DE79C3">
        <w:t xml:space="preserve"> It’s still not clear to me whether the at rest condition is needed. The book by Vural sometimes says one thing, sometimes says another. Maybe the system itself is LTI but if the system is not at rest, then technically superposition doesn’t hold?</w:t>
      </w:r>
    </w:p>
    <w:p w14:paraId="1CF26677" w14:textId="345E100A" w:rsidR="00EC2A50" w:rsidRDefault="00EC2A50" w:rsidP="00C325E4">
      <w:r>
        <w:t>The whole point of homogeneous + particular response uses superposition regardless of initial conditions.</w:t>
      </w:r>
    </w:p>
    <w:p w14:paraId="436B4302" w14:textId="64B034BE"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7A2035BA" w14:textId="510E4D73" w:rsidR="00A90E1C" w:rsidRDefault="00A90E1C" w:rsidP="00C325E4">
      <w:r>
        <w:t>Order = N, where N is the denominator polynomial order</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1A75F2"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1A75F2"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1A75F2"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1A75F2"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1A75F2"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1A75F2"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1A75F2"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1A75F2"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lastRenderedPageBreak/>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lastRenderedPageBreak/>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1A75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1A75F2"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1A75F2"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1A75F2"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lastRenderedPageBreak/>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lastRenderedPageBreak/>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lastRenderedPageBreak/>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6D7C"/>
    <w:rsid w:val="000D74A7"/>
    <w:rsid w:val="00110CEF"/>
    <w:rsid w:val="00111E78"/>
    <w:rsid w:val="00115EA1"/>
    <w:rsid w:val="0011748A"/>
    <w:rsid w:val="00120029"/>
    <w:rsid w:val="001325BE"/>
    <w:rsid w:val="00135834"/>
    <w:rsid w:val="00137810"/>
    <w:rsid w:val="00146609"/>
    <w:rsid w:val="00147926"/>
    <w:rsid w:val="00151137"/>
    <w:rsid w:val="00154061"/>
    <w:rsid w:val="00160E74"/>
    <w:rsid w:val="00165810"/>
    <w:rsid w:val="00190074"/>
    <w:rsid w:val="001907DF"/>
    <w:rsid w:val="001942F4"/>
    <w:rsid w:val="00196971"/>
    <w:rsid w:val="001A07A9"/>
    <w:rsid w:val="001A0D79"/>
    <w:rsid w:val="001A75F2"/>
    <w:rsid w:val="001B41F6"/>
    <w:rsid w:val="001B5C23"/>
    <w:rsid w:val="001B6D65"/>
    <w:rsid w:val="001C58C0"/>
    <w:rsid w:val="001C753C"/>
    <w:rsid w:val="001C78E2"/>
    <w:rsid w:val="001D7CC8"/>
    <w:rsid w:val="001E50BB"/>
    <w:rsid w:val="001F57F3"/>
    <w:rsid w:val="00205A52"/>
    <w:rsid w:val="00221D60"/>
    <w:rsid w:val="00236991"/>
    <w:rsid w:val="0023771A"/>
    <w:rsid w:val="00260847"/>
    <w:rsid w:val="00267183"/>
    <w:rsid w:val="00271886"/>
    <w:rsid w:val="00271B5A"/>
    <w:rsid w:val="00276E6B"/>
    <w:rsid w:val="00277824"/>
    <w:rsid w:val="00280BD5"/>
    <w:rsid w:val="0029435C"/>
    <w:rsid w:val="00295C00"/>
    <w:rsid w:val="002A1E61"/>
    <w:rsid w:val="002A442C"/>
    <w:rsid w:val="002A48B9"/>
    <w:rsid w:val="002A70C8"/>
    <w:rsid w:val="002B76E2"/>
    <w:rsid w:val="002D0770"/>
    <w:rsid w:val="002D2523"/>
    <w:rsid w:val="002E4BA8"/>
    <w:rsid w:val="002E632E"/>
    <w:rsid w:val="002F2B67"/>
    <w:rsid w:val="002F5DAB"/>
    <w:rsid w:val="00320CE6"/>
    <w:rsid w:val="00325175"/>
    <w:rsid w:val="003327FC"/>
    <w:rsid w:val="00342268"/>
    <w:rsid w:val="00343225"/>
    <w:rsid w:val="00343AED"/>
    <w:rsid w:val="003553C8"/>
    <w:rsid w:val="00362C66"/>
    <w:rsid w:val="003668B5"/>
    <w:rsid w:val="00370693"/>
    <w:rsid w:val="00382BE8"/>
    <w:rsid w:val="003862B4"/>
    <w:rsid w:val="0039367E"/>
    <w:rsid w:val="003C3B33"/>
    <w:rsid w:val="003D056C"/>
    <w:rsid w:val="003D1EBC"/>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D1F06"/>
    <w:rsid w:val="004F0BAA"/>
    <w:rsid w:val="0050095D"/>
    <w:rsid w:val="00506B5C"/>
    <w:rsid w:val="00507DC3"/>
    <w:rsid w:val="00511B02"/>
    <w:rsid w:val="005208EE"/>
    <w:rsid w:val="00537063"/>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EB"/>
    <w:rsid w:val="006327B9"/>
    <w:rsid w:val="0064195F"/>
    <w:rsid w:val="00661FBD"/>
    <w:rsid w:val="00664A3F"/>
    <w:rsid w:val="006725C7"/>
    <w:rsid w:val="00672C75"/>
    <w:rsid w:val="006847F5"/>
    <w:rsid w:val="0069110F"/>
    <w:rsid w:val="00693062"/>
    <w:rsid w:val="00695F90"/>
    <w:rsid w:val="00696D1D"/>
    <w:rsid w:val="006A4643"/>
    <w:rsid w:val="006B1CFE"/>
    <w:rsid w:val="006B2B88"/>
    <w:rsid w:val="006C24F2"/>
    <w:rsid w:val="006C352B"/>
    <w:rsid w:val="006D1140"/>
    <w:rsid w:val="006D1675"/>
    <w:rsid w:val="006D6B0C"/>
    <w:rsid w:val="006D7CA9"/>
    <w:rsid w:val="006E4755"/>
    <w:rsid w:val="00701F39"/>
    <w:rsid w:val="007061BF"/>
    <w:rsid w:val="00706FE2"/>
    <w:rsid w:val="00710036"/>
    <w:rsid w:val="007210CA"/>
    <w:rsid w:val="00724654"/>
    <w:rsid w:val="0072517E"/>
    <w:rsid w:val="00726E34"/>
    <w:rsid w:val="0072796D"/>
    <w:rsid w:val="00730901"/>
    <w:rsid w:val="00736C2A"/>
    <w:rsid w:val="007515B5"/>
    <w:rsid w:val="0075351E"/>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A7AE4"/>
    <w:rsid w:val="008B4295"/>
    <w:rsid w:val="008C2192"/>
    <w:rsid w:val="008D0646"/>
    <w:rsid w:val="008D088A"/>
    <w:rsid w:val="008D5B37"/>
    <w:rsid w:val="008E2D3F"/>
    <w:rsid w:val="008E41C3"/>
    <w:rsid w:val="008F0C74"/>
    <w:rsid w:val="008F279F"/>
    <w:rsid w:val="00900D2F"/>
    <w:rsid w:val="0090157D"/>
    <w:rsid w:val="00910906"/>
    <w:rsid w:val="00911BA7"/>
    <w:rsid w:val="00924D80"/>
    <w:rsid w:val="0093436D"/>
    <w:rsid w:val="00941762"/>
    <w:rsid w:val="00943785"/>
    <w:rsid w:val="00944102"/>
    <w:rsid w:val="00951873"/>
    <w:rsid w:val="009551F4"/>
    <w:rsid w:val="00957ADB"/>
    <w:rsid w:val="00971975"/>
    <w:rsid w:val="00974BBB"/>
    <w:rsid w:val="00977BBD"/>
    <w:rsid w:val="00986102"/>
    <w:rsid w:val="00990150"/>
    <w:rsid w:val="009964C6"/>
    <w:rsid w:val="009A01C6"/>
    <w:rsid w:val="009A2962"/>
    <w:rsid w:val="009B29E8"/>
    <w:rsid w:val="009B7C80"/>
    <w:rsid w:val="009C1253"/>
    <w:rsid w:val="009D79F1"/>
    <w:rsid w:val="009F0873"/>
    <w:rsid w:val="009F1247"/>
    <w:rsid w:val="009F6463"/>
    <w:rsid w:val="00A04E4E"/>
    <w:rsid w:val="00A05401"/>
    <w:rsid w:val="00A1639E"/>
    <w:rsid w:val="00A23B71"/>
    <w:rsid w:val="00A60CE6"/>
    <w:rsid w:val="00A65443"/>
    <w:rsid w:val="00A743FC"/>
    <w:rsid w:val="00A770E3"/>
    <w:rsid w:val="00A81A5A"/>
    <w:rsid w:val="00A90E1C"/>
    <w:rsid w:val="00AA1D9A"/>
    <w:rsid w:val="00AA3551"/>
    <w:rsid w:val="00AB2A83"/>
    <w:rsid w:val="00AB6D11"/>
    <w:rsid w:val="00AC2B59"/>
    <w:rsid w:val="00AC2C11"/>
    <w:rsid w:val="00AD1746"/>
    <w:rsid w:val="00AD4E04"/>
    <w:rsid w:val="00AE3C29"/>
    <w:rsid w:val="00AE4678"/>
    <w:rsid w:val="00AE767F"/>
    <w:rsid w:val="00AF0579"/>
    <w:rsid w:val="00AF0F7A"/>
    <w:rsid w:val="00AF1916"/>
    <w:rsid w:val="00AF5569"/>
    <w:rsid w:val="00B011F1"/>
    <w:rsid w:val="00B14F19"/>
    <w:rsid w:val="00B216FC"/>
    <w:rsid w:val="00B24A3B"/>
    <w:rsid w:val="00B347D9"/>
    <w:rsid w:val="00B354E3"/>
    <w:rsid w:val="00B429C3"/>
    <w:rsid w:val="00B44987"/>
    <w:rsid w:val="00B459FC"/>
    <w:rsid w:val="00B47267"/>
    <w:rsid w:val="00B54707"/>
    <w:rsid w:val="00B66C46"/>
    <w:rsid w:val="00B7146F"/>
    <w:rsid w:val="00B85B65"/>
    <w:rsid w:val="00B86F8A"/>
    <w:rsid w:val="00BA06B3"/>
    <w:rsid w:val="00BC6347"/>
    <w:rsid w:val="00BC705C"/>
    <w:rsid w:val="00BD40B1"/>
    <w:rsid w:val="00BD4B2E"/>
    <w:rsid w:val="00BF493F"/>
    <w:rsid w:val="00C006B5"/>
    <w:rsid w:val="00C0124A"/>
    <w:rsid w:val="00C04A7D"/>
    <w:rsid w:val="00C04AC1"/>
    <w:rsid w:val="00C057E8"/>
    <w:rsid w:val="00C132BD"/>
    <w:rsid w:val="00C179F4"/>
    <w:rsid w:val="00C325E4"/>
    <w:rsid w:val="00C40757"/>
    <w:rsid w:val="00C50FDC"/>
    <w:rsid w:val="00C527BA"/>
    <w:rsid w:val="00C57818"/>
    <w:rsid w:val="00C679C4"/>
    <w:rsid w:val="00C8018B"/>
    <w:rsid w:val="00C85B3E"/>
    <w:rsid w:val="00C9521A"/>
    <w:rsid w:val="00CC296A"/>
    <w:rsid w:val="00CC4BAB"/>
    <w:rsid w:val="00CC5DF9"/>
    <w:rsid w:val="00CC7D70"/>
    <w:rsid w:val="00CD1604"/>
    <w:rsid w:val="00CD2315"/>
    <w:rsid w:val="00CE0418"/>
    <w:rsid w:val="00CE55E6"/>
    <w:rsid w:val="00CF333B"/>
    <w:rsid w:val="00D002B6"/>
    <w:rsid w:val="00D1140D"/>
    <w:rsid w:val="00D344A1"/>
    <w:rsid w:val="00D448B4"/>
    <w:rsid w:val="00D70EAB"/>
    <w:rsid w:val="00D75DC2"/>
    <w:rsid w:val="00D77E09"/>
    <w:rsid w:val="00D8196F"/>
    <w:rsid w:val="00D8746F"/>
    <w:rsid w:val="00DA3F3C"/>
    <w:rsid w:val="00DB4174"/>
    <w:rsid w:val="00DC0AE0"/>
    <w:rsid w:val="00DC43AA"/>
    <w:rsid w:val="00DC68D9"/>
    <w:rsid w:val="00DD0101"/>
    <w:rsid w:val="00DD0692"/>
    <w:rsid w:val="00DE262C"/>
    <w:rsid w:val="00DE79C3"/>
    <w:rsid w:val="00DF0F30"/>
    <w:rsid w:val="00E15496"/>
    <w:rsid w:val="00E21E00"/>
    <w:rsid w:val="00E27865"/>
    <w:rsid w:val="00E3745F"/>
    <w:rsid w:val="00E443DC"/>
    <w:rsid w:val="00E45FD8"/>
    <w:rsid w:val="00E535CA"/>
    <w:rsid w:val="00E54AD4"/>
    <w:rsid w:val="00E55444"/>
    <w:rsid w:val="00E76F7A"/>
    <w:rsid w:val="00E8149C"/>
    <w:rsid w:val="00E905BC"/>
    <w:rsid w:val="00E97B04"/>
    <w:rsid w:val="00EA402D"/>
    <w:rsid w:val="00EC2A5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75C5"/>
    <w:rsid w:val="00F50347"/>
    <w:rsid w:val="00F55E9D"/>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12</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407</cp:revision>
  <dcterms:created xsi:type="dcterms:W3CDTF">2025-09-17T21:32:00Z</dcterms:created>
  <dcterms:modified xsi:type="dcterms:W3CDTF">2025-09-26T19:59:00Z</dcterms:modified>
</cp:coreProperties>
</file>