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 xml:space="preserve">Is it because you </w:t>
      </w:r>
      <w:proofErr w:type="gramStart"/>
      <w:r w:rsidR="00587E88">
        <w:rPr>
          <w:rFonts w:eastAsiaTheme="minorEastAsia"/>
        </w:rPr>
        <w:t>decompose</w:t>
      </w:r>
      <w:proofErr w:type="gramEnd"/>
      <w:r w:rsidR="00587E88">
        <w:rPr>
          <w:rFonts w:eastAsiaTheme="minorEastAsia"/>
        </w:rPr>
        <w:t xml:space="preserv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proofErr w:type="gramStart"/>
      <w:r>
        <w:rPr>
          <w:rFonts w:eastAsiaTheme="minorEastAsia"/>
        </w:rPr>
        <w:t>Particular response</w:t>
      </w:r>
      <w:proofErr w:type="gramEnd"/>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proofErr w:type="gramStart"/>
      <w:r>
        <w:rPr>
          <w:rFonts w:eastAsiaTheme="minorEastAsia"/>
        </w:rPr>
        <w:t>All of</w:t>
      </w:r>
      <w:proofErr w:type="gramEnd"/>
      <w:r>
        <w:rPr>
          <w:rFonts w:eastAsiaTheme="minorEastAsia"/>
        </w:rPr>
        <w:t xml:space="preserve"> these transforms and pairs are for developing intuition about real life signals and systems. In practice, we use computer tools to analyze real life signals and systems, and we use that intuition from these </w:t>
      </w:r>
      <w:proofErr w:type="gramStart"/>
      <w:r>
        <w:rPr>
          <w:rFonts w:eastAsiaTheme="minorEastAsia"/>
        </w:rPr>
        <w:t>transforms</w:t>
      </w:r>
      <w:proofErr w:type="gramEnd"/>
      <w:r>
        <w:rPr>
          <w:rFonts w:eastAsiaTheme="minorEastAsia"/>
        </w:rPr>
        <w:t xml:space="preserve">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 xml:space="preserve">I think all impulses – certainly for continuous time – need to be taken in the limit. E.g. to take the inverse CTFT of 1 to get </w:t>
      </w:r>
      <w:proofErr w:type="spellStart"/>
      <w:r>
        <w:rPr>
          <w:rFonts w:eastAsiaTheme="minorEastAsia"/>
        </w:rPr>
        <w:t>dirac</w:t>
      </w:r>
      <w:proofErr w:type="spellEnd"/>
      <w:r>
        <w:rPr>
          <w:rFonts w:eastAsiaTheme="minorEastAsia"/>
        </w:rPr>
        <w:t xml:space="preserve">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 xml:space="preserve">PSD vs. ESD – notice that Fourier series is averaged over the period. Fourier </w:t>
      </w:r>
      <w:proofErr w:type="gramStart"/>
      <w:r>
        <w:t>transform</w:t>
      </w:r>
      <w:proofErr w:type="gramEnd"/>
      <w:r>
        <w:t xml:space="preserve">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 xml:space="preserve">Adding powers, orthogonality in </w:t>
      </w:r>
      <w:proofErr w:type="spellStart"/>
      <w:r>
        <w:t>freq</w:t>
      </w:r>
      <w:proofErr w:type="spellEnd"/>
      <w:r>
        <w:t xml:space="preserve"> domain</w:t>
      </w:r>
    </w:p>
    <w:p w14:paraId="6D2BD0DD" w14:textId="77777777" w:rsidR="005F73A1" w:rsidRDefault="005F73A1" w:rsidP="005F73A1">
      <w:pPr>
        <w:pStyle w:val="ListParagraph"/>
        <w:numPr>
          <w:ilvl w:val="0"/>
          <w:numId w:val="2"/>
        </w:numPr>
      </w:pPr>
      <w:r>
        <w:t xml:space="preserve">Integrating powers/energy – Parseval’s or </w:t>
      </w:r>
      <w:proofErr w:type="spellStart"/>
      <w:r>
        <w:t>Plancherel’s</w:t>
      </w:r>
      <w:proofErr w:type="spellEnd"/>
      <w:r>
        <w:t xml:space="preserve">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F4062F"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w:t>
      </w:r>
      <w:proofErr w:type="gramStart"/>
      <w:r>
        <w:rPr>
          <w:rFonts w:asciiTheme="majorHAnsi" w:eastAsiaTheme="majorEastAsia" w:hAnsiTheme="majorHAnsi" w:cstheme="majorBidi"/>
        </w:rPr>
        <w:t>particular solution</w:t>
      </w:r>
      <w:proofErr w:type="gramEnd"/>
      <w:r>
        <w:rPr>
          <w:rFonts w:asciiTheme="majorHAnsi" w:eastAsiaTheme="majorEastAsia" w:hAnsiTheme="majorHAnsi" w:cstheme="majorBidi"/>
        </w:rPr>
        <w:t xml:space="preserve">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F4062F"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F4062F"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F4062F"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F4062F"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F4062F"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F4062F"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F4062F"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w:t>
      </w:r>
      <w:proofErr w:type="gramStart"/>
      <w:r>
        <w:rPr>
          <w:rFonts w:asciiTheme="majorHAnsi" w:eastAsiaTheme="majorEastAsia" w:hAnsiTheme="majorHAnsi" w:cstheme="majorBidi"/>
        </w:rPr>
        <w:t>solve for</w:t>
      </w:r>
      <w:proofErr w:type="gramEnd"/>
      <w:r>
        <w:rPr>
          <w:rFonts w:asciiTheme="majorHAnsi" w:eastAsiaTheme="majorEastAsia" w:hAnsiTheme="majorHAnsi" w:cstheme="majorBidi"/>
        </w:rPr>
        <w:t xml:space="preserve">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 xml:space="preserve">These are also called </w:t>
      </w:r>
      <w:proofErr w:type="gramStart"/>
      <w:r>
        <w:rPr>
          <w:rFonts w:asciiTheme="majorHAnsi" w:eastAsiaTheme="majorEastAsia" w:hAnsiTheme="majorHAnsi" w:cstheme="majorBidi"/>
        </w:rPr>
        <w:t>the zero</w:t>
      </w:r>
      <w:proofErr w:type="gramEnd"/>
      <w:r>
        <w:rPr>
          <w:rFonts w:asciiTheme="majorHAnsi" w:eastAsiaTheme="majorEastAsia" w:hAnsiTheme="majorHAnsi" w:cstheme="majorBidi"/>
        </w:rPr>
        <w:t>-input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F4062F"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F4062F"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F4062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w:lastRenderedPageBreak/>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F4062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F4062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F4062F"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F4062F"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F4062F"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w:t>
      </w:r>
      <w:proofErr w:type="gramStart"/>
      <w:r w:rsidR="005D79BB" w:rsidRPr="00BA06B3">
        <w:rPr>
          <w:rFonts w:eastAsiaTheme="minorEastAsia"/>
        </w:rPr>
        <w:t>transform</w:t>
      </w:r>
      <w:proofErr w:type="gramEnd"/>
      <w:r w:rsidR="005D79BB" w:rsidRPr="00BA06B3">
        <w:rPr>
          <w:rFonts w:eastAsiaTheme="minorEastAsia"/>
        </w:rPr>
        <w:t xml:space="preserve"> are double infinity, but formally, </w:t>
      </w:r>
      <w:r w:rsidRPr="00BA06B3">
        <w:rPr>
          <w:rFonts w:eastAsiaTheme="minorEastAsia"/>
        </w:rPr>
        <w:t>FT</w:t>
      </w:r>
      <w:r w:rsidR="005D79BB" w:rsidRPr="00BA06B3">
        <w:rPr>
          <w:rFonts w:eastAsiaTheme="minorEastAsia"/>
        </w:rPr>
        <w:t xml:space="preserve"> only exists for signals that decay </w:t>
      </w:r>
      <w:r w:rsidR="005D79BB" w:rsidRPr="00BA06B3">
        <w:rPr>
          <w:rFonts w:eastAsiaTheme="minorEastAsia"/>
        </w:rPr>
        <w:lastRenderedPageBreak/>
        <w:t>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xml:space="preserve">) using FT in the limit. The FT is composed of </w:t>
      </w:r>
      <w:proofErr w:type="spellStart"/>
      <w:r>
        <w:rPr>
          <w:rFonts w:eastAsiaTheme="minorEastAsia"/>
        </w:rPr>
        <w:t>dirac</w:t>
      </w:r>
      <w:proofErr w:type="spellEnd"/>
      <w:r>
        <w:rPr>
          <w:rFonts w:eastAsiaTheme="minorEastAsia"/>
        </w:rPr>
        <w:t xml:space="preserve"> deltas with area equal to the FS coefficients.</w:t>
      </w:r>
    </w:p>
    <w:p w14:paraId="7AF5E82F" w14:textId="024609DB" w:rsidR="00C0124A" w:rsidRDefault="007210CA" w:rsidP="00EE589D">
      <w:pPr>
        <w:pStyle w:val="ListParagraph"/>
        <w:numPr>
          <w:ilvl w:val="0"/>
          <w:numId w:val="2"/>
        </w:numPr>
      </w:pPr>
      <w:r>
        <w:t xml:space="preserve">FT also </w:t>
      </w:r>
      <w:proofErr w:type="gramStart"/>
      <w:r>
        <w:t>map</w:t>
      </w:r>
      <w:proofErr w:type="gramEnd"/>
      <w:r>
        <w:t xml:space="preserve">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 xml:space="preserve">LT/ZT </w:t>
      </w:r>
      <w:proofErr w:type="gramStart"/>
      <w:r>
        <w:rPr>
          <w:rFonts w:eastAsiaTheme="minorEastAsia"/>
        </w:rPr>
        <w:t>exist</w:t>
      </w:r>
      <w:proofErr w:type="gramEnd"/>
      <w:r>
        <w:rPr>
          <w:rFonts w:eastAsiaTheme="minorEastAsia"/>
        </w:rPr>
        <w:t xml:space="preserve">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w:t>
      </w:r>
      <w:proofErr w:type="gramStart"/>
      <w:r>
        <w:rPr>
          <w:rFonts w:eastAsiaTheme="minorEastAsia"/>
        </w:rPr>
        <w:t>allow</w:t>
      </w:r>
      <w:proofErr w:type="gramEnd"/>
      <w:r>
        <w:rPr>
          <w:rFonts w:eastAsiaTheme="minorEastAsia"/>
        </w:rPr>
        <w:t xml:space="preserve"> us to </w:t>
      </w:r>
      <w:proofErr w:type="gramStart"/>
      <w:r>
        <w:rPr>
          <w:rFonts w:eastAsiaTheme="minorEastAsia"/>
        </w:rPr>
        <w:t>solve for</w:t>
      </w:r>
      <w:proofErr w:type="gramEnd"/>
      <w:r>
        <w:rPr>
          <w:rFonts w:eastAsiaTheme="minorEastAsia"/>
        </w:rPr>
        <w:t xml:space="preserve">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lastRenderedPageBreak/>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F4062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 xml:space="preserve">Fourier </w:t>
      </w:r>
      <w:proofErr w:type="gramStart"/>
      <w:r w:rsidR="00280BD5" w:rsidRPr="00B44987">
        <w:rPr>
          <w:b/>
          <w:bCs/>
        </w:rPr>
        <w:t>transform</w:t>
      </w:r>
      <w:proofErr w:type="gramEnd"/>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w:lastRenderedPageBreak/>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F4062F"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F4062F"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F4062F"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 xml:space="preserve">Many of the properties observed for CT </w:t>
      </w:r>
      <w:proofErr w:type="gramStart"/>
      <w:r>
        <w:rPr>
          <w:rFonts w:eastAsiaTheme="minorEastAsia"/>
        </w:rPr>
        <w:t>also hold</w:t>
      </w:r>
      <w:proofErr w:type="gramEnd"/>
      <w:r>
        <w:rPr>
          <w:rFonts w:eastAsiaTheme="minorEastAsia"/>
        </w:rPr>
        <w:t xml:space="preserve"> </w:t>
      </w:r>
      <w:proofErr w:type="gramStart"/>
      <w:r>
        <w:rPr>
          <w:rFonts w:eastAsiaTheme="minorEastAsia"/>
        </w:rPr>
        <w:t>for</w:t>
      </w:r>
      <w:proofErr w:type="gramEnd"/>
      <w:r>
        <w:rPr>
          <w:rFonts w:eastAsiaTheme="minorEastAsia"/>
        </w:rPr>
        <w:t xml:space="preserve">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w:t>
      </w:r>
      <w:proofErr w:type="gramStart"/>
      <w:r>
        <w:rPr>
          <w:rFonts w:eastAsiaTheme="minorEastAsia"/>
        </w:rPr>
        <w:t xml:space="preserve">absolutely </w:t>
      </w:r>
      <w:r w:rsidR="00957ADB">
        <w:rPr>
          <w:rFonts w:eastAsiaTheme="minorEastAsia"/>
        </w:rPr>
        <w:t>summable</w:t>
      </w:r>
      <w:proofErr w:type="gramEnd"/>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 xml:space="preserve">The FT also exists for signals that have mean square convergence (aka being in L2 space). This is a weaker condition than being </w:t>
      </w:r>
      <w:proofErr w:type="gramStart"/>
      <w:r>
        <w:rPr>
          <w:rFonts w:eastAsiaTheme="minorEastAsia"/>
        </w:rPr>
        <w:t>absolutely integrable</w:t>
      </w:r>
      <w:proofErr w:type="gramEnd"/>
      <w:r>
        <w:rPr>
          <w:rFonts w:eastAsiaTheme="minorEastAsia"/>
        </w:rPr>
        <w:t>.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lastRenderedPageBreak/>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w:t>
      </w:r>
      <w:proofErr w:type="gramStart"/>
      <w:r w:rsidR="00AE767F">
        <w:rPr>
          <w:rFonts w:eastAsiaTheme="minorEastAsia"/>
        </w:rPr>
        <w:t>Then</w:t>
      </w:r>
      <w:proofErr w:type="gramEnd"/>
      <w:r w:rsidR="00AE767F">
        <w:rPr>
          <w:rFonts w:eastAsiaTheme="minorEastAsia"/>
        </w:rPr>
        <w:t xml:space="preserve">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 xml:space="preserve">You can implement </w:t>
      </w:r>
      <w:proofErr w:type="spellStart"/>
      <w:r>
        <w:rPr>
          <w:rFonts w:eastAsiaTheme="minorEastAsia"/>
        </w:rPr>
        <w:t>freq</w:t>
      </w:r>
      <w:proofErr w:type="spellEnd"/>
      <w:r>
        <w:rPr>
          <w:rFonts w:eastAsiaTheme="minorEastAsia"/>
        </w:rPr>
        <w:t xml:space="preserve">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lastRenderedPageBreak/>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proofErr w:type="gramStart"/>
      <w:r>
        <w:rPr>
          <w:rFonts w:eastAsiaTheme="minorEastAsia"/>
        </w:rPr>
        <w:t>Sine</w:t>
      </w:r>
      <w:proofErr w:type="gramEnd"/>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 xml:space="preserve">Time domain </w:t>
      </w:r>
      <w:proofErr w:type="spellStart"/>
      <w:r>
        <w:rPr>
          <w:rFonts w:eastAsiaTheme="minorEastAsia"/>
        </w:rPr>
        <w:t>s</w:t>
      </w:r>
      <w:r w:rsidR="00277824">
        <w:rPr>
          <w:rFonts w:eastAsiaTheme="minorEastAsia"/>
        </w:rPr>
        <w:t>inc</w:t>
      </w:r>
      <w:proofErr w:type="spellEnd"/>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lastRenderedPageBreak/>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F4062F"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F4062F"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F4062F"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F4062F"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F4062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w:t>
      </w:r>
      <w:proofErr w:type="spellStart"/>
      <w:r w:rsidR="00AA7438">
        <w:rPr>
          <w:rFonts w:eastAsiaTheme="minorEastAsia"/>
        </w:rPr>
        <w:t>Kinchin</w:t>
      </w:r>
      <w:proofErr w:type="spellEnd"/>
      <w:r w:rsidR="00AA7438">
        <w:rPr>
          <w:rFonts w:eastAsiaTheme="minorEastAsia"/>
        </w:rPr>
        <w:t xml:space="preserve">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 xml:space="preserve">Typically, we work in units of power, not energy. That’s because some signals are not energy signals. For example, stationary processes like noise </w:t>
      </w:r>
      <w:proofErr w:type="gramStart"/>
      <w:r>
        <w:rPr>
          <w:rFonts w:eastAsiaTheme="minorEastAsia"/>
        </w:rPr>
        <w:t>exist for</w:t>
      </w:r>
      <w:proofErr w:type="gramEnd"/>
      <w:r>
        <w:rPr>
          <w:rFonts w:eastAsiaTheme="minorEastAsia"/>
        </w:rPr>
        <w:t xml:space="preserve"> all time. The FT/ESD is not defined for these kinds of signals.</w:t>
      </w:r>
    </w:p>
    <w:p w14:paraId="4D0E4A85" w14:textId="4526BC95" w:rsidR="00AE0B8D" w:rsidRDefault="00AE0B8D" w:rsidP="00A12F1C">
      <w:pPr>
        <w:rPr>
          <w:rFonts w:eastAsiaTheme="minorEastAsia"/>
        </w:rPr>
      </w:pPr>
      <w:r>
        <w:rPr>
          <w:rFonts w:eastAsiaTheme="minorEastAsia"/>
        </w:rPr>
        <w:t xml:space="preserve">For power signals, we need to work “in the limit” – FT in the limit. We can also extend this to energy signals by </w:t>
      </w:r>
      <w:proofErr w:type="gramStart"/>
      <w:r>
        <w:rPr>
          <w:rFonts w:eastAsiaTheme="minorEastAsia"/>
        </w:rPr>
        <w:t>normalizing</w:t>
      </w:r>
      <w:proofErr w:type="gramEnd"/>
      <w:r>
        <w:rPr>
          <w:rFonts w:eastAsiaTheme="minorEastAsia"/>
        </w:rPr>
        <w:t xml:space="preserve">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F4062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lastRenderedPageBreak/>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F4062F"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F4062F"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F4062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F4062F"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F4062F"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F4062F"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F4062F"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lastRenderedPageBreak/>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F4062F"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F4062F"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F4062F"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F4062F"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F4062F"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F4062F"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F4062F"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F4062F"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xml:space="preserve">: If you think in terms of </w:t>
      </w:r>
      <w:proofErr w:type="spellStart"/>
      <w:r w:rsidR="00B34C78">
        <w:rPr>
          <w:rFonts w:eastAsiaTheme="minorEastAsia"/>
        </w:rPr>
        <w:t>dirac</w:t>
      </w:r>
      <w:proofErr w:type="spellEnd"/>
      <w:r w:rsidR="00B34C78">
        <w:rPr>
          <w:rFonts w:eastAsiaTheme="minorEastAsia"/>
        </w:rPr>
        <w:t xml:space="preserve"> delta functions in frequency, then you are simply just adding up all the areas. </w:t>
      </w:r>
      <w:proofErr w:type="gramStart"/>
      <w:r w:rsidR="00B34C78">
        <w:rPr>
          <w:rFonts w:eastAsiaTheme="minorEastAsia"/>
        </w:rPr>
        <w:t>So</w:t>
      </w:r>
      <w:proofErr w:type="gramEnd"/>
      <w:r w:rsidR="00B34C78">
        <w:rPr>
          <w:rFonts w:eastAsiaTheme="minorEastAsia"/>
        </w:rPr>
        <w:t xml:space="preserve">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lastRenderedPageBreak/>
        <w:t>Autocorrelation of a signal is</w:t>
      </w:r>
    </w:p>
    <w:p w14:paraId="71929D21" w14:textId="366ABE2F" w:rsidR="001E72A4" w:rsidRPr="001E72A4" w:rsidRDefault="00F4062F"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 xml:space="preserve">What about for complex </w:t>
      </w:r>
      <w:proofErr w:type="gramStart"/>
      <w:r>
        <w:rPr>
          <w:rFonts w:eastAsiaTheme="minorEastAsia"/>
        </w:rPr>
        <w:t>signal</w:t>
      </w:r>
      <w:proofErr w:type="gramEnd"/>
      <w:r>
        <w:rPr>
          <w:rFonts w:eastAsiaTheme="minorEastAsia"/>
        </w:rPr>
        <w:t>?</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6716"/>
    <w:rsid w:val="004D1F06"/>
    <w:rsid w:val="004E6946"/>
    <w:rsid w:val="004F0B53"/>
    <w:rsid w:val="004F0BAA"/>
    <w:rsid w:val="0050095D"/>
    <w:rsid w:val="00506B5C"/>
    <w:rsid w:val="00507DC3"/>
    <w:rsid w:val="00511B02"/>
    <w:rsid w:val="005208EE"/>
    <w:rsid w:val="00537063"/>
    <w:rsid w:val="00540164"/>
    <w:rsid w:val="00556CF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701F39"/>
    <w:rsid w:val="007061BF"/>
    <w:rsid w:val="00706FE2"/>
    <w:rsid w:val="00710036"/>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A3"/>
    <w:rsid w:val="00A60CE6"/>
    <w:rsid w:val="00A65443"/>
    <w:rsid w:val="00A743FC"/>
    <w:rsid w:val="00A770E3"/>
    <w:rsid w:val="00A81A5A"/>
    <w:rsid w:val="00A83706"/>
    <w:rsid w:val="00A90E1C"/>
    <w:rsid w:val="00AA15D2"/>
    <w:rsid w:val="00AA1D9A"/>
    <w:rsid w:val="00AA3551"/>
    <w:rsid w:val="00AA7438"/>
    <w:rsid w:val="00AB2A83"/>
    <w:rsid w:val="00AB6D11"/>
    <w:rsid w:val="00AC2B59"/>
    <w:rsid w:val="00AC2C11"/>
    <w:rsid w:val="00AD1746"/>
    <w:rsid w:val="00AD4E04"/>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C006B5"/>
    <w:rsid w:val="00C0124A"/>
    <w:rsid w:val="00C04A7D"/>
    <w:rsid w:val="00C04AC1"/>
    <w:rsid w:val="00C057E8"/>
    <w:rsid w:val="00C132BD"/>
    <w:rsid w:val="00C179F4"/>
    <w:rsid w:val="00C27CB4"/>
    <w:rsid w:val="00C325E4"/>
    <w:rsid w:val="00C40757"/>
    <w:rsid w:val="00C477A5"/>
    <w:rsid w:val="00C50FDC"/>
    <w:rsid w:val="00C527BA"/>
    <w:rsid w:val="00C57818"/>
    <w:rsid w:val="00C679C4"/>
    <w:rsid w:val="00C8018B"/>
    <w:rsid w:val="00C85B3E"/>
    <w:rsid w:val="00C9521A"/>
    <w:rsid w:val="00CC296A"/>
    <w:rsid w:val="00CC4BAB"/>
    <w:rsid w:val="00CC5DF9"/>
    <w:rsid w:val="00CC7D70"/>
    <w:rsid w:val="00CD0552"/>
    <w:rsid w:val="00CD1604"/>
    <w:rsid w:val="00CD2315"/>
    <w:rsid w:val="00CE0418"/>
    <w:rsid w:val="00CE55E6"/>
    <w:rsid w:val="00CF333B"/>
    <w:rsid w:val="00D002B6"/>
    <w:rsid w:val="00D07379"/>
    <w:rsid w:val="00D0786D"/>
    <w:rsid w:val="00D1140D"/>
    <w:rsid w:val="00D344A1"/>
    <w:rsid w:val="00D374E1"/>
    <w:rsid w:val="00D448B4"/>
    <w:rsid w:val="00D70EAB"/>
    <w:rsid w:val="00D75DC2"/>
    <w:rsid w:val="00D76178"/>
    <w:rsid w:val="00D761A8"/>
    <w:rsid w:val="00D77E09"/>
    <w:rsid w:val="00D8196F"/>
    <w:rsid w:val="00D8746F"/>
    <w:rsid w:val="00DA3F3C"/>
    <w:rsid w:val="00DB3FBB"/>
    <w:rsid w:val="00DB4174"/>
    <w:rsid w:val="00DB6F03"/>
    <w:rsid w:val="00DC0AE0"/>
    <w:rsid w:val="00DC43AA"/>
    <w:rsid w:val="00DC68D9"/>
    <w:rsid w:val="00DD0101"/>
    <w:rsid w:val="00DD0692"/>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4062F"/>
    <w:rsid w:val="00F50347"/>
    <w:rsid w:val="00F55E9D"/>
    <w:rsid w:val="00F629A0"/>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15</Pages>
  <Words>2714</Words>
  <Characters>16393</Characters>
  <Application>Microsoft Office Word</Application>
  <DocSecurity>0</DocSecurity>
  <Lines>528</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502</cp:revision>
  <dcterms:created xsi:type="dcterms:W3CDTF">2025-09-17T21:32:00Z</dcterms:created>
  <dcterms:modified xsi:type="dcterms:W3CDTF">2025-10-01T23:50:00Z</dcterms:modified>
</cp:coreProperties>
</file>