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7D65" w14:textId="63C1A54F" w:rsidR="000C4D74" w:rsidRDefault="00342593" w:rsidP="00342593">
      <w:pPr>
        <w:spacing w:line="480" w:lineRule="auto"/>
      </w:pPr>
      <w:r>
        <w:t>Rebecca Ferjo</w:t>
      </w:r>
    </w:p>
    <w:p w14:paraId="06EBE512" w14:textId="6E6CAF13" w:rsidR="00342593" w:rsidRDefault="00342593" w:rsidP="00342593">
      <w:pPr>
        <w:spacing w:line="480" w:lineRule="auto"/>
      </w:pPr>
      <w:r>
        <w:t xml:space="preserve">CS 540 </w:t>
      </w:r>
    </w:p>
    <w:p w14:paraId="4AAB23E7" w14:textId="00FB146F" w:rsidR="00342593" w:rsidRDefault="00342593" w:rsidP="00342593">
      <w:pPr>
        <w:tabs>
          <w:tab w:val="left" w:pos="1534"/>
        </w:tabs>
        <w:spacing w:line="480" w:lineRule="auto"/>
      </w:pPr>
      <w:r>
        <w:t>August 4</w:t>
      </w:r>
      <w:r w:rsidRPr="00342593">
        <w:rPr>
          <w:vertAlign w:val="superscript"/>
        </w:rPr>
        <w:t>th</w:t>
      </w:r>
      <w:r>
        <w:t>, 2026</w:t>
      </w:r>
    </w:p>
    <w:p w14:paraId="5DFF0327" w14:textId="70A9F22C" w:rsidR="00342593" w:rsidRDefault="00342593" w:rsidP="00342593">
      <w:pPr>
        <w:tabs>
          <w:tab w:val="left" w:pos="1534"/>
        </w:tabs>
        <w:spacing w:line="480" w:lineRule="auto"/>
        <w:jc w:val="center"/>
      </w:pPr>
      <w:r>
        <w:t xml:space="preserve">Visualize the Insight: Exploring Patterns </w:t>
      </w:r>
      <w:proofErr w:type="gramStart"/>
      <w:r>
        <w:t>With</w:t>
      </w:r>
      <w:proofErr w:type="gramEnd"/>
      <w:r>
        <w:t xml:space="preserve"> Python</w:t>
      </w:r>
    </w:p>
    <w:p w14:paraId="26B693E0" w14:textId="77777777" w:rsidR="00342593" w:rsidRPr="00342593" w:rsidRDefault="00342593" w:rsidP="00342593">
      <w:pPr>
        <w:tabs>
          <w:tab w:val="left" w:pos="1534"/>
        </w:tabs>
        <w:spacing w:line="480" w:lineRule="auto"/>
      </w:pPr>
      <w:r w:rsidRPr="00342593">
        <w:t>The visualizations created during this activity made it much easier to identify patterns and relationships within the dataset than simply examining the raw data. The hierarchical clustering grouped observations with similar characteristics, while the dendrogram showed how those clusters were formed based on similarity. The PCA scatter plot reduced the data to two dimensions, making it easier to see how the clusters were distributed and whether any overlap existed between groups. The cluster size distribution chart showed that observations were divided among the clusters, while the feature importance heatmap highlighted differences in the average values of the numeric variables for each cluster. The trend chart and scatter plot further illustrated relationships between selected features and demonstrated how values changed across the identified clusters. Together, these visualizations revealed consistent patterns and made it easier to recognize similarities and differences that were difficult to observe in the original dataset.</w:t>
      </w:r>
    </w:p>
    <w:p w14:paraId="4553CB3F" w14:textId="77777777" w:rsidR="00342593" w:rsidRPr="00342593" w:rsidRDefault="00342593" w:rsidP="00342593">
      <w:pPr>
        <w:tabs>
          <w:tab w:val="left" w:pos="1534"/>
        </w:tabs>
        <w:spacing w:line="480" w:lineRule="auto"/>
      </w:pPr>
      <w:r w:rsidRPr="00342593">
        <w:t xml:space="preserve">The conclusions drawn from the analysis were supported by multiple visualizations rather than relying on a single chart. For example, the dendrogram and PCA scatter plot both confirmed the presence of distinct clusters, while the heatmap and trend chart helped explain how the numeric features differed between those groups. The use of labels, descriptive titles, axis labels, and color coding improved the readability of each visualization and made the results easier to interpret. Displaying the visualizations together provided a more complete understanding of the data </w:t>
      </w:r>
      <w:r w:rsidRPr="00342593">
        <w:lastRenderedPageBreak/>
        <w:t>because each chart highlighted a different aspect of the analysis. Without these visualizations, identifying meaningful patterns across thousands of observations would have been much more difficult.</w:t>
      </w:r>
    </w:p>
    <w:p w14:paraId="3AA905AE" w14:textId="77777777" w:rsidR="00342593" w:rsidRPr="00342593" w:rsidRDefault="00342593" w:rsidP="00342593">
      <w:pPr>
        <w:tabs>
          <w:tab w:val="left" w:pos="1534"/>
        </w:tabs>
        <w:spacing w:line="480" w:lineRule="auto"/>
      </w:pPr>
      <w:r w:rsidRPr="00342593">
        <w:t>The visualizations selected for this activity each served a specific purpose. The dendrogram illustrated the hierarchical relationships among observations, the PCA scatter plot simplified multidimensional data into a two-dimensional view, the cluster size distribution summarized the number of observations assigned to each cluster, the heatmap compared average feature values across clusters, the trend chart showed how a selected feature varied by cluster, and the scatter plot examined the relationship between two numeric variables. Consistent formatting choices, including clear titles, labeled axes, appropriate figure sizes, and color scales, improved visual clarity and made the charts easier to interpret. Overall, this activity demonstrated how effective data visualization supports exploratory data analysis by transforming large datasets into meaningful and actionable insights.</w:t>
      </w:r>
    </w:p>
    <w:p w14:paraId="55037B5F" w14:textId="77777777" w:rsidR="00342593" w:rsidRDefault="00342593" w:rsidP="00342593">
      <w:pPr>
        <w:tabs>
          <w:tab w:val="left" w:pos="1534"/>
        </w:tabs>
      </w:pPr>
    </w:p>
    <w:sectPr w:rsidR="0034259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ABD1" w14:textId="77777777" w:rsidR="0074770D" w:rsidRDefault="0074770D" w:rsidP="00342593">
      <w:pPr>
        <w:spacing w:after="0" w:line="240" w:lineRule="auto"/>
      </w:pPr>
      <w:r>
        <w:separator/>
      </w:r>
    </w:p>
  </w:endnote>
  <w:endnote w:type="continuationSeparator" w:id="0">
    <w:p w14:paraId="620FED75" w14:textId="77777777" w:rsidR="0074770D" w:rsidRDefault="0074770D" w:rsidP="00342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DB1D" w14:textId="77777777" w:rsidR="0074770D" w:rsidRDefault="0074770D" w:rsidP="00342593">
      <w:pPr>
        <w:spacing w:after="0" w:line="240" w:lineRule="auto"/>
      </w:pPr>
      <w:r>
        <w:separator/>
      </w:r>
    </w:p>
  </w:footnote>
  <w:footnote w:type="continuationSeparator" w:id="0">
    <w:p w14:paraId="75363083" w14:textId="77777777" w:rsidR="0074770D" w:rsidRDefault="0074770D" w:rsidP="00342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7FCA" w14:textId="4DF08C74" w:rsidR="00342593" w:rsidRDefault="00342593">
    <w:pPr>
      <w:pStyle w:val="Header"/>
      <w:jc w:val="right"/>
    </w:pPr>
    <w:r>
      <w:t xml:space="preserve">Ferjo </w:t>
    </w:r>
    <w:sdt>
      <w:sdtPr>
        <w:id w:val="-160410663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D9C8EC1" w14:textId="77777777" w:rsidR="00342593" w:rsidRDefault="003425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93"/>
    <w:rsid w:val="000476FE"/>
    <w:rsid w:val="000C4D74"/>
    <w:rsid w:val="001039DA"/>
    <w:rsid w:val="00342593"/>
    <w:rsid w:val="0074770D"/>
    <w:rsid w:val="008D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3CDD"/>
  <w15:chartTrackingRefBased/>
  <w15:docId w15:val="{5360178D-40BE-42BC-80C5-B1FED33D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5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5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25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25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25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25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25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5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5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25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25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25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25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25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5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5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2593"/>
    <w:pPr>
      <w:spacing w:before="160"/>
      <w:jc w:val="center"/>
    </w:pPr>
    <w:rPr>
      <w:i/>
      <w:iCs/>
      <w:color w:val="404040" w:themeColor="text1" w:themeTint="BF"/>
    </w:rPr>
  </w:style>
  <w:style w:type="character" w:customStyle="1" w:styleId="QuoteChar">
    <w:name w:val="Quote Char"/>
    <w:basedOn w:val="DefaultParagraphFont"/>
    <w:link w:val="Quote"/>
    <w:uiPriority w:val="29"/>
    <w:rsid w:val="00342593"/>
    <w:rPr>
      <w:i/>
      <w:iCs/>
      <w:color w:val="404040" w:themeColor="text1" w:themeTint="BF"/>
    </w:rPr>
  </w:style>
  <w:style w:type="paragraph" w:styleId="ListParagraph">
    <w:name w:val="List Paragraph"/>
    <w:basedOn w:val="Normal"/>
    <w:uiPriority w:val="34"/>
    <w:qFormat/>
    <w:rsid w:val="00342593"/>
    <w:pPr>
      <w:ind w:left="720"/>
      <w:contextualSpacing/>
    </w:pPr>
  </w:style>
  <w:style w:type="character" w:styleId="IntenseEmphasis">
    <w:name w:val="Intense Emphasis"/>
    <w:basedOn w:val="DefaultParagraphFont"/>
    <w:uiPriority w:val="21"/>
    <w:qFormat/>
    <w:rsid w:val="00342593"/>
    <w:rPr>
      <w:i/>
      <w:iCs/>
      <w:color w:val="0F4761" w:themeColor="accent1" w:themeShade="BF"/>
    </w:rPr>
  </w:style>
  <w:style w:type="paragraph" w:styleId="IntenseQuote">
    <w:name w:val="Intense Quote"/>
    <w:basedOn w:val="Normal"/>
    <w:next w:val="Normal"/>
    <w:link w:val="IntenseQuoteChar"/>
    <w:uiPriority w:val="30"/>
    <w:qFormat/>
    <w:rsid w:val="0034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593"/>
    <w:rPr>
      <w:i/>
      <w:iCs/>
      <w:color w:val="0F4761" w:themeColor="accent1" w:themeShade="BF"/>
    </w:rPr>
  </w:style>
  <w:style w:type="character" w:styleId="IntenseReference">
    <w:name w:val="Intense Reference"/>
    <w:basedOn w:val="DefaultParagraphFont"/>
    <w:uiPriority w:val="32"/>
    <w:qFormat/>
    <w:rsid w:val="00342593"/>
    <w:rPr>
      <w:b/>
      <w:bCs/>
      <w:smallCaps/>
      <w:color w:val="0F4761" w:themeColor="accent1" w:themeShade="BF"/>
      <w:spacing w:val="5"/>
    </w:rPr>
  </w:style>
  <w:style w:type="paragraph" w:styleId="Header">
    <w:name w:val="header"/>
    <w:basedOn w:val="Normal"/>
    <w:link w:val="HeaderChar"/>
    <w:uiPriority w:val="99"/>
    <w:unhideWhenUsed/>
    <w:rsid w:val="00342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593"/>
  </w:style>
  <w:style w:type="paragraph" w:styleId="Footer">
    <w:name w:val="footer"/>
    <w:basedOn w:val="Normal"/>
    <w:link w:val="FooterChar"/>
    <w:uiPriority w:val="99"/>
    <w:unhideWhenUsed/>
    <w:rsid w:val="00342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2026-07-22T21:24:00Z</dcterms:created>
  <dcterms:modified xsi:type="dcterms:W3CDTF">2026-07-22T21:27:00Z</dcterms:modified>
</cp:coreProperties>
</file>