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FEBF2" w14:textId="2A460CA6" w:rsidR="000C4D74" w:rsidRDefault="00175D5B">
      <w:r>
        <w:t>Rebecca Ferjo</w:t>
      </w:r>
    </w:p>
    <w:p w14:paraId="6BEE0A3E" w14:textId="12D64D3E" w:rsidR="00175D5B" w:rsidRDefault="00175D5B">
      <w:r>
        <w:t xml:space="preserve">CS-540 </w:t>
      </w:r>
    </w:p>
    <w:p w14:paraId="2A32A8AA" w14:textId="40FD1B3B" w:rsidR="00175D5B" w:rsidRDefault="00175D5B">
      <w:r>
        <w:t>July 27</w:t>
      </w:r>
      <w:r w:rsidRPr="00175D5B">
        <w:rPr>
          <w:vertAlign w:val="superscript"/>
        </w:rPr>
        <w:t>th</w:t>
      </w:r>
      <w:r>
        <w:t>, 2026</w:t>
      </w:r>
    </w:p>
    <w:p w14:paraId="311EC3AA" w14:textId="4BD9DCD8" w:rsidR="00175D5B" w:rsidRDefault="00175D5B" w:rsidP="00175D5B">
      <w:pPr>
        <w:jc w:val="center"/>
      </w:pPr>
      <w:r>
        <w:t>Comparing Visualizations for Impact</w:t>
      </w:r>
    </w:p>
    <w:p w14:paraId="136A0B25" w14:textId="77777777" w:rsidR="00175D5B" w:rsidRPr="00175D5B" w:rsidRDefault="00175D5B" w:rsidP="00175D5B">
      <w:pPr>
        <w:spacing w:line="480" w:lineRule="auto"/>
      </w:pPr>
      <w:r w:rsidRPr="00175D5B">
        <w:t>Data visualization is an important tool because it allows different audiences to understand trends, comparisons, and patterns more quickly than by reviewing raw data. The notebook for this assignment presents four different visualizations using state appropriations for higher education over multiple academic years. Each visualization communicates the data differently depending on the intended audience and the type of information being emphasized. By comparing the strengths and weaknesses of each chart, it becomes clear that selecting the appropriate visualization is just as important as the data itself.</w:t>
      </w:r>
    </w:p>
    <w:p w14:paraId="663A4436" w14:textId="77777777" w:rsidR="00175D5B" w:rsidRPr="00175D5B" w:rsidRDefault="00175D5B" w:rsidP="00175D5B">
      <w:pPr>
        <w:spacing w:line="480" w:lineRule="auto"/>
      </w:pPr>
      <w:r w:rsidRPr="00175D5B">
        <w:t>The technical visualization uses a multi-line chart to display funding trends for five states over a 30-year period. This visualization represents changes over time by plotting each state's appropriations on the same graph, making it easy to compare long-term patterns. The chart type is appropriate because line graphs are designed to display continuous data across time. The layout includes a legend identifying each state, labeled axes, gridlines, and a descriptive title. While the visualization contains a significant amount of information, it requires careful interpretation because multiple overlapping lines can become difficult to follow. This chart is best suited for analysts or researchers who need to compare historical trends across multiple states.</w:t>
      </w:r>
    </w:p>
    <w:p w14:paraId="6457A72D" w14:textId="77777777" w:rsidR="00175D5B" w:rsidRPr="00175D5B" w:rsidRDefault="00175D5B" w:rsidP="00175D5B">
      <w:pPr>
        <w:spacing w:line="480" w:lineRule="auto"/>
      </w:pPr>
      <w:r w:rsidRPr="00175D5B">
        <w:t xml:space="preserve">The simple visualization uses a bar chart to compare state appropriations during a single academic year (2020–2021). Unlike the technical visualization, this chart focuses only on current funding levels instead of historical trends. The layout is clean, with each state represented by a single bar and a dashed line indicating the national average. The labels clearly identify the states </w:t>
      </w:r>
      <w:r w:rsidRPr="00175D5B">
        <w:lastRenderedPageBreak/>
        <w:t>and funding amounts, making the chart easy to understand. This visualization allows readers to quickly determine which states are above or below the national average without being distracted by additional information. It is well suited for a general audience or decision makers who need a quick summary rather than a detailed analysis.</w:t>
      </w:r>
    </w:p>
    <w:p w14:paraId="11B56834" w14:textId="77777777" w:rsidR="00175D5B" w:rsidRPr="00175D5B" w:rsidRDefault="00175D5B" w:rsidP="00175D5B">
      <w:pPr>
        <w:spacing w:line="480" w:lineRule="auto"/>
      </w:pPr>
      <w:r w:rsidRPr="00175D5B">
        <w:t>The story visualization presents the percentage change in appropriations from 1990–91 to 2020–21 using a horizontal bar chart. Rather than displaying raw funding amounts, this chart emphasizes which states experienced the greatest growth over time. The horizontal layout improves readability because state names are easier to display, and the descending order immediately highlights the strongest performers. Labels, ordering, and consistent formatting direct the viewer's attention toward the primary message instead of requiring them to calculate differences mentally. This visualization is especially effective for presentations because it communicates a single, focused story with very little effort from the audience.</w:t>
      </w:r>
    </w:p>
    <w:p w14:paraId="776B5A38" w14:textId="77777777" w:rsidR="00175D5B" w:rsidRPr="00175D5B" w:rsidRDefault="00175D5B" w:rsidP="00175D5B">
      <w:pPr>
        <w:spacing w:line="480" w:lineRule="auto"/>
      </w:pPr>
      <w:r w:rsidRPr="00175D5B">
        <w:t xml:space="preserve">The box plot summarizes the overall distribution of appropriations across each academic year. Instead of focusing on individual states, it highlights the </w:t>
      </w:r>
      <w:proofErr w:type="gramStart"/>
      <w:r w:rsidRPr="00175D5B">
        <w:t>median</w:t>
      </w:r>
      <w:proofErr w:type="gramEnd"/>
      <w:r w:rsidRPr="00175D5B">
        <w:t xml:space="preserve">, spread, and variability of funding. This visualization is valuable for identifying changes in the distribution of data over time, but it is considerably more technical than the other charts. Although the axes and title are clearly labeled, many viewers who are unfamiliar with box plots may not immediately understand the meaning of quartiles, whiskers, or variability. As a result, this visualization is most appropriate for statistical analysis rather than communicating results to the </w:t>
      </w:r>
      <w:proofErr w:type="gramStart"/>
      <w:r w:rsidRPr="00175D5B">
        <w:t>general public</w:t>
      </w:r>
      <w:proofErr w:type="gramEnd"/>
      <w:r w:rsidRPr="00175D5B">
        <w:t>.</w:t>
      </w:r>
    </w:p>
    <w:p w14:paraId="6C71138C" w14:textId="77777777" w:rsidR="00175D5B" w:rsidRPr="00175D5B" w:rsidRDefault="00175D5B" w:rsidP="00175D5B">
      <w:pPr>
        <w:spacing w:line="480" w:lineRule="auto"/>
      </w:pPr>
      <w:r w:rsidRPr="00175D5B">
        <w:t xml:space="preserve">When comparing the visualizations, each chart aligns well with a different type of analysis. The technical line chart provides the most detailed information and allows comparisons across multiple years, but its complexity reduces clarity for casual audiences. The simple bar chart offers excellent clarity because it focuses on a single year and includes a national average for </w:t>
      </w:r>
      <w:r w:rsidRPr="00175D5B">
        <w:lastRenderedPageBreak/>
        <w:t xml:space="preserve">reference. The story visualization is arguably the easiest to interpret because it directs attention toward one important finding—the percentage growth of each state's funding. Finally, the box plot communicates valuable statistical information but requires greater familiarity with statistical concepts. Overall, the line chart and box plot are better aligned with technical audiences, while the bar chart and story visualization better serve policymakers and the </w:t>
      </w:r>
      <w:proofErr w:type="gramStart"/>
      <w:r w:rsidRPr="00175D5B">
        <w:t>general public</w:t>
      </w:r>
      <w:proofErr w:type="gramEnd"/>
      <w:r w:rsidRPr="00175D5B">
        <w:t>.</w:t>
      </w:r>
    </w:p>
    <w:p w14:paraId="4BBAF11D" w14:textId="3E14FC5B" w:rsidR="00175D5B" w:rsidRPr="00175D5B" w:rsidRDefault="00175D5B" w:rsidP="00175D5B">
      <w:pPr>
        <w:spacing w:line="480" w:lineRule="auto"/>
      </w:pPr>
      <w:r w:rsidRPr="00175D5B">
        <w:t xml:space="preserve">Among the four visualizations, the story visualization is the most appropriate for a broad audience. Its clear ranking of states, simple horizontal layout, and emphasis on percent change allow viewers to immediately understand the primary takeaway without interpreting multiple variables. Because </w:t>
      </w:r>
      <w:proofErr w:type="gramStart"/>
      <w:r w:rsidRPr="00175D5B">
        <w:t>the visualization</w:t>
      </w:r>
      <w:proofErr w:type="gramEnd"/>
      <w:r w:rsidRPr="00175D5B">
        <w:t xml:space="preserve"> removes unnecessary details and focuses on one key message, it is highly effective for presentations, reports, and public communication.</w:t>
      </w:r>
      <w:r>
        <w:t xml:space="preserve"> </w:t>
      </w:r>
      <w:r w:rsidRPr="00175D5B">
        <w:t>Although</w:t>
      </w:r>
      <w:r>
        <w:t>,</w:t>
      </w:r>
      <w:r w:rsidRPr="00175D5B">
        <w:t xml:space="preserve"> each visualization is effective for its intended purpose, several refinements could improve them further. The technical line chart could use direct labels at the ends of the lines instead of relying solely on a legend, making it easier to follow each state's trend. The simple bar chart could include data labels above each bar so readers can identify exact funding amounts without estimating values from the axis. The story visualization could use color to distinguish states above and below the average percentage increase, drawing additional attention to notable differences. Finally, the box plot would benefit from a short explanation or annotation describing what the median, quartiles, and whiskers represent, making it more accessible to non-technical audiences.</w:t>
      </w:r>
    </w:p>
    <w:p w14:paraId="5DC0CDFC" w14:textId="77777777" w:rsidR="00175D5B" w:rsidRPr="00175D5B" w:rsidRDefault="00175D5B" w:rsidP="00175D5B">
      <w:pPr>
        <w:spacing w:line="480" w:lineRule="auto"/>
      </w:pPr>
      <w:r w:rsidRPr="00175D5B">
        <w:t xml:space="preserve">In conclusion, each visualization effectively communicates the same dataset from a different perspective. The line chart emphasizes long-term trends, the bar chart compares current funding levels, the story visualization highlights growth over time, and the box plot summarizes statistical distributions. Choosing the most appropriate visualization depends on the audience and </w:t>
      </w:r>
      <w:r w:rsidRPr="00175D5B">
        <w:lastRenderedPageBreak/>
        <w:t>the message being communicated. By matching the chart type to the intended purpose and making thoughtful design improvements, data visualizations can become more accurate, informative, and easier to understand.</w:t>
      </w:r>
    </w:p>
    <w:p w14:paraId="3CA88158" w14:textId="77777777" w:rsidR="00175D5B" w:rsidRDefault="00175D5B" w:rsidP="00175D5B">
      <w:pPr>
        <w:spacing w:line="480" w:lineRule="auto"/>
      </w:pPr>
    </w:p>
    <w:sectPr w:rsidR="00175D5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C9C77" w14:textId="77777777" w:rsidR="00F547B2" w:rsidRDefault="00F547B2" w:rsidP="00353AD1">
      <w:pPr>
        <w:spacing w:after="0" w:line="240" w:lineRule="auto"/>
      </w:pPr>
      <w:r>
        <w:separator/>
      </w:r>
    </w:p>
  </w:endnote>
  <w:endnote w:type="continuationSeparator" w:id="0">
    <w:p w14:paraId="0606ED48" w14:textId="77777777" w:rsidR="00F547B2" w:rsidRDefault="00F547B2" w:rsidP="00353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BEEE2" w14:textId="77777777" w:rsidR="00F547B2" w:rsidRDefault="00F547B2" w:rsidP="00353AD1">
      <w:pPr>
        <w:spacing w:after="0" w:line="240" w:lineRule="auto"/>
      </w:pPr>
      <w:r>
        <w:separator/>
      </w:r>
    </w:p>
  </w:footnote>
  <w:footnote w:type="continuationSeparator" w:id="0">
    <w:p w14:paraId="725C3AB7" w14:textId="77777777" w:rsidR="00F547B2" w:rsidRDefault="00F547B2" w:rsidP="00353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C550" w14:textId="51ECD7EE" w:rsidR="00353AD1" w:rsidRDefault="00046C45">
    <w:pPr>
      <w:pStyle w:val="Header"/>
      <w:jc w:val="right"/>
    </w:pPr>
    <w:r>
      <w:t xml:space="preserve">Ferjo </w:t>
    </w:r>
    <w:sdt>
      <w:sdtPr>
        <w:id w:val="-1528017719"/>
        <w:docPartObj>
          <w:docPartGallery w:val="Page Numbers (Top of Page)"/>
          <w:docPartUnique/>
        </w:docPartObj>
      </w:sdtPr>
      <w:sdtEndPr>
        <w:rPr>
          <w:noProof/>
        </w:rPr>
      </w:sdtEndPr>
      <w:sdtContent>
        <w:r w:rsidR="00353AD1">
          <w:fldChar w:fldCharType="begin"/>
        </w:r>
        <w:r w:rsidR="00353AD1">
          <w:instrText xml:space="preserve"> PAGE   \* MERGEFORMAT </w:instrText>
        </w:r>
        <w:r w:rsidR="00353AD1">
          <w:fldChar w:fldCharType="separate"/>
        </w:r>
        <w:r w:rsidR="00353AD1">
          <w:rPr>
            <w:noProof/>
          </w:rPr>
          <w:t>2</w:t>
        </w:r>
        <w:r w:rsidR="00353AD1">
          <w:rPr>
            <w:noProof/>
          </w:rPr>
          <w:fldChar w:fldCharType="end"/>
        </w:r>
      </w:sdtContent>
    </w:sdt>
  </w:p>
  <w:p w14:paraId="1FD52B82" w14:textId="77777777" w:rsidR="00353AD1" w:rsidRDefault="00353A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D5B"/>
    <w:rsid w:val="00046C45"/>
    <w:rsid w:val="000C4D74"/>
    <w:rsid w:val="001039DA"/>
    <w:rsid w:val="00175D5B"/>
    <w:rsid w:val="00353AD1"/>
    <w:rsid w:val="00484666"/>
    <w:rsid w:val="008D1858"/>
    <w:rsid w:val="00F54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E280"/>
  <w15:chartTrackingRefBased/>
  <w15:docId w15:val="{C6D9AC5B-6BB0-47D7-A9A0-82EBD15D8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D5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D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5D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5D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5D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5D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5D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D5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D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5D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5D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5D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5D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5D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5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D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D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5D5B"/>
    <w:pPr>
      <w:spacing w:before="160"/>
      <w:jc w:val="center"/>
    </w:pPr>
    <w:rPr>
      <w:i/>
      <w:iCs/>
      <w:color w:val="404040" w:themeColor="text1" w:themeTint="BF"/>
    </w:rPr>
  </w:style>
  <w:style w:type="character" w:customStyle="1" w:styleId="QuoteChar">
    <w:name w:val="Quote Char"/>
    <w:basedOn w:val="DefaultParagraphFont"/>
    <w:link w:val="Quote"/>
    <w:uiPriority w:val="29"/>
    <w:rsid w:val="00175D5B"/>
    <w:rPr>
      <w:i/>
      <w:iCs/>
      <w:color w:val="404040" w:themeColor="text1" w:themeTint="BF"/>
    </w:rPr>
  </w:style>
  <w:style w:type="paragraph" w:styleId="ListParagraph">
    <w:name w:val="List Paragraph"/>
    <w:basedOn w:val="Normal"/>
    <w:uiPriority w:val="34"/>
    <w:qFormat/>
    <w:rsid w:val="00175D5B"/>
    <w:pPr>
      <w:ind w:left="720"/>
      <w:contextualSpacing/>
    </w:pPr>
  </w:style>
  <w:style w:type="character" w:styleId="IntenseEmphasis">
    <w:name w:val="Intense Emphasis"/>
    <w:basedOn w:val="DefaultParagraphFont"/>
    <w:uiPriority w:val="21"/>
    <w:qFormat/>
    <w:rsid w:val="00175D5B"/>
    <w:rPr>
      <w:i/>
      <w:iCs/>
      <w:color w:val="0F4761" w:themeColor="accent1" w:themeShade="BF"/>
    </w:rPr>
  </w:style>
  <w:style w:type="paragraph" w:styleId="IntenseQuote">
    <w:name w:val="Intense Quote"/>
    <w:basedOn w:val="Normal"/>
    <w:next w:val="Normal"/>
    <w:link w:val="IntenseQuoteChar"/>
    <w:uiPriority w:val="30"/>
    <w:qFormat/>
    <w:rsid w:val="00175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D5B"/>
    <w:rPr>
      <w:i/>
      <w:iCs/>
      <w:color w:val="0F4761" w:themeColor="accent1" w:themeShade="BF"/>
    </w:rPr>
  </w:style>
  <w:style w:type="character" w:styleId="IntenseReference">
    <w:name w:val="Intense Reference"/>
    <w:basedOn w:val="DefaultParagraphFont"/>
    <w:uiPriority w:val="32"/>
    <w:qFormat/>
    <w:rsid w:val="00175D5B"/>
    <w:rPr>
      <w:b/>
      <w:bCs/>
      <w:smallCaps/>
      <w:color w:val="0F4761" w:themeColor="accent1" w:themeShade="BF"/>
      <w:spacing w:val="5"/>
    </w:rPr>
  </w:style>
  <w:style w:type="paragraph" w:styleId="Header">
    <w:name w:val="header"/>
    <w:basedOn w:val="Normal"/>
    <w:link w:val="HeaderChar"/>
    <w:uiPriority w:val="99"/>
    <w:unhideWhenUsed/>
    <w:rsid w:val="00353A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AD1"/>
  </w:style>
  <w:style w:type="paragraph" w:styleId="Footer">
    <w:name w:val="footer"/>
    <w:basedOn w:val="Normal"/>
    <w:link w:val="FooterChar"/>
    <w:uiPriority w:val="99"/>
    <w:unhideWhenUsed/>
    <w:rsid w:val="00353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18BDDE3275E549B551C9CDA4C96437" ma:contentTypeVersion="11" ma:contentTypeDescription="Create a new document." ma:contentTypeScope="" ma:versionID="410aeba6eb4ce2ff95ab7b87acbc5a94">
  <xsd:schema xmlns:xsd="http://www.w3.org/2001/XMLSchema" xmlns:xs="http://www.w3.org/2001/XMLSchema" xmlns:p="http://schemas.microsoft.com/office/2006/metadata/properties" xmlns:ns3="51e1833d-66e7-4334-a2f4-fdbb0287140c" targetNamespace="http://schemas.microsoft.com/office/2006/metadata/properties" ma:root="true" ma:fieldsID="a13717d86c4c0db396f28937adb5834e" ns3:_="">
    <xsd:import namespace="51e1833d-66e7-4334-a2f4-fdbb0287140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e1833d-66e7-4334-a2f4-fdbb02871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1e1833d-66e7-4334-a2f4-fdbb0287140c" xsi:nil="true"/>
  </documentManagement>
</p:properties>
</file>

<file path=customXml/itemProps1.xml><?xml version="1.0" encoding="utf-8"?>
<ds:datastoreItem xmlns:ds="http://schemas.openxmlformats.org/officeDocument/2006/customXml" ds:itemID="{5A333C66-4F01-41C3-AB46-A47CCE0459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e1833d-66e7-4334-a2f4-fdbb028714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A8BD69-E50D-4608-ACF5-64FECFA31C7C}">
  <ds:schemaRefs>
    <ds:schemaRef ds:uri="http://schemas.microsoft.com/sharepoint/v3/contenttype/forms"/>
  </ds:schemaRefs>
</ds:datastoreItem>
</file>

<file path=customXml/itemProps3.xml><?xml version="1.0" encoding="utf-8"?>
<ds:datastoreItem xmlns:ds="http://schemas.openxmlformats.org/officeDocument/2006/customXml" ds:itemID="{5214AE98-5A02-4173-9C5D-24BA76FC688C}">
  <ds:schemaRefs>
    <ds:schemaRef ds:uri="http://schemas.microsoft.com/office/2006/metadata/properties"/>
    <ds:schemaRef ds:uri="http://schemas.microsoft.com/office/infopath/2007/PartnerControls"/>
    <ds:schemaRef ds:uri="51e1833d-66e7-4334-a2f4-fdbb0287140c"/>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931</Words>
  <Characters>5312</Characters>
  <Application>Microsoft Office Word</Application>
  <DocSecurity>0</DocSecurity>
  <Lines>44</Lines>
  <Paragraphs>12</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4</cp:revision>
  <dcterms:created xsi:type="dcterms:W3CDTF">2026-07-20T19:44:00Z</dcterms:created>
  <dcterms:modified xsi:type="dcterms:W3CDTF">2026-07-20T19:49:00Z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0x0101006218BDDE3275E549B551C9CDA4C96437</vt:lpwstr>
  </property>
</Properties>
</file>