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730" w:rsidRDefault="00223DB6">
      <w:pPr>
        <w:rPr>
          <w:lang w:val="en-CA"/>
        </w:rPr>
      </w:pPr>
      <w:r>
        <w:rPr>
          <w:lang w:val="en-CA"/>
        </w:rPr>
        <w:t xml:space="preserve">Landsat </w:t>
      </w:r>
      <w:r w:rsidR="002D1763">
        <w:rPr>
          <w:lang w:val="en-CA"/>
        </w:rPr>
        <w:t>and Sentinel 2</w:t>
      </w:r>
      <w:r>
        <w:rPr>
          <w:lang w:val="en-CA"/>
        </w:rPr>
        <w:t xml:space="preserve"> and </w:t>
      </w:r>
      <w:proofErr w:type="spellStart"/>
      <w:r>
        <w:rPr>
          <w:lang w:val="en-CA"/>
        </w:rPr>
        <w:t>fAPAR</w:t>
      </w:r>
      <w:proofErr w:type="spellEnd"/>
      <w:r>
        <w:rPr>
          <w:lang w:val="en-CA"/>
        </w:rPr>
        <w:t xml:space="preserve"> Satellite Records Based on the MODIS MOD15 Algorithm Using Brute Force Transfer Learning</w:t>
      </w:r>
    </w:p>
    <w:p w:rsidR="00223DB6" w:rsidRDefault="00223DB6">
      <w:pPr>
        <w:rPr>
          <w:lang w:val="en-CA"/>
        </w:rPr>
      </w:pPr>
    </w:p>
    <w:p w:rsidR="00B671D9" w:rsidRDefault="00B671D9">
      <w:pPr>
        <w:rPr>
          <w:lang w:val="en-CA"/>
        </w:rPr>
      </w:pPr>
      <w:r>
        <w:rPr>
          <w:lang w:val="en-CA"/>
        </w:rPr>
        <w:t>Introductio</w:t>
      </w:r>
      <w:r w:rsidR="00784EAB">
        <w:rPr>
          <w:lang w:val="en-CA"/>
        </w:rPr>
        <w:t>n</w:t>
      </w:r>
    </w:p>
    <w:p w:rsidR="00B671D9" w:rsidRPr="00784EAB" w:rsidRDefault="00B671D9">
      <w:pPr>
        <w:rPr>
          <w:lang w:val="en-CA"/>
        </w:rPr>
      </w:pPr>
    </w:p>
    <w:p w:rsidR="00B012E4" w:rsidRPr="00784EAB" w:rsidRDefault="00D5270F">
      <w:pPr>
        <w:rPr>
          <w:lang w:val="en-CA"/>
        </w:rPr>
      </w:pPr>
      <w:r w:rsidRPr="00784EAB">
        <w:rPr>
          <w:rFonts w:cstheme="minorHAnsi"/>
          <w:lang w:val="en-CA"/>
        </w:rPr>
        <w:t xml:space="preserve">The Global Climate Observing System (GCOS) requires daily global leaf area index (LAI) and fraction of absorbed </w:t>
      </w:r>
      <w:proofErr w:type="spellStart"/>
      <w:r w:rsidRPr="00784EAB">
        <w:rPr>
          <w:rFonts w:cstheme="minorHAnsi"/>
          <w:lang w:val="en-CA"/>
        </w:rPr>
        <w:t>photosynthetically</w:t>
      </w:r>
      <w:proofErr w:type="spellEnd"/>
      <w:r w:rsidRPr="00784EAB">
        <w:rPr>
          <w:rFonts w:cstheme="minorHAnsi"/>
          <w:lang w:val="en-CA"/>
        </w:rPr>
        <w:t xml:space="preserve"> active radiation (</w:t>
      </w:r>
      <w:proofErr w:type="spellStart"/>
      <w:r w:rsidRPr="00784EAB">
        <w:rPr>
          <w:rFonts w:cstheme="minorHAnsi"/>
          <w:lang w:val="en-CA"/>
        </w:rPr>
        <w:t>fAPAR</w:t>
      </w:r>
      <w:proofErr w:type="spellEnd"/>
      <w:r w:rsidRPr="00784EAB">
        <w:rPr>
          <w:rFonts w:cstheme="minorHAnsi"/>
          <w:lang w:val="en-CA"/>
        </w:rPr>
        <w:t>) products at 250m resolution (</w:t>
      </w:r>
      <w:r w:rsidRPr="00784EAB">
        <w:rPr>
          <w:rFonts w:cstheme="minorHAnsi"/>
          <w:lang w:val="en-CA"/>
        </w:rPr>
        <w:fldChar w:fldCharType="begin"/>
      </w:r>
      <w:r w:rsidRPr="00784EAB">
        <w:rPr>
          <w:rFonts w:cstheme="minorHAnsi"/>
          <w:lang w:val="en-CA"/>
        </w:rPr>
        <w:instrText xml:space="preserve"> REF _Ref81582876 \h </w:instrText>
      </w:r>
      <w:r w:rsidRPr="00784EAB">
        <w:rPr>
          <w:rFonts w:cstheme="minorHAnsi"/>
          <w:lang w:val="en-CA"/>
        </w:rPr>
      </w:r>
      <w:r w:rsidR="00784EAB" w:rsidRPr="00784EAB">
        <w:rPr>
          <w:rFonts w:cstheme="minorHAnsi"/>
          <w:lang w:val="en-CA"/>
        </w:rPr>
        <w:instrText xml:space="preserve"> \* MERGEFORMAT </w:instrText>
      </w:r>
      <w:r w:rsidRPr="00784EAB">
        <w:rPr>
          <w:rFonts w:cstheme="minorHAnsi"/>
          <w:lang w:val="en-CA"/>
        </w:rPr>
        <w:fldChar w:fldCharType="separate"/>
      </w:r>
      <w:r w:rsidRPr="00784EAB">
        <w:t xml:space="preserve">Table </w:t>
      </w:r>
      <w:r w:rsidRPr="00784EAB">
        <w:rPr>
          <w:noProof/>
        </w:rPr>
        <w:t>1</w:t>
      </w:r>
      <w:r w:rsidRPr="00784EAB">
        <w:rPr>
          <w:rFonts w:cstheme="minorHAnsi"/>
          <w:lang w:val="en-CA"/>
        </w:rPr>
        <w:fldChar w:fldCharType="end"/>
      </w:r>
      <w:r w:rsidRPr="00784EAB">
        <w:rPr>
          <w:rFonts w:cstheme="minorHAnsi"/>
          <w:lang w:val="en-CA"/>
        </w:rPr>
        <w:t xml:space="preserve">, GCOS, 2016).   </w:t>
      </w:r>
      <w:r w:rsidR="00056465" w:rsidRPr="00784EAB">
        <w:rPr>
          <w:lang w:val="en-CA"/>
        </w:rPr>
        <w:t xml:space="preserve">Only the Landsat </w:t>
      </w:r>
      <w:r w:rsidR="00B012E4" w:rsidRPr="00784EAB">
        <w:rPr>
          <w:lang w:val="en-CA"/>
        </w:rPr>
        <w:t xml:space="preserve">5,7 and 8 missions </w:t>
      </w:r>
      <w:r w:rsidR="00056465" w:rsidRPr="00784EAB">
        <w:rPr>
          <w:lang w:val="en-CA"/>
        </w:rPr>
        <w:t>and Sentinel-2</w:t>
      </w:r>
      <w:r w:rsidR="00B012E4" w:rsidRPr="00784EAB">
        <w:rPr>
          <w:lang w:val="en-CA"/>
        </w:rPr>
        <w:t>a and Sentinel-2b</w:t>
      </w:r>
      <w:r w:rsidR="00056465" w:rsidRPr="00784EAB">
        <w:rPr>
          <w:lang w:val="en-CA"/>
        </w:rPr>
        <w:t xml:space="preserve"> missions offer systematic global acquisitions of satellite data records </w:t>
      </w:r>
      <w:r w:rsidR="00B012E4" w:rsidRPr="00784EAB">
        <w:rPr>
          <w:lang w:val="en-CA"/>
        </w:rPr>
        <w:t xml:space="preserve">(SDRs) </w:t>
      </w:r>
      <w:r w:rsidR="00056465" w:rsidRPr="00784EAB">
        <w:rPr>
          <w:lang w:val="en-CA"/>
        </w:rPr>
        <w:t>potentially suitable</w:t>
      </w:r>
      <w:r w:rsidR="00290B8A" w:rsidRPr="00784EAB">
        <w:rPr>
          <w:lang w:val="en-CA"/>
        </w:rPr>
        <w:t xml:space="preserve"> for mapping LAI and </w:t>
      </w:r>
      <w:proofErr w:type="spellStart"/>
      <w:r w:rsidR="00290B8A" w:rsidRPr="00784EAB">
        <w:rPr>
          <w:lang w:val="en-CA"/>
        </w:rPr>
        <w:t>fAPAR</w:t>
      </w:r>
      <w:proofErr w:type="spellEnd"/>
      <w:r w:rsidR="00290B8A" w:rsidRPr="00784EAB">
        <w:rPr>
          <w:lang w:val="en-CA"/>
        </w:rPr>
        <w:t xml:space="preserve"> at </w:t>
      </w:r>
      <w:r w:rsidR="00290B8A" w:rsidRPr="00784EAB">
        <w:rPr>
          <w:rFonts w:cstheme="minorHAnsi"/>
          <w:lang w:val="en-CA"/>
        </w:rPr>
        <w:t>≤</w:t>
      </w:r>
      <w:r w:rsidR="00056465" w:rsidRPr="00784EAB">
        <w:rPr>
          <w:lang w:val="en-CA"/>
        </w:rPr>
        <w:t>50m resolution</w:t>
      </w:r>
      <w:r w:rsidRPr="00784EAB">
        <w:rPr>
          <w:lang w:val="en-CA"/>
        </w:rPr>
        <w:t xml:space="preserve"> (</w:t>
      </w:r>
      <w:r w:rsidR="00B012E4" w:rsidRPr="00784EAB">
        <w:rPr>
          <w:lang w:val="en-CA"/>
        </w:rPr>
        <w:t xml:space="preserve">European Space Agency, 2012; </w:t>
      </w:r>
      <w:r w:rsidRPr="00784EAB">
        <w:rPr>
          <w:lang w:val="en-CA"/>
        </w:rPr>
        <w:t>U.S. Geological Survey 2013)</w:t>
      </w:r>
      <w:r w:rsidR="00056465" w:rsidRPr="00784EAB">
        <w:rPr>
          <w:lang w:val="en-CA"/>
        </w:rPr>
        <w:t xml:space="preserve">.  </w:t>
      </w:r>
    </w:p>
    <w:p w:rsidR="00B012E4" w:rsidRPr="00784EAB" w:rsidRDefault="00B012E4">
      <w:pPr>
        <w:rPr>
          <w:lang w:val="en-CA"/>
        </w:rPr>
      </w:pPr>
    </w:p>
    <w:p w:rsidR="00223DB6" w:rsidRPr="00784EAB" w:rsidRDefault="003B14F1">
      <w:pPr>
        <w:rPr>
          <w:lang w:val="en-CA"/>
        </w:rPr>
      </w:pPr>
      <w:r w:rsidRPr="00784EAB">
        <w:rPr>
          <w:lang w:val="en-CA"/>
        </w:rPr>
        <w:t xml:space="preserve">The Simplified Level 2 Prototype Processor (SL2P) is currently the only free and open algorithm that can derive LAI and </w:t>
      </w:r>
      <w:proofErr w:type="spellStart"/>
      <w:r w:rsidRPr="00784EAB">
        <w:rPr>
          <w:lang w:val="en-CA"/>
        </w:rPr>
        <w:t>fAPAR</w:t>
      </w:r>
      <w:proofErr w:type="spellEnd"/>
      <w:r w:rsidRPr="00784EAB">
        <w:rPr>
          <w:lang w:val="en-CA"/>
        </w:rPr>
        <w:t xml:space="preserve"> from imagery acquired from all of these missions (Weiss and Baret, 2016).  </w:t>
      </w:r>
      <w:r w:rsidR="00056465" w:rsidRPr="00784EAB">
        <w:rPr>
          <w:lang w:val="en-CA"/>
        </w:rPr>
        <w:t xml:space="preserve">SL2P </w:t>
      </w:r>
      <w:proofErr w:type="gramStart"/>
      <w:r w:rsidR="00056465" w:rsidRPr="00784EAB">
        <w:rPr>
          <w:lang w:val="en-CA"/>
        </w:rPr>
        <w:t>has been implemented</w:t>
      </w:r>
      <w:proofErr w:type="gramEnd"/>
      <w:r w:rsidR="00056465" w:rsidRPr="00784EAB">
        <w:rPr>
          <w:lang w:val="en-CA"/>
        </w:rPr>
        <w:t xml:space="preserve"> in Google Earth Engine to facilitate global application (</w:t>
      </w:r>
      <w:r w:rsidRPr="00784EAB">
        <w:rPr>
          <w:lang w:val="en-CA"/>
        </w:rPr>
        <w:t>Fernandes et al.,</w:t>
      </w:r>
      <w:r w:rsidR="00B012E4" w:rsidRPr="00784EAB">
        <w:rPr>
          <w:lang w:val="en-CA"/>
        </w:rPr>
        <w:t xml:space="preserve"> 2020</w:t>
      </w:r>
      <w:r w:rsidR="00056465" w:rsidRPr="00784EAB">
        <w:rPr>
          <w:lang w:val="en-CA"/>
        </w:rPr>
        <w:t xml:space="preserve">).  </w:t>
      </w:r>
      <w:r w:rsidRPr="00784EAB">
        <w:rPr>
          <w:lang w:val="en-CA"/>
        </w:rPr>
        <w:t>Validation</w:t>
      </w:r>
      <w:r w:rsidR="00056465" w:rsidRPr="00784EAB">
        <w:rPr>
          <w:lang w:val="en-CA"/>
        </w:rPr>
        <w:t xml:space="preserve"> of SL2P indicates that it’s thematic uncertainty generally meets GCOS threshold</w:t>
      </w:r>
      <w:r w:rsidR="00B012E4" w:rsidRPr="00784EAB">
        <w:rPr>
          <w:lang w:val="en-CA"/>
        </w:rPr>
        <w:t xml:space="preserve"> thematic uncertainty</w:t>
      </w:r>
      <w:r w:rsidR="00056465" w:rsidRPr="00784EAB">
        <w:rPr>
          <w:lang w:val="en-CA"/>
        </w:rPr>
        <w:t xml:space="preserve"> requirements over crops but not over heterogeneous landsca</w:t>
      </w:r>
      <w:r w:rsidR="00B012E4" w:rsidRPr="00784EAB">
        <w:rPr>
          <w:lang w:val="en-CA"/>
        </w:rPr>
        <w:t xml:space="preserve">pes such as treed vegetation (Djamai, xx; Brown, xx; Brown xx; </w:t>
      </w:r>
      <w:proofErr w:type="gramStart"/>
      <w:r w:rsidR="00B012E4" w:rsidRPr="00784EAB">
        <w:rPr>
          <w:lang w:val="en-CA"/>
        </w:rPr>
        <w:t>xx )</w:t>
      </w:r>
      <w:proofErr w:type="gramEnd"/>
      <w:r w:rsidR="00B012E4" w:rsidRPr="00784EAB">
        <w:rPr>
          <w:lang w:val="en-CA"/>
        </w:rPr>
        <w:t>.  Even if an</w:t>
      </w:r>
      <w:r w:rsidR="00056465" w:rsidRPr="00784EAB">
        <w:rPr>
          <w:lang w:val="en-CA"/>
        </w:rPr>
        <w:t xml:space="preserve"> improved </w:t>
      </w:r>
      <w:r w:rsidR="00B012E4" w:rsidRPr="00784EAB">
        <w:rPr>
          <w:lang w:val="en-CA"/>
        </w:rPr>
        <w:t>version of SL2P</w:t>
      </w:r>
      <w:r w:rsidR="00B671D9" w:rsidRPr="00784EAB">
        <w:rPr>
          <w:lang w:val="en-CA"/>
        </w:rPr>
        <w:t>,</w:t>
      </w:r>
      <w:r w:rsidR="00B012E4" w:rsidRPr="00784EAB">
        <w:rPr>
          <w:lang w:val="en-CA"/>
        </w:rPr>
        <w:t xml:space="preserve"> </w:t>
      </w:r>
      <w:r w:rsidR="00056465" w:rsidRPr="00784EAB">
        <w:rPr>
          <w:lang w:val="en-CA"/>
        </w:rPr>
        <w:t>or another</w:t>
      </w:r>
      <w:r w:rsidRPr="00784EAB">
        <w:rPr>
          <w:lang w:val="en-CA"/>
        </w:rPr>
        <w:t xml:space="preserve"> new</w:t>
      </w:r>
      <w:r w:rsidR="00056465" w:rsidRPr="00784EAB">
        <w:rPr>
          <w:lang w:val="en-CA"/>
        </w:rPr>
        <w:t xml:space="preserve"> globally applicable algorithm</w:t>
      </w:r>
      <w:r w:rsidR="00B671D9" w:rsidRPr="00784EAB">
        <w:rPr>
          <w:lang w:val="en-CA"/>
        </w:rPr>
        <w:t>,</w:t>
      </w:r>
      <w:r w:rsidR="00056465" w:rsidRPr="00784EAB">
        <w:rPr>
          <w:lang w:val="en-CA"/>
        </w:rPr>
        <w:t xml:space="preserve"> </w:t>
      </w:r>
      <w:proofErr w:type="gramStart"/>
      <w:r w:rsidR="00056465" w:rsidRPr="00784EAB">
        <w:rPr>
          <w:lang w:val="en-CA"/>
        </w:rPr>
        <w:t>could be impl</w:t>
      </w:r>
      <w:r w:rsidR="00B671D9" w:rsidRPr="00784EAB">
        <w:rPr>
          <w:lang w:val="en-CA"/>
        </w:rPr>
        <w:t>emented</w:t>
      </w:r>
      <w:proofErr w:type="gramEnd"/>
      <w:r w:rsidR="00B671D9" w:rsidRPr="00784EAB">
        <w:rPr>
          <w:lang w:val="en-CA"/>
        </w:rPr>
        <w:t xml:space="preserve"> for Landsat and S2 SDRs </w:t>
      </w:r>
      <w:r w:rsidR="00056465" w:rsidRPr="00784EAB">
        <w:rPr>
          <w:lang w:val="en-CA"/>
        </w:rPr>
        <w:t xml:space="preserve">the </w:t>
      </w:r>
      <w:r w:rsidR="00B671D9" w:rsidRPr="00784EAB">
        <w:rPr>
          <w:lang w:val="en-CA"/>
        </w:rPr>
        <w:t xml:space="preserve">resulting </w:t>
      </w:r>
      <w:r w:rsidR="00056465" w:rsidRPr="00784EAB">
        <w:rPr>
          <w:lang w:val="en-CA"/>
        </w:rPr>
        <w:t xml:space="preserve">products would still require extensive validation to quantify their thematic performance.  </w:t>
      </w:r>
      <w:r w:rsidR="001762DD" w:rsidRPr="00784EAB">
        <w:rPr>
          <w:lang w:val="en-CA"/>
        </w:rPr>
        <w:t>Ideally,</w:t>
      </w:r>
      <w:r w:rsidR="00056465" w:rsidRPr="00784EAB">
        <w:rPr>
          <w:lang w:val="en-CA"/>
        </w:rPr>
        <w:t xml:space="preserve"> the products </w:t>
      </w:r>
      <w:r w:rsidR="001762DD" w:rsidRPr="00784EAB">
        <w:rPr>
          <w:lang w:val="en-CA"/>
        </w:rPr>
        <w:t>should also be consistent</w:t>
      </w:r>
      <w:r w:rsidR="00B012E4" w:rsidRPr="00784EAB">
        <w:rPr>
          <w:lang w:val="en-CA"/>
        </w:rPr>
        <w:t xml:space="preserve"> with </w:t>
      </w:r>
      <w:r w:rsidR="00B671D9" w:rsidRPr="00784EAB">
        <w:rPr>
          <w:lang w:val="en-CA"/>
        </w:rPr>
        <w:t>those</w:t>
      </w:r>
      <w:r w:rsidR="00B012E4" w:rsidRPr="00784EAB">
        <w:rPr>
          <w:lang w:val="en-CA"/>
        </w:rPr>
        <w:t xml:space="preserve"> from </w:t>
      </w:r>
      <w:r w:rsidRPr="00784EAB">
        <w:rPr>
          <w:lang w:val="en-CA"/>
        </w:rPr>
        <w:t xml:space="preserve">other </w:t>
      </w:r>
      <w:r w:rsidR="00B012E4" w:rsidRPr="00784EAB">
        <w:rPr>
          <w:lang w:val="en-CA"/>
        </w:rPr>
        <w:t xml:space="preserve">sensors </w:t>
      </w:r>
      <w:r w:rsidRPr="00784EAB">
        <w:rPr>
          <w:lang w:val="en-CA"/>
        </w:rPr>
        <w:t>with</w:t>
      </w:r>
      <w:r w:rsidR="00B012E4" w:rsidRPr="00784EAB">
        <w:rPr>
          <w:lang w:val="en-CA"/>
        </w:rPr>
        <w:t xml:space="preserve"> SDRs that satisfy the daily revisit requirement   (e.g. 500m resolution MODISA3H products </w:t>
      </w:r>
      <w:proofErr w:type="gramStart"/>
      <w:r w:rsidR="00B012E4" w:rsidRPr="00784EAB">
        <w:rPr>
          <w:lang w:val="en-CA"/>
        </w:rPr>
        <w:t xml:space="preserve">from  </w:t>
      </w:r>
      <w:r w:rsidR="00B671D9" w:rsidRPr="00784EAB">
        <w:rPr>
          <w:lang w:val="en-CA"/>
        </w:rPr>
        <w:t>MODIS</w:t>
      </w:r>
      <w:proofErr w:type="gramEnd"/>
      <w:r w:rsidR="00B671D9" w:rsidRPr="00784EAB">
        <w:rPr>
          <w:lang w:val="en-CA"/>
        </w:rPr>
        <w:t xml:space="preserve"> </w:t>
      </w:r>
      <w:r w:rsidR="00B012E4" w:rsidRPr="00784EAB">
        <w:rPr>
          <w:lang w:val="en-CA"/>
        </w:rPr>
        <w:t>on Te</w:t>
      </w:r>
      <w:r w:rsidR="00B671D9" w:rsidRPr="00784EAB">
        <w:rPr>
          <w:lang w:val="en-CA"/>
        </w:rPr>
        <w:t xml:space="preserve">rra and Aqua, </w:t>
      </w:r>
      <w:proofErr w:type="spellStart"/>
      <w:r w:rsidR="00B671D9" w:rsidRPr="00784EAB">
        <w:rPr>
          <w:lang w:val="en-CA"/>
        </w:rPr>
        <w:t>Myneni</w:t>
      </w:r>
      <w:proofErr w:type="spellEnd"/>
      <w:r w:rsidR="00B671D9" w:rsidRPr="00784EAB">
        <w:rPr>
          <w:lang w:val="en-CA"/>
        </w:rPr>
        <w:t xml:space="preserve"> et al. 2021</w:t>
      </w:r>
      <w:r w:rsidR="00B012E4" w:rsidRPr="00784EAB">
        <w:rPr>
          <w:lang w:val="en-CA"/>
        </w:rPr>
        <w:t>)</w:t>
      </w:r>
    </w:p>
    <w:p w:rsidR="00D957CD" w:rsidRPr="00784EAB" w:rsidRDefault="00D957CD" w:rsidP="00D957CD">
      <w:pPr>
        <w:rPr>
          <w:rFonts w:cstheme="minorHAnsi"/>
          <w:lang w:val="en-CA"/>
        </w:rPr>
      </w:pPr>
    </w:p>
    <w:p w:rsidR="00D957CD" w:rsidRPr="00784EAB" w:rsidRDefault="00D957CD" w:rsidP="00D957CD">
      <w:pPr>
        <w:pStyle w:val="Caption"/>
        <w:keepNext/>
        <w:rPr>
          <w:color w:val="auto"/>
        </w:rPr>
      </w:pPr>
      <w:r w:rsidRPr="00784EAB">
        <w:rPr>
          <w:color w:val="auto"/>
        </w:rPr>
        <w:t xml:space="preserve">Table </w:t>
      </w:r>
      <w:r w:rsidRPr="00784EAB">
        <w:rPr>
          <w:color w:val="auto"/>
        </w:rPr>
        <w:fldChar w:fldCharType="begin"/>
      </w:r>
      <w:r w:rsidRPr="00784EAB">
        <w:rPr>
          <w:color w:val="auto"/>
        </w:rPr>
        <w:instrText xml:space="preserve"> SEQ Table \* ARABIC </w:instrText>
      </w:r>
      <w:r w:rsidRPr="00784EAB">
        <w:rPr>
          <w:color w:val="auto"/>
        </w:rPr>
        <w:fldChar w:fldCharType="separate"/>
      </w:r>
      <w:r w:rsidRPr="00784EAB">
        <w:rPr>
          <w:noProof/>
          <w:color w:val="auto"/>
        </w:rPr>
        <w:t>1</w:t>
      </w:r>
      <w:r w:rsidRPr="00784EAB">
        <w:rPr>
          <w:color w:val="auto"/>
        </w:rPr>
        <w:fldChar w:fldCharType="end"/>
      </w:r>
      <w:r w:rsidRPr="00784EAB">
        <w:rPr>
          <w:color w:val="auto"/>
        </w:rPr>
        <w:t xml:space="preserve">.  GCOS </w:t>
      </w:r>
      <w:proofErr w:type="spellStart"/>
      <w:r w:rsidRPr="00784EAB">
        <w:rPr>
          <w:color w:val="auto"/>
        </w:rPr>
        <w:t>fAPAR</w:t>
      </w:r>
      <w:proofErr w:type="spellEnd"/>
      <w:r w:rsidRPr="00784EAB">
        <w:rPr>
          <w:color w:val="auto"/>
        </w:rPr>
        <w:t xml:space="preserve"> and LAI mapping requirements for modelling applications (GCOS</w:t>
      </w:r>
      <w:proofErr w:type="gramStart"/>
      <w:r w:rsidRPr="00784EAB">
        <w:rPr>
          <w:color w:val="auto"/>
        </w:rPr>
        <w:t xml:space="preserve">,  </w:t>
      </w:r>
      <w:r w:rsidRPr="00784EAB">
        <w:rPr>
          <w:rFonts w:cstheme="minorHAnsi"/>
          <w:color w:val="auto"/>
          <w:lang w:val="en-CA"/>
        </w:rPr>
        <w:t>2016</w:t>
      </w:r>
      <w:proofErr w:type="gramEnd"/>
      <w:r w:rsidRPr="00784EAB">
        <w:rPr>
          <w:rFonts w:cstheme="minorHAnsi"/>
          <w:color w:val="auto"/>
          <w:lang w:val="en-CA"/>
        </w:rPr>
        <w:t>).</w:t>
      </w:r>
    </w:p>
    <w:tbl>
      <w:tblPr>
        <w:tblStyle w:val="TableGrid"/>
        <w:tblW w:w="0" w:type="auto"/>
        <w:tblLook w:val="04A0" w:firstRow="1" w:lastRow="0" w:firstColumn="1" w:lastColumn="0" w:noHBand="0" w:noVBand="1"/>
      </w:tblPr>
      <w:tblGrid>
        <w:gridCol w:w="2066"/>
        <w:gridCol w:w="2574"/>
        <w:gridCol w:w="1067"/>
        <w:gridCol w:w="1083"/>
        <w:gridCol w:w="1490"/>
        <w:gridCol w:w="1070"/>
      </w:tblGrid>
      <w:tr w:rsidR="00D957CD" w:rsidRPr="00784EAB" w:rsidTr="00873825">
        <w:trPr>
          <w:trHeight w:val="20"/>
        </w:trPr>
        <w:tc>
          <w:tcPr>
            <w:tcW w:w="0" w:type="auto"/>
            <w:vAlign w:val="center"/>
          </w:tcPr>
          <w:p w:rsidR="00D957CD" w:rsidRPr="00784EAB" w:rsidRDefault="00D957CD" w:rsidP="00873825">
            <w:pPr>
              <w:rPr>
                <w:rFonts w:cstheme="minorHAnsi"/>
                <w:sz w:val="20"/>
                <w:szCs w:val="20"/>
                <w:lang w:val="en-CA"/>
              </w:rPr>
            </w:pPr>
            <w:r w:rsidRPr="00784EAB">
              <w:rPr>
                <w:rFonts w:cstheme="minorHAnsi"/>
                <w:bCs/>
                <w:sz w:val="20"/>
                <w:szCs w:val="20"/>
              </w:rPr>
              <w:t>Product</w:t>
            </w:r>
          </w:p>
        </w:tc>
        <w:tc>
          <w:tcPr>
            <w:tcW w:w="0" w:type="auto"/>
            <w:vAlign w:val="center"/>
          </w:tcPr>
          <w:p w:rsidR="00D957CD" w:rsidRPr="00784EAB" w:rsidRDefault="00D957CD" w:rsidP="00873825">
            <w:pPr>
              <w:rPr>
                <w:rFonts w:cstheme="minorHAnsi"/>
                <w:sz w:val="20"/>
                <w:szCs w:val="20"/>
                <w:lang w:val="en-CA"/>
              </w:rPr>
            </w:pPr>
            <w:r w:rsidRPr="00784EAB">
              <w:rPr>
                <w:rFonts w:cstheme="minorHAnsi"/>
                <w:bCs/>
                <w:sz w:val="20"/>
                <w:szCs w:val="20"/>
              </w:rPr>
              <w:t>Definition</w:t>
            </w:r>
          </w:p>
        </w:tc>
        <w:tc>
          <w:tcPr>
            <w:tcW w:w="0" w:type="auto"/>
            <w:vAlign w:val="center"/>
          </w:tcPr>
          <w:p w:rsidR="00D957CD" w:rsidRPr="00784EAB" w:rsidRDefault="00D957CD" w:rsidP="00873825">
            <w:pPr>
              <w:rPr>
                <w:rFonts w:cstheme="minorHAnsi"/>
                <w:sz w:val="20"/>
                <w:szCs w:val="20"/>
                <w:lang w:val="en-CA"/>
              </w:rPr>
            </w:pPr>
            <w:r w:rsidRPr="00784EAB">
              <w:rPr>
                <w:rFonts w:cstheme="minorHAnsi"/>
                <w:bCs/>
                <w:sz w:val="20"/>
                <w:szCs w:val="20"/>
              </w:rPr>
              <w:t>Frequency</w:t>
            </w:r>
          </w:p>
        </w:tc>
        <w:tc>
          <w:tcPr>
            <w:tcW w:w="0" w:type="auto"/>
            <w:vAlign w:val="center"/>
          </w:tcPr>
          <w:p w:rsidR="00D957CD" w:rsidRPr="00784EAB" w:rsidRDefault="00D957CD" w:rsidP="00873825">
            <w:pPr>
              <w:rPr>
                <w:rFonts w:cstheme="minorHAnsi"/>
                <w:sz w:val="20"/>
                <w:szCs w:val="20"/>
                <w:lang w:val="en-CA"/>
              </w:rPr>
            </w:pPr>
            <w:r w:rsidRPr="00784EAB">
              <w:rPr>
                <w:rFonts w:cstheme="minorHAnsi"/>
                <w:bCs/>
                <w:sz w:val="20"/>
                <w:szCs w:val="20"/>
              </w:rPr>
              <w:t>Resolution</w:t>
            </w:r>
          </w:p>
        </w:tc>
        <w:tc>
          <w:tcPr>
            <w:tcW w:w="0" w:type="auto"/>
            <w:vAlign w:val="center"/>
          </w:tcPr>
          <w:p w:rsidR="00D957CD" w:rsidRPr="00784EAB" w:rsidRDefault="00D957CD" w:rsidP="00873825">
            <w:pPr>
              <w:rPr>
                <w:rFonts w:cstheme="minorHAnsi"/>
                <w:sz w:val="20"/>
                <w:szCs w:val="20"/>
                <w:lang w:val="en-CA"/>
              </w:rPr>
            </w:pPr>
            <w:r w:rsidRPr="00784EAB">
              <w:rPr>
                <w:rFonts w:cstheme="minorHAnsi"/>
                <w:bCs/>
                <w:sz w:val="20"/>
                <w:szCs w:val="20"/>
              </w:rPr>
              <w:t>Thematic Uncertainty</w:t>
            </w:r>
          </w:p>
        </w:tc>
        <w:tc>
          <w:tcPr>
            <w:tcW w:w="0" w:type="auto"/>
            <w:vAlign w:val="center"/>
          </w:tcPr>
          <w:p w:rsidR="00D957CD" w:rsidRPr="00784EAB" w:rsidRDefault="00D957CD" w:rsidP="00873825">
            <w:pPr>
              <w:rPr>
                <w:rFonts w:cstheme="minorHAnsi"/>
                <w:sz w:val="20"/>
                <w:szCs w:val="20"/>
                <w:lang w:val="en-CA"/>
              </w:rPr>
            </w:pPr>
            <w:r w:rsidRPr="00784EAB">
              <w:rPr>
                <w:rFonts w:cstheme="minorHAnsi"/>
                <w:bCs/>
                <w:sz w:val="20"/>
                <w:szCs w:val="20"/>
              </w:rPr>
              <w:t>Stability</w:t>
            </w:r>
          </w:p>
        </w:tc>
      </w:tr>
      <w:tr w:rsidR="008F0BC9" w:rsidRPr="00784EAB" w:rsidTr="00873825">
        <w:trPr>
          <w:trHeight w:val="20"/>
        </w:trPr>
        <w:tc>
          <w:tcPr>
            <w:tcW w:w="0" w:type="auto"/>
            <w:vAlign w:val="center"/>
          </w:tcPr>
          <w:p w:rsidR="008F0BC9" w:rsidRPr="00784EAB" w:rsidRDefault="008F0BC9" w:rsidP="008F0BC9">
            <w:pPr>
              <w:rPr>
                <w:rFonts w:cstheme="minorHAnsi"/>
                <w:bCs/>
                <w:sz w:val="20"/>
                <w:szCs w:val="20"/>
              </w:rPr>
            </w:pPr>
            <w:r w:rsidRPr="00784EAB">
              <w:rPr>
                <w:rFonts w:cstheme="minorHAnsi"/>
                <w:bCs/>
                <w:sz w:val="20"/>
                <w:szCs w:val="20"/>
              </w:rPr>
              <w:t xml:space="preserve">Fraction of Absorbed </w:t>
            </w:r>
            <w:proofErr w:type="spellStart"/>
            <w:r w:rsidRPr="00784EAB">
              <w:rPr>
                <w:rFonts w:cstheme="minorHAnsi"/>
                <w:bCs/>
                <w:sz w:val="20"/>
                <w:szCs w:val="20"/>
              </w:rPr>
              <w:t>Photosynthetically</w:t>
            </w:r>
            <w:proofErr w:type="spellEnd"/>
            <w:r w:rsidRPr="00784EAB">
              <w:rPr>
                <w:rFonts w:cstheme="minorHAnsi"/>
                <w:bCs/>
                <w:sz w:val="20"/>
                <w:szCs w:val="20"/>
              </w:rPr>
              <w:t xml:space="preserve"> Active Radiation</w:t>
            </w:r>
          </w:p>
        </w:tc>
        <w:tc>
          <w:tcPr>
            <w:tcW w:w="0" w:type="auto"/>
            <w:vAlign w:val="center"/>
          </w:tcPr>
          <w:p w:rsidR="008F0BC9" w:rsidRPr="00784EAB" w:rsidRDefault="008F0BC9" w:rsidP="008F0BC9">
            <w:pPr>
              <w:rPr>
                <w:rFonts w:cstheme="minorHAnsi"/>
                <w:sz w:val="20"/>
                <w:szCs w:val="20"/>
                <w:shd w:val="clear" w:color="auto" w:fill="FFFFFF"/>
              </w:rPr>
            </w:pPr>
            <w:r w:rsidRPr="00784EAB">
              <w:rPr>
                <w:rFonts w:cstheme="minorHAnsi"/>
                <w:sz w:val="20"/>
                <w:szCs w:val="20"/>
              </w:rPr>
              <w:t xml:space="preserve">FAPAR is the fraction of the incoming radiation in the 400-700 nm band absorbed by the leaves, which </w:t>
            </w:r>
            <w:proofErr w:type="gramStart"/>
            <w:r w:rsidRPr="00784EAB">
              <w:rPr>
                <w:rFonts w:cstheme="minorHAnsi"/>
                <w:sz w:val="20"/>
                <w:szCs w:val="20"/>
              </w:rPr>
              <w:t>can be used</w:t>
            </w:r>
            <w:proofErr w:type="gramEnd"/>
            <w:r w:rsidRPr="00784EAB">
              <w:rPr>
                <w:rFonts w:cstheme="minorHAnsi"/>
                <w:sz w:val="20"/>
                <w:szCs w:val="20"/>
              </w:rPr>
              <w:t xml:space="preserve"> for photosynthesis. ]</w:t>
            </w:r>
          </w:p>
        </w:tc>
        <w:tc>
          <w:tcPr>
            <w:tcW w:w="0" w:type="auto"/>
            <w:vAlign w:val="center"/>
          </w:tcPr>
          <w:p w:rsidR="008F0BC9" w:rsidRPr="00784EAB" w:rsidRDefault="008F0BC9" w:rsidP="008F0BC9">
            <w:pPr>
              <w:rPr>
                <w:rFonts w:cstheme="minorHAnsi"/>
                <w:sz w:val="20"/>
                <w:szCs w:val="20"/>
              </w:rPr>
            </w:pPr>
            <w:r w:rsidRPr="00784EAB">
              <w:rPr>
                <w:rFonts w:cstheme="minorHAnsi"/>
                <w:sz w:val="20"/>
                <w:szCs w:val="20"/>
              </w:rPr>
              <w:t>Daily</w:t>
            </w:r>
          </w:p>
        </w:tc>
        <w:tc>
          <w:tcPr>
            <w:tcW w:w="0" w:type="auto"/>
            <w:vAlign w:val="center"/>
          </w:tcPr>
          <w:p w:rsidR="008F0BC9" w:rsidRPr="00784EAB" w:rsidRDefault="008F0BC9" w:rsidP="008F0BC9">
            <w:pPr>
              <w:rPr>
                <w:rFonts w:cstheme="minorHAnsi"/>
                <w:sz w:val="20"/>
                <w:szCs w:val="20"/>
              </w:rPr>
            </w:pPr>
            <w:r w:rsidRPr="00784EAB">
              <w:rPr>
                <w:rFonts w:cstheme="minorHAnsi"/>
                <w:sz w:val="20"/>
                <w:szCs w:val="20"/>
              </w:rPr>
              <w:t>50m</w:t>
            </w:r>
          </w:p>
        </w:tc>
        <w:tc>
          <w:tcPr>
            <w:tcW w:w="0" w:type="auto"/>
            <w:vAlign w:val="center"/>
          </w:tcPr>
          <w:p w:rsidR="008F0BC9" w:rsidRPr="00784EAB" w:rsidRDefault="008F0BC9" w:rsidP="008F0BC9">
            <w:pPr>
              <w:rPr>
                <w:rFonts w:cstheme="minorHAnsi"/>
                <w:sz w:val="20"/>
                <w:szCs w:val="20"/>
              </w:rPr>
            </w:pPr>
            <w:r w:rsidRPr="00784EAB">
              <w:rPr>
                <w:rFonts w:cstheme="minorHAnsi"/>
                <w:sz w:val="20"/>
                <w:szCs w:val="20"/>
              </w:rPr>
              <w:t>Goal: max(10%; 0.05)</w:t>
            </w:r>
          </w:p>
          <w:p w:rsidR="008F0BC9" w:rsidRPr="00784EAB" w:rsidRDefault="008F0BC9" w:rsidP="008F0BC9">
            <w:pPr>
              <w:rPr>
                <w:rFonts w:cstheme="minorHAnsi"/>
                <w:sz w:val="20"/>
                <w:szCs w:val="20"/>
              </w:rPr>
            </w:pPr>
          </w:p>
          <w:p w:rsidR="008F0BC9" w:rsidRPr="00784EAB" w:rsidRDefault="008F0BC9" w:rsidP="008F0BC9">
            <w:pPr>
              <w:rPr>
                <w:rFonts w:cstheme="minorHAnsi"/>
                <w:sz w:val="20"/>
                <w:szCs w:val="20"/>
              </w:rPr>
            </w:pPr>
            <w:r w:rsidRPr="00784EAB">
              <w:rPr>
                <w:rFonts w:cstheme="minorHAnsi"/>
                <w:sz w:val="20"/>
                <w:szCs w:val="20"/>
              </w:rPr>
              <w:t>Threshold:</w:t>
            </w:r>
          </w:p>
          <w:p w:rsidR="008F0BC9" w:rsidRPr="00784EAB" w:rsidRDefault="008F0BC9" w:rsidP="008F0BC9">
            <w:pPr>
              <w:rPr>
                <w:rFonts w:cstheme="minorHAnsi"/>
                <w:sz w:val="20"/>
                <w:szCs w:val="20"/>
              </w:rPr>
            </w:pPr>
            <w:r w:rsidRPr="00784EAB">
              <w:rPr>
                <w:rFonts w:cstheme="minorHAnsi"/>
                <w:sz w:val="20"/>
                <w:szCs w:val="20"/>
              </w:rPr>
              <w:t>max()</w:t>
            </w:r>
          </w:p>
        </w:tc>
        <w:tc>
          <w:tcPr>
            <w:tcW w:w="0" w:type="auto"/>
            <w:vAlign w:val="center"/>
          </w:tcPr>
          <w:p w:rsidR="008F0BC9" w:rsidRPr="00784EAB" w:rsidRDefault="008F0BC9" w:rsidP="008F0BC9">
            <w:pPr>
              <w:rPr>
                <w:rFonts w:cstheme="minorHAnsi"/>
                <w:sz w:val="20"/>
                <w:szCs w:val="20"/>
              </w:rPr>
            </w:pPr>
            <w:r w:rsidRPr="00784EAB">
              <w:rPr>
                <w:rFonts w:cstheme="minorHAnsi"/>
                <w:sz w:val="20"/>
                <w:szCs w:val="20"/>
              </w:rPr>
              <w:t>max(3%; 0.02)</w:t>
            </w:r>
          </w:p>
        </w:tc>
      </w:tr>
      <w:tr w:rsidR="008F0BC9" w:rsidRPr="00784EAB" w:rsidTr="00873825">
        <w:trPr>
          <w:trHeight w:val="20"/>
        </w:trPr>
        <w:tc>
          <w:tcPr>
            <w:tcW w:w="0" w:type="auto"/>
            <w:vAlign w:val="center"/>
          </w:tcPr>
          <w:p w:rsidR="008F0BC9" w:rsidRPr="00784EAB" w:rsidRDefault="008F0BC9" w:rsidP="008F0BC9">
            <w:pPr>
              <w:rPr>
                <w:rFonts w:cstheme="minorHAnsi"/>
                <w:sz w:val="20"/>
                <w:szCs w:val="20"/>
                <w:lang w:val="en-CA"/>
              </w:rPr>
            </w:pPr>
            <w:r w:rsidRPr="00784EAB">
              <w:rPr>
                <w:rFonts w:cstheme="minorHAnsi"/>
                <w:bCs/>
                <w:sz w:val="20"/>
                <w:szCs w:val="20"/>
              </w:rPr>
              <w:t>Leaf Area Index</w:t>
            </w:r>
          </w:p>
        </w:tc>
        <w:tc>
          <w:tcPr>
            <w:tcW w:w="0" w:type="auto"/>
            <w:vAlign w:val="center"/>
          </w:tcPr>
          <w:p w:rsidR="008F0BC9" w:rsidRPr="00784EAB" w:rsidRDefault="008F0BC9" w:rsidP="008F0BC9">
            <w:pPr>
              <w:rPr>
                <w:rFonts w:cstheme="minorHAnsi"/>
                <w:sz w:val="20"/>
                <w:szCs w:val="20"/>
                <w:lang w:val="en-CA"/>
              </w:rPr>
            </w:pPr>
            <w:r w:rsidRPr="00784EAB">
              <w:rPr>
                <w:rFonts w:cstheme="minorHAnsi"/>
                <w:sz w:val="20"/>
                <w:szCs w:val="20"/>
                <w:shd w:val="clear" w:color="auto" w:fill="FFFFFF"/>
                <w:lang w:val="en-CA"/>
              </w:rPr>
              <w:t>O</w:t>
            </w:r>
            <w:r w:rsidRPr="00784EAB">
              <w:rPr>
                <w:rFonts w:cstheme="minorHAnsi"/>
                <w:sz w:val="20"/>
                <w:szCs w:val="20"/>
                <w:shd w:val="clear" w:color="auto" w:fill="FFFFFF"/>
              </w:rPr>
              <w:t xml:space="preserve">ne half of the total green leaf area per unit horizontal ground surface area, </w:t>
            </w:r>
          </w:p>
        </w:tc>
        <w:tc>
          <w:tcPr>
            <w:tcW w:w="0" w:type="auto"/>
            <w:vAlign w:val="center"/>
          </w:tcPr>
          <w:p w:rsidR="008F0BC9" w:rsidRPr="00784EAB" w:rsidRDefault="008F0BC9" w:rsidP="008F0BC9">
            <w:pPr>
              <w:rPr>
                <w:rFonts w:cstheme="minorHAnsi"/>
                <w:sz w:val="20"/>
                <w:szCs w:val="20"/>
                <w:lang w:val="en-CA"/>
              </w:rPr>
            </w:pPr>
            <w:r w:rsidRPr="00784EAB">
              <w:rPr>
                <w:rFonts w:cstheme="minorHAnsi"/>
                <w:sz w:val="20"/>
                <w:szCs w:val="20"/>
              </w:rPr>
              <w:t>Daily</w:t>
            </w:r>
          </w:p>
        </w:tc>
        <w:tc>
          <w:tcPr>
            <w:tcW w:w="0" w:type="auto"/>
            <w:vAlign w:val="center"/>
          </w:tcPr>
          <w:p w:rsidR="008F0BC9" w:rsidRPr="00784EAB" w:rsidRDefault="008F0BC9" w:rsidP="008F0BC9">
            <w:pPr>
              <w:rPr>
                <w:rFonts w:cstheme="minorHAnsi"/>
                <w:sz w:val="20"/>
                <w:szCs w:val="20"/>
                <w:lang w:val="en-CA"/>
              </w:rPr>
            </w:pPr>
            <w:r w:rsidRPr="00784EAB">
              <w:rPr>
                <w:rFonts w:cstheme="minorHAnsi"/>
                <w:sz w:val="20"/>
                <w:szCs w:val="20"/>
              </w:rPr>
              <w:t>50m</w:t>
            </w:r>
          </w:p>
        </w:tc>
        <w:tc>
          <w:tcPr>
            <w:tcW w:w="0" w:type="auto"/>
            <w:vAlign w:val="center"/>
          </w:tcPr>
          <w:p w:rsidR="008F0BC9" w:rsidRPr="00784EAB" w:rsidRDefault="008F0BC9" w:rsidP="008F0BC9">
            <w:pPr>
              <w:rPr>
                <w:rFonts w:cstheme="minorHAnsi"/>
                <w:sz w:val="20"/>
                <w:szCs w:val="20"/>
              </w:rPr>
            </w:pPr>
            <w:r w:rsidRPr="00784EAB">
              <w:rPr>
                <w:rFonts w:cstheme="minorHAnsi"/>
                <w:sz w:val="20"/>
                <w:szCs w:val="20"/>
              </w:rPr>
              <w:t>Goal: 15%</w:t>
            </w:r>
          </w:p>
          <w:p w:rsidR="008F0BC9" w:rsidRPr="00784EAB" w:rsidRDefault="008F0BC9" w:rsidP="008F0BC9">
            <w:pPr>
              <w:rPr>
                <w:rFonts w:cstheme="minorHAnsi"/>
                <w:sz w:val="20"/>
                <w:szCs w:val="20"/>
              </w:rPr>
            </w:pPr>
            <w:r w:rsidRPr="00784EAB">
              <w:rPr>
                <w:rFonts w:cstheme="minorHAnsi"/>
                <w:sz w:val="20"/>
                <w:szCs w:val="20"/>
              </w:rPr>
              <w:t>Threshold:</w:t>
            </w:r>
          </w:p>
          <w:p w:rsidR="008F0BC9" w:rsidRPr="00784EAB" w:rsidRDefault="008F0BC9" w:rsidP="008F0BC9">
            <w:pPr>
              <w:rPr>
                <w:rFonts w:cstheme="minorHAnsi"/>
                <w:sz w:val="20"/>
                <w:szCs w:val="20"/>
              </w:rPr>
            </w:pPr>
            <w:proofErr w:type="gramStart"/>
            <w:r w:rsidRPr="00784EAB">
              <w:rPr>
                <w:rFonts w:cstheme="minorHAnsi"/>
                <w:sz w:val="20"/>
                <w:szCs w:val="20"/>
              </w:rPr>
              <w:t>max(</w:t>
            </w:r>
            <w:proofErr w:type="gramEnd"/>
            <w:r w:rsidRPr="00784EAB">
              <w:rPr>
                <w:rFonts w:cstheme="minorHAnsi"/>
                <w:sz w:val="20"/>
                <w:szCs w:val="20"/>
              </w:rPr>
              <w:t>0.75,20%)</w:t>
            </w:r>
          </w:p>
          <w:p w:rsidR="008F0BC9" w:rsidRPr="00784EAB" w:rsidRDefault="008F0BC9" w:rsidP="008F0BC9">
            <w:pPr>
              <w:rPr>
                <w:rFonts w:cstheme="minorHAnsi"/>
                <w:sz w:val="20"/>
                <w:szCs w:val="20"/>
                <w:lang w:val="en-CA"/>
              </w:rPr>
            </w:pPr>
          </w:p>
        </w:tc>
        <w:tc>
          <w:tcPr>
            <w:tcW w:w="0" w:type="auto"/>
            <w:vAlign w:val="center"/>
          </w:tcPr>
          <w:p w:rsidR="008F0BC9" w:rsidRPr="00784EAB" w:rsidRDefault="008F0BC9" w:rsidP="008F0BC9">
            <w:pPr>
              <w:rPr>
                <w:rFonts w:cstheme="minorHAnsi"/>
                <w:sz w:val="20"/>
                <w:szCs w:val="20"/>
                <w:lang w:val="en-CA"/>
              </w:rPr>
            </w:pPr>
            <w:r w:rsidRPr="00784EAB">
              <w:rPr>
                <w:rFonts w:cstheme="minorHAnsi"/>
                <w:sz w:val="20"/>
                <w:szCs w:val="20"/>
              </w:rPr>
              <w:t>max(10%; 0.25)</w:t>
            </w:r>
          </w:p>
        </w:tc>
      </w:tr>
    </w:tbl>
    <w:p w:rsidR="00D957CD" w:rsidRPr="00784EAB" w:rsidRDefault="00D957CD" w:rsidP="00D957CD">
      <w:pPr>
        <w:rPr>
          <w:rFonts w:cstheme="minorHAnsi"/>
          <w:lang w:val="en-CA"/>
        </w:rPr>
      </w:pPr>
    </w:p>
    <w:p w:rsidR="00D957CD" w:rsidRPr="00784EAB" w:rsidRDefault="00D957CD" w:rsidP="00D957CD">
      <w:pPr>
        <w:rPr>
          <w:lang w:val="en-CA"/>
        </w:rPr>
      </w:pPr>
    </w:p>
    <w:p w:rsidR="00D5270F" w:rsidRPr="00784EAB" w:rsidRDefault="00D5270F">
      <w:pPr>
        <w:rPr>
          <w:lang w:val="en-CA"/>
        </w:rPr>
      </w:pPr>
    </w:p>
    <w:p w:rsidR="008F0BC9" w:rsidRPr="00784EAB" w:rsidRDefault="00056465">
      <w:pPr>
        <w:rPr>
          <w:lang w:val="en-CA"/>
        </w:rPr>
      </w:pPr>
      <w:r w:rsidRPr="00784EAB">
        <w:rPr>
          <w:lang w:val="en-CA"/>
        </w:rPr>
        <w:t>One</w:t>
      </w:r>
      <w:r w:rsidR="00B671D9" w:rsidRPr="00784EAB">
        <w:rPr>
          <w:lang w:val="en-CA"/>
        </w:rPr>
        <w:t xml:space="preserve"> solution for </w:t>
      </w:r>
      <w:r w:rsidR="001762DD" w:rsidRPr="00784EAB">
        <w:rPr>
          <w:lang w:val="en-CA"/>
        </w:rPr>
        <w:t xml:space="preserve">the production of </w:t>
      </w:r>
      <w:r w:rsidR="001762DD" w:rsidRPr="00784EAB">
        <w:rPr>
          <w:rFonts w:cstheme="minorHAnsi"/>
          <w:lang w:val="en-CA"/>
        </w:rPr>
        <w:t>≤</w:t>
      </w:r>
      <w:r w:rsidR="00E80F96" w:rsidRPr="00784EAB">
        <w:rPr>
          <w:lang w:val="en-CA"/>
        </w:rPr>
        <w:t>50m resolution LAI</w:t>
      </w:r>
      <w:r w:rsidRPr="00784EAB">
        <w:rPr>
          <w:lang w:val="en-CA"/>
        </w:rPr>
        <w:t xml:space="preserve"> and </w:t>
      </w:r>
      <w:proofErr w:type="spellStart"/>
      <w:r w:rsidRPr="00784EAB">
        <w:rPr>
          <w:lang w:val="en-CA"/>
        </w:rPr>
        <w:t>fAPAR</w:t>
      </w:r>
      <w:proofErr w:type="spellEnd"/>
      <w:r w:rsidRPr="00784EAB">
        <w:rPr>
          <w:lang w:val="en-CA"/>
        </w:rPr>
        <w:t xml:space="preserve"> products </w:t>
      </w:r>
      <w:r w:rsidR="00B012E4" w:rsidRPr="00784EAB">
        <w:rPr>
          <w:lang w:val="en-CA"/>
        </w:rPr>
        <w:t>consistent with MOD15A3H</w:t>
      </w:r>
      <w:r w:rsidRPr="00784EAB">
        <w:rPr>
          <w:lang w:val="en-CA"/>
        </w:rPr>
        <w:t xml:space="preserve"> is to apply </w:t>
      </w:r>
      <w:r w:rsidR="00E80F96" w:rsidRPr="00784EAB">
        <w:rPr>
          <w:lang w:val="en-CA"/>
        </w:rPr>
        <w:t xml:space="preserve">a version of </w:t>
      </w:r>
      <w:r w:rsidRPr="00784EAB">
        <w:rPr>
          <w:lang w:val="en-CA"/>
        </w:rPr>
        <w:t xml:space="preserve">the </w:t>
      </w:r>
      <w:r w:rsidR="00E80F96" w:rsidRPr="00784EAB">
        <w:rPr>
          <w:lang w:val="en-CA"/>
        </w:rPr>
        <w:t>Moderate Resolution Imaging Spectrometer (MODIS)</w:t>
      </w:r>
      <w:r w:rsidR="001D6337" w:rsidRPr="00784EAB">
        <w:rPr>
          <w:lang w:val="en-CA"/>
        </w:rPr>
        <w:t xml:space="preserve"> </w:t>
      </w:r>
      <w:r w:rsidRPr="00784EAB">
        <w:rPr>
          <w:lang w:val="en-CA"/>
        </w:rPr>
        <w:t>MOD15</w:t>
      </w:r>
      <w:r w:rsidR="00B012E4" w:rsidRPr="00784EAB">
        <w:rPr>
          <w:lang w:val="en-CA"/>
        </w:rPr>
        <w:t>A1</w:t>
      </w:r>
      <w:r w:rsidRPr="00784EAB">
        <w:rPr>
          <w:lang w:val="en-CA"/>
        </w:rPr>
        <w:t xml:space="preserve"> </w:t>
      </w:r>
      <w:r w:rsidR="00E80F96" w:rsidRPr="00784EAB">
        <w:rPr>
          <w:lang w:val="en-CA"/>
        </w:rPr>
        <w:t xml:space="preserve">LAI and </w:t>
      </w:r>
      <w:proofErr w:type="spellStart"/>
      <w:r w:rsidR="00E80F96" w:rsidRPr="00784EAB">
        <w:rPr>
          <w:lang w:val="en-CA"/>
        </w:rPr>
        <w:lastRenderedPageBreak/>
        <w:t>fAPAR</w:t>
      </w:r>
      <w:proofErr w:type="spellEnd"/>
      <w:r w:rsidR="00E80F96" w:rsidRPr="00784EAB">
        <w:rPr>
          <w:lang w:val="en-CA"/>
        </w:rPr>
        <w:t xml:space="preserve"> </w:t>
      </w:r>
      <w:r w:rsidR="00B012E4" w:rsidRPr="00784EAB">
        <w:rPr>
          <w:lang w:val="en-CA"/>
        </w:rPr>
        <w:t>algorithm (</w:t>
      </w:r>
      <w:r w:rsidR="00B671D9" w:rsidRPr="00784EAB">
        <w:rPr>
          <w:lang w:val="en-CA"/>
        </w:rPr>
        <w:t>Knyazhikin et al., 1999</w:t>
      </w:r>
      <w:r w:rsidR="001D6337" w:rsidRPr="00784EAB">
        <w:rPr>
          <w:lang w:val="en-CA"/>
        </w:rPr>
        <w:t>)</w:t>
      </w:r>
      <w:r w:rsidR="00E80F96" w:rsidRPr="00784EAB">
        <w:rPr>
          <w:lang w:val="en-CA"/>
        </w:rPr>
        <w:t>,</w:t>
      </w:r>
      <w:r w:rsidR="00B012E4" w:rsidRPr="00784EAB">
        <w:rPr>
          <w:lang w:val="en-CA"/>
        </w:rPr>
        <w:t xml:space="preserve"> currently used for MOD15A3H products</w:t>
      </w:r>
      <w:r w:rsidR="00E80F96" w:rsidRPr="00784EAB">
        <w:rPr>
          <w:lang w:val="en-CA"/>
        </w:rPr>
        <w:t xml:space="preserve">, </w:t>
      </w:r>
      <w:r w:rsidR="001D6337" w:rsidRPr="00784EAB">
        <w:rPr>
          <w:lang w:val="en-CA"/>
        </w:rPr>
        <w:t xml:space="preserve">to Landsat and S2 SDRs. </w:t>
      </w:r>
      <w:r w:rsidR="00B012E4" w:rsidRPr="00784EAB">
        <w:rPr>
          <w:lang w:val="en-CA"/>
        </w:rPr>
        <w:t xml:space="preserve"> </w:t>
      </w:r>
      <w:r w:rsidR="00B671D9" w:rsidRPr="00784EAB">
        <w:rPr>
          <w:lang w:val="en-CA"/>
        </w:rPr>
        <w:t xml:space="preserve">A version for Landsat 5 Thematic Mapper (TM  ) and Landsat 7 Enhanced Thematic Mapper </w:t>
      </w:r>
      <w:proofErr w:type="spellStart"/>
      <w:r w:rsidR="00B671D9" w:rsidRPr="00784EAB">
        <w:rPr>
          <w:lang w:val="en-CA"/>
        </w:rPr>
        <w:t>Plut</w:t>
      </w:r>
      <w:proofErr w:type="spellEnd"/>
      <w:r w:rsidR="00B671D9" w:rsidRPr="00784EAB">
        <w:rPr>
          <w:lang w:val="en-CA"/>
        </w:rPr>
        <w:t xml:space="preserve"> (ETM+) SDRs had already been developed and shown to</w:t>
      </w:r>
      <w:r w:rsidR="00B012E4" w:rsidRPr="00784EAB">
        <w:rPr>
          <w:lang w:val="en-CA"/>
        </w:rPr>
        <w:t xml:space="preserve"> generally satisfy GCOS </w:t>
      </w:r>
      <w:r w:rsidR="00B671D9" w:rsidRPr="00784EAB">
        <w:rPr>
          <w:lang w:val="en-CA"/>
        </w:rPr>
        <w:t xml:space="preserve">resolution and uncertainty </w:t>
      </w:r>
      <w:r w:rsidR="00B012E4" w:rsidRPr="00784EAB">
        <w:rPr>
          <w:lang w:val="en-CA"/>
        </w:rPr>
        <w:t>requirements for pixels with homogenous land cover a</w:t>
      </w:r>
      <w:r w:rsidR="00B671D9" w:rsidRPr="00784EAB">
        <w:rPr>
          <w:lang w:val="en-CA"/>
        </w:rPr>
        <w:t>n</w:t>
      </w:r>
      <w:r w:rsidR="00B012E4" w:rsidRPr="00784EAB">
        <w:rPr>
          <w:lang w:val="en-CA"/>
        </w:rPr>
        <w:t>d vegetation structure and correct biome classification (</w:t>
      </w:r>
      <w:proofErr w:type="spellStart"/>
      <w:r w:rsidR="00B012E4" w:rsidRPr="00784EAB">
        <w:rPr>
          <w:lang w:val="en-CA"/>
        </w:rPr>
        <w:t>Ganguly</w:t>
      </w:r>
      <w:proofErr w:type="spellEnd"/>
      <w:r w:rsidR="00B012E4" w:rsidRPr="00784EAB">
        <w:rPr>
          <w:lang w:val="en-CA"/>
        </w:rPr>
        <w:t xml:space="preserve">, </w:t>
      </w:r>
      <w:r w:rsidR="00B671D9" w:rsidRPr="00784EAB">
        <w:rPr>
          <w:lang w:val="en-CA"/>
        </w:rPr>
        <w:t xml:space="preserve">et </w:t>
      </w:r>
      <w:proofErr w:type="spellStart"/>
      <w:r w:rsidR="00B671D9" w:rsidRPr="00784EAB">
        <w:rPr>
          <w:lang w:val="en-CA"/>
        </w:rPr>
        <w:t>a.l</w:t>
      </w:r>
      <w:proofErr w:type="spellEnd"/>
      <w:r w:rsidR="00B671D9" w:rsidRPr="00784EAB">
        <w:rPr>
          <w:lang w:val="en-CA"/>
        </w:rPr>
        <w:t xml:space="preserve">, 2008a; </w:t>
      </w:r>
      <w:proofErr w:type="spellStart"/>
      <w:r w:rsidR="00B671D9" w:rsidRPr="00784EAB">
        <w:rPr>
          <w:lang w:val="en-CA"/>
        </w:rPr>
        <w:t>Ganguly</w:t>
      </w:r>
      <w:proofErr w:type="spellEnd"/>
      <w:r w:rsidR="00B671D9" w:rsidRPr="00784EAB">
        <w:rPr>
          <w:lang w:val="en-CA"/>
        </w:rPr>
        <w:t xml:space="preserve"> et al. 2008b).  </w:t>
      </w:r>
      <w:r w:rsidR="001569AB" w:rsidRPr="00784EAB">
        <w:rPr>
          <w:lang w:val="en-CA"/>
        </w:rPr>
        <w:t xml:space="preserve">However, this version has limitations: </w:t>
      </w:r>
    </w:p>
    <w:p w:rsidR="008F0BC9" w:rsidRPr="00784EAB" w:rsidRDefault="002D1763" w:rsidP="008F0BC9">
      <w:pPr>
        <w:pStyle w:val="ListParagraph"/>
        <w:numPr>
          <w:ilvl w:val="0"/>
          <w:numId w:val="1"/>
        </w:numPr>
        <w:rPr>
          <w:lang w:val="en-CA"/>
        </w:rPr>
      </w:pPr>
      <w:r w:rsidRPr="00784EAB">
        <w:rPr>
          <w:lang w:val="en-CA"/>
        </w:rPr>
        <w:t>there are currently no plans to derive free and open global products or to offer the code for this task</w:t>
      </w:r>
      <w:r w:rsidR="001569AB" w:rsidRPr="00784EAB">
        <w:rPr>
          <w:lang w:val="en-CA"/>
        </w:rPr>
        <w:t xml:space="preserve"> (S. </w:t>
      </w:r>
      <w:proofErr w:type="spellStart"/>
      <w:r w:rsidR="001569AB" w:rsidRPr="00784EAB">
        <w:rPr>
          <w:lang w:val="en-CA"/>
        </w:rPr>
        <w:t>Ganguly</w:t>
      </w:r>
      <w:proofErr w:type="spellEnd"/>
      <w:r w:rsidR="001569AB" w:rsidRPr="00784EAB">
        <w:rPr>
          <w:lang w:val="en-CA"/>
        </w:rPr>
        <w:t xml:space="preserve"> personal communication)</w:t>
      </w:r>
      <w:r w:rsidR="008F0BC9" w:rsidRPr="00784EAB">
        <w:rPr>
          <w:lang w:val="en-CA"/>
        </w:rPr>
        <w:t>;</w:t>
      </w:r>
    </w:p>
    <w:p w:rsidR="008F0BC9" w:rsidRPr="00784EAB" w:rsidRDefault="008F0BC9" w:rsidP="008F0BC9">
      <w:pPr>
        <w:pStyle w:val="ListParagraph"/>
        <w:numPr>
          <w:ilvl w:val="0"/>
          <w:numId w:val="1"/>
        </w:numPr>
        <w:rPr>
          <w:lang w:val="en-CA"/>
        </w:rPr>
      </w:pPr>
      <w:r w:rsidRPr="00784EAB">
        <w:rPr>
          <w:lang w:val="en-CA"/>
        </w:rPr>
        <w:t xml:space="preserve"> </w:t>
      </w:r>
      <w:r w:rsidR="001569AB" w:rsidRPr="00784EAB">
        <w:rPr>
          <w:lang w:val="en-CA"/>
        </w:rPr>
        <w:t xml:space="preserve">it </w:t>
      </w:r>
      <w:r w:rsidR="002D1763" w:rsidRPr="00784EAB">
        <w:rPr>
          <w:lang w:val="en-CA"/>
        </w:rPr>
        <w:t>was</w:t>
      </w:r>
      <w:r w:rsidR="001569AB" w:rsidRPr="00784EAB">
        <w:rPr>
          <w:lang w:val="en-CA"/>
        </w:rPr>
        <w:t xml:space="preserve"> implemented for TM and ETM+ surface bi-directional reflectance (BRF) inputs from the LEDAPS processor (</w:t>
      </w:r>
      <w:proofErr w:type="spellStart"/>
      <w:r w:rsidR="001569AB" w:rsidRPr="00784EAB">
        <w:rPr>
          <w:lang w:val="en-CA"/>
        </w:rPr>
        <w:t>Mas</w:t>
      </w:r>
      <w:r w:rsidR="002D1763" w:rsidRPr="00784EAB">
        <w:rPr>
          <w:lang w:val="en-CA"/>
        </w:rPr>
        <w:t>e</w:t>
      </w:r>
      <w:r w:rsidR="001569AB" w:rsidRPr="00784EAB">
        <w:rPr>
          <w:lang w:val="en-CA"/>
        </w:rPr>
        <w:t>k</w:t>
      </w:r>
      <w:proofErr w:type="spellEnd"/>
      <w:r w:rsidR="001569AB" w:rsidRPr="00784EAB">
        <w:rPr>
          <w:lang w:val="en-CA"/>
        </w:rPr>
        <w:t xml:space="preserve"> et al, 2006) and w</w:t>
      </w:r>
      <w:r w:rsidR="002D1763" w:rsidRPr="00784EAB">
        <w:rPr>
          <w:lang w:val="en-CA"/>
        </w:rPr>
        <w:t xml:space="preserve">ould need </w:t>
      </w:r>
      <w:proofErr w:type="spellStart"/>
      <w:r w:rsidR="002D1763" w:rsidRPr="00784EAB">
        <w:rPr>
          <w:lang w:val="en-CA"/>
        </w:rPr>
        <w:t>recalibation</w:t>
      </w:r>
      <w:proofErr w:type="spellEnd"/>
      <w:r w:rsidR="002D1763" w:rsidRPr="00784EAB">
        <w:rPr>
          <w:lang w:val="en-CA"/>
        </w:rPr>
        <w:t xml:space="preserve"> to account for changes in the calibration of these sensors since 2008 or </w:t>
      </w:r>
      <w:r w:rsidR="001569AB" w:rsidRPr="00784EAB">
        <w:rPr>
          <w:lang w:val="en-CA"/>
        </w:rPr>
        <w:t xml:space="preserve">to Landsat 8 Operational Line Imager (OLI) or Sentinel 2 Multispectral </w:t>
      </w:r>
      <w:proofErr w:type="spellStart"/>
      <w:r w:rsidR="001569AB" w:rsidRPr="00784EAB">
        <w:rPr>
          <w:lang w:val="en-CA"/>
        </w:rPr>
        <w:t>Istrument</w:t>
      </w:r>
      <w:proofErr w:type="spellEnd"/>
      <w:r w:rsidR="001569AB" w:rsidRPr="00784EAB">
        <w:rPr>
          <w:lang w:val="en-CA"/>
        </w:rPr>
        <w:t xml:space="preserve"> </w:t>
      </w:r>
      <w:r w:rsidRPr="00784EAB">
        <w:rPr>
          <w:lang w:val="en-CA"/>
        </w:rPr>
        <w:t>SDR;</w:t>
      </w:r>
    </w:p>
    <w:p w:rsidR="008F0BC9" w:rsidRPr="00784EAB" w:rsidRDefault="008F0BC9" w:rsidP="008F0BC9">
      <w:pPr>
        <w:pStyle w:val="ListParagraph"/>
        <w:numPr>
          <w:ilvl w:val="0"/>
          <w:numId w:val="1"/>
        </w:numPr>
        <w:rPr>
          <w:lang w:val="en-CA"/>
        </w:rPr>
      </w:pPr>
      <w:r w:rsidRPr="00784EAB">
        <w:rPr>
          <w:lang w:val="en-CA"/>
        </w:rPr>
        <w:t xml:space="preserve"> </w:t>
      </w:r>
      <w:r w:rsidR="002D1763" w:rsidRPr="00784EAB">
        <w:rPr>
          <w:lang w:val="en-CA"/>
        </w:rPr>
        <w:t xml:space="preserve">it deviates from MOD15A1 in that it uses  a shortwave infrared (SWIR) band in addition to a red and near-infrared input band that may decease uncertainty </w:t>
      </w:r>
      <w:r w:rsidRPr="00784EAB">
        <w:rPr>
          <w:lang w:val="en-CA"/>
        </w:rPr>
        <w:t>but also consistency;</w:t>
      </w:r>
    </w:p>
    <w:p w:rsidR="00B012E4" w:rsidRPr="00784EAB" w:rsidRDefault="008F0BC9" w:rsidP="008F0BC9">
      <w:pPr>
        <w:pStyle w:val="ListParagraph"/>
        <w:numPr>
          <w:ilvl w:val="0"/>
          <w:numId w:val="1"/>
        </w:numPr>
        <w:rPr>
          <w:lang w:val="en-CA"/>
        </w:rPr>
      </w:pPr>
      <w:r w:rsidRPr="00784EAB">
        <w:rPr>
          <w:lang w:val="en-CA"/>
        </w:rPr>
        <w:t xml:space="preserve"> </w:t>
      </w:r>
      <w:proofErr w:type="gramStart"/>
      <w:r w:rsidR="002D1763" w:rsidRPr="00784EAB">
        <w:rPr>
          <w:lang w:val="en-CA"/>
        </w:rPr>
        <w:t>it</w:t>
      </w:r>
      <w:proofErr w:type="gramEnd"/>
      <w:r w:rsidR="002D1763" w:rsidRPr="00784EAB">
        <w:rPr>
          <w:lang w:val="en-CA"/>
        </w:rPr>
        <w:t xml:space="preserve"> was implemented in a high performance compute environment that is not open for use.</w:t>
      </w:r>
      <w:r w:rsidR="00B012E4" w:rsidRPr="00784EAB">
        <w:rPr>
          <w:lang w:val="en-CA"/>
        </w:rPr>
        <w:t xml:space="preserve">  </w:t>
      </w:r>
      <w:r w:rsidR="002D1763" w:rsidRPr="00784EAB">
        <w:rPr>
          <w:lang w:val="en-CA"/>
        </w:rPr>
        <w:t xml:space="preserve">The goal of this study is to develop, implement and validate an algorithm that closely approximates MOD15v6 for Landsat or S2 SDRs and that is capable of systematic processing of regional (&gt;10,000km2) products in a free and open manner.   </w:t>
      </w:r>
    </w:p>
    <w:p w:rsidR="00E80F96" w:rsidRPr="00784EAB" w:rsidRDefault="00E80F96">
      <w:pPr>
        <w:rPr>
          <w:lang w:val="en-CA"/>
        </w:rPr>
      </w:pPr>
    </w:p>
    <w:p w:rsidR="00484F4B" w:rsidRPr="00784EAB" w:rsidRDefault="001C362B">
      <w:pPr>
        <w:rPr>
          <w:lang w:val="en-CA"/>
        </w:rPr>
      </w:pPr>
      <w:r w:rsidRPr="00784EAB">
        <w:rPr>
          <w:lang w:val="en-CA"/>
        </w:rPr>
        <w:t xml:space="preserve">MOD15v6 is a deterministic algorithm </w:t>
      </w:r>
      <w:r w:rsidR="00E80F96" w:rsidRPr="00784EAB">
        <w:rPr>
          <w:lang w:val="en-CA"/>
        </w:rPr>
        <w:t>that, given one of xx biome types</w:t>
      </w:r>
      <w:r w:rsidR="003B14F1" w:rsidRPr="00784EAB">
        <w:rPr>
          <w:lang w:val="en-CA"/>
        </w:rPr>
        <w:t xml:space="preserve"> (Table 2</w:t>
      </w:r>
      <w:r w:rsidR="00E80F96" w:rsidRPr="00784EAB">
        <w:rPr>
          <w:lang w:val="en-CA"/>
        </w:rPr>
        <w:t xml:space="preserve">), relates input MODIS red and near infrared bi-directional reflectance, view and solar zenith angle and their relative azimuth angle to the expected value and standard error of either LAI or </w:t>
      </w:r>
      <w:proofErr w:type="spellStart"/>
      <w:r w:rsidR="00E80F96" w:rsidRPr="00784EAB">
        <w:rPr>
          <w:lang w:val="en-CA"/>
        </w:rPr>
        <w:t>fAPAR</w:t>
      </w:r>
      <w:proofErr w:type="spellEnd"/>
      <w:r w:rsidR="00E80F96" w:rsidRPr="00784EAB">
        <w:rPr>
          <w:lang w:val="en-CA"/>
        </w:rPr>
        <w:t xml:space="preserve">.  </w:t>
      </w:r>
      <w:r w:rsidR="00285780" w:rsidRPr="00784EAB">
        <w:rPr>
          <w:lang w:val="en-CA"/>
        </w:rPr>
        <w:t xml:space="preserve">MOD15A1 </w:t>
      </w:r>
      <w:r w:rsidR="00E80F96" w:rsidRPr="00784EAB">
        <w:rPr>
          <w:lang w:val="en-CA"/>
        </w:rPr>
        <w:t xml:space="preserve">is implemented using a cascade of look-up tables (LUTs) populated with radiative transfer (RT) model simulations of reflectance and </w:t>
      </w:r>
      <w:proofErr w:type="spellStart"/>
      <w:r w:rsidR="00E80F96" w:rsidRPr="00784EAB">
        <w:rPr>
          <w:lang w:val="en-CA"/>
        </w:rPr>
        <w:t>fAPAR</w:t>
      </w:r>
      <w:proofErr w:type="spellEnd"/>
      <w:r w:rsidR="00E80F96" w:rsidRPr="00784EAB">
        <w:rPr>
          <w:lang w:val="en-CA"/>
        </w:rPr>
        <w:t xml:space="preserve"> based on prior distributions for </w:t>
      </w:r>
      <w:r w:rsidR="002D1763" w:rsidRPr="00784EAB">
        <w:rPr>
          <w:lang w:val="en-CA"/>
        </w:rPr>
        <w:t>biome specific</w:t>
      </w:r>
      <w:r w:rsidR="00E80F96" w:rsidRPr="00784EAB">
        <w:rPr>
          <w:lang w:val="en-CA"/>
        </w:rPr>
        <w:t xml:space="preserve"> RT model inputs and sensor specific observation geometry.</w:t>
      </w:r>
      <w:r w:rsidR="00285780" w:rsidRPr="00784EAB">
        <w:rPr>
          <w:lang w:val="en-CA"/>
        </w:rPr>
        <w:t xml:space="preserve">  </w:t>
      </w:r>
    </w:p>
    <w:p w:rsidR="002D1763" w:rsidRPr="00784EAB" w:rsidRDefault="002D1763">
      <w:pPr>
        <w:rPr>
          <w:lang w:val="en-CA"/>
        </w:rPr>
      </w:pPr>
    </w:p>
    <w:p w:rsidR="004F40A0" w:rsidRPr="00784EAB" w:rsidRDefault="00BD0E73">
      <w:pPr>
        <w:rPr>
          <w:lang w:val="en-CA"/>
        </w:rPr>
      </w:pPr>
      <w:r w:rsidRPr="00784EAB">
        <w:rPr>
          <w:rFonts w:cs="Arial"/>
          <w:sz w:val="21"/>
          <w:szCs w:val="21"/>
          <w:shd w:val="clear" w:color="auto" w:fill="FFFFFF"/>
        </w:rPr>
        <w:t>Transfer learning is a machine learning approach that uses knowledge gained while solving one problem and applies it to solving a different but related problem (</w:t>
      </w:r>
      <w:proofErr w:type="spellStart"/>
      <w:r w:rsidRPr="00784EAB">
        <w:rPr>
          <w:rFonts w:cs="Arial"/>
          <w:sz w:val="21"/>
          <w:szCs w:val="21"/>
          <w:shd w:val="clear" w:color="auto" w:fill="FFFFFF"/>
        </w:rPr>
        <w:t>Goodfellow</w:t>
      </w:r>
      <w:proofErr w:type="spellEnd"/>
      <w:r w:rsidRPr="00784EAB">
        <w:rPr>
          <w:rFonts w:cs="Arial"/>
          <w:sz w:val="21"/>
          <w:szCs w:val="21"/>
          <w:shd w:val="clear" w:color="auto" w:fill="FFFFFF"/>
        </w:rPr>
        <w:t xml:space="preserve"> et al., 2015).</w:t>
      </w:r>
      <w:r w:rsidR="004F40A0" w:rsidRPr="00784EAB">
        <w:rPr>
          <w:lang w:val="en-CA"/>
        </w:rPr>
        <w:t xml:space="preserve"> </w:t>
      </w:r>
      <w:r w:rsidR="00484F4B" w:rsidRPr="00784EAB">
        <w:rPr>
          <w:lang w:val="en-CA"/>
        </w:rPr>
        <w:t xml:space="preserve">In this context, </w:t>
      </w:r>
      <w:r w:rsidR="004F40A0" w:rsidRPr="00784EAB">
        <w:rPr>
          <w:lang w:val="en-CA"/>
        </w:rPr>
        <w:t xml:space="preserve">the problem at hand is mapping Landsat or S2 SDRs to LAI and </w:t>
      </w:r>
      <w:proofErr w:type="spellStart"/>
      <w:r w:rsidR="004F40A0" w:rsidRPr="00784EAB">
        <w:rPr>
          <w:lang w:val="en-CA"/>
        </w:rPr>
        <w:t>fAPAR</w:t>
      </w:r>
      <w:proofErr w:type="spellEnd"/>
      <w:r w:rsidR="004F40A0" w:rsidRPr="00784EAB">
        <w:rPr>
          <w:lang w:val="en-CA"/>
        </w:rPr>
        <w:t xml:space="preserve"> estimates consistent with MOD15A3H and </w:t>
      </w:r>
      <w:proofErr w:type="spellStart"/>
      <w:r w:rsidR="004F40A0" w:rsidRPr="00784EAB">
        <w:rPr>
          <w:lang w:val="en-CA"/>
        </w:rPr>
        <w:t>meeing</w:t>
      </w:r>
      <w:proofErr w:type="spellEnd"/>
      <w:r w:rsidR="004F40A0" w:rsidRPr="00784EAB">
        <w:rPr>
          <w:lang w:val="en-CA"/>
        </w:rPr>
        <w:t xml:space="preserve"> GCOS requirements and the related problem is the MOD15v3 algorithm that maps MODIS inputs to MOD15A3H product outputs</w:t>
      </w:r>
      <w:r w:rsidR="005D7CEE" w:rsidRPr="00784EAB">
        <w:rPr>
          <w:lang w:val="en-CA"/>
        </w:rPr>
        <w:t xml:space="preserve">.  </w:t>
      </w:r>
    </w:p>
    <w:p w:rsidR="008F0BC9" w:rsidRPr="00784EAB" w:rsidRDefault="008F0BC9">
      <w:pPr>
        <w:rPr>
          <w:lang w:val="en-CA"/>
        </w:rPr>
      </w:pPr>
    </w:p>
    <w:p w:rsidR="00484F4B" w:rsidRPr="00784EAB" w:rsidRDefault="004F40A0">
      <w:pPr>
        <w:rPr>
          <w:lang w:val="en-CA"/>
        </w:rPr>
      </w:pPr>
      <w:r w:rsidRPr="00784EAB">
        <w:rPr>
          <w:lang w:val="en-CA"/>
        </w:rPr>
        <w:t xml:space="preserve">Transfer learning </w:t>
      </w:r>
      <w:proofErr w:type="gramStart"/>
      <w:r w:rsidRPr="00784EAB">
        <w:rPr>
          <w:lang w:val="en-CA"/>
        </w:rPr>
        <w:t>has been used</w:t>
      </w:r>
      <w:proofErr w:type="gramEnd"/>
      <w:r w:rsidRPr="00784EAB">
        <w:rPr>
          <w:lang w:val="en-CA"/>
        </w:rPr>
        <w:t xml:space="preserve"> to approximate the MOD15A1 algorithm for application to SDRs from other imagers (Verger, xx; </w:t>
      </w:r>
      <w:r w:rsidR="00784EAB" w:rsidRPr="00784EAB">
        <w:rPr>
          <w:lang w:val="en-CA"/>
        </w:rPr>
        <w:t>Campos-</w:t>
      </w:r>
      <w:proofErr w:type="spellStart"/>
      <w:r w:rsidR="00784EAB" w:rsidRPr="00784EAB">
        <w:rPr>
          <w:lang w:val="en-CA"/>
        </w:rPr>
        <w:t>Taberner</w:t>
      </w:r>
      <w:proofErr w:type="spellEnd"/>
      <w:r w:rsidR="00784EAB" w:rsidRPr="00784EAB">
        <w:rPr>
          <w:lang w:val="en-CA"/>
        </w:rPr>
        <w:t xml:space="preserve"> et al. xx; </w:t>
      </w:r>
      <w:r w:rsidRPr="00784EAB">
        <w:rPr>
          <w:lang w:val="en-CA"/>
        </w:rPr>
        <w:t xml:space="preserve">Kang, xx).  </w:t>
      </w:r>
      <w:r w:rsidRPr="00784EAB">
        <w:rPr>
          <w:rFonts w:cs="Arial"/>
          <w:sz w:val="21"/>
          <w:szCs w:val="21"/>
          <w:shd w:val="clear" w:color="auto" w:fill="FFFFFF"/>
        </w:rPr>
        <w:t xml:space="preserve"> </w:t>
      </w:r>
      <w:r w:rsidRPr="00784EAB">
        <w:rPr>
          <w:lang w:val="en-CA"/>
        </w:rPr>
        <w:t>These studies have</w:t>
      </w:r>
      <w:r w:rsidR="005D7CEE" w:rsidRPr="00784EAB">
        <w:rPr>
          <w:lang w:val="en-CA"/>
        </w:rPr>
        <w:t xml:space="preserve"> used non-linear regression to estimate the mapping given the calibration database in the n</w:t>
      </w:r>
      <w:r w:rsidR="003B14F1" w:rsidRPr="00784EAB">
        <w:rPr>
          <w:lang w:val="en-CA"/>
        </w:rPr>
        <w:t xml:space="preserve">ame of computational </w:t>
      </w:r>
      <w:proofErr w:type="gramStart"/>
      <w:r w:rsidR="003B14F1" w:rsidRPr="00784EAB">
        <w:rPr>
          <w:lang w:val="en-CA"/>
        </w:rPr>
        <w:t>efficiency  (</w:t>
      </w:r>
      <w:proofErr w:type="gramEnd"/>
      <w:r w:rsidR="003B14F1" w:rsidRPr="00784EAB">
        <w:rPr>
          <w:lang w:val="en-CA"/>
        </w:rPr>
        <w:t xml:space="preserve">Verger, xx; Kang, xx). </w:t>
      </w:r>
      <w:r w:rsidR="005D7CEE" w:rsidRPr="00784EAB">
        <w:rPr>
          <w:lang w:val="en-CA"/>
        </w:rPr>
        <w:t xml:space="preserve">  </w:t>
      </w:r>
      <w:proofErr w:type="gramStart"/>
      <w:r w:rsidR="005D7CEE" w:rsidRPr="00784EAB">
        <w:rPr>
          <w:lang w:val="en-CA"/>
        </w:rPr>
        <w:t xml:space="preserve">There are three major limitations with this approach: </w:t>
      </w:r>
      <w:proofErr w:type="spellStart"/>
      <w:r w:rsidR="005D7CEE" w:rsidRPr="00784EAB">
        <w:rPr>
          <w:lang w:val="en-CA"/>
        </w:rPr>
        <w:t>i</w:t>
      </w:r>
      <w:proofErr w:type="spellEnd"/>
      <w:r w:rsidR="005D7CEE" w:rsidRPr="00784EAB">
        <w:rPr>
          <w:lang w:val="en-CA"/>
        </w:rPr>
        <w:t xml:space="preserve">) a full recalibration must generally be performed to incorporate additional samples, ii) regression assumes conditional residuals are independent and identically distributed while the highly non-linear nature of the relationship between input reflectance and variables such as LAI indicate this may not be satisfied,  iii) </w:t>
      </w:r>
      <w:r w:rsidRPr="00784EAB">
        <w:rPr>
          <w:lang w:val="en-CA"/>
        </w:rPr>
        <w:t xml:space="preserve">it is difficult to arrive at </w:t>
      </w:r>
      <w:r w:rsidR="005D7CEE" w:rsidRPr="00784EAB">
        <w:rPr>
          <w:lang w:val="en-CA"/>
        </w:rPr>
        <w:t xml:space="preserve">unbiased estimates </w:t>
      </w:r>
      <w:r w:rsidRPr="00784EAB">
        <w:rPr>
          <w:lang w:val="en-CA"/>
        </w:rPr>
        <w:t xml:space="preserve">of LAI and </w:t>
      </w:r>
      <w:proofErr w:type="spellStart"/>
      <w:r w:rsidRPr="00784EAB">
        <w:rPr>
          <w:lang w:val="en-CA"/>
        </w:rPr>
        <w:t>fAPAR</w:t>
      </w:r>
      <w:proofErr w:type="spellEnd"/>
      <w:r w:rsidRPr="00784EAB">
        <w:rPr>
          <w:lang w:val="en-CA"/>
        </w:rPr>
        <w:t xml:space="preserve"> and their</w:t>
      </w:r>
      <w:r w:rsidR="005D7CEE" w:rsidRPr="00784EAB">
        <w:rPr>
          <w:lang w:val="en-CA"/>
        </w:rPr>
        <w:t xml:space="preserve"> standard error in the </w:t>
      </w:r>
      <w:r w:rsidRPr="00784EAB">
        <w:rPr>
          <w:lang w:val="en-CA"/>
        </w:rPr>
        <w:t xml:space="preserve">presence </w:t>
      </w:r>
      <w:r w:rsidRPr="00784EAB">
        <w:rPr>
          <w:lang w:val="en-CA"/>
        </w:rPr>
        <w:lastRenderedPageBreak/>
        <w:t>of</w:t>
      </w:r>
      <w:r w:rsidR="005D7CEE" w:rsidRPr="00784EAB">
        <w:rPr>
          <w:lang w:val="en-CA"/>
        </w:rPr>
        <w:t xml:space="preserve"> measurement error in </w:t>
      </w:r>
      <w:r w:rsidR="003B14F1" w:rsidRPr="00784EAB">
        <w:rPr>
          <w:lang w:val="en-CA"/>
        </w:rPr>
        <w:t>both inputs and outputs</w:t>
      </w:r>
      <w:r w:rsidRPr="00784EAB">
        <w:rPr>
          <w:lang w:val="en-CA"/>
        </w:rPr>
        <w:t>,</w:t>
      </w:r>
      <w:r w:rsidR="003B14F1" w:rsidRPr="00784EAB">
        <w:rPr>
          <w:lang w:val="en-CA"/>
        </w:rPr>
        <w:t xml:space="preserve"> as </w:t>
      </w:r>
      <w:r w:rsidRPr="00784EAB">
        <w:rPr>
          <w:lang w:val="en-CA"/>
        </w:rPr>
        <w:t>is the case</w:t>
      </w:r>
      <w:r w:rsidR="003B14F1" w:rsidRPr="00784EAB">
        <w:rPr>
          <w:lang w:val="en-CA"/>
        </w:rPr>
        <w:t xml:space="preserve"> when using noisy </w:t>
      </w:r>
      <w:r w:rsidRPr="00784EAB">
        <w:rPr>
          <w:lang w:val="en-CA"/>
        </w:rPr>
        <w:t>Landsat or S2</w:t>
      </w:r>
      <w:r w:rsidR="003B14F1" w:rsidRPr="00784EAB">
        <w:rPr>
          <w:lang w:val="en-CA"/>
        </w:rPr>
        <w:t xml:space="preserve"> SDRs and MOD15A3H product estimates.</w:t>
      </w:r>
      <w:proofErr w:type="gramEnd"/>
    </w:p>
    <w:p w:rsidR="001114F1" w:rsidRPr="00784EAB" w:rsidRDefault="001114F1">
      <w:pPr>
        <w:rPr>
          <w:lang w:val="en-CA"/>
        </w:rPr>
      </w:pPr>
    </w:p>
    <w:p w:rsidR="001114F1" w:rsidRPr="00784EAB" w:rsidRDefault="001114F1" w:rsidP="004F40A0">
      <w:pPr>
        <w:jc w:val="both"/>
        <w:rPr>
          <w:lang w:val="en-CA"/>
        </w:rPr>
      </w:pPr>
      <w:r w:rsidRPr="00784EAB">
        <w:rPr>
          <w:lang w:val="en-CA"/>
        </w:rPr>
        <w:t xml:space="preserve">A brute force approach to transfer learning </w:t>
      </w:r>
      <w:proofErr w:type="gramStart"/>
      <w:r w:rsidRPr="00784EAB">
        <w:rPr>
          <w:lang w:val="en-CA"/>
        </w:rPr>
        <w:t>is proposed</w:t>
      </w:r>
      <w:proofErr w:type="gramEnd"/>
      <w:r w:rsidRPr="00784EAB">
        <w:rPr>
          <w:lang w:val="en-CA"/>
        </w:rPr>
        <w:t xml:space="preserve"> to address the limitations of regression approaches.  Biome specific LUTs </w:t>
      </w:r>
      <w:r w:rsidR="004F40A0" w:rsidRPr="00784EAB">
        <w:rPr>
          <w:lang w:val="en-CA"/>
        </w:rPr>
        <w:t xml:space="preserve">for the expected value and standard error of </w:t>
      </w:r>
      <w:proofErr w:type="gramStart"/>
      <w:r w:rsidR="004F40A0" w:rsidRPr="00784EAB">
        <w:rPr>
          <w:lang w:val="en-CA"/>
        </w:rPr>
        <w:t>either LAI and</w:t>
      </w:r>
      <w:proofErr w:type="gramEnd"/>
      <w:r w:rsidR="004F40A0" w:rsidRPr="00784EAB">
        <w:rPr>
          <w:lang w:val="en-CA"/>
        </w:rPr>
        <w:t xml:space="preserve"> </w:t>
      </w:r>
      <w:proofErr w:type="spellStart"/>
      <w:r w:rsidR="004F40A0" w:rsidRPr="00784EAB">
        <w:rPr>
          <w:lang w:val="en-CA"/>
        </w:rPr>
        <w:t>fAPAR</w:t>
      </w:r>
      <w:proofErr w:type="spellEnd"/>
      <w:r w:rsidR="004F40A0" w:rsidRPr="00784EAB">
        <w:rPr>
          <w:lang w:val="en-CA"/>
        </w:rPr>
        <w:t xml:space="preserve"> </w:t>
      </w:r>
      <w:r w:rsidRPr="00784EAB">
        <w:rPr>
          <w:lang w:val="en-CA"/>
        </w:rPr>
        <w:t xml:space="preserve">are populated using a large calibration database of spatially and temporally matched </w:t>
      </w:r>
      <w:proofErr w:type="spellStart"/>
      <w:r w:rsidRPr="00784EAB">
        <w:rPr>
          <w:lang w:val="en-CA"/>
        </w:rPr>
        <w:t>upscaled</w:t>
      </w:r>
      <w:proofErr w:type="spellEnd"/>
      <w:r w:rsidRPr="00784EAB">
        <w:rPr>
          <w:lang w:val="en-CA"/>
        </w:rPr>
        <w:t xml:space="preserve"> target clear sky </w:t>
      </w:r>
      <w:r w:rsidR="004F40A0" w:rsidRPr="00784EAB">
        <w:rPr>
          <w:lang w:val="en-CA"/>
        </w:rPr>
        <w:t>Landsat or S2 surface reflectance</w:t>
      </w:r>
      <w:r w:rsidRPr="00784EAB">
        <w:rPr>
          <w:lang w:val="en-CA"/>
        </w:rPr>
        <w:t xml:space="preserve"> inputs and 500m resolution Terra MODIS</w:t>
      </w:r>
      <w:r w:rsidR="004F40A0" w:rsidRPr="00784EAB">
        <w:rPr>
          <w:lang w:val="en-CA"/>
        </w:rPr>
        <w:t xml:space="preserve"> MOD15A3H outputs</w:t>
      </w:r>
      <w:r w:rsidRPr="00784EAB">
        <w:rPr>
          <w:lang w:val="en-CA"/>
        </w:rPr>
        <w:t xml:space="preserve">.  The LUT </w:t>
      </w:r>
      <w:proofErr w:type="gramStart"/>
      <w:r w:rsidRPr="00784EAB">
        <w:rPr>
          <w:lang w:val="en-CA"/>
        </w:rPr>
        <w:t>is then applied</w:t>
      </w:r>
      <w:proofErr w:type="gramEnd"/>
      <w:r w:rsidRPr="00784EAB">
        <w:rPr>
          <w:lang w:val="en-CA"/>
        </w:rPr>
        <w:t xml:space="preserve"> </w:t>
      </w:r>
      <w:r w:rsidR="004F40A0" w:rsidRPr="00784EAB">
        <w:rPr>
          <w:lang w:val="en-CA"/>
        </w:rPr>
        <w:t>to full resolution imagery corresponding to the inputs</w:t>
      </w:r>
      <w:r w:rsidRPr="00784EAB">
        <w:rPr>
          <w:lang w:val="en-CA"/>
        </w:rPr>
        <w:t>.</w:t>
      </w:r>
      <w:r w:rsidR="004F40A0" w:rsidRPr="00784EAB">
        <w:rPr>
          <w:lang w:val="en-CA"/>
        </w:rPr>
        <w:t xml:space="preserve">  </w:t>
      </w:r>
      <w:r w:rsidRPr="00784EAB">
        <w:rPr>
          <w:lang w:val="en-CA"/>
        </w:rPr>
        <w:t xml:space="preserve">   </w:t>
      </w:r>
    </w:p>
    <w:p w:rsidR="001114F1" w:rsidRPr="00784EAB" w:rsidRDefault="001114F1">
      <w:pPr>
        <w:rPr>
          <w:lang w:val="en-CA"/>
        </w:rPr>
      </w:pPr>
    </w:p>
    <w:p w:rsidR="001114F1" w:rsidRPr="00784EAB" w:rsidRDefault="001114F1">
      <w:pPr>
        <w:rPr>
          <w:lang w:val="en-CA"/>
        </w:rPr>
      </w:pPr>
      <w:r w:rsidRPr="00784EAB">
        <w:rPr>
          <w:lang w:val="en-CA"/>
        </w:rPr>
        <w:t xml:space="preserve">The purpose of this study is to develop and document an open source LUT based </w:t>
      </w:r>
      <w:proofErr w:type="gramStart"/>
      <w:r w:rsidRPr="00784EAB">
        <w:rPr>
          <w:lang w:val="en-CA"/>
        </w:rPr>
        <w:t>transfer learning</w:t>
      </w:r>
      <w:proofErr w:type="gramEnd"/>
      <w:r w:rsidRPr="00784EAB">
        <w:rPr>
          <w:lang w:val="en-CA"/>
        </w:rPr>
        <w:t xml:space="preserve"> algorithm to apply an equivalent of the MDO15A1 LAI and </w:t>
      </w:r>
      <w:proofErr w:type="spellStart"/>
      <w:r w:rsidRPr="00784EAB">
        <w:rPr>
          <w:lang w:val="en-CA"/>
        </w:rPr>
        <w:t>fAPAR</w:t>
      </w:r>
      <w:proofErr w:type="spellEnd"/>
      <w:r w:rsidRPr="00784EAB">
        <w:rPr>
          <w:lang w:val="en-CA"/>
        </w:rPr>
        <w:t xml:space="preserve"> algorithm to ETM+ imagery.  A secondary purpose is to validate </w:t>
      </w:r>
      <w:r w:rsidR="004F40A0" w:rsidRPr="00784EAB">
        <w:rPr>
          <w:lang w:val="en-CA"/>
        </w:rPr>
        <w:t xml:space="preserve">derived Landsat and </w:t>
      </w:r>
      <w:proofErr w:type="gramStart"/>
      <w:r w:rsidR="004F40A0" w:rsidRPr="00784EAB">
        <w:rPr>
          <w:lang w:val="en-CA"/>
        </w:rPr>
        <w:t>S2</w:t>
      </w:r>
      <w:r w:rsidRPr="00784EAB">
        <w:rPr>
          <w:lang w:val="en-CA"/>
        </w:rPr>
        <w:t xml:space="preserve">  products</w:t>
      </w:r>
      <w:proofErr w:type="gramEnd"/>
      <w:r w:rsidRPr="00784EAB">
        <w:rPr>
          <w:lang w:val="en-CA"/>
        </w:rPr>
        <w:t xml:space="preserve"> from this algorithm using in-situ reference data and </w:t>
      </w:r>
      <w:r w:rsidR="004F40A0" w:rsidRPr="00784EAB">
        <w:rPr>
          <w:lang w:val="en-CA"/>
        </w:rPr>
        <w:t xml:space="preserve">to </w:t>
      </w:r>
      <w:proofErr w:type="spellStart"/>
      <w:r w:rsidR="004F40A0" w:rsidRPr="00784EAB">
        <w:rPr>
          <w:lang w:val="en-CA"/>
        </w:rPr>
        <w:t>quantiy</w:t>
      </w:r>
      <w:proofErr w:type="spellEnd"/>
      <w:r w:rsidR="004F40A0" w:rsidRPr="00784EAB">
        <w:rPr>
          <w:lang w:val="en-CA"/>
        </w:rPr>
        <w:t xml:space="preserve"> consistency by </w:t>
      </w:r>
      <w:proofErr w:type="spellStart"/>
      <w:r w:rsidR="004F40A0" w:rsidRPr="00784EAB">
        <w:rPr>
          <w:lang w:val="en-CA"/>
        </w:rPr>
        <w:t>intercomparison</w:t>
      </w:r>
      <w:proofErr w:type="spellEnd"/>
      <w:r w:rsidR="004F40A0" w:rsidRPr="00784EAB">
        <w:rPr>
          <w:lang w:val="en-CA"/>
        </w:rPr>
        <w:t xml:space="preserve"> with MOD15A3H  product at 500m resolution.</w:t>
      </w:r>
      <w:r w:rsidRPr="00784EAB">
        <w:rPr>
          <w:lang w:val="en-CA"/>
        </w:rPr>
        <w:t xml:space="preserve">  </w:t>
      </w:r>
    </w:p>
    <w:p w:rsidR="001114F1" w:rsidRPr="00784EAB" w:rsidRDefault="001114F1">
      <w:pPr>
        <w:rPr>
          <w:lang w:val="en-CA"/>
        </w:rPr>
      </w:pPr>
    </w:p>
    <w:p w:rsidR="008D7340" w:rsidRPr="00784EAB" w:rsidRDefault="001114F1">
      <w:pPr>
        <w:rPr>
          <w:lang w:val="en-CA"/>
        </w:rPr>
      </w:pPr>
      <w:r w:rsidRPr="00784EAB">
        <w:rPr>
          <w:lang w:val="en-CA"/>
        </w:rPr>
        <w:t xml:space="preserve">We hypothesize </w:t>
      </w:r>
      <w:r w:rsidR="008D7340" w:rsidRPr="00784EAB">
        <w:rPr>
          <w:lang w:val="en-CA"/>
        </w:rPr>
        <w:t xml:space="preserve">that brute force transfer learning using paired 500m resolution ETM+ inputs and MOD15A3H1 outputs will be sufficient to populate a LUT to provide retrievals for all valid clear sky </w:t>
      </w:r>
      <w:r w:rsidR="004F40A0" w:rsidRPr="00784EAB">
        <w:rPr>
          <w:lang w:val="en-CA"/>
        </w:rPr>
        <w:t>Landsat or S2</w:t>
      </w:r>
      <w:r w:rsidR="008D7340" w:rsidRPr="00784EAB">
        <w:rPr>
          <w:lang w:val="en-CA"/>
        </w:rPr>
        <w:t xml:space="preserve"> measurements over vegetation.  This </w:t>
      </w:r>
      <w:proofErr w:type="gramStart"/>
      <w:r w:rsidR="008D7340" w:rsidRPr="00784EAB">
        <w:rPr>
          <w:lang w:val="en-CA"/>
        </w:rPr>
        <w:t>will be tested</w:t>
      </w:r>
      <w:proofErr w:type="gramEnd"/>
      <w:r w:rsidR="008D7340" w:rsidRPr="00784EAB">
        <w:rPr>
          <w:lang w:val="en-CA"/>
        </w:rPr>
        <w:t xml:space="preserve"> by determining the frequency of unmatched inputs as a function of calibration database size and biome.</w:t>
      </w:r>
    </w:p>
    <w:p w:rsidR="008D7340" w:rsidRPr="00784EAB" w:rsidRDefault="008D7340">
      <w:pPr>
        <w:rPr>
          <w:lang w:val="en-CA"/>
        </w:rPr>
      </w:pPr>
    </w:p>
    <w:p w:rsidR="008D7340" w:rsidRPr="00784EAB" w:rsidRDefault="008D7340">
      <w:pPr>
        <w:rPr>
          <w:lang w:val="en-CA"/>
        </w:rPr>
      </w:pPr>
      <w:r w:rsidRPr="00784EAB">
        <w:rPr>
          <w:lang w:val="en-CA"/>
        </w:rPr>
        <w:t xml:space="preserve">We hypothesize that the difference between 500m resolution </w:t>
      </w:r>
      <w:r w:rsidR="004F40A0" w:rsidRPr="00784EAB">
        <w:rPr>
          <w:lang w:val="en-CA"/>
        </w:rPr>
        <w:t>Landsat or S2</w:t>
      </w:r>
      <w:r w:rsidRPr="00784EAB">
        <w:rPr>
          <w:lang w:val="en-CA"/>
        </w:rPr>
        <w:t xml:space="preserve"> products and MOD15A3H products will be substantially less than the MDO15A3H standard error  This will be tested by quantifying the ratio of the root mean square difference (RMSD) between products to the standard error of the MOD15A3H estimates as a function of biome type and ETM+ variable estimated.</w:t>
      </w:r>
    </w:p>
    <w:p w:rsidR="008D7340" w:rsidRPr="00784EAB" w:rsidRDefault="008D7340">
      <w:pPr>
        <w:rPr>
          <w:lang w:val="en-CA"/>
        </w:rPr>
      </w:pPr>
    </w:p>
    <w:p w:rsidR="008D7340" w:rsidRPr="00784EAB" w:rsidRDefault="008D7340">
      <w:pPr>
        <w:rPr>
          <w:lang w:val="en-CA"/>
        </w:rPr>
      </w:pPr>
      <w:r w:rsidRPr="00784EAB">
        <w:rPr>
          <w:lang w:val="en-CA"/>
        </w:rPr>
        <w:t xml:space="preserve">We hypothesize that the bias and uncertainty of </w:t>
      </w:r>
      <w:r w:rsidR="004F40A0" w:rsidRPr="00784EAB">
        <w:rPr>
          <w:lang w:val="en-CA"/>
        </w:rPr>
        <w:t>Landsat and S2</w:t>
      </w:r>
      <w:r w:rsidRPr="00784EAB">
        <w:rPr>
          <w:lang w:val="en-CA"/>
        </w:rPr>
        <w:t xml:space="preserve"> products when compared to in-situ sites will be similar to the same statistics reported in the literature for other direct implementations of MOD15A1  </w:t>
      </w:r>
      <w:r w:rsidR="004F40A0" w:rsidRPr="00784EAB">
        <w:rPr>
          <w:lang w:val="en-CA"/>
        </w:rPr>
        <w:t>(</w:t>
      </w:r>
      <w:proofErr w:type="spellStart"/>
      <w:r w:rsidR="004F40A0" w:rsidRPr="00784EAB">
        <w:rPr>
          <w:lang w:val="en-CA"/>
        </w:rPr>
        <w:t>Ganguly</w:t>
      </w:r>
      <w:proofErr w:type="spellEnd"/>
      <w:r w:rsidR="004F40A0" w:rsidRPr="00784EAB">
        <w:rPr>
          <w:lang w:val="en-CA"/>
        </w:rPr>
        <w:t xml:space="preserve"> et al. 2008b</w:t>
      </w:r>
      <w:r w:rsidRPr="00784EAB">
        <w:rPr>
          <w:lang w:val="en-CA"/>
        </w:rPr>
        <w:t>) or transfer l</w:t>
      </w:r>
      <w:r w:rsidR="004F40A0" w:rsidRPr="00784EAB">
        <w:rPr>
          <w:lang w:val="en-CA"/>
        </w:rPr>
        <w:t>earning implementations (Kang et al., 2020</w:t>
      </w:r>
      <w:r w:rsidRPr="00784EAB">
        <w:rPr>
          <w:lang w:val="en-CA"/>
        </w:rPr>
        <w:t xml:space="preserve">).  Here similarity </w:t>
      </w:r>
      <w:proofErr w:type="gramStart"/>
      <w:r w:rsidRPr="00784EAB">
        <w:rPr>
          <w:lang w:val="en-CA"/>
        </w:rPr>
        <w:t>will be quantified</w:t>
      </w:r>
      <w:proofErr w:type="gramEnd"/>
      <w:r w:rsidRPr="00784EAB">
        <w:rPr>
          <w:lang w:val="en-CA"/>
        </w:rPr>
        <w:t xml:space="preserve"> as the ratio of the difference over similar validation sites compared to the typical standard </w:t>
      </w:r>
      <w:r w:rsidR="004F40A0" w:rsidRPr="00784EAB">
        <w:rPr>
          <w:lang w:val="en-CA"/>
        </w:rPr>
        <w:t xml:space="preserve">error of the Landsat or S2 </w:t>
      </w:r>
      <w:r w:rsidRPr="00784EAB">
        <w:rPr>
          <w:lang w:val="en-CA"/>
        </w:rPr>
        <w:t>estimates for a given biom</w:t>
      </w:r>
      <w:r w:rsidR="004F40A0" w:rsidRPr="00784EAB">
        <w:rPr>
          <w:lang w:val="en-CA"/>
        </w:rPr>
        <w:t>e</w:t>
      </w:r>
      <w:r w:rsidRPr="00784EAB">
        <w:rPr>
          <w:lang w:val="en-CA"/>
        </w:rPr>
        <w:t xml:space="preserve"> and estimated variable.</w:t>
      </w:r>
    </w:p>
    <w:p w:rsidR="001114F1" w:rsidRDefault="001114F1">
      <w:pPr>
        <w:rPr>
          <w:lang w:val="en-CA"/>
        </w:rPr>
      </w:pPr>
    </w:p>
    <w:p w:rsidR="00F9301A" w:rsidRDefault="00F9301A">
      <w:pPr>
        <w:rPr>
          <w:lang w:val="en-CA"/>
        </w:rPr>
      </w:pPr>
    </w:p>
    <w:p w:rsidR="00F9301A" w:rsidRDefault="00873825">
      <w:pPr>
        <w:rPr>
          <w:lang w:val="en-CA"/>
        </w:rPr>
      </w:pPr>
      <w:r>
        <w:rPr>
          <w:lang w:val="en-CA"/>
        </w:rPr>
        <w:t>Theory</w:t>
      </w:r>
    </w:p>
    <w:p w:rsidR="00873825" w:rsidRDefault="00873825">
      <w:pPr>
        <w:rPr>
          <w:lang w:val="en-CA"/>
        </w:rPr>
      </w:pPr>
    </w:p>
    <w:p w:rsidR="00784EAB" w:rsidRDefault="00784EAB">
      <w:pPr>
        <w:rPr>
          <w:lang w:val="en-CA"/>
        </w:rPr>
      </w:pPr>
      <w:r>
        <w:rPr>
          <w:lang w:val="en-CA"/>
        </w:rPr>
        <w:t>For a given biome</w:t>
      </w:r>
      <w:r w:rsidR="00914D28">
        <w:rPr>
          <w:lang w:val="en-CA"/>
        </w:rPr>
        <w:t xml:space="preserve"> (</w:t>
      </w:r>
      <w:r w:rsidR="00914D28">
        <w:rPr>
          <w:lang w:val="en-CA"/>
        </w:rPr>
        <w:fldChar w:fldCharType="begin"/>
      </w:r>
      <w:r w:rsidR="00914D28">
        <w:rPr>
          <w:lang w:val="en-CA"/>
        </w:rPr>
        <w:instrText xml:space="preserve"> REF _Ref81582923 \h </w:instrText>
      </w:r>
      <w:r w:rsidR="00914D28">
        <w:rPr>
          <w:lang w:val="en-CA"/>
        </w:rPr>
      </w:r>
      <w:r w:rsidR="00914D28">
        <w:rPr>
          <w:lang w:val="en-CA"/>
        </w:rPr>
        <w:fldChar w:fldCharType="separate"/>
      </w:r>
      <w:r w:rsidR="00914D28">
        <w:t xml:space="preserve">Table </w:t>
      </w:r>
      <w:r w:rsidR="00914D28">
        <w:rPr>
          <w:noProof/>
        </w:rPr>
        <w:t>2</w:t>
      </w:r>
      <w:r w:rsidR="00914D28">
        <w:rPr>
          <w:lang w:val="en-CA"/>
        </w:rPr>
        <w:fldChar w:fldCharType="end"/>
      </w:r>
      <w:r w:rsidR="00914D28">
        <w:rPr>
          <w:lang w:val="en-CA"/>
        </w:rPr>
        <w:t>)</w:t>
      </w:r>
      <w:r>
        <w:rPr>
          <w:lang w:val="en-CA"/>
        </w:rPr>
        <w:t xml:space="preserve">, MOD15A1 is a deterministic mapping between six inputs (MODIS Band 1 red BRF, MODIS Band 2 NIR BRF, view zenith and azimuth angle, and solar zenith and azimuth angle) and the </w:t>
      </w:r>
      <w:r w:rsidR="00CB4081">
        <w:rPr>
          <w:lang w:val="en-CA"/>
        </w:rPr>
        <w:lastRenderedPageBreak/>
        <w:t>expected valu</w:t>
      </w:r>
      <w:r>
        <w:rPr>
          <w:lang w:val="en-CA"/>
        </w:rPr>
        <w:t xml:space="preserve">e of LAI or </w:t>
      </w:r>
      <w:proofErr w:type="spellStart"/>
      <w:r>
        <w:rPr>
          <w:lang w:val="en-CA"/>
        </w:rPr>
        <w:t>fAPAR</w:t>
      </w:r>
      <w:proofErr w:type="spellEnd"/>
      <w:r>
        <w:rPr>
          <w:lang w:val="en-CA"/>
        </w:rPr>
        <w:t xml:space="preserve"> and its associated standard error.  The mapping </w:t>
      </w:r>
      <w:proofErr w:type="gramStart"/>
      <w:r>
        <w:rPr>
          <w:lang w:val="en-CA"/>
        </w:rPr>
        <w:t>is not performed</w:t>
      </w:r>
      <w:proofErr w:type="gramEnd"/>
      <w:r>
        <w:rPr>
          <w:lang w:val="en-CA"/>
        </w:rPr>
        <w:t xml:space="preserve"> by direct look-up but by on demand computation using matches between observed inputs and a calibration database of paired inputs and outputs.  The calibration database corresponds to radiative transfer (RT) model simulations of MODIS inputs and outputs based on a prior distribution of canopy and soil parameters and MODIS </w:t>
      </w:r>
      <w:proofErr w:type="spellStart"/>
      <w:r>
        <w:rPr>
          <w:lang w:val="en-CA"/>
        </w:rPr>
        <w:t>aquisition</w:t>
      </w:r>
      <w:proofErr w:type="spellEnd"/>
      <w:r>
        <w:rPr>
          <w:lang w:val="en-CA"/>
        </w:rPr>
        <w:t xml:space="preserve"> geometry.  Measurement error </w:t>
      </w:r>
      <w:proofErr w:type="gramStart"/>
      <w:r>
        <w:rPr>
          <w:lang w:val="en-CA"/>
        </w:rPr>
        <w:t>is not adde</w:t>
      </w:r>
      <w:r w:rsidR="00CB4081">
        <w:rPr>
          <w:lang w:val="en-CA"/>
        </w:rPr>
        <w:t>d</w:t>
      </w:r>
      <w:proofErr w:type="gramEnd"/>
      <w:r w:rsidR="00CB4081">
        <w:rPr>
          <w:lang w:val="en-CA"/>
        </w:rPr>
        <w:t xml:space="preserve"> to entries in the calibration.  </w:t>
      </w:r>
      <w:r w:rsidR="00914D28">
        <w:rPr>
          <w:lang w:val="en-CA"/>
        </w:rPr>
        <w:t xml:space="preserve">The matching returns the expected value and standard error of LAI and </w:t>
      </w:r>
      <w:proofErr w:type="spellStart"/>
      <w:r w:rsidR="00914D28">
        <w:rPr>
          <w:lang w:val="en-CA"/>
        </w:rPr>
        <w:t>fAPAR</w:t>
      </w:r>
      <w:proofErr w:type="spellEnd"/>
      <w:r w:rsidR="00914D28">
        <w:rPr>
          <w:lang w:val="en-CA"/>
        </w:rPr>
        <w:t xml:space="preserve"> of all calibration database simulations for the biome within a specified range of absolute Band 1 and Band 2 BRF (</w:t>
      </w:r>
      <w:r w:rsidR="00CB4081">
        <w:rPr>
          <w:lang w:val="en-CA"/>
        </w:rPr>
        <w:fldChar w:fldCharType="begin"/>
      </w:r>
      <w:r w:rsidR="00CB4081">
        <w:rPr>
          <w:lang w:val="en-CA"/>
        </w:rPr>
        <w:instrText xml:space="preserve"> REF _Ref81582923 \h </w:instrText>
      </w:r>
      <w:r w:rsidR="00CB4081">
        <w:rPr>
          <w:lang w:val="en-CA"/>
        </w:rPr>
      </w:r>
      <w:r w:rsidR="00CB4081">
        <w:rPr>
          <w:lang w:val="en-CA"/>
        </w:rPr>
        <w:fldChar w:fldCharType="separate"/>
      </w:r>
      <w:r w:rsidR="00CB4081">
        <w:t xml:space="preserve">Table </w:t>
      </w:r>
      <w:r w:rsidR="00CB4081">
        <w:rPr>
          <w:noProof/>
        </w:rPr>
        <w:t>2</w:t>
      </w:r>
      <w:r w:rsidR="00CB4081">
        <w:rPr>
          <w:lang w:val="en-CA"/>
        </w:rPr>
        <w:fldChar w:fldCharType="end"/>
      </w:r>
      <w:r w:rsidR="00914D28">
        <w:rPr>
          <w:lang w:val="en-CA"/>
        </w:rPr>
        <w:t xml:space="preserve">).  </w:t>
      </w:r>
      <w:r w:rsidR="00CB4081">
        <w:rPr>
          <w:lang w:val="en-CA"/>
        </w:rPr>
        <w:t xml:space="preserve">In this sense MOD15A1 is actually a functional mapping as for any measured input there is only one expected value and associated standard error for Lai and for </w:t>
      </w:r>
      <w:proofErr w:type="spellStart"/>
      <w:r w:rsidR="00CB4081">
        <w:rPr>
          <w:lang w:val="en-CA"/>
        </w:rPr>
        <w:t>fAPAR</w:t>
      </w:r>
      <w:proofErr w:type="spellEnd"/>
      <w:r w:rsidR="00CB4081">
        <w:rPr>
          <w:lang w:val="en-CA"/>
        </w:rPr>
        <w:t>.</w:t>
      </w:r>
    </w:p>
    <w:p w:rsidR="00CB4081" w:rsidRDefault="00CB4081">
      <w:pPr>
        <w:rPr>
          <w:lang w:val="en-CA"/>
        </w:rPr>
      </w:pPr>
    </w:p>
    <w:p w:rsidR="00306029" w:rsidRDefault="00306029" w:rsidP="00306029">
      <w:pPr>
        <w:rPr>
          <w:lang w:val="en-CA"/>
        </w:rPr>
      </w:pPr>
    </w:p>
    <w:p w:rsidR="00306029" w:rsidRDefault="00306029" w:rsidP="00306029">
      <w:pPr>
        <w:rPr>
          <w:lang w:val="en-CA"/>
        </w:rPr>
      </w:pPr>
      <w:proofErr w:type="gramStart"/>
      <w:r>
        <w:rPr>
          <w:lang w:val="en-CA"/>
        </w:rPr>
        <w:t>There are two</w:t>
      </w:r>
      <w:r>
        <w:rPr>
          <w:lang w:val="en-CA"/>
        </w:rPr>
        <w:t xml:space="preserve"> distinct approaches to transferring a deterministic functional relationship such as MOD15A1</w:t>
      </w:r>
      <w:r>
        <w:rPr>
          <w:lang w:val="en-CA"/>
        </w:rPr>
        <w:t xml:space="preserve"> to a target Landsat or S2 imager</w:t>
      </w:r>
      <w:r>
        <w:rPr>
          <w:lang w:val="en-CA"/>
        </w:rPr>
        <w:t xml:space="preserve">: </w:t>
      </w:r>
      <w:proofErr w:type="spellStart"/>
      <w:r>
        <w:rPr>
          <w:lang w:val="en-CA"/>
        </w:rPr>
        <w:t>i</w:t>
      </w:r>
      <w:proofErr w:type="spellEnd"/>
      <w:r>
        <w:rPr>
          <w:lang w:val="en-CA"/>
        </w:rPr>
        <w:t xml:space="preserve">) </w:t>
      </w:r>
      <w:r>
        <w:rPr>
          <w:lang w:val="en-CA"/>
        </w:rPr>
        <w:t xml:space="preserve">apply the composite mapping of the </w:t>
      </w:r>
      <w:proofErr w:type="spellStart"/>
      <w:r>
        <w:rPr>
          <w:lang w:val="en-CA"/>
        </w:rPr>
        <w:t>the</w:t>
      </w:r>
      <w:proofErr w:type="spellEnd"/>
      <w:r>
        <w:rPr>
          <w:lang w:val="en-CA"/>
        </w:rPr>
        <w:t xml:space="preserve"> MOD15A1 and the mapping </w:t>
      </w:r>
      <w:r>
        <w:rPr>
          <w:lang w:val="en-CA"/>
        </w:rPr>
        <w:t>between Landsat and S2 sensors measurements and MOD15A1 inputs</w:t>
      </w:r>
      <w:r>
        <w:rPr>
          <w:lang w:val="en-CA"/>
        </w:rPr>
        <w:t xml:space="preserve"> (e.g. </w:t>
      </w:r>
      <w:proofErr w:type="spellStart"/>
      <w:r>
        <w:rPr>
          <w:lang w:val="en-CA"/>
        </w:rPr>
        <w:t>Rochdi</w:t>
      </w:r>
      <w:proofErr w:type="spellEnd"/>
      <w:r>
        <w:rPr>
          <w:lang w:val="en-CA"/>
        </w:rPr>
        <w:t xml:space="preserve"> et al. xx) , ii) </w:t>
      </w:r>
      <w:r>
        <w:rPr>
          <w:lang w:val="en-CA"/>
        </w:rPr>
        <w:t>) recalibrate the simulations in the calibration database for the spectral and acquisition geometry of the target imager</w:t>
      </w:r>
      <w:r>
        <w:rPr>
          <w:lang w:val="en-CA"/>
        </w:rPr>
        <w:t xml:space="preserve"> (e.g. Campos-</w:t>
      </w:r>
      <w:proofErr w:type="spellStart"/>
      <w:r>
        <w:rPr>
          <w:lang w:val="en-CA"/>
        </w:rPr>
        <w:t>Tabener</w:t>
      </w:r>
      <w:proofErr w:type="spellEnd"/>
      <w:r>
        <w:rPr>
          <w:lang w:val="en-CA"/>
        </w:rPr>
        <w:t xml:space="preserve"> et al. xx, Kang et al. xx).</w:t>
      </w:r>
      <w:proofErr w:type="gramEnd"/>
      <w:r>
        <w:rPr>
          <w:lang w:val="en-CA"/>
        </w:rPr>
        <w:t xml:space="preserve">  We do not adopt the composite mapping approach for two reasons.  Firstly, the relationship between the target sensor and MOD15A1 inputs is not functional in that, for the same acquisition </w:t>
      </w:r>
      <w:proofErr w:type="spellStart"/>
      <w:r>
        <w:rPr>
          <w:lang w:val="en-CA"/>
        </w:rPr>
        <w:t>geometery</w:t>
      </w:r>
      <w:proofErr w:type="spellEnd"/>
      <w:r>
        <w:rPr>
          <w:lang w:val="en-CA"/>
        </w:rPr>
        <w:t xml:space="preserve">, there can be many possible MODIS Band 1 and MODIS Band 2 </w:t>
      </w:r>
      <w:proofErr w:type="gramStart"/>
      <w:r>
        <w:rPr>
          <w:lang w:val="en-CA"/>
        </w:rPr>
        <w:t>BRFs  for</w:t>
      </w:r>
      <w:proofErr w:type="gramEnd"/>
      <w:r>
        <w:rPr>
          <w:lang w:val="en-CA"/>
        </w:rPr>
        <w:t xml:space="preserve"> an observed target sensor BRF in similar red and NIR bands due to differences in the spectral response function.   One could in principle include additional target sensor input bands to predict the MOD15A1 input bands but this relationship would depend itself on canopy and soil properties (</w:t>
      </w:r>
      <w:proofErr w:type="spellStart"/>
      <w:r>
        <w:rPr>
          <w:lang w:val="en-CA"/>
        </w:rPr>
        <w:t>Trichtechnko</w:t>
      </w:r>
      <w:proofErr w:type="spellEnd"/>
      <w:r>
        <w:rPr>
          <w:lang w:val="en-CA"/>
        </w:rPr>
        <w:t xml:space="preserve"> et al. xx) leading to a level of circularity and possibly biased estimates.  Secondly, even in the relationship could be defined with uncertainty much less than the MOD15A1 assumed input uncertainties the propagation of these uncertainties into the estimated standard error would require additional computation that may be challenging to apply </w:t>
      </w:r>
      <w:proofErr w:type="gramStart"/>
      <w:r>
        <w:rPr>
          <w:lang w:val="en-CA"/>
        </w:rPr>
        <w:t>for free</w:t>
      </w:r>
      <w:proofErr w:type="gramEnd"/>
      <w:r>
        <w:rPr>
          <w:lang w:val="en-CA"/>
        </w:rPr>
        <w:t xml:space="preserve"> and open product generation on demand.  Instead, we chose to follow the established approach of recalibrating a new database using paired inputs from the target sensor selected and scaled to match </w:t>
      </w:r>
      <w:r w:rsidR="005632A1">
        <w:rPr>
          <w:lang w:val="en-CA"/>
        </w:rPr>
        <w:t>corresponding MOD15A1 outputs.</w:t>
      </w:r>
    </w:p>
    <w:p w:rsidR="005632A1" w:rsidRDefault="005632A1" w:rsidP="00306029">
      <w:pPr>
        <w:rPr>
          <w:lang w:val="en-CA"/>
        </w:rPr>
      </w:pPr>
    </w:p>
    <w:p w:rsidR="005665EC" w:rsidRDefault="005632A1" w:rsidP="00306029">
      <w:pPr>
        <w:rPr>
          <w:lang w:val="en-CA"/>
        </w:rPr>
      </w:pPr>
      <w:r>
        <w:rPr>
          <w:lang w:val="en-CA"/>
        </w:rPr>
        <w:t xml:space="preserve">Previous studies have relied on regression estimators to predict LAI or </w:t>
      </w:r>
      <w:proofErr w:type="spellStart"/>
      <w:r>
        <w:rPr>
          <w:lang w:val="en-CA"/>
        </w:rPr>
        <w:t>fAPAR</w:t>
      </w:r>
      <w:proofErr w:type="spellEnd"/>
      <w:r>
        <w:rPr>
          <w:lang w:val="en-CA"/>
        </w:rPr>
        <w:t xml:space="preserve"> based on a calibration database of matching paired inputs from a target fine resolution Landsat sensor and outputs from MOD15A3H or associated products.  Regression estimators offer a finite and modest computation demand and </w:t>
      </w:r>
      <w:proofErr w:type="gramStart"/>
      <w:r>
        <w:rPr>
          <w:lang w:val="en-CA"/>
        </w:rPr>
        <w:t>can also</w:t>
      </w:r>
      <w:proofErr w:type="gramEnd"/>
      <w:r>
        <w:rPr>
          <w:lang w:val="en-CA"/>
        </w:rPr>
        <w:t xml:space="preserve"> provide associated prediction standard errors.  However, regression makes two fundamental assumptions that may not apply to this </w:t>
      </w:r>
      <w:proofErr w:type="gramStart"/>
      <w:r>
        <w:rPr>
          <w:lang w:val="en-CA"/>
        </w:rPr>
        <w:t>transfer learning</w:t>
      </w:r>
      <w:proofErr w:type="gramEnd"/>
      <w:r>
        <w:rPr>
          <w:lang w:val="en-CA"/>
        </w:rPr>
        <w:t xml:space="preserve"> problem. </w:t>
      </w:r>
    </w:p>
    <w:p w:rsidR="005665EC" w:rsidRDefault="005665EC" w:rsidP="00306029">
      <w:pPr>
        <w:rPr>
          <w:lang w:val="en-CA"/>
        </w:rPr>
      </w:pPr>
    </w:p>
    <w:p w:rsidR="005632A1" w:rsidRPr="005665EC" w:rsidRDefault="005665EC" w:rsidP="005665EC">
      <w:pPr>
        <w:pStyle w:val="ListParagraph"/>
        <w:numPr>
          <w:ilvl w:val="0"/>
          <w:numId w:val="2"/>
        </w:numPr>
        <w:rPr>
          <w:lang w:val="en-CA"/>
        </w:rPr>
      </w:pPr>
      <w:r>
        <w:rPr>
          <w:lang w:val="en-CA"/>
        </w:rPr>
        <w:t xml:space="preserve"> </w:t>
      </w:r>
      <w:r w:rsidR="005632A1" w:rsidRPr="005665EC">
        <w:rPr>
          <w:lang w:val="en-CA"/>
        </w:rPr>
        <w:t xml:space="preserve"> Firstly, the vast majority of regression methods assume that measurement error of inputs is significantly less than the expected residuals for a perfect model (Draper and Smith, xx).  Consistent, i.e. those whose expected value converges as the calibration sample size increases, </w:t>
      </w:r>
      <w:proofErr w:type="spellStart"/>
      <w:r w:rsidR="005632A1" w:rsidRPr="005665EC">
        <w:rPr>
          <w:lang w:val="en-CA"/>
        </w:rPr>
        <w:t>univartiate</w:t>
      </w:r>
      <w:proofErr w:type="spellEnd"/>
      <w:r w:rsidR="005632A1" w:rsidRPr="005665EC">
        <w:rPr>
          <w:lang w:val="en-CA"/>
        </w:rPr>
        <w:t xml:space="preserve"> regression estimators are available (Fernandes and Leblanc, xx) but there is no </w:t>
      </w:r>
      <w:proofErr w:type="spellStart"/>
      <w:r w:rsidR="005632A1" w:rsidRPr="005665EC">
        <w:rPr>
          <w:lang w:val="en-CA"/>
        </w:rPr>
        <w:t>generaly</w:t>
      </w:r>
      <w:proofErr w:type="spellEnd"/>
      <w:r w:rsidR="005632A1" w:rsidRPr="005665EC">
        <w:rPr>
          <w:lang w:val="en-CA"/>
        </w:rPr>
        <w:t xml:space="preserve"> analytical solution for consistency or unbiased estimates with </w:t>
      </w:r>
      <w:r w:rsidR="005632A1" w:rsidRPr="005665EC">
        <w:rPr>
          <w:lang w:val="en-CA"/>
        </w:rPr>
        <w:lastRenderedPageBreak/>
        <w:t>multivariate regression.  Ad hoc approaches, such as calibration using data with added measurement error (</w:t>
      </w:r>
      <w:r w:rsidRPr="005665EC">
        <w:rPr>
          <w:lang w:val="en-CA"/>
        </w:rPr>
        <w:t xml:space="preserve">Verger et al., xx) </w:t>
      </w:r>
      <w:proofErr w:type="gramStart"/>
      <w:r w:rsidRPr="005665EC">
        <w:rPr>
          <w:lang w:val="en-CA"/>
        </w:rPr>
        <w:t>have been used</w:t>
      </w:r>
      <w:proofErr w:type="gramEnd"/>
      <w:r w:rsidRPr="005665EC">
        <w:rPr>
          <w:lang w:val="en-CA"/>
        </w:rPr>
        <w:t xml:space="preserve"> but require significantly greater computation during calibration and do not also provide unbiased estimates of prediction standard error.  </w:t>
      </w:r>
    </w:p>
    <w:p w:rsidR="005665EC" w:rsidRDefault="005665EC" w:rsidP="00306029">
      <w:pPr>
        <w:rPr>
          <w:lang w:val="en-CA"/>
        </w:rPr>
      </w:pPr>
    </w:p>
    <w:p w:rsidR="005632A1" w:rsidRDefault="005632A1" w:rsidP="00306029">
      <w:pPr>
        <w:rPr>
          <w:lang w:val="en-CA"/>
        </w:rPr>
      </w:pPr>
    </w:p>
    <w:p w:rsidR="005632A1" w:rsidRPr="00CB4081" w:rsidRDefault="005665EC" w:rsidP="00306029">
      <w:pPr>
        <w:rPr>
          <w:lang w:val="en-CA"/>
        </w:rPr>
      </w:pPr>
      <w:r>
        <w:rPr>
          <w:lang w:val="en-CA"/>
        </w:rPr>
        <w:t xml:space="preserve">ii) </w:t>
      </w:r>
      <w:proofErr w:type="gramStart"/>
      <w:r>
        <w:rPr>
          <w:lang w:val="en-CA"/>
        </w:rPr>
        <w:t>r</w:t>
      </w:r>
      <w:r w:rsidR="005632A1">
        <w:rPr>
          <w:lang w:val="en-CA"/>
        </w:rPr>
        <w:t>egression</w:t>
      </w:r>
      <w:proofErr w:type="gramEnd"/>
      <w:r w:rsidR="005632A1">
        <w:rPr>
          <w:lang w:val="en-CA"/>
        </w:rPr>
        <w:t xml:space="preserve"> assumes that conditional residuals are independent and identically distributed</w:t>
      </w:r>
      <w:r>
        <w:rPr>
          <w:lang w:val="en-CA"/>
        </w:rPr>
        <w:t xml:space="preserve"> (</w:t>
      </w:r>
      <w:proofErr w:type="spellStart"/>
      <w:r>
        <w:rPr>
          <w:lang w:val="en-CA"/>
        </w:rPr>
        <w:t>iid</w:t>
      </w:r>
      <w:proofErr w:type="spellEnd"/>
      <w:r>
        <w:rPr>
          <w:lang w:val="en-CA"/>
        </w:rPr>
        <w:t>)</w:t>
      </w:r>
      <w:r w:rsidR="005632A1">
        <w:rPr>
          <w:lang w:val="en-CA"/>
        </w:rPr>
        <w:t xml:space="preserve">.  This is typically not the case in the </w:t>
      </w:r>
      <w:proofErr w:type="gramStart"/>
      <w:r w:rsidR="005632A1">
        <w:rPr>
          <w:lang w:val="en-CA"/>
        </w:rPr>
        <w:t>so called</w:t>
      </w:r>
      <w:proofErr w:type="gramEnd"/>
      <w:r w:rsidR="005632A1">
        <w:rPr>
          <w:lang w:val="en-CA"/>
        </w:rPr>
        <w:t xml:space="preserve"> saturation zone of the MDO15A1 algorithm where the </w:t>
      </w:r>
      <w:proofErr w:type="spellStart"/>
      <w:r w:rsidR="005632A1">
        <w:rPr>
          <w:lang w:val="en-CA"/>
        </w:rPr>
        <w:t>scater</w:t>
      </w:r>
      <w:proofErr w:type="spellEnd"/>
      <w:r w:rsidR="005632A1">
        <w:rPr>
          <w:lang w:val="en-CA"/>
        </w:rPr>
        <w:t xml:space="preserve"> of LAI or </w:t>
      </w:r>
      <w:proofErr w:type="spellStart"/>
      <w:r w:rsidR="005632A1">
        <w:rPr>
          <w:lang w:val="en-CA"/>
        </w:rPr>
        <w:t>fAPAR</w:t>
      </w:r>
      <w:proofErr w:type="spellEnd"/>
      <w:r w:rsidR="005632A1">
        <w:rPr>
          <w:lang w:val="en-CA"/>
        </w:rPr>
        <w:t xml:space="preserve"> for matching entries in a calibration database is typically skewed positive and can have a coefficient of variation exceeding one.  Indeed, the cross-validation </w:t>
      </w:r>
      <w:proofErr w:type="spellStart"/>
      <w:r w:rsidR="005632A1">
        <w:rPr>
          <w:lang w:val="en-CA"/>
        </w:rPr>
        <w:t>uncetrainty</w:t>
      </w:r>
      <w:proofErr w:type="spellEnd"/>
      <w:r w:rsidR="005632A1">
        <w:rPr>
          <w:lang w:val="en-CA"/>
        </w:rPr>
        <w:t xml:space="preserve"> of a regression tree approach based on Landsat OLI Band xx (red) and Band xx (NIR) inputs increased by ~</w:t>
      </w:r>
      <w:proofErr w:type="gramStart"/>
      <w:r w:rsidR="005632A1">
        <w:rPr>
          <w:lang w:val="en-CA"/>
        </w:rPr>
        <w:t>xx%</w:t>
      </w:r>
      <w:proofErr w:type="gramEnd"/>
      <w:r w:rsidR="005632A1">
        <w:rPr>
          <w:lang w:val="en-CA"/>
        </w:rPr>
        <w:t xml:space="preserve"> when comparing retrievals in the saturation zone versus the unsaturated zone.   While it may be possible to reduce this </w:t>
      </w:r>
      <w:proofErr w:type="gramStart"/>
      <w:r w:rsidR="005632A1">
        <w:rPr>
          <w:lang w:val="en-CA"/>
        </w:rPr>
        <w:t>effect</w:t>
      </w:r>
      <w:proofErr w:type="gramEnd"/>
      <w:r w:rsidR="005632A1">
        <w:rPr>
          <w:lang w:val="en-CA"/>
        </w:rPr>
        <w:t xml:space="preserve"> using additional spectral bands as input predictors this has yet to be demonstrated and this would further increase the possibility of increased </w:t>
      </w:r>
      <w:proofErr w:type="spellStart"/>
      <w:r w:rsidR="005632A1">
        <w:rPr>
          <w:lang w:val="en-CA"/>
        </w:rPr>
        <w:t>uncertanity</w:t>
      </w:r>
      <w:proofErr w:type="spellEnd"/>
      <w:r w:rsidR="005632A1">
        <w:rPr>
          <w:lang w:val="en-CA"/>
        </w:rPr>
        <w:t xml:space="preserve"> due to measurement errors of the additional bands.</w:t>
      </w:r>
    </w:p>
    <w:p w:rsidR="00306029" w:rsidRDefault="00306029">
      <w:pPr>
        <w:rPr>
          <w:lang w:val="en-CA"/>
        </w:rPr>
      </w:pPr>
    </w:p>
    <w:p w:rsidR="005665EC" w:rsidRDefault="005665EC">
      <w:pPr>
        <w:rPr>
          <w:lang w:val="en-CA"/>
        </w:rPr>
      </w:pPr>
      <w:r>
        <w:rPr>
          <w:lang w:val="en-CA"/>
        </w:rPr>
        <w:t xml:space="preserve">While the impact of measurement error and </w:t>
      </w:r>
      <w:proofErr w:type="spellStart"/>
      <w:r>
        <w:rPr>
          <w:lang w:val="en-CA"/>
        </w:rPr>
        <w:t>iid</w:t>
      </w:r>
      <w:proofErr w:type="spellEnd"/>
      <w:r>
        <w:rPr>
          <w:lang w:val="en-CA"/>
        </w:rPr>
        <w:t xml:space="preserve"> residuals may not always be an issue for the current transfer </w:t>
      </w:r>
      <w:proofErr w:type="spellStart"/>
      <w:r>
        <w:rPr>
          <w:lang w:val="en-CA"/>
        </w:rPr>
        <w:t>learni</w:t>
      </w:r>
      <w:r w:rsidR="00F071A2">
        <w:rPr>
          <w:lang w:val="en-CA"/>
        </w:rPr>
        <w:t>n</w:t>
      </w:r>
      <w:r>
        <w:rPr>
          <w:lang w:val="en-CA"/>
        </w:rPr>
        <w:t>ig</w:t>
      </w:r>
      <w:proofErr w:type="spellEnd"/>
      <w:r>
        <w:rPr>
          <w:lang w:val="en-CA"/>
        </w:rPr>
        <w:t xml:space="preserve"> problem it is reasonable to wonder </w:t>
      </w:r>
      <w:proofErr w:type="gramStart"/>
      <w:r>
        <w:rPr>
          <w:lang w:val="en-CA"/>
        </w:rPr>
        <w:t>if there is a transfer learning solution that does not suffer from these problems</w:t>
      </w:r>
      <w:proofErr w:type="gramEnd"/>
      <w:r>
        <w:rPr>
          <w:lang w:val="en-CA"/>
        </w:rPr>
        <w:t xml:space="preserve">.  We suggest that </w:t>
      </w:r>
      <w:r w:rsidR="00F071A2">
        <w:rPr>
          <w:lang w:val="en-CA"/>
        </w:rPr>
        <w:t>a LUT coded using a perfect</w:t>
      </w:r>
      <w:r>
        <w:rPr>
          <w:lang w:val="en-CA"/>
        </w:rPr>
        <w:t xml:space="preserve"> hash </w:t>
      </w:r>
      <w:r w:rsidR="00F071A2">
        <w:rPr>
          <w:lang w:val="en-CA"/>
        </w:rPr>
        <w:t xml:space="preserve">function based on a large number of calibration samples mined from matching target sensor and MOD15A3H measurements will address </w:t>
      </w:r>
      <w:r>
        <w:rPr>
          <w:lang w:val="en-CA"/>
        </w:rPr>
        <w:t xml:space="preserve"> the issues identified while </w:t>
      </w:r>
      <w:proofErr w:type="spellStart"/>
      <w:r>
        <w:rPr>
          <w:lang w:val="en-CA"/>
        </w:rPr>
        <w:t>provding</w:t>
      </w:r>
      <w:proofErr w:type="spellEnd"/>
      <w:r>
        <w:rPr>
          <w:lang w:val="en-CA"/>
        </w:rPr>
        <w:t xml:space="preserve"> a solution with fixed and modest </w:t>
      </w:r>
      <w:proofErr w:type="spellStart"/>
      <w:r>
        <w:rPr>
          <w:lang w:val="en-CA"/>
        </w:rPr>
        <w:t>ccomputations</w:t>
      </w:r>
      <w:proofErr w:type="spellEnd"/>
      <w:r>
        <w:rPr>
          <w:lang w:val="en-CA"/>
        </w:rPr>
        <w:t xml:space="preserve"> with known probability.  </w:t>
      </w:r>
      <w:r w:rsidR="00F071A2">
        <w:rPr>
          <w:lang w:val="en-CA"/>
        </w:rPr>
        <w:t xml:space="preserve"> A binary search of a hash </w:t>
      </w:r>
      <w:proofErr w:type="spellStart"/>
      <w:r w:rsidR="00F071A2">
        <w:rPr>
          <w:lang w:val="en-CA"/>
        </w:rPr>
        <w:t>tablerequires</w:t>
      </w:r>
      <w:proofErr w:type="spellEnd"/>
      <w:r w:rsidR="00F071A2">
        <w:rPr>
          <w:lang w:val="en-CA"/>
        </w:rPr>
        <w:t xml:space="preserve"> at worst </w:t>
      </w:r>
      <w:proofErr w:type="gramStart"/>
      <w:r w:rsidR="00F071A2">
        <w:rPr>
          <w:lang w:val="en-CA"/>
        </w:rPr>
        <w:t>log2(</w:t>
      </w:r>
      <w:proofErr w:type="gramEnd"/>
      <w:r w:rsidR="00F071A2">
        <w:rPr>
          <w:lang w:val="en-CA"/>
        </w:rPr>
        <w:t xml:space="preserve">n)+1 comparisons .  A perfect hash ensures that there is a unique code for each calibration sample so there is no chance of conflicts in LUT addressing.   Here we use a code based on simply concatenating scaled and quantized versions of the input and output pair of each calibration sample.  </w:t>
      </w:r>
    </w:p>
    <w:p w:rsidR="008C4511" w:rsidRDefault="008C4511">
      <w:pPr>
        <w:rPr>
          <w:lang w:val="en-CA"/>
        </w:rPr>
      </w:pPr>
    </w:p>
    <w:p w:rsidR="00923D56" w:rsidRDefault="008C4511" w:rsidP="00923D56">
      <w:pPr>
        <w:rPr>
          <w:lang w:val="en-CA"/>
        </w:rPr>
      </w:pPr>
      <w:r>
        <w:rPr>
          <w:lang w:val="en-CA"/>
        </w:rPr>
        <w:t xml:space="preserve">Both computational aspects such as LUT size, performance and calibration time and thematic aspects related to the additional uncertainty due to the </w:t>
      </w:r>
      <w:proofErr w:type="gramStart"/>
      <w:r>
        <w:rPr>
          <w:lang w:val="en-CA"/>
        </w:rPr>
        <w:t>transfer learning</w:t>
      </w:r>
      <w:proofErr w:type="gramEnd"/>
      <w:r>
        <w:rPr>
          <w:lang w:val="en-CA"/>
        </w:rPr>
        <w:t xml:space="preserve"> algorithm depend on the LUT quantization and measurement error of the input and outputs of the calibration samples.  These two factors </w:t>
      </w:r>
      <w:proofErr w:type="gramStart"/>
      <w:r>
        <w:rPr>
          <w:lang w:val="en-CA"/>
        </w:rPr>
        <w:t>are related</w:t>
      </w:r>
      <w:proofErr w:type="gramEnd"/>
      <w:r>
        <w:rPr>
          <w:lang w:val="en-CA"/>
        </w:rPr>
        <w:t xml:space="preserve"> in that the impact of input</w:t>
      </w:r>
      <w:r w:rsidR="00923D56">
        <w:rPr>
          <w:lang w:val="en-CA"/>
        </w:rPr>
        <w:t xml:space="preserve"> and output</w:t>
      </w:r>
      <w:r>
        <w:rPr>
          <w:lang w:val="en-CA"/>
        </w:rPr>
        <w:t xml:space="preserve"> quantization on uncertainty will be small where measurement error is large.  </w:t>
      </w:r>
      <w:r w:rsidR="00923D56">
        <w:rPr>
          <w:lang w:val="en-CA"/>
        </w:rPr>
        <w:t xml:space="preserve"> </w:t>
      </w:r>
      <w:r w:rsidR="00923D56">
        <w:rPr>
          <w:lang w:val="en-CA"/>
        </w:rPr>
        <w:t xml:space="preserve">MOD15A1 scaled outputs are integers ranging from 0 to 100 </w:t>
      </w:r>
      <w:r w:rsidR="00537260">
        <w:rPr>
          <w:lang w:val="en-CA"/>
        </w:rPr>
        <w:t>(</w:t>
      </w:r>
      <w:r w:rsidR="00537260">
        <w:rPr>
          <w:lang w:val="en-CA"/>
        </w:rPr>
        <w:fldChar w:fldCharType="begin"/>
      </w:r>
      <w:r w:rsidR="00537260">
        <w:rPr>
          <w:lang w:val="en-CA"/>
        </w:rPr>
        <w:instrText xml:space="preserve"> REF _Ref81583534 \h </w:instrText>
      </w:r>
      <w:r w:rsidR="00537260">
        <w:rPr>
          <w:lang w:val="en-CA"/>
        </w:rPr>
      </w:r>
      <w:r w:rsidR="00537260">
        <w:rPr>
          <w:lang w:val="en-CA"/>
        </w:rPr>
        <w:fldChar w:fldCharType="separate"/>
      </w:r>
      <w:r w:rsidR="00537260">
        <w:t xml:space="preserve">Table </w:t>
      </w:r>
      <w:r w:rsidR="00537260">
        <w:rPr>
          <w:noProof/>
        </w:rPr>
        <w:t>3</w:t>
      </w:r>
      <w:r w:rsidR="00537260">
        <w:rPr>
          <w:lang w:val="en-CA"/>
        </w:rPr>
        <w:fldChar w:fldCharType="end"/>
      </w:r>
      <w:r w:rsidR="00537260">
        <w:rPr>
          <w:lang w:val="en-CA"/>
        </w:rPr>
        <w:t xml:space="preserve">) </w:t>
      </w:r>
      <w:r w:rsidR="00923D56">
        <w:rPr>
          <w:lang w:val="en-CA"/>
        </w:rPr>
        <w:t xml:space="preserve">so an output quantization with two decimal digits will result in no loss in precision assuming a value of 100 is not observed; and typically a value of 100 is associated with a large standard error due to saturation so replacing it with a value of 99 </w:t>
      </w:r>
      <w:proofErr w:type="spellStart"/>
      <w:r w:rsidR="00923D56">
        <w:rPr>
          <w:lang w:val="en-CA"/>
        </w:rPr>
        <w:t>sufficies</w:t>
      </w:r>
      <w:proofErr w:type="spellEnd"/>
      <w:r w:rsidR="00923D56">
        <w:rPr>
          <w:lang w:val="en-CA"/>
        </w:rPr>
        <w:t xml:space="preserve">.  </w:t>
      </w:r>
      <w:r w:rsidR="00923D56">
        <w:rPr>
          <w:lang w:val="en-CA"/>
        </w:rPr>
        <w:t xml:space="preserve">The impact of input quantization is more challenging to quantify as its relationship to output uncertainty is non-linear.  It </w:t>
      </w:r>
      <w:proofErr w:type="gramStart"/>
      <w:r w:rsidR="00923D56">
        <w:rPr>
          <w:lang w:val="en-CA"/>
        </w:rPr>
        <w:t>can be predicted</w:t>
      </w:r>
      <w:proofErr w:type="gramEnd"/>
      <w:r w:rsidR="00923D56">
        <w:rPr>
          <w:lang w:val="en-CA"/>
        </w:rPr>
        <w:t xml:space="preserve"> by noting that the effect of input quantization and measurement error of the input are independent.  In this case the </w:t>
      </w:r>
      <w:proofErr w:type="spellStart"/>
      <w:r w:rsidR="00923D56">
        <w:rPr>
          <w:lang w:val="en-CA"/>
        </w:rPr>
        <w:t>the</w:t>
      </w:r>
      <w:proofErr w:type="spellEnd"/>
      <w:r w:rsidR="00923D56">
        <w:rPr>
          <w:lang w:val="en-CA"/>
        </w:rPr>
        <w:t xml:space="preserve"> percentage of additional error (</w:t>
      </w:r>
      <w:proofErr w:type="spellStart"/>
      <w:r w:rsidR="00923D56">
        <w:rPr>
          <w:lang w:val="en-CA"/>
        </w:rPr>
        <w:t>Ea</w:t>
      </w:r>
      <w:proofErr w:type="spellEnd"/>
      <w:r w:rsidR="00923D56">
        <w:rPr>
          <w:lang w:val="en-CA"/>
        </w:rPr>
        <w:t xml:space="preserve">) </w:t>
      </w:r>
      <w:r w:rsidR="00923D56">
        <w:rPr>
          <w:lang w:val="en-CA"/>
        </w:rPr>
        <w:t xml:space="preserve">due to a ratio of input quantization to input measurement error (R) </w:t>
      </w:r>
      <w:r w:rsidR="00923D56">
        <w:rPr>
          <w:lang w:val="en-CA"/>
        </w:rPr>
        <w:t xml:space="preserve">is </w:t>
      </w:r>
      <w:r w:rsidR="00923D56">
        <w:rPr>
          <w:lang w:val="en-CA"/>
        </w:rPr>
        <w:t>give by:</w:t>
      </w:r>
    </w:p>
    <w:p w:rsidR="00923D56" w:rsidRDefault="00923D56" w:rsidP="00923D56">
      <w:pPr>
        <w:rPr>
          <w:lang w:val="en-CA"/>
        </w:rPr>
      </w:pPr>
    </w:p>
    <w:p w:rsidR="00AD5C1F" w:rsidRDefault="00AD5C1F">
      <w:pPr>
        <w:rPr>
          <w:lang w:val="en-CA"/>
        </w:rPr>
      </w:pPr>
      <w:proofErr w:type="spellStart"/>
      <w:r>
        <w:rPr>
          <w:lang w:val="en-CA"/>
        </w:rPr>
        <w:lastRenderedPageBreak/>
        <w:t>Ea</w:t>
      </w:r>
      <w:proofErr w:type="spellEnd"/>
      <w:r>
        <w:rPr>
          <w:lang w:val="en-CA"/>
        </w:rPr>
        <w:t xml:space="preserve"> = 1 – (</w:t>
      </w:r>
      <w:r w:rsidR="00923D56">
        <w:rPr>
          <w:lang w:val="en-CA"/>
        </w:rPr>
        <w:t>1</w:t>
      </w:r>
      <w:r>
        <w:rPr>
          <w:lang w:val="en-CA"/>
        </w:rPr>
        <w:t>^2+Eq^2</w:t>
      </w:r>
      <w:proofErr w:type="gramStart"/>
      <w:r>
        <w:rPr>
          <w:lang w:val="en-CA"/>
        </w:rPr>
        <w:t>)^</w:t>
      </w:r>
      <w:proofErr w:type="gramEnd"/>
      <w:r>
        <w:rPr>
          <w:lang w:val="en-CA"/>
        </w:rPr>
        <w:t>0.5</w:t>
      </w:r>
      <w:r w:rsidR="00923D56">
        <w:rPr>
          <w:lang w:val="en-CA"/>
        </w:rPr>
        <w:tab/>
      </w:r>
      <w:r w:rsidR="00923D56">
        <w:rPr>
          <w:lang w:val="en-CA"/>
        </w:rPr>
        <w:tab/>
        <w:t>Equation 1</w:t>
      </w:r>
    </w:p>
    <w:p w:rsidR="00923D56" w:rsidRDefault="00923D56">
      <w:pPr>
        <w:rPr>
          <w:lang w:val="en-CA"/>
        </w:rPr>
      </w:pPr>
    </w:p>
    <w:p w:rsidR="00923D56" w:rsidRDefault="00923D56">
      <w:pPr>
        <w:rPr>
          <w:lang w:val="en-CA"/>
        </w:rPr>
      </w:pPr>
      <w:r>
        <w:rPr>
          <w:lang w:val="en-CA"/>
        </w:rPr>
        <w:t xml:space="preserve">Equation 1 implies an input quantization error of 0.45 the measurement error will only increase the input error by 10% relative to the error without quantization and, in the case of a locally linear relationship between input and output values, an output error increase by 10%.  Of course, the relationship between input and output can be </w:t>
      </w:r>
      <w:proofErr w:type="gramStart"/>
      <w:r>
        <w:rPr>
          <w:lang w:val="en-CA"/>
        </w:rPr>
        <w:t>highly non</w:t>
      </w:r>
      <w:proofErr w:type="gramEnd"/>
      <w:r>
        <w:rPr>
          <w:lang w:val="en-CA"/>
        </w:rPr>
        <w:t xml:space="preserve">-linear in the saturation zone.  In this case, a non-linear quantization can be applied (e.g. for low red reflectances) and the actual error can be estimated by comparing estimates with different levels of quantization.  </w:t>
      </w:r>
    </w:p>
    <w:p w:rsidR="00923D56" w:rsidRDefault="00923D56">
      <w:pPr>
        <w:rPr>
          <w:lang w:val="en-CA"/>
        </w:rPr>
      </w:pPr>
    </w:p>
    <w:p w:rsidR="005665EC" w:rsidRDefault="00537260">
      <w:pPr>
        <w:rPr>
          <w:lang w:val="en-CA"/>
        </w:rPr>
      </w:pPr>
      <w:r>
        <w:rPr>
          <w:lang w:val="en-CA"/>
        </w:rPr>
        <w:t xml:space="preserve">The MDO15A1 algorithm uses </w:t>
      </w:r>
      <w:proofErr w:type="gramStart"/>
      <w:r>
        <w:rPr>
          <w:lang w:val="en-CA"/>
        </w:rPr>
        <w:t>6</w:t>
      </w:r>
      <w:proofErr w:type="gramEnd"/>
      <w:r>
        <w:rPr>
          <w:lang w:val="en-CA"/>
        </w:rPr>
        <w:t xml:space="preserve"> inputs per biome type (</w:t>
      </w:r>
      <w:r>
        <w:rPr>
          <w:lang w:val="en-CA"/>
        </w:rPr>
        <w:fldChar w:fldCharType="begin"/>
      </w:r>
      <w:r>
        <w:rPr>
          <w:lang w:val="en-CA"/>
        </w:rPr>
        <w:instrText xml:space="preserve"> REF _Ref81583510 \h </w:instrText>
      </w:r>
      <w:r>
        <w:rPr>
          <w:lang w:val="en-CA"/>
        </w:rPr>
      </w:r>
      <w:r>
        <w:rPr>
          <w:lang w:val="en-CA"/>
        </w:rPr>
        <w:fldChar w:fldCharType="separate"/>
      </w:r>
      <w:r>
        <w:t xml:space="preserve">Table </w:t>
      </w:r>
      <w:r>
        <w:rPr>
          <w:noProof/>
        </w:rPr>
        <w:t>4</w:t>
      </w:r>
      <w:r>
        <w:rPr>
          <w:lang w:val="en-CA"/>
        </w:rPr>
        <w:fldChar w:fldCharType="end"/>
      </w:r>
      <w:r>
        <w:rPr>
          <w:lang w:val="en-CA"/>
        </w:rPr>
        <w:t xml:space="preserve">).   While it is not a constraint, if that same 6 similar inputs were used by target sensors, a </w:t>
      </w:r>
      <w:r w:rsidR="006642D0">
        <w:rPr>
          <w:lang w:val="en-CA"/>
        </w:rPr>
        <w:t xml:space="preserve">modest input quantization to integers </w:t>
      </w:r>
      <w:proofErr w:type="gramStart"/>
      <w:r w:rsidR="006642D0">
        <w:rPr>
          <w:lang w:val="en-CA"/>
        </w:rPr>
        <w:t>in  [</w:t>
      </w:r>
      <w:proofErr w:type="gramEnd"/>
      <w:r w:rsidR="006642D0">
        <w:rPr>
          <w:lang w:val="en-CA"/>
        </w:rPr>
        <w:t xml:space="preserve">0,99] for each input gives a maximum possible </w:t>
      </w:r>
      <w:proofErr w:type="spellStart"/>
      <w:r w:rsidR="006642D0">
        <w:rPr>
          <w:lang w:val="en-CA"/>
        </w:rPr>
        <w:t>bioe</w:t>
      </w:r>
      <w:proofErr w:type="spellEnd"/>
      <w:r w:rsidR="006642D0">
        <w:rPr>
          <w:lang w:val="en-CA"/>
        </w:rPr>
        <w:t xml:space="preserve"> specific LUT size of 10^8 elements.  </w:t>
      </w:r>
      <w:r>
        <w:rPr>
          <w:lang w:val="en-CA"/>
        </w:rPr>
        <w:t>Assuming the LUT is sorted a binary search requires &lt;</w:t>
      </w:r>
      <w:proofErr w:type="gramStart"/>
      <w:r>
        <w:rPr>
          <w:lang w:val="en-CA"/>
        </w:rPr>
        <w:t>log2(</w:t>
      </w:r>
      <w:proofErr w:type="gramEnd"/>
      <w:r>
        <w:rPr>
          <w:lang w:val="en-CA"/>
        </w:rPr>
        <w:t xml:space="preserve">N)+1 operations to find a match.  </w:t>
      </w:r>
      <w:r w:rsidR="006642D0">
        <w:rPr>
          <w:lang w:val="en-CA"/>
        </w:rPr>
        <w:t xml:space="preserve">This in turn implies </w:t>
      </w:r>
      <w:proofErr w:type="gramStart"/>
      <w:r w:rsidR="006642D0">
        <w:rPr>
          <w:lang w:val="en-CA"/>
        </w:rPr>
        <w:t>8</w:t>
      </w:r>
      <w:proofErr w:type="gramEnd"/>
      <w:r w:rsidR="006642D0">
        <w:rPr>
          <w:lang w:val="en-CA"/>
        </w:rPr>
        <w:t xml:space="preserve"> scaling and quantization and &lt;27 look-up operations to find a match in the LUT given a measurement.  Both the LUT size and the computation demands for look-up are comparable to regression approaches used for similar transfer learning problems.  The challenge of populating the LUT while </w:t>
      </w:r>
      <w:proofErr w:type="spellStart"/>
      <w:r w:rsidR="006642D0">
        <w:rPr>
          <w:lang w:val="en-CA"/>
        </w:rPr>
        <w:t>minizing</w:t>
      </w:r>
      <w:proofErr w:type="spellEnd"/>
      <w:r w:rsidR="006642D0">
        <w:rPr>
          <w:lang w:val="en-CA"/>
        </w:rPr>
        <w:t xml:space="preserve"> measurement error of inputs </w:t>
      </w:r>
      <w:proofErr w:type="gramStart"/>
      <w:r w:rsidR="006642D0">
        <w:rPr>
          <w:lang w:val="en-CA"/>
        </w:rPr>
        <w:t>is addressed</w:t>
      </w:r>
      <w:proofErr w:type="gramEnd"/>
      <w:r w:rsidR="006642D0">
        <w:rPr>
          <w:lang w:val="en-CA"/>
        </w:rPr>
        <w:t xml:space="preserve"> in Section xx.  However, it is possible that not </w:t>
      </w:r>
      <w:proofErr w:type="gramStart"/>
      <w:r w:rsidR="006642D0">
        <w:rPr>
          <w:lang w:val="en-CA"/>
        </w:rPr>
        <w:t>all possible</w:t>
      </w:r>
      <w:proofErr w:type="gramEnd"/>
      <w:r w:rsidR="006642D0">
        <w:rPr>
          <w:lang w:val="en-CA"/>
        </w:rPr>
        <w:t xml:space="preserve"> LUT elements can be calibrated using the sampling approach we implement.  It is still possible to first model the likelihood </w:t>
      </w:r>
      <w:r>
        <w:rPr>
          <w:lang w:val="en-CA"/>
        </w:rPr>
        <w:t xml:space="preserve">of failed </w:t>
      </w:r>
      <w:r w:rsidR="006642D0">
        <w:rPr>
          <w:lang w:val="en-CA"/>
        </w:rPr>
        <w:t xml:space="preserve">match by hold out sampling and </w:t>
      </w:r>
      <w:proofErr w:type="gramStart"/>
      <w:r w:rsidR="006642D0">
        <w:rPr>
          <w:lang w:val="en-CA"/>
        </w:rPr>
        <w:t>to secondly offer</w:t>
      </w:r>
      <w:proofErr w:type="gramEnd"/>
      <w:r w:rsidR="006642D0">
        <w:rPr>
          <w:lang w:val="en-CA"/>
        </w:rPr>
        <w:t xml:space="preserve"> the user the option to perform targeted additional sampling </w:t>
      </w:r>
      <w:r>
        <w:rPr>
          <w:lang w:val="en-CA"/>
        </w:rPr>
        <w:t xml:space="preserve">in circumstances where failed matches exceed this likelihood.   The latter option </w:t>
      </w:r>
      <w:proofErr w:type="gramStart"/>
      <w:r>
        <w:rPr>
          <w:lang w:val="en-CA"/>
        </w:rPr>
        <w:t>being facilitated</w:t>
      </w:r>
      <w:proofErr w:type="gramEnd"/>
      <w:r>
        <w:rPr>
          <w:lang w:val="en-CA"/>
        </w:rPr>
        <w:t xml:space="preserve"> by the use of a perfect hash since one can simply add to a sorted LUT list between the two closest matches.</w:t>
      </w:r>
    </w:p>
    <w:p w:rsidR="00537260" w:rsidRDefault="00537260">
      <w:pPr>
        <w:rPr>
          <w:lang w:val="en-CA"/>
        </w:rPr>
      </w:pPr>
    </w:p>
    <w:p w:rsidR="00537260" w:rsidRDefault="00537260">
      <w:pPr>
        <w:rPr>
          <w:lang w:val="en-CA"/>
        </w:rPr>
      </w:pPr>
      <w:r>
        <w:rPr>
          <w:lang w:val="en-CA"/>
        </w:rPr>
        <w:t xml:space="preserve">Notwithstanding sufficient precision in LUT entries, a match between a measurement from a target sensor and a LUT entry will still result in additional uncertainty </w:t>
      </w:r>
      <w:proofErr w:type="gramStart"/>
      <w:r>
        <w:rPr>
          <w:lang w:val="en-CA"/>
        </w:rPr>
        <w:t>due to the fact that</w:t>
      </w:r>
      <w:proofErr w:type="gramEnd"/>
      <w:r>
        <w:rPr>
          <w:lang w:val="en-CA"/>
        </w:rPr>
        <w:t xml:space="preserve"> the target sensor inputs are not identical to MOD15A1.  In </w:t>
      </w:r>
      <w:proofErr w:type="gramStart"/>
      <w:r>
        <w:rPr>
          <w:lang w:val="en-CA"/>
        </w:rPr>
        <w:t>this</w:t>
      </w:r>
      <w:proofErr w:type="gramEnd"/>
      <w:r>
        <w:rPr>
          <w:lang w:val="en-CA"/>
        </w:rPr>
        <w:t xml:space="preserve"> case the LUT will no longer be a functional mapping since there can be multiple observed MOD15A1 outputs for a given target sensor input observed during calibration.  </w:t>
      </w:r>
      <w:r w:rsidR="009A79D6">
        <w:rPr>
          <w:lang w:val="en-CA"/>
        </w:rPr>
        <w:t xml:space="preserve">This is conceptually the </w:t>
      </w:r>
      <w:proofErr w:type="gramStart"/>
      <w:r w:rsidR="009A79D6">
        <w:rPr>
          <w:lang w:val="en-CA"/>
        </w:rPr>
        <w:t>same ,</w:t>
      </w:r>
      <w:proofErr w:type="gramEnd"/>
      <w:r w:rsidR="009A79D6">
        <w:rPr>
          <w:lang w:val="en-CA"/>
        </w:rPr>
        <w:t xml:space="preserve"> but independent, type of error as the uncertainty of MOD15A1 inputs (</w:t>
      </w:r>
      <w:r w:rsidR="009A79D6">
        <w:rPr>
          <w:lang w:val="en-CA"/>
        </w:rPr>
        <w:fldChar w:fldCharType="begin"/>
      </w:r>
      <w:r w:rsidR="009A79D6">
        <w:rPr>
          <w:lang w:val="en-CA"/>
        </w:rPr>
        <w:instrText xml:space="preserve"> REF _Ref81582923 \h </w:instrText>
      </w:r>
      <w:r w:rsidR="009A79D6">
        <w:rPr>
          <w:lang w:val="en-CA"/>
        </w:rPr>
      </w:r>
      <w:r w:rsidR="009A79D6">
        <w:rPr>
          <w:lang w:val="en-CA"/>
        </w:rPr>
        <w:fldChar w:fldCharType="separate"/>
      </w:r>
      <w:r w:rsidR="009A79D6">
        <w:t xml:space="preserve">Table </w:t>
      </w:r>
      <w:r w:rsidR="009A79D6">
        <w:rPr>
          <w:noProof/>
        </w:rPr>
        <w:t>2</w:t>
      </w:r>
      <w:r w:rsidR="009A79D6">
        <w:rPr>
          <w:lang w:val="en-CA"/>
        </w:rPr>
        <w:fldChar w:fldCharType="end"/>
      </w:r>
      <w:r w:rsidR="009A79D6">
        <w:rPr>
          <w:lang w:val="en-CA"/>
        </w:rPr>
        <w:t xml:space="preserve">) .  It follows that this additional uncertainty </w:t>
      </w:r>
      <w:proofErr w:type="gramStart"/>
      <w:r w:rsidR="009A79D6">
        <w:rPr>
          <w:lang w:val="en-CA"/>
        </w:rPr>
        <w:t>can be quantified</w:t>
      </w:r>
      <w:proofErr w:type="gramEnd"/>
      <w:r w:rsidR="009A79D6">
        <w:rPr>
          <w:lang w:val="en-CA"/>
        </w:rPr>
        <w:t xml:space="preserve"> by simply returning all matching retrievals.  </w:t>
      </w:r>
      <w:proofErr w:type="gramStart"/>
      <w:r w:rsidR="009A79D6">
        <w:rPr>
          <w:lang w:val="en-CA"/>
        </w:rPr>
        <w:t>However, to reduce computation and complexity we propose to simply reduce the relational mapping LUT to a functional mapping LUT using the median LAI of all matches with the same input as the new expected value and using the Euclidean sum of the average standard error of these matches and the standard deviation of the LAI across these matches as the new standard error estimate.</w:t>
      </w:r>
      <w:proofErr w:type="gramEnd"/>
      <w:r w:rsidR="009A79D6">
        <w:rPr>
          <w:lang w:val="en-CA"/>
        </w:rPr>
        <w:t xml:space="preserve">  The advantage of this approach is that the standard deviation of LAI across </w:t>
      </w:r>
      <w:proofErr w:type="spellStart"/>
      <w:r w:rsidR="009A79D6">
        <w:rPr>
          <w:lang w:val="en-CA"/>
        </w:rPr>
        <w:t>macthes</w:t>
      </w:r>
      <w:proofErr w:type="spellEnd"/>
      <w:r w:rsidR="009A79D6">
        <w:rPr>
          <w:lang w:val="en-CA"/>
        </w:rPr>
        <w:t xml:space="preserve"> is </w:t>
      </w:r>
      <w:proofErr w:type="gramStart"/>
      <w:r w:rsidR="009A79D6">
        <w:rPr>
          <w:lang w:val="en-CA"/>
        </w:rPr>
        <w:t>an  estimate</w:t>
      </w:r>
      <w:proofErr w:type="gramEnd"/>
      <w:r w:rsidR="009A79D6">
        <w:rPr>
          <w:lang w:val="en-CA"/>
        </w:rPr>
        <w:t xml:space="preserve"> the additional uncertainty due to the target sensor inputs not perfectly matching MOD15A1 inputs.</w:t>
      </w:r>
    </w:p>
    <w:p w:rsidR="00537260" w:rsidRDefault="00537260">
      <w:pPr>
        <w:rPr>
          <w:lang w:val="en-CA"/>
        </w:rPr>
      </w:pPr>
    </w:p>
    <w:p w:rsidR="00537260" w:rsidRDefault="00537260">
      <w:pPr>
        <w:rPr>
          <w:lang w:val="en-CA"/>
        </w:rPr>
      </w:pPr>
    </w:p>
    <w:p w:rsidR="00537260" w:rsidRDefault="00537260">
      <w:pPr>
        <w:rPr>
          <w:lang w:val="en-CA"/>
        </w:rPr>
      </w:pPr>
    </w:p>
    <w:p w:rsidR="00914D28" w:rsidRDefault="00914D28" w:rsidP="00914D28">
      <w:pPr>
        <w:pStyle w:val="Caption"/>
        <w:keepNext/>
      </w:pPr>
      <w:bookmarkStart w:id="0" w:name="_Ref81582923"/>
      <w:r>
        <w:lastRenderedPageBreak/>
        <w:t xml:space="preserve">Table </w:t>
      </w:r>
      <w:r>
        <w:fldChar w:fldCharType="begin"/>
      </w:r>
      <w:r>
        <w:instrText xml:space="preserve"> SEQ Table \* ARABIC </w:instrText>
      </w:r>
      <w:r>
        <w:fldChar w:fldCharType="separate"/>
      </w:r>
      <w:r>
        <w:rPr>
          <w:noProof/>
        </w:rPr>
        <w:t>2</w:t>
      </w:r>
      <w:r>
        <w:fldChar w:fldCharType="end"/>
      </w:r>
      <w:bookmarkEnd w:id="0"/>
      <w:r>
        <w:t>.  MOD15A1 biome types and associated absolute uncertainty (</w:t>
      </w:r>
      <w:proofErr w:type="gramStart"/>
      <w:r>
        <w:t>%</w:t>
      </w:r>
      <w:proofErr w:type="gramEnd"/>
      <w:r>
        <w:t xml:space="preserve"> BRF) of input MODIS Band 1 and Band 2 BRF to the MOD16v6 algorithm.</w:t>
      </w:r>
    </w:p>
    <w:tbl>
      <w:tblPr>
        <w:tblStyle w:val="TableGrid"/>
        <w:tblW w:w="0" w:type="auto"/>
        <w:tblLook w:val="04A0" w:firstRow="1" w:lastRow="0" w:firstColumn="1" w:lastColumn="0" w:noHBand="0" w:noVBand="1"/>
      </w:tblPr>
      <w:tblGrid>
        <w:gridCol w:w="3116"/>
        <w:gridCol w:w="3117"/>
        <w:gridCol w:w="3117"/>
      </w:tblGrid>
      <w:tr w:rsidR="00914D28" w:rsidRPr="00635084" w:rsidTr="00635084">
        <w:tc>
          <w:tcPr>
            <w:tcW w:w="3116" w:type="dxa"/>
          </w:tcPr>
          <w:p w:rsidR="00914D28" w:rsidRPr="00635084" w:rsidRDefault="00914D28" w:rsidP="00635084">
            <w:pPr>
              <w:rPr>
                <w:rFonts w:cstheme="minorHAnsi"/>
                <w:b/>
                <w:sz w:val="20"/>
                <w:szCs w:val="20"/>
                <w:lang w:val="en-CA"/>
              </w:rPr>
            </w:pPr>
            <w:r w:rsidRPr="00635084">
              <w:rPr>
                <w:rFonts w:cstheme="minorHAnsi"/>
                <w:b/>
                <w:sz w:val="20"/>
                <w:szCs w:val="20"/>
                <w:lang w:val="en-CA"/>
              </w:rPr>
              <w:t>Biome</w:t>
            </w:r>
          </w:p>
        </w:tc>
        <w:tc>
          <w:tcPr>
            <w:tcW w:w="6234" w:type="dxa"/>
            <w:gridSpan w:val="2"/>
          </w:tcPr>
          <w:p w:rsidR="00914D28" w:rsidRPr="00635084" w:rsidRDefault="00914D28" w:rsidP="00635084">
            <w:pPr>
              <w:jc w:val="center"/>
              <w:rPr>
                <w:rFonts w:cstheme="minorHAnsi"/>
                <w:b/>
                <w:sz w:val="20"/>
                <w:szCs w:val="20"/>
                <w:lang w:val="en-CA"/>
              </w:rPr>
            </w:pPr>
            <w:r w:rsidRPr="00635084">
              <w:rPr>
                <w:rFonts w:cstheme="minorHAnsi"/>
                <w:b/>
                <w:sz w:val="20"/>
                <w:szCs w:val="20"/>
                <w:lang w:val="en-CA"/>
              </w:rPr>
              <w:t>Uncertainty Level</w:t>
            </w:r>
          </w:p>
        </w:tc>
      </w:tr>
      <w:tr w:rsidR="00914D28" w:rsidRPr="00635084" w:rsidTr="00635084">
        <w:tc>
          <w:tcPr>
            <w:tcW w:w="3116" w:type="dxa"/>
          </w:tcPr>
          <w:p w:rsidR="00914D28" w:rsidRPr="00635084" w:rsidRDefault="00914D28" w:rsidP="00635084">
            <w:pPr>
              <w:rPr>
                <w:rFonts w:cstheme="minorHAnsi"/>
                <w:b/>
                <w:sz w:val="20"/>
                <w:szCs w:val="20"/>
                <w:lang w:val="en-CA"/>
              </w:rPr>
            </w:pPr>
          </w:p>
        </w:tc>
        <w:tc>
          <w:tcPr>
            <w:tcW w:w="3117" w:type="dxa"/>
          </w:tcPr>
          <w:p w:rsidR="00914D28" w:rsidRPr="00635084" w:rsidRDefault="00914D28" w:rsidP="00635084">
            <w:pPr>
              <w:jc w:val="center"/>
              <w:rPr>
                <w:rFonts w:cstheme="minorHAnsi"/>
                <w:b/>
                <w:sz w:val="20"/>
                <w:szCs w:val="20"/>
                <w:lang w:val="en-CA"/>
              </w:rPr>
            </w:pPr>
            <w:r w:rsidRPr="00635084">
              <w:rPr>
                <w:rFonts w:cstheme="minorHAnsi"/>
                <w:b/>
                <w:sz w:val="20"/>
                <w:szCs w:val="20"/>
                <w:lang w:val="en-CA"/>
              </w:rPr>
              <w:t>% BRF Band 1</w:t>
            </w:r>
          </w:p>
        </w:tc>
        <w:tc>
          <w:tcPr>
            <w:tcW w:w="3117" w:type="dxa"/>
          </w:tcPr>
          <w:p w:rsidR="00914D28" w:rsidRPr="00635084" w:rsidRDefault="00914D28" w:rsidP="00635084">
            <w:pPr>
              <w:jc w:val="center"/>
              <w:rPr>
                <w:rFonts w:cstheme="minorHAnsi"/>
                <w:b/>
                <w:sz w:val="20"/>
                <w:szCs w:val="20"/>
                <w:lang w:val="en-CA"/>
              </w:rPr>
            </w:pPr>
            <w:r w:rsidRPr="00635084">
              <w:rPr>
                <w:rFonts w:cstheme="minorHAnsi"/>
                <w:b/>
                <w:sz w:val="20"/>
                <w:szCs w:val="20"/>
                <w:lang w:val="en-CA"/>
              </w:rPr>
              <w:t>% BRF Band 2</w:t>
            </w:r>
          </w:p>
        </w:tc>
      </w:tr>
      <w:tr w:rsidR="00914D28" w:rsidRPr="00635084" w:rsidTr="00635084">
        <w:tc>
          <w:tcPr>
            <w:tcW w:w="3116" w:type="dxa"/>
          </w:tcPr>
          <w:p w:rsidR="00914D28" w:rsidRPr="00635084" w:rsidRDefault="00914D28" w:rsidP="00635084">
            <w:pPr>
              <w:rPr>
                <w:rFonts w:cstheme="minorHAnsi"/>
                <w:sz w:val="20"/>
                <w:szCs w:val="20"/>
                <w:lang w:val="en-CA"/>
              </w:rPr>
            </w:pPr>
            <w:r w:rsidRPr="00635084">
              <w:rPr>
                <w:rFonts w:cstheme="minorHAnsi"/>
                <w:sz w:val="20"/>
                <w:szCs w:val="20"/>
                <w:lang w:val="en-CA"/>
              </w:rPr>
              <w:t>Grasses/Cereal crops</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20</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5</w:t>
            </w:r>
          </w:p>
        </w:tc>
      </w:tr>
      <w:tr w:rsidR="00914D28" w:rsidRPr="00635084" w:rsidTr="00635084">
        <w:tc>
          <w:tcPr>
            <w:tcW w:w="3116" w:type="dxa"/>
          </w:tcPr>
          <w:p w:rsidR="00914D28" w:rsidRPr="00635084" w:rsidRDefault="00914D28" w:rsidP="00635084">
            <w:pPr>
              <w:rPr>
                <w:rFonts w:cstheme="minorHAnsi"/>
                <w:sz w:val="20"/>
                <w:szCs w:val="20"/>
                <w:lang w:val="en-CA"/>
              </w:rPr>
            </w:pPr>
            <w:r w:rsidRPr="00635084">
              <w:rPr>
                <w:rFonts w:cstheme="minorHAnsi"/>
                <w:sz w:val="20"/>
                <w:szCs w:val="20"/>
                <w:lang w:val="en-CA"/>
              </w:rPr>
              <w:t>Shrubs</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20</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5</w:t>
            </w:r>
          </w:p>
        </w:tc>
      </w:tr>
      <w:tr w:rsidR="00914D28" w:rsidRPr="00635084" w:rsidTr="00635084">
        <w:tc>
          <w:tcPr>
            <w:tcW w:w="3116" w:type="dxa"/>
          </w:tcPr>
          <w:p w:rsidR="00914D28" w:rsidRPr="00635084" w:rsidRDefault="00914D28" w:rsidP="00635084">
            <w:pPr>
              <w:rPr>
                <w:rFonts w:cstheme="minorHAnsi"/>
                <w:sz w:val="20"/>
                <w:szCs w:val="20"/>
                <w:lang w:val="en-CA"/>
              </w:rPr>
            </w:pPr>
            <w:r w:rsidRPr="00635084">
              <w:rPr>
                <w:rFonts w:cstheme="minorHAnsi"/>
                <w:sz w:val="20"/>
                <w:szCs w:val="20"/>
                <w:lang w:val="en-CA"/>
              </w:rPr>
              <w:t>Broadleaf crops</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20</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5</w:t>
            </w:r>
          </w:p>
        </w:tc>
      </w:tr>
      <w:tr w:rsidR="00914D28" w:rsidRPr="00635084" w:rsidTr="00635084">
        <w:tc>
          <w:tcPr>
            <w:tcW w:w="3116" w:type="dxa"/>
          </w:tcPr>
          <w:p w:rsidR="00914D28" w:rsidRPr="00635084" w:rsidRDefault="00914D28" w:rsidP="00635084">
            <w:pPr>
              <w:rPr>
                <w:rFonts w:cstheme="minorHAnsi"/>
                <w:sz w:val="20"/>
                <w:szCs w:val="20"/>
                <w:lang w:val="en-CA"/>
              </w:rPr>
            </w:pPr>
            <w:proofErr w:type="spellStart"/>
            <w:r w:rsidRPr="00635084">
              <w:rPr>
                <w:rFonts w:cstheme="minorHAnsi"/>
                <w:sz w:val="20"/>
                <w:szCs w:val="20"/>
                <w:lang w:val="en-CA"/>
              </w:rPr>
              <w:t>Savanna</w:t>
            </w:r>
            <w:proofErr w:type="spellEnd"/>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20</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5</w:t>
            </w:r>
          </w:p>
        </w:tc>
      </w:tr>
      <w:tr w:rsidR="00914D28" w:rsidRPr="00635084" w:rsidTr="00635084">
        <w:tc>
          <w:tcPr>
            <w:tcW w:w="3116" w:type="dxa"/>
          </w:tcPr>
          <w:p w:rsidR="00914D28" w:rsidRPr="00635084" w:rsidRDefault="00914D28" w:rsidP="00635084">
            <w:pPr>
              <w:rPr>
                <w:rFonts w:cstheme="minorHAnsi"/>
                <w:sz w:val="20"/>
                <w:szCs w:val="20"/>
                <w:lang w:val="en-CA"/>
              </w:rPr>
            </w:pPr>
            <w:r w:rsidRPr="00635084">
              <w:rPr>
                <w:rFonts w:cstheme="minorHAnsi"/>
                <w:sz w:val="20"/>
                <w:szCs w:val="20"/>
                <w:lang w:val="en-CA"/>
              </w:rPr>
              <w:t>Evergreen Broadleaf forest</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30</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15</w:t>
            </w:r>
          </w:p>
        </w:tc>
      </w:tr>
      <w:tr w:rsidR="00914D28" w:rsidRPr="00635084" w:rsidTr="00635084">
        <w:tc>
          <w:tcPr>
            <w:tcW w:w="3116" w:type="dxa"/>
          </w:tcPr>
          <w:p w:rsidR="00914D28" w:rsidRPr="00635084" w:rsidRDefault="00914D28" w:rsidP="00635084">
            <w:pPr>
              <w:rPr>
                <w:rFonts w:cstheme="minorHAnsi"/>
                <w:sz w:val="20"/>
                <w:szCs w:val="20"/>
                <w:lang w:val="en-CA"/>
              </w:rPr>
            </w:pPr>
            <w:r w:rsidRPr="00635084">
              <w:rPr>
                <w:rFonts w:cstheme="minorHAnsi"/>
                <w:sz w:val="20"/>
                <w:szCs w:val="20"/>
                <w:lang w:val="en-CA"/>
              </w:rPr>
              <w:t>Deciduous Broadleaf forest</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30</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15</w:t>
            </w:r>
          </w:p>
        </w:tc>
      </w:tr>
      <w:tr w:rsidR="00914D28" w:rsidRPr="00635084" w:rsidTr="00635084">
        <w:tc>
          <w:tcPr>
            <w:tcW w:w="3116" w:type="dxa"/>
          </w:tcPr>
          <w:p w:rsidR="00914D28" w:rsidRPr="00635084" w:rsidRDefault="00914D28" w:rsidP="00635084">
            <w:pPr>
              <w:rPr>
                <w:rFonts w:cstheme="minorHAnsi"/>
                <w:sz w:val="20"/>
                <w:szCs w:val="20"/>
                <w:lang w:val="en-CA"/>
              </w:rPr>
            </w:pPr>
            <w:r w:rsidRPr="00635084">
              <w:rPr>
                <w:rFonts w:cstheme="minorHAnsi"/>
                <w:sz w:val="20"/>
                <w:szCs w:val="20"/>
                <w:lang w:val="en-CA"/>
              </w:rPr>
              <w:t xml:space="preserve">Evergreen </w:t>
            </w:r>
            <w:proofErr w:type="spellStart"/>
            <w:r w:rsidRPr="00635084">
              <w:rPr>
                <w:rFonts w:cstheme="minorHAnsi"/>
                <w:sz w:val="20"/>
                <w:szCs w:val="20"/>
                <w:lang w:val="en-CA"/>
              </w:rPr>
              <w:t>Needleleaf</w:t>
            </w:r>
            <w:proofErr w:type="spellEnd"/>
            <w:r w:rsidRPr="00635084">
              <w:rPr>
                <w:rFonts w:cstheme="minorHAnsi"/>
                <w:sz w:val="20"/>
                <w:szCs w:val="20"/>
                <w:lang w:val="en-CA"/>
              </w:rPr>
              <w:t xml:space="preserve"> forest</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30</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15</w:t>
            </w:r>
          </w:p>
        </w:tc>
      </w:tr>
      <w:tr w:rsidR="00914D28" w:rsidRPr="00635084" w:rsidTr="00635084">
        <w:tc>
          <w:tcPr>
            <w:tcW w:w="3116" w:type="dxa"/>
          </w:tcPr>
          <w:p w:rsidR="00914D28" w:rsidRPr="00635084" w:rsidRDefault="00914D28" w:rsidP="00635084">
            <w:pPr>
              <w:rPr>
                <w:rFonts w:cstheme="minorHAnsi"/>
                <w:sz w:val="20"/>
                <w:szCs w:val="20"/>
                <w:lang w:val="en-CA"/>
              </w:rPr>
            </w:pPr>
            <w:r w:rsidRPr="00635084">
              <w:rPr>
                <w:rFonts w:cstheme="minorHAnsi"/>
                <w:sz w:val="20"/>
                <w:szCs w:val="20"/>
                <w:lang w:val="en-CA"/>
              </w:rPr>
              <w:t xml:space="preserve">Deciduous </w:t>
            </w:r>
            <w:proofErr w:type="spellStart"/>
            <w:r w:rsidRPr="00635084">
              <w:rPr>
                <w:rFonts w:cstheme="minorHAnsi"/>
                <w:sz w:val="20"/>
                <w:szCs w:val="20"/>
                <w:lang w:val="en-CA"/>
              </w:rPr>
              <w:t>Needleleaf</w:t>
            </w:r>
            <w:proofErr w:type="spellEnd"/>
            <w:r w:rsidRPr="00635084">
              <w:rPr>
                <w:rFonts w:cstheme="minorHAnsi"/>
                <w:sz w:val="20"/>
                <w:szCs w:val="20"/>
                <w:lang w:val="en-CA"/>
              </w:rPr>
              <w:t xml:space="preserve"> forest </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30</w:t>
            </w:r>
          </w:p>
        </w:tc>
        <w:tc>
          <w:tcPr>
            <w:tcW w:w="3117" w:type="dxa"/>
          </w:tcPr>
          <w:p w:rsidR="00914D28" w:rsidRPr="00635084" w:rsidRDefault="00914D28" w:rsidP="00635084">
            <w:pPr>
              <w:jc w:val="right"/>
              <w:rPr>
                <w:rFonts w:cstheme="minorHAnsi"/>
                <w:sz w:val="20"/>
                <w:szCs w:val="20"/>
                <w:lang w:val="en-CA"/>
              </w:rPr>
            </w:pPr>
            <w:r w:rsidRPr="00635084">
              <w:rPr>
                <w:rFonts w:cstheme="minorHAnsi"/>
                <w:sz w:val="20"/>
                <w:szCs w:val="20"/>
                <w:lang w:val="en-CA"/>
              </w:rPr>
              <w:t>15</w:t>
            </w:r>
          </w:p>
        </w:tc>
      </w:tr>
    </w:tbl>
    <w:p w:rsidR="00914D28" w:rsidRDefault="00914D28" w:rsidP="00914D28">
      <w:pPr>
        <w:rPr>
          <w:lang w:val="en-CA"/>
        </w:rPr>
      </w:pPr>
    </w:p>
    <w:p w:rsidR="00537260" w:rsidRDefault="00537260" w:rsidP="00537260">
      <w:pPr>
        <w:rPr>
          <w:lang w:val="en-CA"/>
        </w:rPr>
      </w:pPr>
    </w:p>
    <w:p w:rsidR="00537260" w:rsidRDefault="00537260" w:rsidP="00537260">
      <w:pPr>
        <w:rPr>
          <w:lang w:val="en-CA"/>
        </w:rPr>
      </w:pPr>
    </w:p>
    <w:p w:rsidR="00537260" w:rsidRDefault="00537260" w:rsidP="00537260">
      <w:pPr>
        <w:pStyle w:val="Caption"/>
        <w:keepNext/>
      </w:pPr>
      <w:bookmarkStart w:id="1" w:name="_Ref81583534"/>
      <w:r>
        <w:t xml:space="preserve">Table </w:t>
      </w:r>
      <w:r>
        <w:fldChar w:fldCharType="begin"/>
      </w:r>
      <w:r>
        <w:instrText xml:space="preserve"> SEQ Table \* ARABIC </w:instrText>
      </w:r>
      <w:r>
        <w:fldChar w:fldCharType="separate"/>
      </w:r>
      <w:r>
        <w:rPr>
          <w:noProof/>
        </w:rPr>
        <w:t>3</w:t>
      </w:r>
      <w:r>
        <w:fldChar w:fldCharType="end"/>
      </w:r>
      <w:bookmarkEnd w:id="1"/>
      <w:r>
        <w:t>.  Output specification of MOD15A1 algorithm as implemented for MOD15A3H products.</w:t>
      </w:r>
    </w:p>
    <w:tbl>
      <w:tblPr>
        <w:tblStyle w:val="TableGrid"/>
        <w:tblW w:w="9764" w:type="dxa"/>
        <w:tblLook w:val="04A0" w:firstRow="1" w:lastRow="0" w:firstColumn="1" w:lastColumn="0" w:noHBand="0" w:noVBand="1"/>
      </w:tblPr>
      <w:tblGrid>
        <w:gridCol w:w="1720"/>
        <w:gridCol w:w="2670"/>
        <w:gridCol w:w="850"/>
        <w:gridCol w:w="1655"/>
        <w:gridCol w:w="1044"/>
        <w:gridCol w:w="989"/>
        <w:gridCol w:w="836"/>
        <w:tblGridChange w:id="2">
          <w:tblGrid>
            <w:gridCol w:w="1720"/>
            <w:gridCol w:w="2670"/>
            <w:gridCol w:w="850"/>
            <w:gridCol w:w="1655"/>
            <w:gridCol w:w="1044"/>
            <w:gridCol w:w="989"/>
            <w:gridCol w:w="836"/>
          </w:tblGrid>
        </w:tblGridChange>
      </w:tblGrid>
      <w:tr w:rsidR="00537260" w:rsidRPr="00635084" w:rsidTr="00635084">
        <w:trPr>
          <w:trHeight w:val="1032"/>
        </w:trPr>
        <w:tc>
          <w:tcPr>
            <w:tcW w:w="1720" w:type="dxa"/>
            <w:vAlign w:val="center"/>
          </w:tcPr>
          <w:p w:rsidR="00537260" w:rsidRPr="00635084" w:rsidRDefault="00537260" w:rsidP="00635084">
            <w:pPr>
              <w:jc w:val="center"/>
              <w:rPr>
                <w:rFonts w:cstheme="minorHAnsi"/>
                <w:b/>
                <w:bCs/>
                <w:color w:val="444444"/>
                <w:sz w:val="20"/>
                <w:szCs w:val="20"/>
              </w:rPr>
            </w:pPr>
            <w:r w:rsidRPr="00635084">
              <w:rPr>
                <w:rFonts w:cstheme="minorHAnsi"/>
                <w:b/>
                <w:bCs/>
                <w:color w:val="444444"/>
                <w:sz w:val="20"/>
                <w:szCs w:val="20"/>
              </w:rPr>
              <w:t>MOD15A3H</w:t>
            </w:r>
          </w:p>
          <w:p w:rsidR="00537260" w:rsidRPr="00635084" w:rsidRDefault="00537260" w:rsidP="00635084">
            <w:pPr>
              <w:jc w:val="center"/>
              <w:rPr>
                <w:rFonts w:cstheme="minorHAnsi"/>
                <w:b/>
                <w:bCs/>
                <w:color w:val="444444"/>
                <w:sz w:val="20"/>
                <w:szCs w:val="20"/>
              </w:rPr>
            </w:pPr>
            <w:r w:rsidRPr="00635084">
              <w:rPr>
                <w:rFonts w:cstheme="minorHAnsi"/>
                <w:b/>
                <w:bCs/>
                <w:color w:val="444444"/>
                <w:sz w:val="20"/>
                <w:szCs w:val="20"/>
              </w:rPr>
              <w:t>Band</w:t>
            </w:r>
          </w:p>
          <w:p w:rsidR="00537260" w:rsidRPr="00635084" w:rsidRDefault="00537260" w:rsidP="00635084">
            <w:pPr>
              <w:jc w:val="center"/>
              <w:rPr>
                <w:rFonts w:cstheme="minorHAnsi"/>
                <w:sz w:val="20"/>
                <w:szCs w:val="20"/>
                <w:lang w:val="en-CA"/>
              </w:rPr>
            </w:pPr>
            <w:r w:rsidRPr="00635084">
              <w:rPr>
                <w:rFonts w:cstheme="minorHAnsi"/>
                <w:b/>
                <w:bCs/>
                <w:color w:val="444444"/>
                <w:sz w:val="20"/>
                <w:szCs w:val="20"/>
              </w:rPr>
              <w:t>Name</w:t>
            </w:r>
          </w:p>
        </w:tc>
        <w:tc>
          <w:tcPr>
            <w:tcW w:w="2670" w:type="dxa"/>
            <w:vAlign w:val="center"/>
          </w:tcPr>
          <w:p w:rsidR="00537260" w:rsidRPr="00635084" w:rsidRDefault="00537260" w:rsidP="00635084">
            <w:pPr>
              <w:jc w:val="center"/>
              <w:rPr>
                <w:rFonts w:cstheme="minorHAnsi"/>
                <w:sz w:val="20"/>
                <w:szCs w:val="20"/>
                <w:lang w:val="en-CA"/>
              </w:rPr>
            </w:pPr>
            <w:r w:rsidRPr="00635084">
              <w:rPr>
                <w:rFonts w:cstheme="minorHAnsi"/>
                <w:b/>
                <w:bCs/>
                <w:color w:val="444444"/>
                <w:sz w:val="20"/>
                <w:szCs w:val="20"/>
              </w:rPr>
              <w:t>Description</w:t>
            </w:r>
          </w:p>
        </w:tc>
        <w:tc>
          <w:tcPr>
            <w:tcW w:w="850" w:type="dxa"/>
            <w:vAlign w:val="center"/>
          </w:tcPr>
          <w:p w:rsidR="00537260" w:rsidRPr="00635084" w:rsidRDefault="00537260" w:rsidP="00635084">
            <w:pPr>
              <w:jc w:val="center"/>
              <w:rPr>
                <w:rFonts w:cstheme="minorHAnsi"/>
                <w:sz w:val="20"/>
                <w:szCs w:val="20"/>
                <w:lang w:val="en-CA"/>
              </w:rPr>
            </w:pPr>
            <w:r w:rsidRPr="00635084">
              <w:rPr>
                <w:rFonts w:cstheme="minorHAnsi"/>
                <w:b/>
                <w:bCs/>
                <w:color w:val="444444"/>
                <w:sz w:val="20"/>
                <w:szCs w:val="20"/>
              </w:rPr>
              <w:t>Units</w:t>
            </w:r>
          </w:p>
        </w:tc>
        <w:tc>
          <w:tcPr>
            <w:tcW w:w="1655" w:type="dxa"/>
            <w:vAlign w:val="center"/>
          </w:tcPr>
          <w:p w:rsidR="00537260" w:rsidRPr="00635084" w:rsidRDefault="00537260" w:rsidP="00635084">
            <w:pPr>
              <w:jc w:val="center"/>
              <w:rPr>
                <w:rFonts w:cstheme="minorHAnsi"/>
                <w:sz w:val="20"/>
                <w:szCs w:val="20"/>
                <w:lang w:val="en-CA"/>
              </w:rPr>
            </w:pPr>
            <w:r w:rsidRPr="00635084">
              <w:rPr>
                <w:rFonts w:cstheme="minorHAnsi"/>
                <w:b/>
                <w:bCs/>
                <w:color w:val="444444"/>
                <w:sz w:val="20"/>
                <w:szCs w:val="20"/>
              </w:rPr>
              <w:t>Data Type</w:t>
            </w:r>
          </w:p>
        </w:tc>
        <w:tc>
          <w:tcPr>
            <w:tcW w:w="1044" w:type="dxa"/>
            <w:vAlign w:val="center"/>
          </w:tcPr>
          <w:p w:rsidR="00537260" w:rsidRPr="00635084" w:rsidRDefault="00537260" w:rsidP="00635084">
            <w:pPr>
              <w:jc w:val="center"/>
              <w:rPr>
                <w:rFonts w:cstheme="minorHAnsi"/>
                <w:sz w:val="20"/>
                <w:szCs w:val="20"/>
                <w:lang w:val="en-CA"/>
              </w:rPr>
            </w:pPr>
            <w:r w:rsidRPr="00635084">
              <w:rPr>
                <w:rFonts w:cstheme="minorHAnsi"/>
                <w:b/>
                <w:bCs/>
                <w:color w:val="444444"/>
                <w:sz w:val="20"/>
                <w:szCs w:val="20"/>
              </w:rPr>
              <w:t>Fill Value</w:t>
            </w:r>
          </w:p>
        </w:tc>
        <w:tc>
          <w:tcPr>
            <w:tcW w:w="989" w:type="dxa"/>
            <w:vAlign w:val="center"/>
          </w:tcPr>
          <w:p w:rsidR="00537260" w:rsidRPr="00635084" w:rsidRDefault="00537260" w:rsidP="00635084">
            <w:pPr>
              <w:jc w:val="center"/>
              <w:rPr>
                <w:rFonts w:cstheme="minorHAnsi"/>
                <w:sz w:val="20"/>
                <w:szCs w:val="20"/>
                <w:lang w:val="en-CA"/>
              </w:rPr>
            </w:pPr>
            <w:r w:rsidRPr="00635084">
              <w:rPr>
                <w:rFonts w:cstheme="minorHAnsi"/>
                <w:b/>
                <w:bCs/>
                <w:color w:val="444444"/>
                <w:sz w:val="20"/>
                <w:szCs w:val="20"/>
              </w:rPr>
              <w:t>Valid Range</w:t>
            </w:r>
          </w:p>
        </w:tc>
        <w:tc>
          <w:tcPr>
            <w:tcW w:w="836" w:type="dxa"/>
            <w:vAlign w:val="center"/>
          </w:tcPr>
          <w:p w:rsidR="00537260" w:rsidRPr="00635084" w:rsidRDefault="00537260" w:rsidP="00635084">
            <w:pPr>
              <w:jc w:val="center"/>
              <w:rPr>
                <w:rFonts w:cstheme="minorHAnsi"/>
                <w:sz w:val="20"/>
                <w:szCs w:val="20"/>
                <w:lang w:val="en-CA"/>
              </w:rPr>
            </w:pPr>
            <w:r w:rsidRPr="00635084">
              <w:rPr>
                <w:rFonts w:cstheme="minorHAnsi"/>
                <w:b/>
                <w:bCs/>
                <w:color w:val="444444"/>
                <w:sz w:val="20"/>
                <w:szCs w:val="20"/>
              </w:rPr>
              <w:t>Scale Factor</w:t>
            </w:r>
          </w:p>
        </w:tc>
      </w:tr>
      <w:tr w:rsidR="00537260" w:rsidRPr="00635084" w:rsidTr="00635084">
        <w:trPr>
          <w:trHeight w:val="1032"/>
        </w:trPr>
        <w:tc>
          <w:tcPr>
            <w:tcW w:w="172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Fpar_500m</w:t>
            </w:r>
          </w:p>
        </w:tc>
        <w:tc>
          <w:tcPr>
            <w:tcW w:w="267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 xml:space="preserve">Fraction of </w:t>
            </w:r>
            <w:proofErr w:type="spellStart"/>
            <w:r w:rsidRPr="00635084">
              <w:rPr>
                <w:rFonts w:cstheme="minorHAnsi"/>
                <w:color w:val="444444"/>
                <w:sz w:val="20"/>
                <w:szCs w:val="20"/>
              </w:rPr>
              <w:t>Photosynthetically</w:t>
            </w:r>
            <w:proofErr w:type="spellEnd"/>
            <w:r w:rsidRPr="00635084">
              <w:rPr>
                <w:rFonts w:cstheme="minorHAnsi"/>
                <w:color w:val="444444"/>
                <w:sz w:val="20"/>
                <w:szCs w:val="20"/>
              </w:rPr>
              <w:t xml:space="preserve"> Active Radiation</w:t>
            </w:r>
          </w:p>
        </w:tc>
        <w:tc>
          <w:tcPr>
            <w:tcW w:w="850" w:type="dxa"/>
            <w:vAlign w:val="center"/>
          </w:tcPr>
          <w:p w:rsidR="00537260" w:rsidRPr="00635084" w:rsidRDefault="00537260" w:rsidP="00635084">
            <w:pPr>
              <w:rPr>
                <w:rFonts w:cstheme="minorHAnsi"/>
                <w:sz w:val="20"/>
                <w:szCs w:val="20"/>
                <w:lang w:val="en-CA"/>
              </w:rPr>
            </w:pPr>
            <w:r w:rsidRPr="00D465D0">
              <w:rPr>
                <w:rFonts w:cstheme="minorHAnsi"/>
                <w:color w:val="444444"/>
                <w:sz w:val="20"/>
                <w:szCs w:val="20"/>
              </w:rPr>
              <w:t>%</w:t>
            </w:r>
          </w:p>
        </w:tc>
        <w:tc>
          <w:tcPr>
            <w:tcW w:w="1655"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8-bit unsigned integer</w:t>
            </w:r>
          </w:p>
        </w:tc>
        <w:tc>
          <w:tcPr>
            <w:tcW w:w="1044"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249</w:t>
            </w:r>
            <w:r w:rsidRPr="00D465D0">
              <w:rPr>
                <w:rFonts w:cstheme="minorHAnsi"/>
                <w:color w:val="444444"/>
                <w:sz w:val="20"/>
                <w:szCs w:val="20"/>
              </w:rPr>
              <w:t>-</w:t>
            </w:r>
            <w:r w:rsidRPr="00635084">
              <w:rPr>
                <w:rFonts w:cstheme="minorHAnsi"/>
                <w:color w:val="444444"/>
                <w:sz w:val="20"/>
                <w:szCs w:val="20"/>
              </w:rPr>
              <w:t>255</w:t>
            </w:r>
          </w:p>
        </w:tc>
        <w:tc>
          <w:tcPr>
            <w:tcW w:w="989"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0 to 100</w:t>
            </w:r>
          </w:p>
        </w:tc>
        <w:tc>
          <w:tcPr>
            <w:tcW w:w="836" w:type="dxa"/>
            <w:vAlign w:val="center"/>
          </w:tcPr>
          <w:p w:rsidR="00537260" w:rsidRPr="00635084" w:rsidRDefault="00537260" w:rsidP="00635084">
            <w:pPr>
              <w:jc w:val="both"/>
              <w:rPr>
                <w:rFonts w:cstheme="minorHAnsi"/>
                <w:sz w:val="20"/>
                <w:szCs w:val="20"/>
                <w:lang w:val="en-CA"/>
              </w:rPr>
            </w:pPr>
            <w:r w:rsidRPr="00635084">
              <w:rPr>
                <w:rFonts w:cstheme="minorHAnsi"/>
                <w:color w:val="444444"/>
                <w:sz w:val="20"/>
                <w:szCs w:val="20"/>
              </w:rPr>
              <w:t>0.01</w:t>
            </w:r>
          </w:p>
        </w:tc>
      </w:tr>
      <w:tr w:rsidR="00537260" w:rsidRPr="00635084" w:rsidTr="00635084">
        <w:trPr>
          <w:trHeight w:val="1018"/>
        </w:trPr>
        <w:tc>
          <w:tcPr>
            <w:tcW w:w="172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Lai_500m</w:t>
            </w:r>
          </w:p>
        </w:tc>
        <w:tc>
          <w:tcPr>
            <w:tcW w:w="267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Leaf Area Index</w:t>
            </w:r>
          </w:p>
        </w:tc>
        <w:tc>
          <w:tcPr>
            <w:tcW w:w="85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m²/m²</w:t>
            </w:r>
          </w:p>
        </w:tc>
        <w:tc>
          <w:tcPr>
            <w:tcW w:w="1655"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8-bit unsigned integer</w:t>
            </w:r>
          </w:p>
        </w:tc>
        <w:tc>
          <w:tcPr>
            <w:tcW w:w="1044"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249</w:t>
            </w:r>
            <w:r w:rsidRPr="00D465D0">
              <w:rPr>
                <w:rFonts w:cstheme="minorHAnsi"/>
                <w:color w:val="444444"/>
                <w:sz w:val="20"/>
                <w:szCs w:val="20"/>
              </w:rPr>
              <w:t>-</w:t>
            </w:r>
            <w:r w:rsidRPr="00635084">
              <w:rPr>
                <w:rFonts w:cstheme="minorHAnsi"/>
                <w:color w:val="444444"/>
                <w:sz w:val="20"/>
                <w:szCs w:val="20"/>
              </w:rPr>
              <w:t>255</w:t>
            </w:r>
          </w:p>
        </w:tc>
        <w:tc>
          <w:tcPr>
            <w:tcW w:w="989"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0 to 100</w:t>
            </w:r>
          </w:p>
        </w:tc>
        <w:tc>
          <w:tcPr>
            <w:tcW w:w="836" w:type="dxa"/>
            <w:vAlign w:val="center"/>
          </w:tcPr>
          <w:p w:rsidR="00537260" w:rsidRPr="00635084" w:rsidRDefault="00537260" w:rsidP="00635084">
            <w:pPr>
              <w:jc w:val="both"/>
              <w:rPr>
                <w:rFonts w:cstheme="minorHAnsi"/>
                <w:sz w:val="20"/>
                <w:szCs w:val="20"/>
                <w:lang w:val="en-CA"/>
              </w:rPr>
            </w:pPr>
            <w:r w:rsidRPr="00635084">
              <w:rPr>
                <w:rFonts w:cstheme="minorHAnsi"/>
                <w:color w:val="444444"/>
                <w:sz w:val="20"/>
                <w:szCs w:val="20"/>
              </w:rPr>
              <w:t>0.1</w:t>
            </w:r>
          </w:p>
        </w:tc>
      </w:tr>
      <w:tr w:rsidR="00537260" w:rsidRPr="00635084" w:rsidTr="00635084">
        <w:trPr>
          <w:trHeight w:val="1032"/>
        </w:trPr>
        <w:tc>
          <w:tcPr>
            <w:tcW w:w="1720" w:type="dxa"/>
            <w:vAlign w:val="center"/>
          </w:tcPr>
          <w:p w:rsidR="00537260" w:rsidRPr="00635084" w:rsidRDefault="00537260" w:rsidP="00635084">
            <w:pPr>
              <w:rPr>
                <w:rFonts w:cstheme="minorHAnsi"/>
                <w:sz w:val="20"/>
                <w:szCs w:val="20"/>
                <w:lang w:val="en-CA"/>
              </w:rPr>
            </w:pPr>
            <w:proofErr w:type="spellStart"/>
            <w:r w:rsidRPr="00635084">
              <w:rPr>
                <w:rFonts w:cstheme="minorHAnsi"/>
                <w:color w:val="444444"/>
                <w:sz w:val="20"/>
                <w:szCs w:val="20"/>
              </w:rPr>
              <w:t>FparLai_QC</w:t>
            </w:r>
            <w:proofErr w:type="spellEnd"/>
          </w:p>
        </w:tc>
        <w:tc>
          <w:tcPr>
            <w:tcW w:w="267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Quality for  FPAR and LAI</w:t>
            </w:r>
          </w:p>
        </w:tc>
        <w:tc>
          <w:tcPr>
            <w:tcW w:w="85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Class Flag</w:t>
            </w:r>
          </w:p>
        </w:tc>
        <w:tc>
          <w:tcPr>
            <w:tcW w:w="1655"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8-bit unsigned integer</w:t>
            </w:r>
          </w:p>
        </w:tc>
        <w:tc>
          <w:tcPr>
            <w:tcW w:w="1044"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255</w:t>
            </w:r>
          </w:p>
        </w:tc>
        <w:tc>
          <w:tcPr>
            <w:tcW w:w="989"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0 to 254</w:t>
            </w:r>
          </w:p>
        </w:tc>
        <w:tc>
          <w:tcPr>
            <w:tcW w:w="836" w:type="dxa"/>
            <w:vAlign w:val="center"/>
          </w:tcPr>
          <w:p w:rsidR="00537260" w:rsidRPr="00635084" w:rsidRDefault="00537260" w:rsidP="00635084">
            <w:pPr>
              <w:jc w:val="both"/>
              <w:rPr>
                <w:rFonts w:cstheme="minorHAnsi"/>
                <w:sz w:val="20"/>
                <w:szCs w:val="20"/>
                <w:lang w:val="en-CA"/>
              </w:rPr>
            </w:pPr>
            <w:r w:rsidRPr="00635084">
              <w:rPr>
                <w:rFonts w:cstheme="minorHAnsi"/>
                <w:color w:val="444444"/>
                <w:sz w:val="20"/>
                <w:szCs w:val="20"/>
              </w:rPr>
              <w:t>N/A</w:t>
            </w:r>
          </w:p>
        </w:tc>
      </w:tr>
      <w:tr w:rsidR="00537260" w:rsidRPr="00635084" w:rsidTr="00635084">
        <w:trPr>
          <w:trHeight w:val="1032"/>
        </w:trPr>
        <w:tc>
          <w:tcPr>
            <w:tcW w:w="1720" w:type="dxa"/>
            <w:vAlign w:val="center"/>
          </w:tcPr>
          <w:p w:rsidR="00537260" w:rsidRPr="00635084" w:rsidRDefault="00537260" w:rsidP="00635084">
            <w:pPr>
              <w:rPr>
                <w:rFonts w:cstheme="minorHAnsi"/>
                <w:sz w:val="20"/>
                <w:szCs w:val="20"/>
                <w:lang w:val="en-CA"/>
              </w:rPr>
            </w:pPr>
            <w:proofErr w:type="spellStart"/>
            <w:r w:rsidRPr="00635084">
              <w:rPr>
                <w:rFonts w:cstheme="minorHAnsi"/>
                <w:color w:val="444444"/>
                <w:sz w:val="20"/>
                <w:szCs w:val="20"/>
              </w:rPr>
              <w:t>FparExtra_QC</w:t>
            </w:r>
            <w:proofErr w:type="spellEnd"/>
          </w:p>
        </w:tc>
        <w:tc>
          <w:tcPr>
            <w:tcW w:w="267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Extra detail Quality for  FPAR and LAI</w:t>
            </w:r>
          </w:p>
        </w:tc>
        <w:tc>
          <w:tcPr>
            <w:tcW w:w="85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Class Flag</w:t>
            </w:r>
          </w:p>
        </w:tc>
        <w:tc>
          <w:tcPr>
            <w:tcW w:w="1655"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8-bit unsigned integer</w:t>
            </w:r>
          </w:p>
        </w:tc>
        <w:tc>
          <w:tcPr>
            <w:tcW w:w="1044"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255</w:t>
            </w:r>
          </w:p>
        </w:tc>
        <w:tc>
          <w:tcPr>
            <w:tcW w:w="989"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0 to 254</w:t>
            </w:r>
          </w:p>
        </w:tc>
        <w:tc>
          <w:tcPr>
            <w:tcW w:w="836" w:type="dxa"/>
            <w:vAlign w:val="center"/>
          </w:tcPr>
          <w:p w:rsidR="00537260" w:rsidRPr="00635084" w:rsidRDefault="00537260" w:rsidP="00635084">
            <w:pPr>
              <w:jc w:val="both"/>
              <w:rPr>
                <w:rFonts w:cstheme="minorHAnsi"/>
                <w:sz w:val="20"/>
                <w:szCs w:val="20"/>
                <w:lang w:val="en-CA"/>
              </w:rPr>
            </w:pPr>
            <w:r w:rsidRPr="00635084">
              <w:rPr>
                <w:rFonts w:cstheme="minorHAnsi"/>
                <w:color w:val="444444"/>
                <w:sz w:val="20"/>
                <w:szCs w:val="20"/>
              </w:rPr>
              <w:t>N/A</w:t>
            </w:r>
          </w:p>
        </w:tc>
      </w:tr>
      <w:tr w:rsidR="00537260" w:rsidRPr="00635084" w:rsidTr="00635084">
        <w:trPr>
          <w:trHeight w:val="1032"/>
        </w:trPr>
        <w:tc>
          <w:tcPr>
            <w:tcW w:w="172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FparStdDev_500m</w:t>
            </w:r>
          </w:p>
        </w:tc>
        <w:tc>
          <w:tcPr>
            <w:tcW w:w="267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Standard deviation of  FPAR</w:t>
            </w:r>
          </w:p>
        </w:tc>
        <w:tc>
          <w:tcPr>
            <w:tcW w:w="850" w:type="dxa"/>
            <w:vAlign w:val="center"/>
          </w:tcPr>
          <w:p w:rsidR="00537260" w:rsidRPr="00635084" w:rsidRDefault="00537260" w:rsidP="00635084">
            <w:pPr>
              <w:rPr>
                <w:rFonts w:cstheme="minorHAnsi"/>
                <w:sz w:val="20"/>
                <w:szCs w:val="20"/>
                <w:lang w:val="en-CA"/>
              </w:rPr>
            </w:pPr>
            <w:r w:rsidRPr="00D465D0">
              <w:rPr>
                <w:rFonts w:cstheme="minorHAnsi"/>
                <w:color w:val="444444"/>
                <w:sz w:val="20"/>
                <w:szCs w:val="20"/>
              </w:rPr>
              <w:t>%</w:t>
            </w:r>
          </w:p>
        </w:tc>
        <w:tc>
          <w:tcPr>
            <w:tcW w:w="1655"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8-bit unsigned integer</w:t>
            </w:r>
          </w:p>
        </w:tc>
        <w:tc>
          <w:tcPr>
            <w:tcW w:w="1044" w:type="dxa"/>
            <w:vAlign w:val="center"/>
          </w:tcPr>
          <w:p w:rsidR="00537260" w:rsidRPr="00635084" w:rsidRDefault="00537260" w:rsidP="00635084">
            <w:pPr>
              <w:rPr>
                <w:rFonts w:cstheme="minorHAnsi"/>
                <w:sz w:val="20"/>
                <w:szCs w:val="20"/>
                <w:lang w:val="en-CA"/>
              </w:rPr>
            </w:pPr>
            <w:r w:rsidRPr="00D465D0">
              <w:rPr>
                <w:rFonts w:cstheme="minorHAnsi"/>
                <w:color w:val="444444"/>
                <w:sz w:val="20"/>
                <w:szCs w:val="20"/>
              </w:rPr>
              <w:t>248-</w:t>
            </w:r>
            <w:r w:rsidRPr="00635084">
              <w:rPr>
                <w:rFonts w:cstheme="minorHAnsi"/>
                <w:color w:val="444444"/>
                <w:sz w:val="20"/>
                <w:szCs w:val="20"/>
              </w:rPr>
              <w:t>255</w:t>
            </w:r>
          </w:p>
        </w:tc>
        <w:tc>
          <w:tcPr>
            <w:tcW w:w="989"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0 to 100</w:t>
            </w:r>
          </w:p>
        </w:tc>
        <w:tc>
          <w:tcPr>
            <w:tcW w:w="836" w:type="dxa"/>
            <w:vAlign w:val="center"/>
          </w:tcPr>
          <w:p w:rsidR="00537260" w:rsidRPr="00635084" w:rsidRDefault="00537260" w:rsidP="00635084">
            <w:pPr>
              <w:jc w:val="both"/>
              <w:rPr>
                <w:rFonts w:cstheme="minorHAnsi"/>
                <w:sz w:val="20"/>
                <w:szCs w:val="20"/>
                <w:lang w:val="en-CA"/>
              </w:rPr>
            </w:pPr>
            <w:r w:rsidRPr="00635084">
              <w:rPr>
                <w:rFonts w:cstheme="minorHAnsi"/>
                <w:color w:val="444444"/>
                <w:sz w:val="20"/>
                <w:szCs w:val="20"/>
              </w:rPr>
              <w:t>0.01</w:t>
            </w:r>
          </w:p>
        </w:tc>
      </w:tr>
      <w:tr w:rsidR="00537260" w:rsidRPr="00635084" w:rsidTr="00635084">
        <w:trPr>
          <w:trHeight w:val="1120"/>
        </w:trPr>
        <w:tc>
          <w:tcPr>
            <w:tcW w:w="172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LaiStdDev_500m</w:t>
            </w:r>
          </w:p>
        </w:tc>
        <w:tc>
          <w:tcPr>
            <w:tcW w:w="267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Standard deviation of LAI</w:t>
            </w:r>
          </w:p>
        </w:tc>
        <w:tc>
          <w:tcPr>
            <w:tcW w:w="850"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m²/m²</w:t>
            </w:r>
          </w:p>
        </w:tc>
        <w:tc>
          <w:tcPr>
            <w:tcW w:w="1655" w:type="dxa"/>
            <w:vAlign w:val="center"/>
          </w:tcPr>
          <w:p w:rsidR="00537260" w:rsidRPr="00635084" w:rsidRDefault="00537260" w:rsidP="00635084">
            <w:pPr>
              <w:rPr>
                <w:rFonts w:cstheme="minorHAnsi"/>
                <w:sz w:val="20"/>
                <w:szCs w:val="20"/>
                <w:lang w:val="en-CA"/>
              </w:rPr>
            </w:pPr>
            <w:r w:rsidRPr="00635084">
              <w:rPr>
                <w:rFonts w:cstheme="minorHAnsi"/>
                <w:color w:val="444444"/>
                <w:sz w:val="20"/>
                <w:szCs w:val="20"/>
              </w:rPr>
              <w:t>8-bit unsigned integer</w:t>
            </w:r>
          </w:p>
        </w:tc>
        <w:tc>
          <w:tcPr>
            <w:tcW w:w="1044" w:type="dxa"/>
            <w:vAlign w:val="center"/>
          </w:tcPr>
          <w:p w:rsidR="00537260" w:rsidRPr="00635084" w:rsidRDefault="00537260" w:rsidP="00635084">
            <w:pPr>
              <w:rPr>
                <w:rFonts w:cstheme="minorHAnsi"/>
                <w:sz w:val="20"/>
                <w:szCs w:val="20"/>
                <w:lang w:val="en-CA"/>
              </w:rPr>
            </w:pPr>
            <w:r w:rsidRPr="00D465D0">
              <w:rPr>
                <w:rFonts w:cstheme="minorHAnsi"/>
                <w:color w:val="444444"/>
                <w:sz w:val="20"/>
                <w:szCs w:val="20"/>
              </w:rPr>
              <w:t>248-</w:t>
            </w:r>
            <w:r w:rsidRPr="00635084">
              <w:rPr>
                <w:rFonts w:cstheme="minorHAnsi"/>
                <w:color w:val="444444"/>
                <w:sz w:val="20"/>
                <w:szCs w:val="20"/>
              </w:rPr>
              <w:t>255</w:t>
            </w:r>
          </w:p>
        </w:tc>
        <w:tc>
          <w:tcPr>
            <w:tcW w:w="989" w:type="dxa"/>
            <w:vAlign w:val="center"/>
          </w:tcPr>
          <w:p w:rsidR="00537260" w:rsidRPr="00635084" w:rsidRDefault="00537260" w:rsidP="00635084">
            <w:pPr>
              <w:jc w:val="both"/>
              <w:rPr>
                <w:rFonts w:cstheme="minorHAnsi"/>
                <w:sz w:val="20"/>
                <w:szCs w:val="20"/>
                <w:lang w:val="en-CA"/>
              </w:rPr>
            </w:pPr>
            <w:r w:rsidRPr="00635084">
              <w:rPr>
                <w:rFonts w:cstheme="minorHAnsi"/>
                <w:color w:val="444444"/>
                <w:sz w:val="20"/>
                <w:szCs w:val="20"/>
              </w:rPr>
              <w:t>0 to 100</w:t>
            </w:r>
          </w:p>
        </w:tc>
        <w:tc>
          <w:tcPr>
            <w:tcW w:w="836" w:type="dxa"/>
            <w:vAlign w:val="center"/>
          </w:tcPr>
          <w:p w:rsidR="00537260" w:rsidRPr="00635084" w:rsidRDefault="00537260" w:rsidP="00635084">
            <w:pPr>
              <w:jc w:val="both"/>
              <w:rPr>
                <w:rFonts w:cstheme="minorHAnsi"/>
                <w:sz w:val="20"/>
                <w:szCs w:val="20"/>
                <w:lang w:val="en-CA"/>
              </w:rPr>
            </w:pPr>
            <w:r w:rsidRPr="00635084">
              <w:rPr>
                <w:rFonts w:cstheme="minorHAnsi"/>
                <w:color w:val="444444"/>
                <w:sz w:val="20"/>
                <w:szCs w:val="20"/>
              </w:rPr>
              <w:t>0.1</w:t>
            </w:r>
          </w:p>
        </w:tc>
      </w:tr>
    </w:tbl>
    <w:p w:rsidR="00537260" w:rsidRDefault="00537260" w:rsidP="00537260">
      <w:pPr>
        <w:rPr>
          <w:lang w:val="en-CA"/>
        </w:rPr>
      </w:pPr>
    </w:p>
    <w:p w:rsidR="00537260" w:rsidRDefault="00537260" w:rsidP="00914D28">
      <w:pPr>
        <w:rPr>
          <w:lang w:val="en-CA"/>
        </w:rPr>
      </w:pPr>
    </w:p>
    <w:p w:rsidR="00914D28" w:rsidRDefault="00914D28" w:rsidP="00914D28">
      <w:pPr>
        <w:pStyle w:val="Caption"/>
        <w:keepNext/>
      </w:pPr>
      <w:bookmarkStart w:id="3" w:name="_Ref81583510"/>
      <w:r>
        <w:t xml:space="preserve">Table </w:t>
      </w:r>
      <w:r>
        <w:fldChar w:fldCharType="begin"/>
      </w:r>
      <w:r>
        <w:instrText xml:space="preserve"> SEQ Table \* ARABIC </w:instrText>
      </w:r>
      <w:r>
        <w:fldChar w:fldCharType="separate"/>
      </w:r>
      <w:r w:rsidR="009A79D6">
        <w:rPr>
          <w:noProof/>
        </w:rPr>
        <w:t>4</w:t>
      </w:r>
      <w:r>
        <w:fldChar w:fldCharType="end"/>
      </w:r>
      <w:bookmarkEnd w:id="3"/>
      <w:r>
        <w:t>.  In</w:t>
      </w:r>
      <w:r w:rsidRPr="004B59F4">
        <w:t>put specification of MOD15A1 algorithm as implemented for MOD15</w:t>
      </w:r>
      <w:r>
        <w:t>A3H</w:t>
      </w:r>
      <w:r w:rsidRPr="004B59F4">
        <w:t xml:space="preserve"> products.</w:t>
      </w:r>
    </w:p>
    <w:tbl>
      <w:tblPr>
        <w:tblStyle w:val="TableGrid"/>
        <w:tblW w:w="0" w:type="auto"/>
        <w:tblLook w:val="04A0" w:firstRow="1" w:lastRow="0" w:firstColumn="1" w:lastColumn="0" w:noHBand="0" w:noVBand="1"/>
      </w:tblPr>
      <w:tblGrid>
        <w:gridCol w:w="1855"/>
        <w:gridCol w:w="1776"/>
        <w:gridCol w:w="749"/>
        <w:gridCol w:w="1258"/>
        <w:gridCol w:w="845"/>
        <w:gridCol w:w="1960"/>
        <w:gridCol w:w="907"/>
        <w:tblGridChange w:id="4">
          <w:tblGrid>
            <w:gridCol w:w="1855"/>
            <w:gridCol w:w="1776"/>
            <w:gridCol w:w="749"/>
            <w:gridCol w:w="1258"/>
            <w:gridCol w:w="845"/>
            <w:gridCol w:w="1960"/>
            <w:gridCol w:w="907"/>
          </w:tblGrid>
        </w:tblGridChange>
      </w:tblGrid>
      <w:tr w:rsidR="00914D28" w:rsidRPr="00635084" w:rsidTr="00635084">
        <w:trPr>
          <w:trHeight w:val="742"/>
        </w:trPr>
        <w:tc>
          <w:tcPr>
            <w:tcW w:w="1696" w:type="dxa"/>
            <w:vAlign w:val="center"/>
          </w:tcPr>
          <w:p w:rsidR="00914D28" w:rsidRPr="00635084" w:rsidRDefault="00914D28" w:rsidP="00635084">
            <w:pPr>
              <w:jc w:val="center"/>
              <w:rPr>
                <w:rFonts w:cstheme="minorHAnsi"/>
                <w:b/>
                <w:bCs/>
                <w:sz w:val="20"/>
                <w:szCs w:val="20"/>
              </w:rPr>
            </w:pPr>
            <w:r w:rsidRPr="00D465D0">
              <w:rPr>
                <w:rFonts w:cstheme="minorHAnsi"/>
                <w:b/>
                <w:bCs/>
                <w:sz w:val="20"/>
                <w:szCs w:val="20"/>
              </w:rPr>
              <w:t>MOD09</w:t>
            </w:r>
            <w:r>
              <w:rPr>
                <w:rFonts w:cstheme="minorHAnsi"/>
                <w:b/>
                <w:bCs/>
                <w:sz w:val="20"/>
                <w:szCs w:val="20"/>
              </w:rPr>
              <w:t>GA</w:t>
            </w:r>
          </w:p>
          <w:p w:rsidR="00914D28" w:rsidRPr="00635084" w:rsidRDefault="00914D28" w:rsidP="00635084">
            <w:pPr>
              <w:jc w:val="center"/>
              <w:rPr>
                <w:rFonts w:cstheme="minorHAnsi"/>
                <w:b/>
                <w:bCs/>
                <w:sz w:val="20"/>
                <w:szCs w:val="20"/>
              </w:rPr>
            </w:pPr>
            <w:r w:rsidRPr="00635084">
              <w:rPr>
                <w:rFonts w:cstheme="minorHAnsi"/>
                <w:b/>
                <w:bCs/>
                <w:sz w:val="20"/>
                <w:szCs w:val="20"/>
              </w:rPr>
              <w:t>Band</w:t>
            </w:r>
          </w:p>
          <w:p w:rsidR="00914D28" w:rsidRPr="00635084" w:rsidRDefault="00914D28" w:rsidP="00635084">
            <w:pPr>
              <w:jc w:val="center"/>
              <w:rPr>
                <w:rFonts w:cstheme="minorHAnsi"/>
                <w:b/>
                <w:sz w:val="20"/>
                <w:szCs w:val="20"/>
                <w:lang w:val="en-CA"/>
              </w:rPr>
            </w:pPr>
            <w:r w:rsidRPr="00635084">
              <w:rPr>
                <w:rFonts w:cstheme="minorHAnsi"/>
                <w:b/>
                <w:bCs/>
                <w:sz w:val="20"/>
                <w:szCs w:val="20"/>
              </w:rPr>
              <w:t>Name</w:t>
            </w:r>
          </w:p>
        </w:tc>
        <w:tc>
          <w:tcPr>
            <w:tcW w:w="1799" w:type="dxa"/>
            <w:vAlign w:val="center"/>
          </w:tcPr>
          <w:p w:rsidR="00914D28" w:rsidRPr="00635084" w:rsidRDefault="00914D28" w:rsidP="00635084">
            <w:pPr>
              <w:jc w:val="center"/>
              <w:rPr>
                <w:rFonts w:cstheme="minorHAnsi"/>
                <w:b/>
                <w:sz w:val="20"/>
                <w:szCs w:val="20"/>
                <w:lang w:val="en-CA"/>
              </w:rPr>
            </w:pPr>
            <w:r w:rsidRPr="00635084">
              <w:rPr>
                <w:rFonts w:cstheme="minorHAnsi"/>
                <w:b/>
                <w:bCs/>
                <w:sz w:val="20"/>
                <w:szCs w:val="20"/>
              </w:rPr>
              <w:t>Description</w:t>
            </w:r>
          </w:p>
        </w:tc>
        <w:tc>
          <w:tcPr>
            <w:tcW w:w="753" w:type="dxa"/>
            <w:vAlign w:val="center"/>
          </w:tcPr>
          <w:p w:rsidR="00914D28" w:rsidRPr="00635084" w:rsidRDefault="00914D28" w:rsidP="00635084">
            <w:pPr>
              <w:jc w:val="center"/>
              <w:rPr>
                <w:rFonts w:cstheme="minorHAnsi"/>
                <w:b/>
                <w:sz w:val="20"/>
                <w:szCs w:val="20"/>
                <w:lang w:val="en-CA"/>
              </w:rPr>
            </w:pPr>
            <w:r w:rsidRPr="00635084">
              <w:rPr>
                <w:rFonts w:cstheme="minorHAnsi"/>
                <w:b/>
                <w:bCs/>
                <w:sz w:val="20"/>
                <w:szCs w:val="20"/>
              </w:rPr>
              <w:t>Units</w:t>
            </w:r>
          </w:p>
        </w:tc>
        <w:tc>
          <w:tcPr>
            <w:tcW w:w="1276" w:type="dxa"/>
            <w:vAlign w:val="center"/>
          </w:tcPr>
          <w:p w:rsidR="00914D28" w:rsidRPr="00635084" w:rsidRDefault="00914D28" w:rsidP="00635084">
            <w:pPr>
              <w:jc w:val="center"/>
              <w:rPr>
                <w:rFonts w:cstheme="minorHAnsi"/>
                <w:b/>
                <w:sz w:val="20"/>
                <w:szCs w:val="20"/>
                <w:lang w:val="en-CA"/>
              </w:rPr>
            </w:pPr>
            <w:r w:rsidRPr="00635084">
              <w:rPr>
                <w:rFonts w:cstheme="minorHAnsi"/>
                <w:b/>
                <w:bCs/>
                <w:sz w:val="20"/>
                <w:szCs w:val="20"/>
              </w:rPr>
              <w:t>Data Type</w:t>
            </w:r>
          </w:p>
        </w:tc>
        <w:tc>
          <w:tcPr>
            <w:tcW w:w="850" w:type="dxa"/>
            <w:vAlign w:val="center"/>
          </w:tcPr>
          <w:p w:rsidR="00914D28" w:rsidRPr="00635084" w:rsidRDefault="00914D28" w:rsidP="00635084">
            <w:pPr>
              <w:jc w:val="center"/>
              <w:rPr>
                <w:rFonts w:cstheme="minorHAnsi"/>
                <w:b/>
                <w:sz w:val="20"/>
                <w:szCs w:val="20"/>
                <w:lang w:val="en-CA"/>
              </w:rPr>
            </w:pPr>
            <w:r w:rsidRPr="00635084">
              <w:rPr>
                <w:rFonts w:cstheme="minorHAnsi"/>
                <w:b/>
                <w:bCs/>
                <w:sz w:val="20"/>
                <w:szCs w:val="20"/>
              </w:rPr>
              <w:t>Fill Value</w:t>
            </w:r>
          </w:p>
        </w:tc>
        <w:tc>
          <w:tcPr>
            <w:tcW w:w="2007" w:type="dxa"/>
            <w:vAlign w:val="center"/>
          </w:tcPr>
          <w:p w:rsidR="00914D28" w:rsidRPr="00635084" w:rsidRDefault="00914D28" w:rsidP="00635084">
            <w:pPr>
              <w:jc w:val="center"/>
              <w:rPr>
                <w:rFonts w:cstheme="minorHAnsi"/>
                <w:b/>
                <w:sz w:val="20"/>
                <w:szCs w:val="20"/>
                <w:lang w:val="en-CA"/>
              </w:rPr>
            </w:pPr>
            <w:r w:rsidRPr="00635084">
              <w:rPr>
                <w:rFonts w:cstheme="minorHAnsi"/>
                <w:b/>
                <w:bCs/>
                <w:sz w:val="20"/>
                <w:szCs w:val="20"/>
              </w:rPr>
              <w:t>Valid Range</w:t>
            </w:r>
          </w:p>
        </w:tc>
        <w:tc>
          <w:tcPr>
            <w:tcW w:w="912" w:type="dxa"/>
            <w:vAlign w:val="center"/>
          </w:tcPr>
          <w:p w:rsidR="00914D28" w:rsidRPr="00635084" w:rsidRDefault="00914D28" w:rsidP="00635084">
            <w:pPr>
              <w:rPr>
                <w:rFonts w:cstheme="minorHAnsi"/>
                <w:sz w:val="20"/>
                <w:szCs w:val="20"/>
                <w:lang w:val="en-CA"/>
              </w:rPr>
            </w:pPr>
            <w:r w:rsidRPr="00635084">
              <w:rPr>
                <w:rFonts w:cstheme="minorHAnsi"/>
                <w:b/>
                <w:bCs/>
                <w:sz w:val="20"/>
                <w:szCs w:val="20"/>
              </w:rPr>
              <w:t>Scale Factor</w:t>
            </w:r>
          </w:p>
        </w:tc>
      </w:tr>
      <w:tr w:rsidR="00914D28" w:rsidRPr="00635084" w:rsidTr="00635084">
        <w:trPr>
          <w:trHeight w:val="499"/>
        </w:trPr>
        <w:tc>
          <w:tcPr>
            <w:tcW w:w="1696" w:type="dxa"/>
            <w:vAlign w:val="center"/>
          </w:tcPr>
          <w:p w:rsidR="00914D28" w:rsidRPr="00635084" w:rsidRDefault="00914D28" w:rsidP="00635084">
            <w:pPr>
              <w:rPr>
                <w:rFonts w:cstheme="minorHAnsi"/>
                <w:sz w:val="20"/>
                <w:szCs w:val="20"/>
                <w:lang w:val="en-CA"/>
              </w:rPr>
            </w:pPr>
            <w:r w:rsidRPr="00635084">
              <w:rPr>
                <w:rFonts w:cstheme="minorHAnsi"/>
                <w:sz w:val="20"/>
                <w:szCs w:val="20"/>
              </w:rPr>
              <w:t>sur_refl_b01_1</w:t>
            </w:r>
          </w:p>
        </w:tc>
        <w:tc>
          <w:tcPr>
            <w:tcW w:w="1799" w:type="dxa"/>
            <w:vAlign w:val="center"/>
          </w:tcPr>
          <w:p w:rsidR="00914D28" w:rsidRPr="00635084" w:rsidRDefault="00914D28" w:rsidP="00635084">
            <w:pPr>
              <w:rPr>
                <w:rFonts w:cstheme="minorHAnsi"/>
                <w:sz w:val="20"/>
                <w:szCs w:val="20"/>
                <w:lang w:val="en-CA"/>
              </w:rPr>
            </w:pPr>
            <w:r w:rsidRPr="00635084">
              <w:rPr>
                <w:rFonts w:cstheme="minorHAnsi"/>
                <w:sz w:val="20"/>
                <w:szCs w:val="20"/>
              </w:rPr>
              <w:t>Surface Reflectance Band 1</w:t>
            </w:r>
          </w:p>
        </w:tc>
        <w:tc>
          <w:tcPr>
            <w:tcW w:w="753" w:type="dxa"/>
            <w:vAlign w:val="center"/>
          </w:tcPr>
          <w:p w:rsidR="00914D28" w:rsidRPr="00635084" w:rsidRDefault="00914D28" w:rsidP="00635084">
            <w:pPr>
              <w:rPr>
                <w:rFonts w:cstheme="minorHAnsi"/>
                <w:sz w:val="20"/>
                <w:szCs w:val="20"/>
                <w:lang w:val="en-CA"/>
              </w:rPr>
            </w:pPr>
            <w:r w:rsidRPr="00635084">
              <w:rPr>
                <w:rFonts w:cstheme="minorHAnsi"/>
                <w:sz w:val="20"/>
                <w:szCs w:val="20"/>
              </w:rPr>
              <w:t>N/A</w:t>
            </w:r>
          </w:p>
        </w:tc>
        <w:tc>
          <w:tcPr>
            <w:tcW w:w="1276" w:type="dxa"/>
            <w:vAlign w:val="center"/>
          </w:tcPr>
          <w:p w:rsidR="00914D28" w:rsidRPr="00635084" w:rsidRDefault="00914D28" w:rsidP="00635084">
            <w:pPr>
              <w:rPr>
                <w:rFonts w:cstheme="minorHAnsi"/>
                <w:sz w:val="20"/>
                <w:szCs w:val="20"/>
                <w:lang w:val="en-CA"/>
              </w:rPr>
            </w:pPr>
            <w:r w:rsidRPr="00635084">
              <w:rPr>
                <w:rFonts w:cstheme="minorHAnsi"/>
                <w:sz w:val="20"/>
                <w:szCs w:val="20"/>
              </w:rPr>
              <w:t>16-bit signed integer</w:t>
            </w:r>
          </w:p>
        </w:tc>
        <w:tc>
          <w:tcPr>
            <w:tcW w:w="850" w:type="dxa"/>
            <w:vAlign w:val="center"/>
          </w:tcPr>
          <w:p w:rsidR="00914D28" w:rsidRPr="00635084" w:rsidRDefault="00914D28" w:rsidP="00635084">
            <w:pPr>
              <w:jc w:val="right"/>
              <w:rPr>
                <w:rFonts w:cstheme="minorHAnsi"/>
                <w:sz w:val="20"/>
                <w:szCs w:val="20"/>
                <w:lang w:val="en-CA"/>
              </w:rPr>
            </w:pPr>
            <w:r w:rsidRPr="00635084">
              <w:rPr>
                <w:rFonts w:cstheme="minorHAnsi"/>
                <w:sz w:val="20"/>
                <w:szCs w:val="20"/>
              </w:rPr>
              <w:t>-28672</w:t>
            </w:r>
          </w:p>
        </w:tc>
        <w:tc>
          <w:tcPr>
            <w:tcW w:w="2007" w:type="dxa"/>
            <w:vAlign w:val="center"/>
          </w:tcPr>
          <w:p w:rsidR="00914D28" w:rsidRPr="00635084" w:rsidRDefault="00914D28" w:rsidP="00635084">
            <w:pPr>
              <w:jc w:val="center"/>
              <w:rPr>
                <w:rFonts w:cstheme="minorHAnsi"/>
                <w:sz w:val="20"/>
                <w:szCs w:val="20"/>
                <w:lang w:val="en-CA"/>
              </w:rPr>
            </w:pPr>
            <w:r w:rsidRPr="00635084">
              <w:rPr>
                <w:rFonts w:cstheme="minorHAnsi"/>
                <w:sz w:val="20"/>
                <w:szCs w:val="20"/>
              </w:rPr>
              <w:t>-100 to 16000</w:t>
            </w:r>
          </w:p>
        </w:tc>
        <w:tc>
          <w:tcPr>
            <w:tcW w:w="912" w:type="dxa"/>
            <w:vAlign w:val="center"/>
          </w:tcPr>
          <w:p w:rsidR="00914D28" w:rsidRPr="00635084" w:rsidRDefault="00914D28" w:rsidP="00635084">
            <w:pPr>
              <w:jc w:val="center"/>
              <w:rPr>
                <w:rFonts w:cstheme="minorHAnsi"/>
                <w:sz w:val="20"/>
                <w:szCs w:val="20"/>
                <w:lang w:val="en-CA"/>
              </w:rPr>
            </w:pPr>
            <w:r w:rsidRPr="00635084">
              <w:rPr>
                <w:rFonts w:cstheme="minorHAnsi"/>
                <w:sz w:val="20"/>
                <w:szCs w:val="20"/>
              </w:rPr>
              <w:t>0.0001</w:t>
            </w:r>
          </w:p>
        </w:tc>
      </w:tr>
      <w:tr w:rsidR="00914D28" w:rsidRPr="00635084" w:rsidTr="00635084">
        <w:trPr>
          <w:trHeight w:val="499"/>
        </w:trPr>
        <w:tc>
          <w:tcPr>
            <w:tcW w:w="1696" w:type="dxa"/>
            <w:vAlign w:val="center"/>
          </w:tcPr>
          <w:p w:rsidR="00914D28" w:rsidRPr="00635084" w:rsidRDefault="00914D28" w:rsidP="00635084">
            <w:pPr>
              <w:rPr>
                <w:rFonts w:cstheme="minorHAnsi"/>
                <w:sz w:val="20"/>
                <w:szCs w:val="20"/>
                <w:lang w:val="en-CA"/>
              </w:rPr>
            </w:pPr>
            <w:r w:rsidRPr="00635084">
              <w:rPr>
                <w:rFonts w:cstheme="minorHAnsi"/>
                <w:sz w:val="20"/>
                <w:szCs w:val="20"/>
              </w:rPr>
              <w:t>sur_refl_b02_1</w:t>
            </w:r>
          </w:p>
        </w:tc>
        <w:tc>
          <w:tcPr>
            <w:tcW w:w="1799" w:type="dxa"/>
            <w:vAlign w:val="center"/>
          </w:tcPr>
          <w:p w:rsidR="00914D28" w:rsidRPr="00635084" w:rsidRDefault="00914D28" w:rsidP="00635084">
            <w:pPr>
              <w:rPr>
                <w:rFonts w:cstheme="minorHAnsi"/>
                <w:sz w:val="20"/>
                <w:szCs w:val="20"/>
                <w:lang w:val="en-CA"/>
              </w:rPr>
            </w:pPr>
            <w:r w:rsidRPr="00635084">
              <w:rPr>
                <w:rFonts w:cstheme="minorHAnsi"/>
                <w:sz w:val="20"/>
                <w:szCs w:val="20"/>
              </w:rPr>
              <w:t>Surface Reflectance Band 2</w:t>
            </w:r>
          </w:p>
        </w:tc>
        <w:tc>
          <w:tcPr>
            <w:tcW w:w="753" w:type="dxa"/>
            <w:vAlign w:val="center"/>
          </w:tcPr>
          <w:p w:rsidR="00914D28" w:rsidRPr="00635084" w:rsidRDefault="00914D28" w:rsidP="00635084">
            <w:pPr>
              <w:rPr>
                <w:rFonts w:cstheme="minorHAnsi"/>
                <w:sz w:val="20"/>
                <w:szCs w:val="20"/>
                <w:lang w:val="en-CA"/>
              </w:rPr>
            </w:pPr>
            <w:r w:rsidRPr="00635084">
              <w:rPr>
                <w:rFonts w:cstheme="minorHAnsi"/>
                <w:sz w:val="20"/>
                <w:szCs w:val="20"/>
              </w:rPr>
              <w:t>N/A</w:t>
            </w:r>
          </w:p>
        </w:tc>
        <w:tc>
          <w:tcPr>
            <w:tcW w:w="1276" w:type="dxa"/>
            <w:vAlign w:val="center"/>
          </w:tcPr>
          <w:p w:rsidR="00914D28" w:rsidRPr="00635084" w:rsidRDefault="00914D28" w:rsidP="00635084">
            <w:pPr>
              <w:rPr>
                <w:rFonts w:cstheme="minorHAnsi"/>
                <w:sz w:val="20"/>
                <w:szCs w:val="20"/>
                <w:lang w:val="en-CA"/>
              </w:rPr>
            </w:pPr>
            <w:r w:rsidRPr="00635084">
              <w:rPr>
                <w:rFonts w:cstheme="minorHAnsi"/>
                <w:sz w:val="20"/>
                <w:szCs w:val="20"/>
              </w:rPr>
              <w:t>16-bit signed integer</w:t>
            </w:r>
          </w:p>
        </w:tc>
        <w:tc>
          <w:tcPr>
            <w:tcW w:w="850" w:type="dxa"/>
            <w:vAlign w:val="center"/>
          </w:tcPr>
          <w:p w:rsidR="00914D28" w:rsidRPr="00635084" w:rsidRDefault="00914D28" w:rsidP="00635084">
            <w:pPr>
              <w:jc w:val="right"/>
              <w:rPr>
                <w:rFonts w:cstheme="minorHAnsi"/>
                <w:sz w:val="20"/>
                <w:szCs w:val="20"/>
                <w:lang w:val="en-CA"/>
              </w:rPr>
            </w:pPr>
            <w:r w:rsidRPr="00635084">
              <w:rPr>
                <w:rFonts w:cstheme="minorHAnsi"/>
                <w:sz w:val="20"/>
                <w:szCs w:val="20"/>
              </w:rPr>
              <w:t>-28672</w:t>
            </w:r>
          </w:p>
        </w:tc>
        <w:tc>
          <w:tcPr>
            <w:tcW w:w="2007" w:type="dxa"/>
            <w:vAlign w:val="center"/>
          </w:tcPr>
          <w:p w:rsidR="00914D28" w:rsidRPr="00635084" w:rsidRDefault="00914D28" w:rsidP="00635084">
            <w:pPr>
              <w:jc w:val="center"/>
              <w:rPr>
                <w:rFonts w:cstheme="minorHAnsi"/>
                <w:sz w:val="20"/>
                <w:szCs w:val="20"/>
                <w:lang w:val="en-CA"/>
              </w:rPr>
            </w:pPr>
            <w:r w:rsidRPr="00635084">
              <w:rPr>
                <w:rFonts w:cstheme="minorHAnsi"/>
                <w:sz w:val="20"/>
                <w:szCs w:val="20"/>
              </w:rPr>
              <w:t>-100 to 16000</w:t>
            </w:r>
          </w:p>
        </w:tc>
        <w:tc>
          <w:tcPr>
            <w:tcW w:w="912" w:type="dxa"/>
            <w:vAlign w:val="center"/>
          </w:tcPr>
          <w:p w:rsidR="00914D28" w:rsidRPr="00635084" w:rsidRDefault="00914D28" w:rsidP="00635084">
            <w:pPr>
              <w:jc w:val="center"/>
              <w:rPr>
                <w:rFonts w:cstheme="minorHAnsi"/>
                <w:sz w:val="20"/>
                <w:szCs w:val="20"/>
                <w:lang w:val="en-CA"/>
              </w:rPr>
            </w:pPr>
            <w:r w:rsidRPr="00635084">
              <w:rPr>
                <w:rFonts w:cstheme="minorHAnsi"/>
                <w:sz w:val="20"/>
                <w:szCs w:val="20"/>
              </w:rPr>
              <w:t>0.0001</w:t>
            </w:r>
          </w:p>
        </w:tc>
      </w:tr>
      <w:tr w:rsidR="00914D28" w:rsidRPr="00635084" w:rsidTr="00635084">
        <w:trPr>
          <w:trHeight w:val="499"/>
        </w:trPr>
        <w:tc>
          <w:tcPr>
            <w:tcW w:w="1696" w:type="dxa"/>
            <w:vAlign w:val="center"/>
          </w:tcPr>
          <w:p w:rsidR="00914D28" w:rsidRPr="00635084" w:rsidRDefault="00914D28" w:rsidP="00635084">
            <w:pPr>
              <w:rPr>
                <w:rFonts w:cstheme="minorHAnsi"/>
                <w:sz w:val="20"/>
                <w:szCs w:val="20"/>
                <w:lang w:val="en-CA"/>
              </w:rPr>
            </w:pPr>
            <w:proofErr w:type="spellStart"/>
            <w:r>
              <w:rPr>
                <w:rFonts w:ascii="Courier New" w:hAnsi="Courier New" w:cs="Courier New"/>
                <w:color w:val="37474F"/>
                <w:sz w:val="21"/>
                <w:szCs w:val="21"/>
              </w:rPr>
              <w:t>SolarZenith</w:t>
            </w:r>
            <w:proofErr w:type="spellEnd"/>
          </w:p>
        </w:tc>
        <w:tc>
          <w:tcPr>
            <w:tcW w:w="1799" w:type="dxa"/>
            <w:vAlign w:val="center"/>
          </w:tcPr>
          <w:p w:rsidR="00914D28" w:rsidRPr="00635084" w:rsidRDefault="00914D28" w:rsidP="00635084">
            <w:pPr>
              <w:rPr>
                <w:rFonts w:cstheme="minorHAnsi"/>
                <w:sz w:val="20"/>
                <w:szCs w:val="20"/>
                <w:lang w:val="en-CA"/>
              </w:rPr>
            </w:pPr>
            <w:r w:rsidRPr="00635084">
              <w:rPr>
                <w:rFonts w:cstheme="minorHAnsi"/>
                <w:sz w:val="20"/>
                <w:szCs w:val="20"/>
              </w:rPr>
              <w:t>solar zenith angle</w:t>
            </w:r>
          </w:p>
        </w:tc>
        <w:tc>
          <w:tcPr>
            <w:tcW w:w="753" w:type="dxa"/>
            <w:vAlign w:val="center"/>
          </w:tcPr>
          <w:p w:rsidR="00914D28" w:rsidRPr="00635084" w:rsidRDefault="00914D28" w:rsidP="00635084">
            <w:pPr>
              <w:rPr>
                <w:rFonts w:cstheme="minorHAnsi"/>
                <w:sz w:val="20"/>
                <w:szCs w:val="20"/>
                <w:lang w:val="en-CA"/>
              </w:rPr>
            </w:pPr>
            <w:r w:rsidRPr="00635084">
              <w:rPr>
                <w:rFonts w:cstheme="minorHAnsi"/>
                <w:sz w:val="20"/>
                <w:szCs w:val="20"/>
              </w:rPr>
              <w:sym w:font="Symbol" w:char="F0B0"/>
            </w:r>
          </w:p>
        </w:tc>
        <w:tc>
          <w:tcPr>
            <w:tcW w:w="1276" w:type="dxa"/>
            <w:vAlign w:val="center"/>
          </w:tcPr>
          <w:p w:rsidR="00914D28" w:rsidRPr="00635084" w:rsidRDefault="00914D28" w:rsidP="00635084">
            <w:pPr>
              <w:rPr>
                <w:rFonts w:cstheme="minorHAnsi"/>
                <w:sz w:val="20"/>
                <w:szCs w:val="20"/>
                <w:lang w:val="en-CA"/>
              </w:rPr>
            </w:pPr>
            <w:r w:rsidRPr="00635084">
              <w:rPr>
                <w:rFonts w:cstheme="minorHAnsi"/>
                <w:sz w:val="20"/>
                <w:szCs w:val="20"/>
              </w:rPr>
              <w:t>16-bit signed integer</w:t>
            </w:r>
          </w:p>
        </w:tc>
        <w:tc>
          <w:tcPr>
            <w:tcW w:w="850" w:type="dxa"/>
            <w:vAlign w:val="center"/>
          </w:tcPr>
          <w:p w:rsidR="00914D28" w:rsidRPr="00635084" w:rsidRDefault="00914D28" w:rsidP="00635084">
            <w:pPr>
              <w:jc w:val="right"/>
              <w:rPr>
                <w:rFonts w:cstheme="minorHAnsi"/>
                <w:sz w:val="20"/>
                <w:szCs w:val="20"/>
                <w:lang w:val="en-CA"/>
              </w:rPr>
            </w:pPr>
            <w:r w:rsidRPr="00635084">
              <w:rPr>
                <w:rFonts w:cstheme="minorHAnsi"/>
                <w:sz w:val="20"/>
                <w:szCs w:val="20"/>
              </w:rPr>
              <w:t>0</w:t>
            </w:r>
          </w:p>
        </w:tc>
        <w:tc>
          <w:tcPr>
            <w:tcW w:w="2007" w:type="dxa"/>
            <w:vAlign w:val="center"/>
          </w:tcPr>
          <w:p w:rsidR="00914D28" w:rsidRPr="00635084" w:rsidRDefault="00914D28" w:rsidP="00635084">
            <w:pPr>
              <w:jc w:val="center"/>
              <w:rPr>
                <w:rFonts w:cstheme="minorHAnsi"/>
                <w:sz w:val="20"/>
                <w:szCs w:val="20"/>
                <w:lang w:val="en-CA"/>
              </w:rPr>
            </w:pPr>
            <w:r w:rsidRPr="00635084">
              <w:rPr>
                <w:rFonts w:cstheme="minorHAnsi"/>
                <w:sz w:val="20"/>
                <w:szCs w:val="20"/>
              </w:rPr>
              <w:t>0 to 18000</w:t>
            </w:r>
          </w:p>
        </w:tc>
        <w:tc>
          <w:tcPr>
            <w:tcW w:w="912" w:type="dxa"/>
            <w:vAlign w:val="center"/>
          </w:tcPr>
          <w:p w:rsidR="00914D28" w:rsidRPr="00635084" w:rsidRDefault="00914D28" w:rsidP="00635084">
            <w:pPr>
              <w:jc w:val="center"/>
              <w:rPr>
                <w:rFonts w:cstheme="minorHAnsi"/>
                <w:sz w:val="20"/>
                <w:szCs w:val="20"/>
                <w:lang w:val="en-CA"/>
              </w:rPr>
            </w:pPr>
            <w:r w:rsidRPr="00635084">
              <w:rPr>
                <w:rFonts w:cstheme="minorHAnsi"/>
                <w:sz w:val="20"/>
                <w:szCs w:val="20"/>
              </w:rPr>
              <w:t>0.01</w:t>
            </w:r>
          </w:p>
        </w:tc>
      </w:tr>
      <w:tr w:rsidR="00914D28" w:rsidRPr="00635084" w:rsidTr="00635084">
        <w:trPr>
          <w:trHeight w:val="487"/>
        </w:trPr>
        <w:tc>
          <w:tcPr>
            <w:tcW w:w="1696" w:type="dxa"/>
            <w:vAlign w:val="center"/>
          </w:tcPr>
          <w:p w:rsidR="00914D28" w:rsidRPr="00635084" w:rsidRDefault="00914D28" w:rsidP="00635084">
            <w:pPr>
              <w:rPr>
                <w:rFonts w:cstheme="minorHAnsi"/>
                <w:sz w:val="20"/>
                <w:szCs w:val="20"/>
                <w:lang w:val="en-CA"/>
              </w:rPr>
            </w:pPr>
            <w:proofErr w:type="spellStart"/>
            <w:r>
              <w:rPr>
                <w:rFonts w:ascii="Courier New" w:hAnsi="Courier New" w:cs="Courier New"/>
                <w:color w:val="37474F"/>
                <w:sz w:val="21"/>
                <w:szCs w:val="21"/>
              </w:rPr>
              <w:t>SensorZenith</w:t>
            </w:r>
            <w:proofErr w:type="spellEnd"/>
          </w:p>
        </w:tc>
        <w:tc>
          <w:tcPr>
            <w:tcW w:w="1799" w:type="dxa"/>
            <w:vAlign w:val="center"/>
          </w:tcPr>
          <w:p w:rsidR="00914D28" w:rsidRPr="00635084" w:rsidRDefault="00914D28" w:rsidP="00635084">
            <w:pPr>
              <w:rPr>
                <w:rFonts w:cstheme="minorHAnsi"/>
                <w:sz w:val="20"/>
                <w:szCs w:val="20"/>
                <w:lang w:val="en-CA"/>
              </w:rPr>
            </w:pPr>
            <w:r w:rsidRPr="00635084">
              <w:rPr>
                <w:rFonts w:cstheme="minorHAnsi"/>
                <w:sz w:val="20"/>
                <w:szCs w:val="20"/>
              </w:rPr>
              <w:t>view zenith angle</w:t>
            </w:r>
          </w:p>
        </w:tc>
        <w:tc>
          <w:tcPr>
            <w:tcW w:w="753" w:type="dxa"/>
            <w:vAlign w:val="center"/>
          </w:tcPr>
          <w:p w:rsidR="00914D28" w:rsidRPr="00635084" w:rsidRDefault="00914D28" w:rsidP="00635084">
            <w:pPr>
              <w:rPr>
                <w:rFonts w:cstheme="minorHAnsi"/>
                <w:sz w:val="20"/>
                <w:szCs w:val="20"/>
                <w:lang w:val="en-CA"/>
              </w:rPr>
            </w:pPr>
            <w:r w:rsidRPr="00635084">
              <w:rPr>
                <w:rFonts w:cstheme="minorHAnsi"/>
                <w:sz w:val="20"/>
                <w:szCs w:val="20"/>
              </w:rPr>
              <w:sym w:font="Symbol" w:char="F0B0"/>
            </w:r>
          </w:p>
        </w:tc>
        <w:tc>
          <w:tcPr>
            <w:tcW w:w="1276" w:type="dxa"/>
            <w:vAlign w:val="center"/>
          </w:tcPr>
          <w:p w:rsidR="00914D28" w:rsidRPr="00635084" w:rsidRDefault="00914D28" w:rsidP="00635084">
            <w:pPr>
              <w:rPr>
                <w:rFonts w:cstheme="minorHAnsi"/>
                <w:sz w:val="20"/>
                <w:szCs w:val="20"/>
                <w:lang w:val="en-CA"/>
              </w:rPr>
            </w:pPr>
            <w:r w:rsidRPr="00635084">
              <w:rPr>
                <w:rFonts w:cstheme="minorHAnsi"/>
                <w:sz w:val="20"/>
                <w:szCs w:val="20"/>
              </w:rPr>
              <w:t>16-bit signed integer</w:t>
            </w:r>
          </w:p>
        </w:tc>
        <w:tc>
          <w:tcPr>
            <w:tcW w:w="850" w:type="dxa"/>
            <w:vAlign w:val="center"/>
          </w:tcPr>
          <w:p w:rsidR="00914D28" w:rsidRPr="00635084" w:rsidRDefault="00914D28" w:rsidP="00635084">
            <w:pPr>
              <w:jc w:val="right"/>
              <w:rPr>
                <w:rFonts w:cstheme="minorHAnsi"/>
                <w:sz w:val="20"/>
                <w:szCs w:val="20"/>
                <w:lang w:val="en-CA"/>
              </w:rPr>
            </w:pPr>
            <w:r w:rsidRPr="00635084">
              <w:rPr>
                <w:rFonts w:cstheme="minorHAnsi"/>
                <w:sz w:val="20"/>
                <w:szCs w:val="20"/>
              </w:rPr>
              <w:t>0</w:t>
            </w:r>
          </w:p>
        </w:tc>
        <w:tc>
          <w:tcPr>
            <w:tcW w:w="2007" w:type="dxa"/>
            <w:vAlign w:val="center"/>
          </w:tcPr>
          <w:p w:rsidR="00914D28" w:rsidRPr="00635084" w:rsidRDefault="00914D28" w:rsidP="00635084">
            <w:pPr>
              <w:jc w:val="center"/>
              <w:rPr>
                <w:rFonts w:cstheme="minorHAnsi"/>
                <w:sz w:val="20"/>
                <w:szCs w:val="20"/>
                <w:lang w:val="en-CA"/>
              </w:rPr>
            </w:pPr>
            <w:r w:rsidRPr="00635084">
              <w:rPr>
                <w:rFonts w:cstheme="minorHAnsi"/>
                <w:sz w:val="20"/>
                <w:szCs w:val="20"/>
              </w:rPr>
              <w:t>0 to 18000</w:t>
            </w:r>
          </w:p>
        </w:tc>
        <w:tc>
          <w:tcPr>
            <w:tcW w:w="912" w:type="dxa"/>
            <w:vAlign w:val="center"/>
          </w:tcPr>
          <w:p w:rsidR="00914D28" w:rsidRPr="00635084" w:rsidRDefault="00914D28" w:rsidP="00635084">
            <w:pPr>
              <w:jc w:val="center"/>
              <w:rPr>
                <w:rFonts w:cstheme="minorHAnsi"/>
                <w:sz w:val="20"/>
                <w:szCs w:val="20"/>
                <w:lang w:val="en-CA"/>
              </w:rPr>
            </w:pPr>
            <w:r w:rsidRPr="00635084">
              <w:rPr>
                <w:rFonts w:cstheme="minorHAnsi"/>
                <w:sz w:val="20"/>
                <w:szCs w:val="20"/>
              </w:rPr>
              <w:t>0.01</w:t>
            </w:r>
          </w:p>
        </w:tc>
      </w:tr>
      <w:tr w:rsidR="00914D28" w:rsidRPr="00635084" w:rsidTr="00635084">
        <w:trPr>
          <w:trHeight w:val="499"/>
        </w:trPr>
        <w:tc>
          <w:tcPr>
            <w:tcW w:w="1696" w:type="dxa"/>
            <w:vAlign w:val="center"/>
          </w:tcPr>
          <w:p w:rsidR="00914D28" w:rsidRPr="00635084" w:rsidRDefault="00914D28" w:rsidP="00635084">
            <w:pPr>
              <w:rPr>
                <w:rFonts w:cstheme="minorHAnsi"/>
                <w:sz w:val="20"/>
                <w:szCs w:val="20"/>
                <w:lang w:val="en-CA"/>
              </w:rPr>
            </w:pPr>
            <w:proofErr w:type="spellStart"/>
            <w:r>
              <w:rPr>
                <w:rFonts w:ascii="Courier New" w:hAnsi="Courier New" w:cs="Courier New"/>
                <w:color w:val="37474F"/>
                <w:sz w:val="21"/>
                <w:szCs w:val="21"/>
              </w:rPr>
              <w:t>SolarAzimuth</w:t>
            </w:r>
            <w:proofErr w:type="spellEnd"/>
          </w:p>
        </w:tc>
        <w:tc>
          <w:tcPr>
            <w:tcW w:w="1799" w:type="dxa"/>
            <w:vAlign w:val="center"/>
          </w:tcPr>
          <w:p w:rsidR="00914D28" w:rsidRPr="00635084" w:rsidRDefault="00914D28" w:rsidP="00635084">
            <w:pPr>
              <w:rPr>
                <w:rFonts w:cstheme="minorHAnsi"/>
                <w:sz w:val="20"/>
                <w:szCs w:val="20"/>
                <w:lang w:val="en-CA"/>
              </w:rPr>
            </w:pPr>
            <w:r>
              <w:rPr>
                <w:rFonts w:cstheme="minorHAnsi"/>
                <w:sz w:val="20"/>
                <w:szCs w:val="20"/>
              </w:rPr>
              <w:t>solar</w:t>
            </w:r>
            <w:r w:rsidRPr="00635084">
              <w:rPr>
                <w:rFonts w:cstheme="minorHAnsi"/>
                <w:sz w:val="20"/>
                <w:szCs w:val="20"/>
              </w:rPr>
              <w:t xml:space="preserve"> azimuth angle</w:t>
            </w:r>
          </w:p>
        </w:tc>
        <w:tc>
          <w:tcPr>
            <w:tcW w:w="753" w:type="dxa"/>
            <w:vAlign w:val="center"/>
          </w:tcPr>
          <w:p w:rsidR="00914D28" w:rsidRPr="00635084" w:rsidRDefault="00914D28" w:rsidP="00635084">
            <w:pPr>
              <w:rPr>
                <w:rFonts w:cstheme="minorHAnsi"/>
                <w:sz w:val="20"/>
                <w:szCs w:val="20"/>
                <w:lang w:val="en-CA"/>
              </w:rPr>
            </w:pPr>
            <w:r w:rsidRPr="00635084">
              <w:rPr>
                <w:rFonts w:cstheme="minorHAnsi"/>
                <w:sz w:val="20"/>
                <w:szCs w:val="20"/>
              </w:rPr>
              <w:sym w:font="Symbol" w:char="F0B0"/>
            </w:r>
          </w:p>
        </w:tc>
        <w:tc>
          <w:tcPr>
            <w:tcW w:w="1276" w:type="dxa"/>
            <w:vAlign w:val="center"/>
          </w:tcPr>
          <w:p w:rsidR="00914D28" w:rsidRPr="00635084" w:rsidRDefault="00914D28" w:rsidP="00635084">
            <w:pPr>
              <w:rPr>
                <w:rFonts w:cstheme="minorHAnsi"/>
                <w:sz w:val="20"/>
                <w:szCs w:val="20"/>
                <w:lang w:val="en-CA"/>
              </w:rPr>
            </w:pPr>
            <w:r w:rsidRPr="00635084">
              <w:rPr>
                <w:rFonts w:cstheme="minorHAnsi"/>
                <w:sz w:val="20"/>
                <w:szCs w:val="20"/>
              </w:rPr>
              <w:t>16-bit signed integer</w:t>
            </w:r>
          </w:p>
        </w:tc>
        <w:tc>
          <w:tcPr>
            <w:tcW w:w="850" w:type="dxa"/>
            <w:vAlign w:val="center"/>
          </w:tcPr>
          <w:p w:rsidR="00914D28" w:rsidRPr="00635084" w:rsidRDefault="00914D28" w:rsidP="00635084">
            <w:pPr>
              <w:jc w:val="right"/>
              <w:rPr>
                <w:rFonts w:cstheme="minorHAnsi"/>
                <w:sz w:val="20"/>
                <w:szCs w:val="20"/>
                <w:lang w:val="en-CA"/>
              </w:rPr>
            </w:pPr>
            <w:r w:rsidRPr="00635084">
              <w:rPr>
                <w:rFonts w:cstheme="minorHAnsi"/>
                <w:sz w:val="20"/>
                <w:szCs w:val="20"/>
              </w:rPr>
              <w:t>0</w:t>
            </w:r>
          </w:p>
        </w:tc>
        <w:tc>
          <w:tcPr>
            <w:tcW w:w="2007" w:type="dxa"/>
            <w:vAlign w:val="center"/>
          </w:tcPr>
          <w:p w:rsidR="00914D28" w:rsidRPr="00635084" w:rsidRDefault="00914D28" w:rsidP="00635084">
            <w:pPr>
              <w:jc w:val="center"/>
              <w:rPr>
                <w:rFonts w:cstheme="minorHAnsi"/>
                <w:sz w:val="20"/>
                <w:szCs w:val="20"/>
                <w:lang w:val="en-CA"/>
              </w:rPr>
            </w:pPr>
            <w:r w:rsidRPr="00635084">
              <w:rPr>
                <w:rFonts w:cstheme="minorHAnsi"/>
                <w:sz w:val="20"/>
                <w:szCs w:val="20"/>
              </w:rPr>
              <w:t>-18000 to 18000</w:t>
            </w:r>
          </w:p>
        </w:tc>
        <w:tc>
          <w:tcPr>
            <w:tcW w:w="912" w:type="dxa"/>
            <w:vAlign w:val="center"/>
          </w:tcPr>
          <w:p w:rsidR="00914D28" w:rsidRPr="00635084" w:rsidRDefault="00914D28" w:rsidP="00635084">
            <w:pPr>
              <w:jc w:val="center"/>
              <w:rPr>
                <w:rFonts w:cstheme="minorHAnsi"/>
                <w:sz w:val="20"/>
                <w:szCs w:val="20"/>
                <w:lang w:val="en-CA"/>
              </w:rPr>
            </w:pPr>
            <w:r w:rsidRPr="00635084">
              <w:rPr>
                <w:rFonts w:cstheme="minorHAnsi"/>
                <w:sz w:val="20"/>
                <w:szCs w:val="20"/>
              </w:rPr>
              <w:t>0.01</w:t>
            </w:r>
          </w:p>
        </w:tc>
      </w:tr>
      <w:tr w:rsidR="00914D28" w:rsidRPr="00635084" w:rsidTr="00635084">
        <w:trPr>
          <w:trHeight w:val="499"/>
        </w:trPr>
        <w:tc>
          <w:tcPr>
            <w:tcW w:w="1696" w:type="dxa"/>
            <w:vAlign w:val="center"/>
          </w:tcPr>
          <w:p w:rsidR="00914D28" w:rsidRPr="00635084" w:rsidRDefault="00914D28" w:rsidP="00635084">
            <w:pPr>
              <w:rPr>
                <w:rFonts w:cstheme="minorHAnsi"/>
                <w:sz w:val="20"/>
                <w:szCs w:val="20"/>
              </w:rPr>
            </w:pPr>
            <w:proofErr w:type="spellStart"/>
            <w:r>
              <w:rPr>
                <w:rFonts w:ascii="Courier New" w:hAnsi="Courier New" w:cs="Courier New"/>
                <w:color w:val="37474F"/>
                <w:sz w:val="21"/>
                <w:szCs w:val="21"/>
              </w:rPr>
              <w:t>SensorAzimuth</w:t>
            </w:r>
            <w:proofErr w:type="spellEnd"/>
          </w:p>
        </w:tc>
        <w:tc>
          <w:tcPr>
            <w:tcW w:w="1799" w:type="dxa"/>
            <w:vAlign w:val="center"/>
          </w:tcPr>
          <w:p w:rsidR="00914D28" w:rsidRPr="00635084" w:rsidRDefault="00914D28" w:rsidP="00635084">
            <w:pPr>
              <w:rPr>
                <w:rFonts w:cstheme="minorHAnsi"/>
                <w:sz w:val="20"/>
                <w:szCs w:val="20"/>
              </w:rPr>
            </w:pPr>
            <w:r>
              <w:rPr>
                <w:rFonts w:cstheme="minorHAnsi"/>
                <w:sz w:val="20"/>
                <w:szCs w:val="20"/>
              </w:rPr>
              <w:t xml:space="preserve">View </w:t>
            </w:r>
            <w:r w:rsidRPr="00635084">
              <w:rPr>
                <w:rFonts w:cstheme="minorHAnsi"/>
                <w:sz w:val="20"/>
                <w:szCs w:val="20"/>
              </w:rPr>
              <w:t>azimuth angle</w:t>
            </w:r>
          </w:p>
        </w:tc>
        <w:tc>
          <w:tcPr>
            <w:tcW w:w="753" w:type="dxa"/>
            <w:vAlign w:val="center"/>
          </w:tcPr>
          <w:p w:rsidR="00914D28" w:rsidRPr="00635084" w:rsidRDefault="00914D28" w:rsidP="00635084">
            <w:pPr>
              <w:rPr>
                <w:rFonts w:cstheme="minorHAnsi"/>
                <w:sz w:val="20"/>
                <w:szCs w:val="20"/>
              </w:rPr>
            </w:pPr>
            <w:r w:rsidRPr="00635084">
              <w:rPr>
                <w:rFonts w:cstheme="minorHAnsi"/>
                <w:sz w:val="20"/>
                <w:szCs w:val="20"/>
              </w:rPr>
              <w:sym w:font="Symbol" w:char="F0B0"/>
            </w:r>
          </w:p>
        </w:tc>
        <w:tc>
          <w:tcPr>
            <w:tcW w:w="1276" w:type="dxa"/>
            <w:vAlign w:val="center"/>
          </w:tcPr>
          <w:p w:rsidR="00914D28" w:rsidRPr="00635084" w:rsidRDefault="00914D28" w:rsidP="00635084">
            <w:pPr>
              <w:rPr>
                <w:rFonts w:cstheme="minorHAnsi"/>
                <w:sz w:val="20"/>
                <w:szCs w:val="20"/>
              </w:rPr>
            </w:pPr>
            <w:r w:rsidRPr="00635084">
              <w:rPr>
                <w:rFonts w:cstheme="minorHAnsi"/>
                <w:sz w:val="20"/>
                <w:szCs w:val="20"/>
              </w:rPr>
              <w:t>16-bit signed integer</w:t>
            </w:r>
          </w:p>
        </w:tc>
        <w:tc>
          <w:tcPr>
            <w:tcW w:w="850" w:type="dxa"/>
            <w:vAlign w:val="center"/>
          </w:tcPr>
          <w:p w:rsidR="00914D28" w:rsidRPr="00635084" w:rsidRDefault="00914D28" w:rsidP="00635084">
            <w:pPr>
              <w:jc w:val="right"/>
              <w:rPr>
                <w:rFonts w:cstheme="minorHAnsi"/>
                <w:sz w:val="20"/>
                <w:szCs w:val="20"/>
              </w:rPr>
            </w:pPr>
            <w:r w:rsidRPr="00635084">
              <w:rPr>
                <w:rFonts w:cstheme="minorHAnsi"/>
                <w:sz w:val="20"/>
                <w:szCs w:val="20"/>
              </w:rPr>
              <w:t>0</w:t>
            </w:r>
          </w:p>
        </w:tc>
        <w:tc>
          <w:tcPr>
            <w:tcW w:w="2007" w:type="dxa"/>
            <w:vAlign w:val="center"/>
          </w:tcPr>
          <w:p w:rsidR="00914D28" w:rsidRPr="00635084" w:rsidRDefault="00914D28" w:rsidP="00635084">
            <w:pPr>
              <w:jc w:val="center"/>
              <w:rPr>
                <w:rFonts w:cstheme="minorHAnsi"/>
                <w:sz w:val="20"/>
                <w:szCs w:val="20"/>
              </w:rPr>
            </w:pPr>
            <w:r w:rsidRPr="00635084">
              <w:rPr>
                <w:rFonts w:cstheme="minorHAnsi"/>
                <w:sz w:val="20"/>
                <w:szCs w:val="20"/>
              </w:rPr>
              <w:t>-18000 to 18000</w:t>
            </w:r>
          </w:p>
        </w:tc>
        <w:tc>
          <w:tcPr>
            <w:tcW w:w="912" w:type="dxa"/>
            <w:vAlign w:val="center"/>
          </w:tcPr>
          <w:p w:rsidR="00914D28" w:rsidRPr="00635084" w:rsidRDefault="00914D28" w:rsidP="00635084">
            <w:pPr>
              <w:jc w:val="center"/>
              <w:rPr>
                <w:rFonts w:cstheme="minorHAnsi"/>
                <w:sz w:val="20"/>
                <w:szCs w:val="20"/>
              </w:rPr>
            </w:pPr>
            <w:r w:rsidRPr="00635084">
              <w:rPr>
                <w:rFonts w:cstheme="minorHAnsi"/>
                <w:sz w:val="20"/>
                <w:szCs w:val="20"/>
              </w:rPr>
              <w:t>0.01</w:t>
            </w:r>
          </w:p>
        </w:tc>
      </w:tr>
    </w:tbl>
    <w:p w:rsidR="00914D28" w:rsidRDefault="00914D28" w:rsidP="00914D28">
      <w:pPr>
        <w:rPr>
          <w:lang w:val="en-CA"/>
        </w:rPr>
      </w:pPr>
    </w:p>
    <w:p w:rsidR="00914D28" w:rsidRDefault="00914D28" w:rsidP="00914D28">
      <w:pPr>
        <w:rPr>
          <w:lang w:val="en-CA"/>
        </w:rPr>
      </w:pPr>
    </w:p>
    <w:p w:rsidR="00914D28" w:rsidRDefault="00914D28" w:rsidP="00914D28">
      <w:pPr>
        <w:rPr>
          <w:lang w:val="en-CA"/>
        </w:rPr>
      </w:pPr>
    </w:p>
    <w:p w:rsidR="00914D28" w:rsidRDefault="00914D28">
      <w:pPr>
        <w:rPr>
          <w:lang w:val="en-CA"/>
        </w:rPr>
      </w:pPr>
    </w:p>
    <w:p w:rsidR="00735AD8" w:rsidRDefault="00735AD8">
      <w:pPr>
        <w:rPr>
          <w:lang w:val="en-CA"/>
        </w:rPr>
      </w:pPr>
      <w:r>
        <w:rPr>
          <w:lang w:val="en-CA"/>
        </w:rPr>
        <w:t>Data Sets</w:t>
      </w:r>
    </w:p>
    <w:p w:rsidR="00735AD8" w:rsidRDefault="00735AD8">
      <w:pPr>
        <w:rPr>
          <w:lang w:val="en-CA"/>
        </w:rPr>
      </w:pPr>
    </w:p>
    <w:p w:rsidR="004F40A0" w:rsidRDefault="004F40A0">
      <w:pPr>
        <w:rPr>
          <w:lang w:val="en-CA"/>
        </w:rPr>
      </w:pPr>
      <w:r>
        <w:rPr>
          <w:lang w:val="en-CA"/>
        </w:rPr>
        <w:t>Google Earth Engine dataset</w:t>
      </w:r>
      <w:r w:rsidR="000019D8">
        <w:rPr>
          <w:lang w:val="en-CA"/>
        </w:rPr>
        <w:t xml:space="preserve">s </w:t>
      </w:r>
      <w:proofErr w:type="gramStart"/>
      <w:r w:rsidR="000019D8">
        <w:rPr>
          <w:lang w:val="en-CA"/>
        </w:rPr>
        <w:t>are summarized</w:t>
      </w:r>
      <w:proofErr w:type="gramEnd"/>
      <w:r w:rsidR="000019D8">
        <w:rPr>
          <w:lang w:val="en-CA"/>
        </w:rPr>
        <w:t xml:space="preserve"> in </w:t>
      </w:r>
      <w:r w:rsidR="008F0BC9">
        <w:rPr>
          <w:lang w:val="en-CA"/>
        </w:rPr>
        <w:fldChar w:fldCharType="begin"/>
      </w:r>
      <w:r w:rsidR="008F0BC9">
        <w:rPr>
          <w:lang w:val="en-CA"/>
        </w:rPr>
        <w:instrText xml:space="preserve"> REF _Ref82089042 \h </w:instrText>
      </w:r>
      <w:r w:rsidR="008F0BC9">
        <w:rPr>
          <w:lang w:val="en-CA"/>
        </w:rPr>
      </w:r>
      <w:r w:rsidR="008F0BC9">
        <w:rPr>
          <w:lang w:val="en-CA"/>
        </w:rPr>
        <w:fldChar w:fldCharType="separate"/>
      </w:r>
      <w:r w:rsidR="009A79D6">
        <w:t xml:space="preserve">Table </w:t>
      </w:r>
      <w:r w:rsidR="009A79D6">
        <w:rPr>
          <w:noProof/>
        </w:rPr>
        <w:t>5</w:t>
      </w:r>
      <w:r w:rsidR="008F0BC9">
        <w:rPr>
          <w:lang w:val="en-CA"/>
        </w:rPr>
        <w:fldChar w:fldCharType="end"/>
      </w:r>
      <w:r w:rsidR="008F0BC9">
        <w:rPr>
          <w:lang w:val="en-CA"/>
        </w:rPr>
        <w:t xml:space="preserve">  </w:t>
      </w:r>
      <w:r w:rsidR="000019D8">
        <w:rPr>
          <w:lang w:val="en-CA"/>
        </w:rPr>
        <w:t>together with links to substantial documentation of algorithms and products.  As such, only the aspects of these data relevant to the transfer learning algorithms or generate</w:t>
      </w:r>
      <w:r w:rsidR="008F0BC9">
        <w:rPr>
          <w:lang w:val="en-CA"/>
        </w:rPr>
        <w:t xml:space="preserve">d products </w:t>
      </w:r>
      <w:proofErr w:type="gramStart"/>
      <w:r w:rsidR="008F0BC9">
        <w:rPr>
          <w:lang w:val="en-CA"/>
        </w:rPr>
        <w:t>are discussed</w:t>
      </w:r>
      <w:proofErr w:type="gramEnd"/>
      <w:r w:rsidR="008F0BC9">
        <w:rPr>
          <w:lang w:val="en-CA"/>
        </w:rPr>
        <w:t xml:space="preserve"> here.   Input data layers to transfer learning algorithms </w:t>
      </w:r>
      <w:proofErr w:type="gramStart"/>
      <w:r w:rsidR="008F0BC9">
        <w:rPr>
          <w:lang w:val="en-CA"/>
        </w:rPr>
        <w:t>are documented</w:t>
      </w:r>
      <w:proofErr w:type="gramEnd"/>
      <w:r w:rsidR="008F0BC9">
        <w:rPr>
          <w:lang w:val="en-CA"/>
        </w:rPr>
        <w:t xml:space="preserve"> in the methods section.</w:t>
      </w:r>
    </w:p>
    <w:p w:rsidR="000019D8" w:rsidRDefault="000019D8">
      <w:pPr>
        <w:rPr>
          <w:lang w:val="en-CA"/>
        </w:rPr>
      </w:pPr>
    </w:p>
    <w:p w:rsidR="008F0BC9" w:rsidRDefault="008F0BC9">
      <w:pPr>
        <w:rPr>
          <w:lang w:val="en-CA"/>
        </w:rPr>
      </w:pPr>
    </w:p>
    <w:p w:rsidR="000019D8" w:rsidRDefault="000019D8" w:rsidP="000019D8">
      <w:pPr>
        <w:rPr>
          <w:lang w:val="en-CA"/>
        </w:rPr>
      </w:pPr>
    </w:p>
    <w:p w:rsidR="000019D8" w:rsidRDefault="000019D8" w:rsidP="000019D8">
      <w:pPr>
        <w:pStyle w:val="Caption"/>
        <w:keepNext/>
      </w:pPr>
      <w:bookmarkStart w:id="5" w:name="_Ref82089042"/>
      <w:r>
        <w:t xml:space="preserve">Table </w:t>
      </w:r>
      <w:r>
        <w:fldChar w:fldCharType="begin"/>
      </w:r>
      <w:r>
        <w:instrText xml:space="preserve"> SEQ Table \* ARABIC </w:instrText>
      </w:r>
      <w:r>
        <w:fldChar w:fldCharType="separate"/>
      </w:r>
      <w:r w:rsidR="009A79D6">
        <w:rPr>
          <w:noProof/>
        </w:rPr>
        <w:t>5</w:t>
      </w:r>
      <w:r>
        <w:fldChar w:fldCharType="end"/>
      </w:r>
      <w:bookmarkEnd w:id="5"/>
      <w:r>
        <w:t>.  List of data sets used.</w:t>
      </w:r>
    </w:p>
    <w:tbl>
      <w:tblPr>
        <w:tblStyle w:val="TableGrid"/>
        <w:tblW w:w="0" w:type="auto"/>
        <w:tblLook w:val="04A0" w:firstRow="1" w:lastRow="0" w:firstColumn="1" w:lastColumn="0" w:noHBand="0" w:noVBand="1"/>
      </w:tblPr>
      <w:tblGrid>
        <w:gridCol w:w="1070"/>
        <w:gridCol w:w="1556"/>
        <w:gridCol w:w="678"/>
        <w:gridCol w:w="5062"/>
        <w:gridCol w:w="984"/>
        <w:tblGridChange w:id="6">
          <w:tblGrid>
            <w:gridCol w:w="1070"/>
            <w:gridCol w:w="1556"/>
            <w:gridCol w:w="678"/>
            <w:gridCol w:w="5062"/>
            <w:gridCol w:w="984"/>
          </w:tblGrid>
        </w:tblGridChange>
      </w:tblGrid>
      <w:tr w:rsidR="00335579" w:rsidRPr="00D957CD" w:rsidTr="003B22D1">
        <w:trPr>
          <w:trHeight w:val="261"/>
        </w:trPr>
        <w:tc>
          <w:tcPr>
            <w:tcW w:w="0" w:type="auto"/>
          </w:tcPr>
          <w:p w:rsidR="00335579" w:rsidRPr="00D957CD" w:rsidRDefault="00335579" w:rsidP="00873825">
            <w:pPr>
              <w:rPr>
                <w:rFonts w:cstheme="minorHAnsi"/>
                <w:lang w:val="en-CA"/>
              </w:rPr>
            </w:pPr>
            <w:r w:rsidRPr="00D957CD">
              <w:rPr>
                <w:rFonts w:cstheme="minorHAnsi"/>
                <w:lang w:val="en-CA"/>
              </w:rPr>
              <w:t>Product ID</w:t>
            </w:r>
          </w:p>
        </w:tc>
        <w:tc>
          <w:tcPr>
            <w:tcW w:w="1556" w:type="dxa"/>
          </w:tcPr>
          <w:p w:rsidR="00335579" w:rsidRPr="00D957CD" w:rsidRDefault="00335579" w:rsidP="00873825">
            <w:pPr>
              <w:rPr>
                <w:rFonts w:cstheme="minorHAnsi"/>
                <w:lang w:val="en-CA"/>
              </w:rPr>
            </w:pPr>
            <w:r w:rsidRPr="00D957CD">
              <w:rPr>
                <w:rFonts w:cstheme="minorHAnsi"/>
                <w:lang w:val="en-CA"/>
              </w:rPr>
              <w:t>Description</w:t>
            </w:r>
          </w:p>
        </w:tc>
        <w:tc>
          <w:tcPr>
            <w:tcW w:w="678" w:type="dxa"/>
          </w:tcPr>
          <w:p w:rsidR="00335579" w:rsidRPr="00D957CD" w:rsidRDefault="00335579" w:rsidP="00873825">
            <w:pPr>
              <w:rPr>
                <w:rFonts w:cstheme="minorHAnsi"/>
                <w:lang w:val="en-CA"/>
              </w:rPr>
            </w:pPr>
            <w:r>
              <w:rPr>
                <w:rFonts w:cstheme="minorHAnsi"/>
                <w:lang w:val="en-CA"/>
              </w:rPr>
              <w:t>Date range</w:t>
            </w:r>
          </w:p>
        </w:tc>
        <w:tc>
          <w:tcPr>
            <w:tcW w:w="5062" w:type="dxa"/>
          </w:tcPr>
          <w:p w:rsidR="00335579" w:rsidRPr="00D957CD" w:rsidRDefault="00335579" w:rsidP="00873825">
            <w:pPr>
              <w:rPr>
                <w:rFonts w:cstheme="minorHAnsi"/>
                <w:lang w:val="en-CA"/>
              </w:rPr>
            </w:pPr>
            <w:r w:rsidRPr="00D957CD">
              <w:rPr>
                <w:rFonts w:cstheme="minorHAnsi"/>
                <w:lang w:val="en-CA"/>
              </w:rPr>
              <w:t>GEE Link</w:t>
            </w:r>
          </w:p>
        </w:tc>
        <w:tc>
          <w:tcPr>
            <w:tcW w:w="0" w:type="auto"/>
          </w:tcPr>
          <w:p w:rsidR="00335579" w:rsidRPr="00D957CD" w:rsidRDefault="00335579" w:rsidP="00873825">
            <w:pPr>
              <w:rPr>
                <w:rFonts w:cstheme="minorHAnsi"/>
                <w:lang w:val="en-CA"/>
              </w:rPr>
            </w:pPr>
            <w:r w:rsidRPr="00D957CD">
              <w:rPr>
                <w:rFonts w:cstheme="minorHAnsi"/>
                <w:lang w:val="en-CA"/>
              </w:rPr>
              <w:t>Reference</w:t>
            </w:r>
          </w:p>
        </w:tc>
      </w:tr>
      <w:tr w:rsidR="00335579" w:rsidRPr="00D957CD" w:rsidTr="003B22D1">
        <w:trPr>
          <w:trHeight w:val="261"/>
        </w:trPr>
        <w:tc>
          <w:tcPr>
            <w:tcW w:w="0" w:type="auto"/>
          </w:tcPr>
          <w:p w:rsidR="00335579" w:rsidRPr="00D957CD" w:rsidRDefault="00335579" w:rsidP="00873825">
            <w:pPr>
              <w:rPr>
                <w:rFonts w:cstheme="minorHAnsi"/>
                <w:lang w:val="en-CA"/>
              </w:rPr>
            </w:pPr>
            <w:r w:rsidRPr="00D957CD">
              <w:rPr>
                <w:rFonts w:cstheme="minorHAnsi"/>
              </w:rPr>
              <w:lastRenderedPageBreak/>
              <w:t>MCD15A3H</w:t>
            </w:r>
          </w:p>
        </w:tc>
        <w:tc>
          <w:tcPr>
            <w:tcW w:w="1556" w:type="dxa"/>
          </w:tcPr>
          <w:p w:rsidR="00335579" w:rsidRPr="00D957CD" w:rsidRDefault="00335579" w:rsidP="00873825">
            <w:pPr>
              <w:rPr>
                <w:rFonts w:cstheme="minorHAnsi"/>
                <w:lang w:val="en-CA"/>
              </w:rPr>
            </w:pPr>
            <w:r w:rsidRPr="00D957CD">
              <w:rPr>
                <w:rFonts w:cstheme="minorHAnsi"/>
                <w:lang w:val="en-CA"/>
              </w:rPr>
              <w:t xml:space="preserve">Combined 4-day 500m </w:t>
            </w:r>
            <w:proofErr w:type="spellStart"/>
            <w:r w:rsidRPr="00D957CD">
              <w:rPr>
                <w:rFonts w:cstheme="minorHAnsi"/>
                <w:lang w:val="en-CA"/>
              </w:rPr>
              <w:t>fAPAR</w:t>
            </w:r>
            <w:proofErr w:type="spellEnd"/>
            <w:r w:rsidRPr="00D957CD">
              <w:rPr>
                <w:rFonts w:cstheme="minorHAnsi"/>
                <w:lang w:val="en-CA"/>
              </w:rPr>
              <w:t xml:space="preserve"> and LAI </w:t>
            </w:r>
          </w:p>
        </w:tc>
        <w:tc>
          <w:tcPr>
            <w:tcW w:w="678" w:type="dxa"/>
          </w:tcPr>
          <w:p w:rsidR="00335579" w:rsidRPr="00D957CD" w:rsidRDefault="00335579" w:rsidP="00873825">
            <w:pPr>
              <w:rPr>
                <w:rFonts w:cstheme="minorHAnsi"/>
                <w:lang w:val="en-CA"/>
              </w:rPr>
            </w:pPr>
            <w:r>
              <w:rPr>
                <w:rFonts w:ascii="Arial" w:hAnsi="Arial" w:cs="Arial"/>
                <w:color w:val="202124"/>
              </w:rPr>
              <w:t>2002-07-04, 2021-08-29</w:t>
            </w:r>
          </w:p>
        </w:tc>
        <w:tc>
          <w:tcPr>
            <w:tcW w:w="5062" w:type="dxa"/>
          </w:tcPr>
          <w:p w:rsidR="00335579" w:rsidRPr="00D957CD" w:rsidRDefault="00335579" w:rsidP="00873825">
            <w:pPr>
              <w:rPr>
                <w:rFonts w:cstheme="minorHAnsi"/>
                <w:lang w:val="en-CA"/>
              </w:rPr>
            </w:pPr>
            <w:r w:rsidRPr="00D957CD">
              <w:rPr>
                <w:rFonts w:cstheme="minorHAnsi"/>
                <w:lang w:val="en-CA"/>
              </w:rPr>
              <w:t>https://developers.google.com/earth-engine/datasets/catalog/MODIS_006_MCD15A3H</w:t>
            </w:r>
          </w:p>
        </w:tc>
        <w:tc>
          <w:tcPr>
            <w:tcW w:w="0" w:type="auto"/>
          </w:tcPr>
          <w:p w:rsidR="00335579" w:rsidRPr="00D957CD" w:rsidRDefault="00335579" w:rsidP="00873825">
            <w:pPr>
              <w:rPr>
                <w:rFonts w:cstheme="minorHAnsi"/>
                <w:lang w:val="en-CA"/>
              </w:rPr>
            </w:pPr>
            <w:proofErr w:type="spellStart"/>
            <w:r w:rsidRPr="00D957CD">
              <w:rPr>
                <w:rFonts w:cstheme="minorHAnsi"/>
                <w:lang w:val="en-CA"/>
              </w:rPr>
              <w:t>Myneni</w:t>
            </w:r>
            <w:proofErr w:type="spellEnd"/>
            <w:r w:rsidRPr="00D957CD">
              <w:rPr>
                <w:rFonts w:cstheme="minorHAnsi"/>
                <w:lang w:val="en-CA"/>
              </w:rPr>
              <w:t xml:space="preserve"> et al. 2021.</w:t>
            </w:r>
          </w:p>
        </w:tc>
      </w:tr>
      <w:tr w:rsidR="00335579" w:rsidRPr="00D957CD" w:rsidTr="003B22D1">
        <w:trPr>
          <w:trHeight w:val="273"/>
        </w:trPr>
        <w:tc>
          <w:tcPr>
            <w:tcW w:w="0" w:type="auto"/>
          </w:tcPr>
          <w:p w:rsidR="00335579" w:rsidRPr="00D957CD" w:rsidRDefault="00335579" w:rsidP="00873825">
            <w:pPr>
              <w:rPr>
                <w:rFonts w:cstheme="minorHAnsi"/>
                <w:color w:val="444444"/>
              </w:rPr>
            </w:pPr>
            <w:r w:rsidRPr="00D957CD">
              <w:rPr>
                <w:rFonts w:cstheme="minorHAnsi"/>
                <w:color w:val="444444"/>
              </w:rPr>
              <w:t>MCD12Q1</w:t>
            </w:r>
          </w:p>
        </w:tc>
        <w:tc>
          <w:tcPr>
            <w:tcW w:w="1556" w:type="dxa"/>
          </w:tcPr>
          <w:p w:rsidR="00335579" w:rsidRPr="00D957CD" w:rsidRDefault="00335579" w:rsidP="00873825">
            <w:pPr>
              <w:rPr>
                <w:rFonts w:cstheme="minorHAnsi"/>
                <w:lang w:val="en-CA"/>
              </w:rPr>
            </w:pPr>
            <w:r w:rsidRPr="00D957CD">
              <w:rPr>
                <w:rFonts w:cstheme="minorHAnsi"/>
                <w:lang w:val="en-CA"/>
              </w:rPr>
              <w:t>500m resolution g</w:t>
            </w:r>
            <w:proofErr w:type="spellStart"/>
            <w:r w:rsidRPr="00D957CD">
              <w:rPr>
                <w:rFonts w:cstheme="minorHAnsi"/>
                <w:color w:val="202124"/>
                <w:shd w:val="clear" w:color="auto" w:fill="FFFFFF"/>
              </w:rPr>
              <w:t>lobal</w:t>
            </w:r>
            <w:proofErr w:type="spellEnd"/>
            <w:r w:rsidRPr="00D957CD">
              <w:rPr>
                <w:rFonts w:cstheme="minorHAnsi"/>
                <w:color w:val="202124"/>
                <w:shd w:val="clear" w:color="auto" w:fill="FFFFFF"/>
              </w:rPr>
              <w:t xml:space="preserve"> land cover types at yearly intervals </w:t>
            </w:r>
          </w:p>
        </w:tc>
        <w:tc>
          <w:tcPr>
            <w:tcW w:w="678" w:type="dxa"/>
          </w:tcPr>
          <w:p w:rsidR="00335579" w:rsidRPr="00D957CD" w:rsidRDefault="00335579" w:rsidP="00873825">
            <w:pPr>
              <w:rPr>
                <w:rFonts w:cstheme="minorHAnsi"/>
                <w:lang w:val="en-CA"/>
              </w:rPr>
            </w:pPr>
            <w:r>
              <w:rPr>
                <w:rFonts w:ascii="Arial" w:hAnsi="Arial" w:cs="Arial"/>
                <w:color w:val="202124"/>
              </w:rPr>
              <w:t>2001-01-01, 2019-01-01</w:t>
            </w:r>
          </w:p>
        </w:tc>
        <w:tc>
          <w:tcPr>
            <w:tcW w:w="5062" w:type="dxa"/>
          </w:tcPr>
          <w:p w:rsidR="00335579" w:rsidRPr="00D957CD" w:rsidRDefault="00335579" w:rsidP="00873825">
            <w:pPr>
              <w:rPr>
                <w:rFonts w:cstheme="minorHAnsi"/>
                <w:lang w:val="en-CA"/>
              </w:rPr>
            </w:pPr>
            <w:r w:rsidRPr="00D957CD">
              <w:rPr>
                <w:rFonts w:cstheme="minorHAnsi"/>
                <w:lang w:val="en-CA"/>
              </w:rPr>
              <w:t>https://developers.google.com/earth-engine/datasets/catalog/MODIS_006_MCD12Q1</w:t>
            </w:r>
          </w:p>
        </w:tc>
        <w:tc>
          <w:tcPr>
            <w:tcW w:w="0" w:type="auto"/>
          </w:tcPr>
          <w:p w:rsidR="00335579" w:rsidRPr="00D957CD" w:rsidRDefault="00335579" w:rsidP="00873825">
            <w:pPr>
              <w:rPr>
                <w:rFonts w:cstheme="minorHAnsi"/>
                <w:lang w:val="en-CA"/>
              </w:rPr>
            </w:pPr>
            <w:proofErr w:type="spellStart"/>
            <w:r w:rsidRPr="00D957CD">
              <w:rPr>
                <w:rFonts w:cstheme="minorHAnsi"/>
                <w:lang w:val="en-CA"/>
              </w:rPr>
              <w:t>Friedl</w:t>
            </w:r>
            <w:proofErr w:type="spellEnd"/>
            <w:r w:rsidRPr="00D957CD">
              <w:rPr>
                <w:rFonts w:cstheme="minorHAnsi"/>
                <w:lang w:val="en-CA"/>
              </w:rPr>
              <w:t xml:space="preserve"> and Sulla-</w:t>
            </w:r>
            <w:proofErr w:type="spellStart"/>
            <w:r w:rsidRPr="00D957CD">
              <w:rPr>
                <w:rFonts w:cstheme="minorHAnsi"/>
                <w:lang w:val="en-CA"/>
              </w:rPr>
              <w:t>Menashe</w:t>
            </w:r>
            <w:proofErr w:type="spellEnd"/>
            <w:r w:rsidRPr="00D957CD">
              <w:rPr>
                <w:rFonts w:cstheme="minorHAnsi"/>
                <w:lang w:val="en-CA"/>
              </w:rPr>
              <w:t>, 2019.</w:t>
            </w:r>
          </w:p>
        </w:tc>
      </w:tr>
      <w:tr w:rsidR="003B22D1" w:rsidRPr="00D957CD" w:rsidTr="003B22D1">
        <w:trPr>
          <w:trHeight w:val="273"/>
        </w:trPr>
        <w:tc>
          <w:tcPr>
            <w:tcW w:w="0" w:type="auto"/>
          </w:tcPr>
          <w:p w:rsidR="003B22D1" w:rsidRPr="00D957CD" w:rsidRDefault="003B22D1" w:rsidP="003B22D1">
            <w:pPr>
              <w:rPr>
                <w:rFonts w:cstheme="minorHAnsi"/>
                <w:color w:val="444444"/>
              </w:rPr>
            </w:pPr>
            <w:r>
              <w:rPr>
                <w:rFonts w:cstheme="minorHAnsi"/>
                <w:color w:val="444444"/>
              </w:rPr>
              <w:t>MOD09GA</w:t>
            </w:r>
          </w:p>
        </w:tc>
        <w:tc>
          <w:tcPr>
            <w:tcW w:w="1556" w:type="dxa"/>
          </w:tcPr>
          <w:p w:rsidR="003B22D1" w:rsidRPr="00635084" w:rsidRDefault="003B22D1" w:rsidP="003B22D1">
            <w:pPr>
              <w:rPr>
                <w:rFonts w:cstheme="minorHAnsi"/>
                <w:sz w:val="20"/>
                <w:szCs w:val="20"/>
                <w:lang w:val="en-CA"/>
              </w:rPr>
            </w:pPr>
            <w:r w:rsidRPr="00635084">
              <w:rPr>
                <w:rFonts w:cstheme="minorHAnsi"/>
                <w:sz w:val="20"/>
                <w:szCs w:val="20"/>
                <w:lang w:val="en-CA"/>
              </w:rPr>
              <w:t>MODIS bands 1-7 BRF at 500m with 1km acquisition geometry</w:t>
            </w:r>
          </w:p>
        </w:tc>
        <w:tc>
          <w:tcPr>
            <w:tcW w:w="678" w:type="dxa"/>
          </w:tcPr>
          <w:p w:rsidR="003B22D1" w:rsidRDefault="003B22D1" w:rsidP="003B22D1">
            <w:pPr>
              <w:rPr>
                <w:rFonts w:ascii="Arial" w:hAnsi="Arial" w:cs="Arial"/>
                <w:color w:val="202124"/>
              </w:rPr>
            </w:pPr>
            <w:r>
              <w:rPr>
                <w:rFonts w:ascii="Arial" w:hAnsi="Arial" w:cs="Arial"/>
                <w:color w:val="202124"/>
              </w:rPr>
              <w:t>2000-02-24, 2021-09-07</w:t>
            </w:r>
          </w:p>
        </w:tc>
        <w:tc>
          <w:tcPr>
            <w:tcW w:w="5062" w:type="dxa"/>
          </w:tcPr>
          <w:p w:rsidR="003B22D1" w:rsidRPr="00D957CD" w:rsidRDefault="003B22D1" w:rsidP="003B22D1">
            <w:pPr>
              <w:rPr>
                <w:rFonts w:cstheme="minorHAnsi"/>
                <w:lang w:val="en-CA"/>
              </w:rPr>
            </w:pPr>
            <w:r w:rsidRPr="003B22D1">
              <w:rPr>
                <w:rFonts w:cstheme="minorHAnsi"/>
                <w:lang w:val="en-CA"/>
              </w:rPr>
              <w:t>https://developers.google.com/earth-engine/datasets/catalog/MODIS_006_MOD09GA</w:t>
            </w:r>
          </w:p>
        </w:tc>
        <w:tc>
          <w:tcPr>
            <w:tcW w:w="0" w:type="auto"/>
          </w:tcPr>
          <w:p w:rsidR="003B22D1" w:rsidRPr="00635084" w:rsidRDefault="003B22D1" w:rsidP="003B22D1">
            <w:pPr>
              <w:rPr>
                <w:rFonts w:cstheme="minorHAnsi"/>
                <w:sz w:val="20"/>
                <w:szCs w:val="20"/>
                <w:lang w:val="en-CA"/>
              </w:rPr>
            </w:pPr>
            <w:proofErr w:type="spellStart"/>
            <w:r>
              <w:rPr>
                <w:rFonts w:cstheme="minorHAnsi"/>
                <w:sz w:val="20"/>
                <w:szCs w:val="20"/>
                <w:lang w:val="en-CA"/>
              </w:rPr>
              <w:t>Vermote</w:t>
            </w:r>
            <w:proofErr w:type="spellEnd"/>
            <w:r>
              <w:rPr>
                <w:rFonts w:cstheme="minorHAnsi"/>
                <w:sz w:val="20"/>
                <w:szCs w:val="20"/>
                <w:lang w:val="en-CA"/>
              </w:rPr>
              <w:t xml:space="preserve"> and Wolfe, 2021</w:t>
            </w:r>
            <w:r w:rsidRPr="00635084">
              <w:rPr>
                <w:rFonts w:cstheme="minorHAnsi"/>
                <w:sz w:val="20"/>
                <w:szCs w:val="20"/>
                <w:lang w:val="en-CA"/>
              </w:rPr>
              <w:t>.</w:t>
            </w:r>
          </w:p>
        </w:tc>
      </w:tr>
      <w:tr w:rsidR="003B22D1" w:rsidRPr="00D957CD" w:rsidTr="003B22D1">
        <w:trPr>
          <w:trHeight w:val="261"/>
        </w:trPr>
        <w:tc>
          <w:tcPr>
            <w:tcW w:w="0" w:type="auto"/>
          </w:tcPr>
          <w:p w:rsidR="003B22D1" w:rsidRPr="00D957CD" w:rsidRDefault="003B22D1" w:rsidP="003B22D1">
            <w:pPr>
              <w:rPr>
                <w:rFonts w:cstheme="minorHAnsi"/>
              </w:rPr>
            </w:pPr>
            <w:r w:rsidRPr="00D957CD">
              <w:rPr>
                <w:rFonts w:cstheme="minorHAnsi"/>
              </w:rPr>
              <w:t>MSI</w:t>
            </w:r>
          </w:p>
        </w:tc>
        <w:tc>
          <w:tcPr>
            <w:tcW w:w="1556" w:type="dxa"/>
          </w:tcPr>
          <w:p w:rsidR="003B22D1" w:rsidRPr="00D957CD" w:rsidRDefault="003B22D1" w:rsidP="003B22D1">
            <w:pPr>
              <w:spacing w:after="100" w:afterAutospacing="1"/>
              <w:textAlignment w:val="center"/>
              <w:outlineLvl w:val="0"/>
              <w:rPr>
                <w:rFonts w:eastAsia="Times New Roman" w:cs="Times New Roman"/>
                <w:bCs/>
                <w:color w:val="202124"/>
                <w:kern w:val="36"/>
                <w:lang w:val="en-CA" w:eastAsia="en-CA"/>
              </w:rPr>
            </w:pPr>
            <w:r w:rsidRPr="00D957CD">
              <w:rPr>
                <w:rFonts w:eastAsia="Times New Roman" w:cs="Times New Roman"/>
                <w:bCs/>
                <w:color w:val="202124"/>
                <w:kern w:val="36"/>
                <w:lang w:val="en-CA" w:eastAsia="en-CA"/>
              </w:rPr>
              <w:t xml:space="preserve">Sentinel-2 MSI: </w:t>
            </w:r>
            <w:proofErr w:type="spellStart"/>
            <w:r w:rsidRPr="00D957CD">
              <w:rPr>
                <w:rFonts w:eastAsia="Times New Roman" w:cs="Times New Roman"/>
                <w:bCs/>
                <w:color w:val="202124"/>
                <w:kern w:val="36"/>
                <w:lang w:val="en-CA" w:eastAsia="en-CA"/>
              </w:rPr>
              <w:t>MultiSpectral</w:t>
            </w:r>
            <w:proofErr w:type="spellEnd"/>
            <w:r w:rsidRPr="00D957CD">
              <w:rPr>
                <w:rFonts w:eastAsia="Times New Roman" w:cs="Times New Roman"/>
                <w:bCs/>
                <w:color w:val="202124"/>
                <w:kern w:val="36"/>
                <w:lang w:val="en-CA" w:eastAsia="en-CA"/>
              </w:rPr>
              <w:t xml:space="preserve"> Instrument, Level-2A</w:t>
            </w:r>
          </w:p>
          <w:p w:rsidR="003B22D1" w:rsidRPr="00D957CD" w:rsidRDefault="003B22D1" w:rsidP="003B22D1">
            <w:pPr>
              <w:rPr>
                <w:rFonts w:cs="Arial"/>
                <w:color w:val="202124"/>
              </w:rPr>
            </w:pPr>
            <w:r w:rsidRPr="00D957CD">
              <w:rPr>
                <w:rFonts w:eastAsia="Times New Roman" w:cs="Arial"/>
                <w:color w:val="202124"/>
                <w:lang w:val="en-CA" w:eastAsia="en-CA"/>
              </w:rPr>
              <w:t> </w:t>
            </w:r>
          </w:p>
        </w:tc>
        <w:tc>
          <w:tcPr>
            <w:tcW w:w="678" w:type="dxa"/>
          </w:tcPr>
          <w:p w:rsidR="003B22D1" w:rsidRPr="00D957CD" w:rsidRDefault="003B22D1" w:rsidP="003B22D1">
            <w:pPr>
              <w:rPr>
                <w:rFonts w:cstheme="minorHAnsi"/>
                <w:lang w:val="en-CA"/>
              </w:rPr>
            </w:pPr>
            <w:r>
              <w:rPr>
                <w:rFonts w:ascii="Arial" w:hAnsi="Arial" w:cs="Arial"/>
                <w:color w:val="202124"/>
              </w:rPr>
              <w:t>2017-03-28, 2021-09-09</w:t>
            </w:r>
          </w:p>
        </w:tc>
        <w:tc>
          <w:tcPr>
            <w:tcW w:w="5062" w:type="dxa"/>
          </w:tcPr>
          <w:p w:rsidR="003B22D1" w:rsidRPr="00D957CD" w:rsidRDefault="003B22D1" w:rsidP="003B22D1">
            <w:pPr>
              <w:rPr>
                <w:rFonts w:cstheme="minorHAnsi"/>
                <w:lang w:val="en-CA"/>
              </w:rPr>
            </w:pPr>
            <w:r w:rsidRPr="00D957CD">
              <w:rPr>
                <w:rFonts w:cstheme="minorHAnsi"/>
                <w:lang w:val="en-CA"/>
              </w:rPr>
              <w:t>https://developers.google.com/earth-engine/datasets/catalog/COPERNICUS_S2_SR#description</w:t>
            </w:r>
          </w:p>
        </w:tc>
        <w:tc>
          <w:tcPr>
            <w:tcW w:w="0" w:type="auto"/>
          </w:tcPr>
          <w:p w:rsidR="003B22D1" w:rsidRPr="00D957CD" w:rsidRDefault="003B22D1" w:rsidP="003B22D1">
            <w:pPr>
              <w:rPr>
                <w:rFonts w:cstheme="minorHAnsi"/>
                <w:lang w:val="en-CA"/>
              </w:rPr>
            </w:pPr>
            <w:r w:rsidRPr="00D957CD">
              <w:rPr>
                <w:rFonts w:cstheme="minorHAnsi"/>
                <w:lang w:val="en-CA"/>
              </w:rPr>
              <w:t>ESA, 2015.</w:t>
            </w:r>
          </w:p>
        </w:tc>
      </w:tr>
      <w:tr w:rsidR="003B22D1" w:rsidRPr="00D957CD" w:rsidTr="003B22D1">
        <w:trPr>
          <w:trHeight w:val="261"/>
        </w:trPr>
        <w:tc>
          <w:tcPr>
            <w:tcW w:w="0" w:type="auto"/>
          </w:tcPr>
          <w:p w:rsidR="003B22D1" w:rsidRPr="00D957CD" w:rsidRDefault="003B22D1" w:rsidP="003B22D1">
            <w:pPr>
              <w:rPr>
                <w:rFonts w:cstheme="minorHAnsi"/>
              </w:rPr>
            </w:pPr>
            <w:r w:rsidRPr="00D957CD">
              <w:rPr>
                <w:rFonts w:cstheme="minorHAnsi"/>
              </w:rPr>
              <w:t xml:space="preserve">OLI </w:t>
            </w:r>
          </w:p>
        </w:tc>
        <w:tc>
          <w:tcPr>
            <w:tcW w:w="1556" w:type="dxa"/>
          </w:tcPr>
          <w:p w:rsidR="003B22D1" w:rsidRPr="00D957CD" w:rsidRDefault="003B22D1" w:rsidP="003B22D1">
            <w:pPr>
              <w:rPr>
                <w:rFonts w:cstheme="minorHAnsi"/>
                <w:lang w:val="en-CA"/>
              </w:rPr>
            </w:pPr>
            <w:r w:rsidRPr="00D957CD">
              <w:rPr>
                <w:rFonts w:cs="Arial"/>
                <w:color w:val="202124"/>
              </w:rPr>
              <w:t>USGS Landsat 8 Level 2, Collection 2, Tier 1, surface BRF</w:t>
            </w:r>
          </w:p>
        </w:tc>
        <w:tc>
          <w:tcPr>
            <w:tcW w:w="678" w:type="dxa"/>
          </w:tcPr>
          <w:p w:rsidR="003B22D1" w:rsidRPr="00D957CD" w:rsidRDefault="003B22D1" w:rsidP="003B22D1">
            <w:pPr>
              <w:rPr>
                <w:rFonts w:cstheme="minorHAnsi"/>
                <w:lang w:val="en-CA"/>
              </w:rPr>
            </w:pPr>
            <w:r>
              <w:rPr>
                <w:rFonts w:ascii="Arial" w:hAnsi="Arial" w:cs="Arial"/>
                <w:color w:val="202124"/>
              </w:rPr>
              <w:t>2013-04-11, 2021-08-29</w:t>
            </w:r>
          </w:p>
        </w:tc>
        <w:tc>
          <w:tcPr>
            <w:tcW w:w="5062" w:type="dxa"/>
          </w:tcPr>
          <w:p w:rsidR="003B22D1" w:rsidRPr="00D957CD" w:rsidRDefault="003B22D1" w:rsidP="003B22D1">
            <w:pPr>
              <w:rPr>
                <w:rFonts w:cstheme="minorHAnsi"/>
                <w:lang w:val="en-CA"/>
              </w:rPr>
            </w:pPr>
            <w:r w:rsidRPr="00D957CD">
              <w:rPr>
                <w:rFonts w:cstheme="minorHAnsi"/>
                <w:lang w:val="en-CA"/>
              </w:rPr>
              <w:t>https://developers.google.com/earth-engine/datasets/catalog/LANDSAT_LC08_C02_T1_L2</w:t>
            </w:r>
          </w:p>
        </w:tc>
        <w:tc>
          <w:tcPr>
            <w:tcW w:w="0" w:type="auto"/>
          </w:tcPr>
          <w:p w:rsidR="003B22D1" w:rsidRPr="00D957CD" w:rsidRDefault="003B22D1" w:rsidP="003B22D1">
            <w:pPr>
              <w:rPr>
                <w:rFonts w:cstheme="minorHAnsi"/>
                <w:lang w:val="en-CA"/>
              </w:rPr>
            </w:pPr>
            <w:r w:rsidRPr="00D957CD">
              <w:rPr>
                <w:rFonts w:cstheme="minorHAnsi"/>
                <w:lang w:val="en-CA"/>
              </w:rPr>
              <w:t>USGS, 2020a.</w:t>
            </w:r>
          </w:p>
        </w:tc>
      </w:tr>
      <w:tr w:rsidR="003B22D1" w:rsidRPr="00D957CD" w:rsidTr="003B22D1">
        <w:trPr>
          <w:trHeight w:val="261"/>
        </w:trPr>
        <w:tc>
          <w:tcPr>
            <w:tcW w:w="0" w:type="auto"/>
          </w:tcPr>
          <w:p w:rsidR="003B22D1" w:rsidRPr="00D957CD" w:rsidRDefault="003B22D1" w:rsidP="003B22D1">
            <w:pPr>
              <w:rPr>
                <w:rFonts w:cstheme="minorHAnsi"/>
                <w:lang w:val="en-CA"/>
              </w:rPr>
            </w:pPr>
            <w:r w:rsidRPr="00D957CD">
              <w:rPr>
                <w:rFonts w:cstheme="minorHAnsi"/>
                <w:lang w:val="en-CA"/>
              </w:rPr>
              <w:t>ETM+</w:t>
            </w:r>
          </w:p>
        </w:tc>
        <w:tc>
          <w:tcPr>
            <w:tcW w:w="1556" w:type="dxa"/>
          </w:tcPr>
          <w:p w:rsidR="003B22D1" w:rsidRPr="00D957CD" w:rsidRDefault="003B22D1" w:rsidP="003B22D1">
            <w:pPr>
              <w:rPr>
                <w:rFonts w:cstheme="minorHAnsi"/>
                <w:lang w:val="en-CA"/>
              </w:rPr>
            </w:pPr>
            <w:r w:rsidRPr="00D957CD">
              <w:rPr>
                <w:rFonts w:cs="Arial"/>
                <w:color w:val="202124"/>
              </w:rPr>
              <w:t>USGS Landsat 7 Level 2, Collection 2, Tier 1, surface BRF</w:t>
            </w:r>
          </w:p>
        </w:tc>
        <w:tc>
          <w:tcPr>
            <w:tcW w:w="678" w:type="dxa"/>
          </w:tcPr>
          <w:p w:rsidR="003B22D1" w:rsidRPr="00D957CD" w:rsidRDefault="003B22D1" w:rsidP="003B22D1">
            <w:pPr>
              <w:rPr>
                <w:rFonts w:cstheme="minorHAnsi"/>
                <w:lang w:val="en-CA"/>
              </w:rPr>
            </w:pPr>
            <w:r>
              <w:rPr>
                <w:rFonts w:ascii="Arial" w:hAnsi="Arial" w:cs="Arial"/>
                <w:color w:val="202124"/>
              </w:rPr>
              <w:t>1999-01-01, 2021-08-14</w:t>
            </w:r>
          </w:p>
        </w:tc>
        <w:tc>
          <w:tcPr>
            <w:tcW w:w="5062" w:type="dxa"/>
          </w:tcPr>
          <w:p w:rsidR="003B22D1" w:rsidRPr="00D957CD" w:rsidRDefault="003B22D1" w:rsidP="003B22D1">
            <w:pPr>
              <w:rPr>
                <w:rFonts w:cstheme="minorHAnsi"/>
                <w:lang w:val="en-CA"/>
              </w:rPr>
            </w:pPr>
            <w:r w:rsidRPr="00D957CD">
              <w:rPr>
                <w:rFonts w:cstheme="minorHAnsi"/>
                <w:lang w:val="en-CA"/>
              </w:rPr>
              <w:t>https://developers.google.com/earth-engine/datasets/catalog/LANDSAT_LE07_C02_T1_L2</w:t>
            </w:r>
          </w:p>
        </w:tc>
        <w:tc>
          <w:tcPr>
            <w:tcW w:w="0" w:type="auto"/>
          </w:tcPr>
          <w:p w:rsidR="003B22D1" w:rsidRPr="00D957CD" w:rsidRDefault="003B22D1" w:rsidP="003B22D1">
            <w:pPr>
              <w:rPr>
                <w:rFonts w:cstheme="minorHAnsi"/>
                <w:lang w:val="en-CA"/>
              </w:rPr>
            </w:pPr>
            <w:r w:rsidRPr="00D957CD">
              <w:rPr>
                <w:rFonts w:cstheme="minorHAnsi"/>
                <w:lang w:val="en-CA"/>
              </w:rPr>
              <w:t>USGS, 2020b.</w:t>
            </w:r>
          </w:p>
        </w:tc>
      </w:tr>
      <w:tr w:rsidR="003B22D1" w:rsidRPr="00D957CD" w:rsidTr="003B22D1">
        <w:trPr>
          <w:trHeight w:val="261"/>
        </w:trPr>
        <w:tc>
          <w:tcPr>
            <w:tcW w:w="0" w:type="auto"/>
          </w:tcPr>
          <w:p w:rsidR="003B22D1" w:rsidRPr="00D957CD" w:rsidRDefault="003B22D1" w:rsidP="003B22D1">
            <w:pPr>
              <w:rPr>
                <w:rFonts w:cstheme="minorHAnsi"/>
                <w:lang w:val="en-CA"/>
              </w:rPr>
            </w:pPr>
            <w:r w:rsidRPr="00D957CD">
              <w:rPr>
                <w:rFonts w:cstheme="minorHAnsi"/>
                <w:lang w:val="en-CA"/>
              </w:rPr>
              <w:t>TM</w:t>
            </w:r>
          </w:p>
        </w:tc>
        <w:tc>
          <w:tcPr>
            <w:tcW w:w="1556" w:type="dxa"/>
          </w:tcPr>
          <w:p w:rsidR="003B22D1" w:rsidRPr="00D957CD" w:rsidRDefault="003B22D1" w:rsidP="003B22D1">
            <w:pPr>
              <w:rPr>
                <w:rFonts w:cstheme="minorHAnsi"/>
                <w:lang w:val="en-CA"/>
              </w:rPr>
            </w:pPr>
            <w:r w:rsidRPr="00D957CD">
              <w:rPr>
                <w:rFonts w:cs="Arial"/>
                <w:color w:val="202124"/>
              </w:rPr>
              <w:t xml:space="preserve">USGS Landsat 5 Level </w:t>
            </w:r>
            <w:r w:rsidRPr="00D957CD">
              <w:rPr>
                <w:rFonts w:cs="Arial"/>
                <w:color w:val="202124"/>
              </w:rPr>
              <w:lastRenderedPageBreak/>
              <w:t>2, Collection 2, Tier 1, surface BRF</w:t>
            </w:r>
          </w:p>
        </w:tc>
        <w:tc>
          <w:tcPr>
            <w:tcW w:w="678" w:type="dxa"/>
          </w:tcPr>
          <w:p w:rsidR="003B22D1" w:rsidRPr="00D957CD" w:rsidRDefault="003B22D1" w:rsidP="003B22D1">
            <w:pPr>
              <w:rPr>
                <w:rFonts w:cstheme="minorHAnsi"/>
                <w:lang w:val="en-CA"/>
              </w:rPr>
            </w:pPr>
            <w:r>
              <w:rPr>
                <w:rFonts w:ascii="Arial" w:hAnsi="Arial" w:cs="Arial"/>
                <w:color w:val="202124"/>
              </w:rPr>
              <w:lastRenderedPageBreak/>
              <w:t>1984-</w:t>
            </w:r>
            <w:r>
              <w:rPr>
                <w:rFonts w:ascii="Arial" w:hAnsi="Arial" w:cs="Arial"/>
                <w:color w:val="202124"/>
              </w:rPr>
              <w:lastRenderedPageBreak/>
              <w:t>01-01, 2012-05-05</w:t>
            </w:r>
          </w:p>
        </w:tc>
        <w:tc>
          <w:tcPr>
            <w:tcW w:w="5062" w:type="dxa"/>
          </w:tcPr>
          <w:p w:rsidR="003B22D1" w:rsidRPr="00D957CD" w:rsidRDefault="003B22D1" w:rsidP="003B22D1">
            <w:pPr>
              <w:rPr>
                <w:rFonts w:cstheme="minorHAnsi"/>
                <w:lang w:val="en-CA"/>
              </w:rPr>
            </w:pPr>
            <w:r w:rsidRPr="00D957CD">
              <w:rPr>
                <w:rFonts w:cstheme="minorHAnsi"/>
                <w:lang w:val="en-CA"/>
              </w:rPr>
              <w:lastRenderedPageBreak/>
              <w:t>https://developers.google.com/earth-engine/datasets/catalog/LANDSAT_LT05_C02_T1_L2</w:t>
            </w:r>
          </w:p>
        </w:tc>
        <w:tc>
          <w:tcPr>
            <w:tcW w:w="0" w:type="auto"/>
          </w:tcPr>
          <w:p w:rsidR="003B22D1" w:rsidRPr="00D957CD" w:rsidRDefault="003B22D1" w:rsidP="003B22D1">
            <w:pPr>
              <w:rPr>
                <w:rFonts w:cstheme="minorHAnsi"/>
                <w:lang w:val="en-CA"/>
              </w:rPr>
            </w:pPr>
            <w:r w:rsidRPr="00D957CD">
              <w:rPr>
                <w:rFonts w:cstheme="minorHAnsi"/>
                <w:lang w:val="en-CA"/>
              </w:rPr>
              <w:t>USGS, 2020c.</w:t>
            </w:r>
          </w:p>
        </w:tc>
      </w:tr>
      <w:tr w:rsidR="003B22D1" w:rsidRPr="00D957CD" w:rsidTr="003B22D1">
        <w:trPr>
          <w:trHeight w:val="261"/>
        </w:trPr>
        <w:tc>
          <w:tcPr>
            <w:tcW w:w="0" w:type="auto"/>
          </w:tcPr>
          <w:p w:rsidR="003B22D1" w:rsidRPr="00D957CD" w:rsidRDefault="003B22D1" w:rsidP="003B22D1">
            <w:pPr>
              <w:rPr>
                <w:rFonts w:cstheme="minorHAnsi"/>
                <w:lang w:val="en-CA"/>
              </w:rPr>
            </w:pPr>
            <w:r w:rsidRPr="00D957CD">
              <w:rPr>
                <w:rFonts w:cstheme="minorHAnsi"/>
                <w:color w:val="000000" w:themeColor="text1"/>
              </w:rPr>
              <w:t>NALCMS</w:t>
            </w:r>
          </w:p>
        </w:tc>
        <w:tc>
          <w:tcPr>
            <w:tcW w:w="1556" w:type="dxa"/>
          </w:tcPr>
          <w:p w:rsidR="003B22D1" w:rsidRPr="00D957CD" w:rsidRDefault="003B22D1" w:rsidP="003B22D1">
            <w:pPr>
              <w:rPr>
                <w:rFonts w:cstheme="minorHAnsi"/>
                <w:lang w:val="en-CA"/>
              </w:rPr>
            </w:pPr>
            <w:r w:rsidRPr="00D957CD">
              <w:rPr>
                <w:rFonts w:cstheme="minorHAnsi"/>
                <w:lang w:val="en-CA"/>
              </w:rPr>
              <w:t>North American land cover 30m, 5yr</w:t>
            </w:r>
          </w:p>
        </w:tc>
        <w:tc>
          <w:tcPr>
            <w:tcW w:w="678" w:type="dxa"/>
          </w:tcPr>
          <w:p w:rsidR="003B22D1" w:rsidRPr="00D957CD" w:rsidRDefault="003B22D1" w:rsidP="003B22D1">
            <w:pPr>
              <w:rPr>
                <w:rFonts w:cstheme="minorHAnsi"/>
                <w:lang w:val="en-CA"/>
              </w:rPr>
            </w:pPr>
            <w:r>
              <w:rPr>
                <w:rFonts w:cstheme="minorHAnsi"/>
                <w:lang w:val="en-CA"/>
              </w:rPr>
              <w:t>2000-2020</w:t>
            </w:r>
          </w:p>
        </w:tc>
        <w:tc>
          <w:tcPr>
            <w:tcW w:w="5062" w:type="dxa"/>
          </w:tcPr>
          <w:p w:rsidR="003B22D1" w:rsidRPr="00D957CD" w:rsidRDefault="003B22D1" w:rsidP="003B22D1">
            <w:pPr>
              <w:rPr>
                <w:rFonts w:cstheme="minorHAnsi"/>
                <w:lang w:val="en-CA"/>
              </w:rPr>
            </w:pPr>
            <w:r w:rsidRPr="00D957CD">
              <w:rPr>
                <w:rFonts w:cstheme="minorHAnsi"/>
                <w:lang w:val="en-CA"/>
              </w:rPr>
              <w:t>http://www.cec.org/north-american-land-change-monitoring-system/</w:t>
            </w:r>
          </w:p>
        </w:tc>
        <w:tc>
          <w:tcPr>
            <w:tcW w:w="0" w:type="auto"/>
          </w:tcPr>
          <w:p w:rsidR="003B22D1" w:rsidRPr="00D957CD" w:rsidRDefault="003B22D1" w:rsidP="003B22D1">
            <w:pPr>
              <w:rPr>
                <w:rFonts w:cstheme="minorHAnsi"/>
                <w:lang w:val="en-CA"/>
              </w:rPr>
            </w:pPr>
            <w:proofErr w:type="spellStart"/>
            <w:r w:rsidRPr="00D957CD">
              <w:rPr>
                <w:rFonts w:cstheme="minorHAnsi"/>
                <w:lang w:val="en-CA"/>
              </w:rPr>
              <w:t>Latifovic</w:t>
            </w:r>
            <w:proofErr w:type="spellEnd"/>
            <w:r w:rsidRPr="00D957CD">
              <w:rPr>
                <w:rFonts w:cstheme="minorHAnsi"/>
                <w:lang w:val="en-CA"/>
              </w:rPr>
              <w:t xml:space="preserve"> et al., 2012.</w:t>
            </w:r>
          </w:p>
        </w:tc>
      </w:tr>
      <w:tr w:rsidR="003B22D1" w:rsidRPr="00D957CD" w:rsidTr="003B22D1">
        <w:trPr>
          <w:trHeight w:val="273"/>
        </w:trPr>
        <w:tc>
          <w:tcPr>
            <w:tcW w:w="0" w:type="auto"/>
          </w:tcPr>
          <w:p w:rsidR="003B22D1" w:rsidRPr="00D957CD" w:rsidRDefault="003B22D1" w:rsidP="003B22D1">
            <w:pPr>
              <w:rPr>
                <w:rFonts w:cstheme="minorHAnsi"/>
                <w:lang w:val="en-CA"/>
              </w:rPr>
            </w:pPr>
            <w:proofErr w:type="spellStart"/>
            <w:r w:rsidRPr="00D957CD">
              <w:rPr>
                <w:rFonts w:cstheme="minorHAnsi"/>
                <w:color w:val="000000" w:themeColor="text1"/>
              </w:rPr>
              <w:t>Corine</w:t>
            </w:r>
            <w:proofErr w:type="spellEnd"/>
          </w:p>
        </w:tc>
        <w:tc>
          <w:tcPr>
            <w:tcW w:w="1556" w:type="dxa"/>
          </w:tcPr>
          <w:p w:rsidR="003B22D1" w:rsidRPr="00D957CD" w:rsidRDefault="003B22D1" w:rsidP="003B22D1">
            <w:pPr>
              <w:rPr>
                <w:rFonts w:cstheme="minorHAnsi"/>
                <w:lang w:val="en-CA"/>
              </w:rPr>
            </w:pPr>
            <w:r w:rsidRPr="00D957CD">
              <w:rPr>
                <w:rFonts w:cstheme="minorHAnsi"/>
                <w:lang w:val="en-CA"/>
              </w:rPr>
              <w:t>Europe land cover, 100m, 6yr</w:t>
            </w:r>
          </w:p>
        </w:tc>
        <w:tc>
          <w:tcPr>
            <w:tcW w:w="678" w:type="dxa"/>
          </w:tcPr>
          <w:p w:rsidR="003B22D1" w:rsidRPr="00D957CD" w:rsidRDefault="003B22D1" w:rsidP="003B22D1">
            <w:pPr>
              <w:rPr>
                <w:rFonts w:cstheme="minorHAnsi"/>
                <w:lang w:val="en-CA"/>
              </w:rPr>
            </w:pPr>
            <w:r>
              <w:rPr>
                <w:rFonts w:cstheme="minorHAnsi"/>
                <w:lang w:val="en-CA"/>
              </w:rPr>
              <w:t>2000-2018</w:t>
            </w:r>
          </w:p>
        </w:tc>
        <w:tc>
          <w:tcPr>
            <w:tcW w:w="5062" w:type="dxa"/>
          </w:tcPr>
          <w:p w:rsidR="003B22D1" w:rsidRPr="00D957CD" w:rsidRDefault="003B22D1" w:rsidP="003B22D1">
            <w:pPr>
              <w:rPr>
                <w:rFonts w:cstheme="minorHAnsi"/>
                <w:lang w:val="en-CA"/>
              </w:rPr>
            </w:pPr>
            <w:r w:rsidRPr="00D957CD">
              <w:rPr>
                <w:rFonts w:cstheme="minorHAnsi"/>
                <w:lang w:val="en-CA"/>
              </w:rPr>
              <w:t>https://developers.google.com/earth-engine/datasets/catalog/COPERNICUS_CORINE_V20_100m?hl=en</w:t>
            </w:r>
          </w:p>
        </w:tc>
        <w:tc>
          <w:tcPr>
            <w:tcW w:w="0" w:type="auto"/>
          </w:tcPr>
          <w:p w:rsidR="003B22D1" w:rsidRPr="00D957CD" w:rsidRDefault="003B22D1" w:rsidP="003B22D1">
            <w:pPr>
              <w:rPr>
                <w:rFonts w:cstheme="minorHAnsi"/>
                <w:lang w:val="en-CA"/>
              </w:rPr>
            </w:pPr>
            <w:proofErr w:type="spellStart"/>
            <w:r w:rsidRPr="00D957CD">
              <w:rPr>
                <w:rFonts w:cstheme="minorHAnsi"/>
                <w:lang w:val="en-CA"/>
              </w:rPr>
              <w:t>Feranec</w:t>
            </w:r>
            <w:proofErr w:type="spellEnd"/>
            <w:r w:rsidRPr="00D957CD">
              <w:rPr>
                <w:rFonts w:cstheme="minorHAnsi"/>
                <w:lang w:val="en-CA"/>
              </w:rPr>
              <w:t xml:space="preserve"> et al</w:t>
            </w:r>
            <w:proofErr w:type="gramStart"/>
            <w:r w:rsidRPr="00D957CD">
              <w:rPr>
                <w:rFonts w:cstheme="minorHAnsi"/>
                <w:lang w:val="en-CA"/>
              </w:rPr>
              <w:t>. ,</w:t>
            </w:r>
            <w:proofErr w:type="gramEnd"/>
            <w:r w:rsidRPr="00D957CD">
              <w:rPr>
                <w:rFonts w:cstheme="minorHAnsi"/>
                <w:lang w:val="en-CA"/>
              </w:rPr>
              <w:t xml:space="preserve"> 2016.</w:t>
            </w:r>
          </w:p>
        </w:tc>
      </w:tr>
      <w:tr w:rsidR="003B22D1" w:rsidRPr="00D957CD" w:rsidTr="003B22D1">
        <w:trPr>
          <w:trHeight w:val="261"/>
        </w:trPr>
        <w:tc>
          <w:tcPr>
            <w:tcW w:w="0" w:type="auto"/>
          </w:tcPr>
          <w:p w:rsidR="003B22D1" w:rsidRPr="00D957CD" w:rsidRDefault="003B22D1" w:rsidP="003B22D1">
            <w:pPr>
              <w:rPr>
                <w:rFonts w:cstheme="minorHAnsi"/>
                <w:lang w:val="en-CA"/>
              </w:rPr>
            </w:pPr>
            <w:r w:rsidRPr="00D957CD">
              <w:rPr>
                <w:rFonts w:cstheme="minorHAnsi"/>
                <w:lang w:val="en-CA"/>
              </w:rPr>
              <w:t>CGLS</w:t>
            </w:r>
          </w:p>
        </w:tc>
        <w:tc>
          <w:tcPr>
            <w:tcW w:w="1556" w:type="dxa"/>
          </w:tcPr>
          <w:p w:rsidR="003B22D1" w:rsidRPr="00D957CD" w:rsidRDefault="003B22D1" w:rsidP="003B22D1">
            <w:pPr>
              <w:rPr>
                <w:rFonts w:cstheme="minorHAnsi"/>
                <w:lang w:val="en-CA"/>
              </w:rPr>
            </w:pPr>
            <w:r w:rsidRPr="00D957CD">
              <w:rPr>
                <w:rFonts w:cstheme="minorHAnsi"/>
                <w:lang w:val="en-CA"/>
              </w:rPr>
              <w:t>Global land cover, 100m, circa 2015-1019</w:t>
            </w:r>
          </w:p>
        </w:tc>
        <w:tc>
          <w:tcPr>
            <w:tcW w:w="678" w:type="dxa"/>
          </w:tcPr>
          <w:p w:rsidR="003B22D1" w:rsidRPr="00D957CD" w:rsidRDefault="003B22D1" w:rsidP="003B22D1">
            <w:pPr>
              <w:rPr>
                <w:rFonts w:cstheme="minorHAnsi"/>
                <w:lang w:val="en-CA"/>
              </w:rPr>
            </w:pPr>
            <w:r>
              <w:rPr>
                <w:rFonts w:cstheme="minorHAnsi"/>
                <w:lang w:val="en-CA"/>
              </w:rPr>
              <w:t>2015</w:t>
            </w:r>
          </w:p>
        </w:tc>
        <w:tc>
          <w:tcPr>
            <w:tcW w:w="5062" w:type="dxa"/>
          </w:tcPr>
          <w:p w:rsidR="003B22D1" w:rsidRPr="00D957CD" w:rsidRDefault="003B22D1" w:rsidP="003B22D1">
            <w:pPr>
              <w:rPr>
                <w:rFonts w:cstheme="minorHAnsi"/>
                <w:lang w:val="en-CA"/>
              </w:rPr>
            </w:pPr>
            <w:r w:rsidRPr="00D957CD">
              <w:rPr>
                <w:rFonts w:cstheme="minorHAnsi"/>
                <w:lang w:val="en-CA"/>
              </w:rPr>
              <w:t>https://developers.google.com/earth-engine/datasets/catalog/COPERNICUS_Landcover_100m_Proba-V-C3_Global?hl=en</w:t>
            </w:r>
          </w:p>
        </w:tc>
        <w:tc>
          <w:tcPr>
            <w:tcW w:w="0" w:type="auto"/>
          </w:tcPr>
          <w:p w:rsidR="003B22D1" w:rsidRPr="00D957CD" w:rsidRDefault="003B22D1" w:rsidP="003B22D1">
            <w:pPr>
              <w:rPr>
                <w:rFonts w:cstheme="minorHAnsi"/>
                <w:lang w:val="en-CA"/>
              </w:rPr>
            </w:pPr>
            <w:proofErr w:type="spellStart"/>
            <w:r w:rsidRPr="00D957CD">
              <w:rPr>
                <w:rFonts w:cstheme="minorHAnsi"/>
                <w:lang w:val="en-CA"/>
              </w:rPr>
              <w:t>Buchhorn</w:t>
            </w:r>
            <w:proofErr w:type="spellEnd"/>
            <w:r w:rsidRPr="00D957CD">
              <w:rPr>
                <w:rFonts w:cstheme="minorHAnsi"/>
                <w:lang w:val="en-CA"/>
              </w:rPr>
              <w:t xml:space="preserve"> et al., 2020.</w:t>
            </w:r>
          </w:p>
        </w:tc>
      </w:tr>
      <w:tr w:rsidR="003B22D1" w:rsidRPr="00D957CD" w:rsidTr="003B22D1">
        <w:trPr>
          <w:trHeight w:val="261"/>
        </w:trPr>
        <w:tc>
          <w:tcPr>
            <w:tcW w:w="0" w:type="auto"/>
          </w:tcPr>
          <w:p w:rsidR="003B22D1" w:rsidRPr="00D957CD" w:rsidRDefault="003B22D1" w:rsidP="003B22D1">
            <w:pPr>
              <w:rPr>
                <w:rFonts w:cstheme="minorHAnsi"/>
                <w:lang w:val="en-CA"/>
              </w:rPr>
            </w:pPr>
            <w:r w:rsidRPr="00D957CD">
              <w:rPr>
                <w:rFonts w:eastAsia="Times New Roman" w:cstheme="minorHAnsi"/>
                <w:bCs/>
                <w:color w:val="000000" w:themeColor="text1"/>
                <w:kern w:val="36"/>
                <w:lang w:val="en-CA" w:eastAsia="en-CA"/>
              </w:rPr>
              <w:t>MOD44W</w:t>
            </w:r>
          </w:p>
        </w:tc>
        <w:tc>
          <w:tcPr>
            <w:tcW w:w="1556" w:type="dxa"/>
          </w:tcPr>
          <w:p w:rsidR="003B22D1" w:rsidRPr="00D957CD" w:rsidRDefault="003B22D1" w:rsidP="003B22D1">
            <w:pPr>
              <w:rPr>
                <w:rFonts w:cstheme="minorHAnsi"/>
                <w:lang w:val="en-CA"/>
              </w:rPr>
            </w:pPr>
            <w:r w:rsidRPr="00D957CD">
              <w:rPr>
                <w:rFonts w:cstheme="minorHAnsi"/>
                <w:lang w:val="en-CA"/>
              </w:rPr>
              <w:t>Land/water mask, 250m, 1yr</w:t>
            </w:r>
          </w:p>
        </w:tc>
        <w:tc>
          <w:tcPr>
            <w:tcW w:w="678" w:type="dxa"/>
          </w:tcPr>
          <w:p w:rsidR="003B22D1" w:rsidRPr="00D957CD" w:rsidRDefault="003B22D1" w:rsidP="003B22D1">
            <w:pPr>
              <w:rPr>
                <w:rFonts w:cstheme="minorHAnsi"/>
                <w:lang w:val="en-CA"/>
              </w:rPr>
            </w:pPr>
            <w:r>
              <w:rPr>
                <w:rFonts w:ascii="Arial" w:hAnsi="Arial" w:cs="Arial"/>
                <w:color w:val="202124"/>
              </w:rPr>
              <w:t>2000-01-01, 2015-01-01</w:t>
            </w:r>
          </w:p>
        </w:tc>
        <w:tc>
          <w:tcPr>
            <w:tcW w:w="5062" w:type="dxa"/>
          </w:tcPr>
          <w:p w:rsidR="003B22D1" w:rsidRPr="00D957CD" w:rsidRDefault="003B22D1" w:rsidP="003B22D1">
            <w:pPr>
              <w:rPr>
                <w:rFonts w:cstheme="minorHAnsi"/>
                <w:lang w:val="en-CA"/>
              </w:rPr>
            </w:pPr>
            <w:r w:rsidRPr="00D957CD">
              <w:rPr>
                <w:rFonts w:cstheme="minorHAnsi"/>
                <w:lang w:val="en-CA"/>
              </w:rPr>
              <w:t>https://developers.google.com/earth-engine/datasets/catalog/MODIS_006_MOD44W?hl=en</w:t>
            </w:r>
          </w:p>
        </w:tc>
        <w:tc>
          <w:tcPr>
            <w:tcW w:w="0" w:type="auto"/>
          </w:tcPr>
          <w:p w:rsidR="003B22D1" w:rsidRPr="00D957CD" w:rsidRDefault="003B22D1" w:rsidP="003B22D1">
            <w:pPr>
              <w:rPr>
                <w:rFonts w:cstheme="minorHAnsi"/>
                <w:lang w:val="en-CA"/>
              </w:rPr>
            </w:pPr>
            <w:r w:rsidRPr="00D957CD">
              <w:rPr>
                <w:rFonts w:cstheme="minorHAnsi"/>
                <w:lang w:val="en-CA"/>
              </w:rPr>
              <w:t>Carrol et al., 2017.</w:t>
            </w:r>
          </w:p>
        </w:tc>
      </w:tr>
      <w:tr w:rsidR="003B22D1" w:rsidRPr="00D957CD" w:rsidTr="003B22D1">
        <w:trPr>
          <w:trHeight w:val="261"/>
        </w:trPr>
        <w:tc>
          <w:tcPr>
            <w:tcW w:w="0" w:type="auto"/>
          </w:tcPr>
          <w:p w:rsidR="003B22D1" w:rsidRPr="00D957CD" w:rsidRDefault="003B22D1" w:rsidP="003B22D1">
            <w:pPr>
              <w:rPr>
                <w:rFonts w:eastAsia="Times New Roman" w:cstheme="minorHAnsi"/>
                <w:bCs/>
                <w:color w:val="000000" w:themeColor="text1"/>
                <w:kern w:val="36"/>
                <w:lang w:val="en-CA" w:eastAsia="en-CA"/>
              </w:rPr>
            </w:pPr>
            <w:r>
              <w:rPr>
                <w:rFonts w:eastAsia="Times New Roman" w:cstheme="minorHAnsi"/>
                <w:bCs/>
                <w:color w:val="000000" w:themeColor="text1"/>
                <w:kern w:val="36"/>
                <w:lang w:val="en-CA" w:eastAsia="en-CA"/>
              </w:rPr>
              <w:t>NEON-</w:t>
            </w:r>
            <w:proofErr w:type="spellStart"/>
            <w:r>
              <w:rPr>
                <w:rFonts w:eastAsia="Times New Roman" w:cstheme="minorHAnsi"/>
                <w:bCs/>
                <w:color w:val="000000" w:themeColor="text1"/>
                <w:kern w:val="36"/>
                <w:lang w:val="en-CA" w:eastAsia="en-CA"/>
              </w:rPr>
              <w:t>Insitu</w:t>
            </w:r>
            <w:proofErr w:type="spellEnd"/>
          </w:p>
        </w:tc>
        <w:tc>
          <w:tcPr>
            <w:tcW w:w="1556" w:type="dxa"/>
          </w:tcPr>
          <w:p w:rsidR="003B22D1" w:rsidRPr="00D957CD" w:rsidRDefault="003B22D1" w:rsidP="003B22D1">
            <w:pPr>
              <w:rPr>
                <w:rFonts w:cstheme="minorHAnsi"/>
                <w:lang w:val="en-CA"/>
              </w:rPr>
            </w:pPr>
            <w:r>
              <w:rPr>
                <w:rFonts w:cstheme="minorHAnsi"/>
                <w:lang w:val="en-CA"/>
              </w:rPr>
              <w:t xml:space="preserve">In-situ LAI and </w:t>
            </w:r>
            <w:proofErr w:type="spellStart"/>
            <w:r>
              <w:rPr>
                <w:rFonts w:cstheme="minorHAnsi"/>
                <w:lang w:val="en-CA"/>
              </w:rPr>
              <w:t>fAPAR</w:t>
            </w:r>
            <w:proofErr w:type="spellEnd"/>
            <w:r>
              <w:rPr>
                <w:rFonts w:cstheme="minorHAnsi"/>
                <w:lang w:val="en-CA"/>
              </w:rPr>
              <w:t xml:space="preserve"> measurements over USA from the NEON network.</w:t>
            </w:r>
          </w:p>
        </w:tc>
        <w:tc>
          <w:tcPr>
            <w:tcW w:w="678" w:type="dxa"/>
          </w:tcPr>
          <w:p w:rsidR="003B22D1" w:rsidRPr="00D957CD" w:rsidRDefault="003B22D1" w:rsidP="003B22D1">
            <w:pPr>
              <w:rPr>
                <w:rFonts w:cstheme="minorHAnsi"/>
                <w:lang w:val="en-CA"/>
              </w:rPr>
            </w:pPr>
            <w:r>
              <w:rPr>
                <w:rFonts w:cstheme="minorHAnsi"/>
                <w:lang w:val="en-CA"/>
              </w:rPr>
              <w:t>2016-02-01, 2021-07-01</w:t>
            </w:r>
          </w:p>
        </w:tc>
        <w:tc>
          <w:tcPr>
            <w:tcW w:w="5062" w:type="dxa"/>
          </w:tcPr>
          <w:p w:rsidR="003B22D1" w:rsidRPr="00D957CD" w:rsidRDefault="003B22D1" w:rsidP="003B22D1">
            <w:pPr>
              <w:rPr>
                <w:rFonts w:cstheme="minorHAnsi"/>
                <w:lang w:val="en-CA"/>
              </w:rPr>
            </w:pPr>
          </w:p>
        </w:tc>
        <w:tc>
          <w:tcPr>
            <w:tcW w:w="0" w:type="auto"/>
          </w:tcPr>
          <w:p w:rsidR="003B22D1" w:rsidRPr="00D957CD" w:rsidRDefault="003B22D1" w:rsidP="003B22D1">
            <w:pPr>
              <w:rPr>
                <w:rFonts w:cstheme="minorHAnsi"/>
                <w:lang w:val="en-CA"/>
              </w:rPr>
            </w:pPr>
            <w:r>
              <w:rPr>
                <w:rFonts w:cstheme="minorHAnsi"/>
                <w:lang w:val="en-CA"/>
              </w:rPr>
              <w:t>Meier et al., xx</w:t>
            </w:r>
          </w:p>
        </w:tc>
      </w:tr>
      <w:tr w:rsidR="003B22D1" w:rsidRPr="00D957CD" w:rsidTr="003B22D1">
        <w:trPr>
          <w:trHeight w:val="261"/>
        </w:trPr>
        <w:tc>
          <w:tcPr>
            <w:tcW w:w="0" w:type="auto"/>
          </w:tcPr>
          <w:p w:rsidR="003B22D1" w:rsidRPr="00D957CD" w:rsidRDefault="003B22D1" w:rsidP="003B22D1">
            <w:pPr>
              <w:rPr>
                <w:rFonts w:eastAsia="Times New Roman" w:cstheme="minorHAnsi"/>
                <w:bCs/>
                <w:color w:val="000000" w:themeColor="text1"/>
                <w:kern w:val="36"/>
                <w:lang w:val="en-CA" w:eastAsia="en-CA"/>
              </w:rPr>
            </w:pPr>
            <w:r>
              <w:rPr>
                <w:rFonts w:eastAsia="Times New Roman" w:cstheme="minorHAnsi"/>
                <w:bCs/>
                <w:color w:val="000000" w:themeColor="text1"/>
                <w:kern w:val="36"/>
                <w:lang w:val="en-CA" w:eastAsia="en-CA"/>
              </w:rPr>
              <w:t>CCRS-</w:t>
            </w:r>
            <w:proofErr w:type="spellStart"/>
            <w:r>
              <w:rPr>
                <w:rFonts w:eastAsia="Times New Roman" w:cstheme="minorHAnsi"/>
                <w:bCs/>
                <w:color w:val="000000" w:themeColor="text1"/>
                <w:kern w:val="36"/>
                <w:lang w:val="en-CA" w:eastAsia="en-CA"/>
              </w:rPr>
              <w:t>Insitu</w:t>
            </w:r>
            <w:proofErr w:type="spellEnd"/>
          </w:p>
        </w:tc>
        <w:tc>
          <w:tcPr>
            <w:tcW w:w="1556" w:type="dxa"/>
          </w:tcPr>
          <w:p w:rsidR="003B22D1" w:rsidRPr="00D957CD" w:rsidRDefault="003B22D1" w:rsidP="003B22D1">
            <w:pPr>
              <w:rPr>
                <w:rFonts w:cstheme="minorHAnsi"/>
                <w:lang w:val="en-CA"/>
              </w:rPr>
            </w:pPr>
            <w:r>
              <w:rPr>
                <w:rFonts w:cstheme="minorHAnsi"/>
                <w:lang w:val="en-CA"/>
              </w:rPr>
              <w:t xml:space="preserve">In-situ LAI and </w:t>
            </w:r>
            <w:proofErr w:type="spellStart"/>
            <w:r>
              <w:rPr>
                <w:rFonts w:cstheme="minorHAnsi"/>
                <w:lang w:val="en-CA"/>
              </w:rPr>
              <w:t>fAPAR</w:t>
            </w:r>
            <w:proofErr w:type="spellEnd"/>
            <w:r>
              <w:rPr>
                <w:rFonts w:cstheme="minorHAnsi"/>
                <w:lang w:val="en-CA"/>
              </w:rPr>
              <w:t xml:space="preserve"> measurements over Canada from the CCRS network.</w:t>
            </w:r>
          </w:p>
        </w:tc>
        <w:tc>
          <w:tcPr>
            <w:tcW w:w="678" w:type="dxa"/>
          </w:tcPr>
          <w:p w:rsidR="003B22D1" w:rsidRPr="00D957CD" w:rsidRDefault="003B22D1" w:rsidP="003B22D1">
            <w:pPr>
              <w:rPr>
                <w:rFonts w:cstheme="minorHAnsi"/>
                <w:lang w:val="en-CA"/>
              </w:rPr>
            </w:pPr>
            <w:r>
              <w:rPr>
                <w:rFonts w:cstheme="minorHAnsi"/>
                <w:lang w:val="en-CA"/>
              </w:rPr>
              <w:t>2018-06-01-2019-09-01</w:t>
            </w:r>
          </w:p>
        </w:tc>
        <w:tc>
          <w:tcPr>
            <w:tcW w:w="5062" w:type="dxa"/>
          </w:tcPr>
          <w:p w:rsidR="003B22D1" w:rsidRPr="00D957CD" w:rsidRDefault="003B22D1" w:rsidP="003B22D1">
            <w:pPr>
              <w:rPr>
                <w:rFonts w:cstheme="minorHAnsi"/>
                <w:lang w:val="en-CA"/>
              </w:rPr>
            </w:pPr>
          </w:p>
        </w:tc>
        <w:tc>
          <w:tcPr>
            <w:tcW w:w="0" w:type="auto"/>
          </w:tcPr>
          <w:p w:rsidR="003B22D1" w:rsidRPr="00D957CD" w:rsidRDefault="003B22D1" w:rsidP="003B22D1">
            <w:pPr>
              <w:rPr>
                <w:rFonts w:cstheme="minorHAnsi"/>
                <w:lang w:val="en-CA"/>
              </w:rPr>
            </w:pPr>
            <w:r>
              <w:rPr>
                <w:rFonts w:cstheme="minorHAnsi"/>
                <w:lang w:val="en-CA"/>
              </w:rPr>
              <w:t>Fernandes et al., xx</w:t>
            </w:r>
          </w:p>
        </w:tc>
      </w:tr>
    </w:tbl>
    <w:p w:rsidR="000019D8" w:rsidRPr="00635084" w:rsidRDefault="000019D8" w:rsidP="000019D8">
      <w:pPr>
        <w:autoSpaceDE w:val="0"/>
        <w:autoSpaceDN w:val="0"/>
        <w:adjustRightInd w:val="0"/>
        <w:spacing w:after="0" w:line="240" w:lineRule="auto"/>
        <w:rPr>
          <w:rFonts w:cstheme="minorHAnsi"/>
        </w:rPr>
      </w:pPr>
    </w:p>
    <w:p w:rsidR="000019D8" w:rsidRDefault="000019D8">
      <w:pPr>
        <w:rPr>
          <w:lang w:val="en-CA"/>
        </w:rPr>
      </w:pPr>
    </w:p>
    <w:p w:rsidR="008F0BC9" w:rsidRDefault="008F0BC9">
      <w:pPr>
        <w:rPr>
          <w:rFonts w:cstheme="minorHAnsi"/>
        </w:rPr>
      </w:pPr>
      <w:r w:rsidRPr="00D957CD">
        <w:rPr>
          <w:rFonts w:cstheme="minorHAnsi"/>
        </w:rPr>
        <w:t>MCD15A3H</w:t>
      </w:r>
    </w:p>
    <w:p w:rsidR="008F0BC9" w:rsidRDefault="008F0BC9">
      <w:pPr>
        <w:rPr>
          <w:rFonts w:cstheme="minorHAnsi"/>
        </w:rPr>
      </w:pPr>
    </w:p>
    <w:p w:rsidR="008F0BC9" w:rsidRDefault="008F0BC9">
      <w:pPr>
        <w:rPr>
          <w:rFonts w:cstheme="minorHAnsi"/>
        </w:rPr>
      </w:pPr>
      <w:r>
        <w:rPr>
          <w:rFonts w:cstheme="minorHAnsi"/>
        </w:rPr>
        <w:t xml:space="preserve">MCD15A3H are </w:t>
      </w:r>
      <w:proofErr w:type="gramStart"/>
      <w:r>
        <w:rPr>
          <w:rFonts w:cstheme="minorHAnsi"/>
        </w:rPr>
        <w:t>four day</w:t>
      </w:r>
      <w:proofErr w:type="gramEnd"/>
      <w:r>
        <w:rPr>
          <w:rFonts w:cstheme="minorHAnsi"/>
        </w:rPr>
        <w:t xml:space="preserve"> maximum </w:t>
      </w:r>
      <w:proofErr w:type="spellStart"/>
      <w:r>
        <w:rPr>
          <w:rFonts w:cstheme="minorHAnsi"/>
        </w:rPr>
        <w:t>fAPAR</w:t>
      </w:r>
      <w:proofErr w:type="spellEnd"/>
      <w:r>
        <w:rPr>
          <w:rFonts w:cstheme="minorHAnsi"/>
        </w:rPr>
        <w:t xml:space="preserve"> global 500m LAI and </w:t>
      </w:r>
      <w:proofErr w:type="spellStart"/>
      <w:r>
        <w:rPr>
          <w:rFonts w:cstheme="minorHAnsi"/>
        </w:rPr>
        <w:t>fAPAR</w:t>
      </w:r>
      <w:proofErr w:type="spellEnd"/>
      <w:r>
        <w:rPr>
          <w:rFonts w:cstheme="minorHAnsi"/>
        </w:rPr>
        <w:t xml:space="preserve"> composites produced from MODIS on Terra </w:t>
      </w:r>
      <w:proofErr w:type="spellStart"/>
      <w:r>
        <w:rPr>
          <w:rFonts w:cstheme="minorHAnsi"/>
        </w:rPr>
        <w:t>abd</w:t>
      </w:r>
      <w:proofErr w:type="spellEnd"/>
      <w:r>
        <w:rPr>
          <w:rFonts w:cstheme="minorHAnsi"/>
        </w:rPr>
        <w:t xml:space="preserve"> Aqua using MOD15v6.  The product includes additional per pixel information of relevance to our study including:  associated standard errors of estimates, the sensor platform, if the </w:t>
      </w:r>
      <w:proofErr w:type="gramStart"/>
      <w:r>
        <w:rPr>
          <w:rFonts w:cstheme="minorHAnsi"/>
        </w:rPr>
        <w:t>retrieval  corresponded</w:t>
      </w:r>
      <w:proofErr w:type="gramEnd"/>
      <w:r>
        <w:rPr>
          <w:rFonts w:cstheme="minorHAnsi"/>
        </w:rPr>
        <w:t xml:space="preserve"> to the saturated or unsaturated region of the mapping, if the main </w:t>
      </w:r>
      <w:proofErr w:type="spellStart"/>
      <w:r>
        <w:rPr>
          <w:rFonts w:cstheme="minorHAnsi"/>
        </w:rPr>
        <w:t>ratiative</w:t>
      </w:r>
      <w:proofErr w:type="spellEnd"/>
      <w:r>
        <w:rPr>
          <w:rFonts w:cstheme="minorHAnsi"/>
        </w:rPr>
        <w:t xml:space="preserve"> transfer algorithm was applied.   Here, only retrievals from the main radiative transfer algorithm are used and the saturated and unsaturated retrievals </w:t>
      </w:r>
      <w:proofErr w:type="gramStart"/>
      <w:r>
        <w:rPr>
          <w:rFonts w:cstheme="minorHAnsi"/>
        </w:rPr>
        <w:t>are used</w:t>
      </w:r>
      <w:proofErr w:type="gramEnd"/>
      <w:r>
        <w:rPr>
          <w:rFonts w:cstheme="minorHAnsi"/>
        </w:rPr>
        <w:t xml:space="preserve"> separately.  </w:t>
      </w:r>
    </w:p>
    <w:p w:rsidR="00A60A87" w:rsidRDefault="00A60A87">
      <w:pPr>
        <w:rPr>
          <w:rFonts w:cstheme="minorHAnsi"/>
          <w:color w:val="444444"/>
        </w:rPr>
      </w:pPr>
    </w:p>
    <w:p w:rsidR="008F0BC9" w:rsidRDefault="008F0BC9">
      <w:pPr>
        <w:rPr>
          <w:rFonts w:cstheme="minorHAnsi"/>
          <w:color w:val="444444"/>
        </w:rPr>
      </w:pPr>
      <w:r w:rsidRPr="00D957CD">
        <w:rPr>
          <w:rFonts w:cstheme="minorHAnsi"/>
          <w:color w:val="444444"/>
        </w:rPr>
        <w:t>MCD12Q1</w:t>
      </w:r>
    </w:p>
    <w:p w:rsidR="008F0BC9" w:rsidRDefault="008F0BC9">
      <w:pPr>
        <w:rPr>
          <w:rFonts w:cstheme="minorHAnsi"/>
          <w:color w:val="444444"/>
        </w:rPr>
      </w:pPr>
    </w:p>
    <w:p w:rsidR="008F0BC9" w:rsidRDefault="008F0BC9">
      <w:pPr>
        <w:rPr>
          <w:rFonts w:cstheme="minorHAnsi"/>
          <w:color w:val="444444"/>
        </w:rPr>
      </w:pPr>
      <w:r w:rsidRPr="00D957CD">
        <w:rPr>
          <w:rFonts w:cstheme="minorHAnsi"/>
          <w:color w:val="444444"/>
        </w:rPr>
        <w:t>MCD12Q1</w:t>
      </w:r>
      <w:r>
        <w:rPr>
          <w:rFonts w:cstheme="minorHAnsi"/>
          <w:color w:val="444444"/>
        </w:rPr>
        <w:t xml:space="preserve"> is an annual 500m global land cover map that includes the MCD15A3H biome type.  This map </w:t>
      </w:r>
      <w:proofErr w:type="gramStart"/>
      <w:r>
        <w:rPr>
          <w:rFonts w:cstheme="minorHAnsi"/>
          <w:color w:val="444444"/>
        </w:rPr>
        <w:t>is used</w:t>
      </w:r>
      <w:proofErr w:type="gramEnd"/>
      <w:r>
        <w:rPr>
          <w:rFonts w:cstheme="minorHAnsi"/>
          <w:color w:val="444444"/>
        </w:rPr>
        <w:t xml:space="preserve"> to calibrate biome specific retrieval algorithms.  </w:t>
      </w:r>
      <w:r w:rsidR="00A60A87">
        <w:rPr>
          <w:rFonts w:cstheme="minorHAnsi"/>
          <w:color w:val="444444"/>
        </w:rPr>
        <w:t>The geometry is identical to MCD15A3H products.</w:t>
      </w:r>
    </w:p>
    <w:p w:rsidR="00335579" w:rsidRDefault="003B22D1" w:rsidP="003B22D1">
      <w:pPr>
        <w:tabs>
          <w:tab w:val="left" w:pos="1352"/>
        </w:tabs>
        <w:rPr>
          <w:rFonts w:cstheme="minorHAnsi"/>
          <w:color w:val="444444"/>
        </w:rPr>
      </w:pPr>
      <w:r>
        <w:rPr>
          <w:rFonts w:cstheme="minorHAnsi"/>
          <w:color w:val="444444"/>
        </w:rPr>
        <w:tab/>
      </w:r>
    </w:p>
    <w:p w:rsidR="003B22D1" w:rsidRDefault="003B22D1" w:rsidP="003B22D1">
      <w:pPr>
        <w:tabs>
          <w:tab w:val="left" w:pos="1352"/>
        </w:tabs>
        <w:rPr>
          <w:rFonts w:cstheme="minorHAnsi"/>
          <w:color w:val="444444"/>
        </w:rPr>
      </w:pPr>
      <w:r>
        <w:rPr>
          <w:rFonts w:cstheme="minorHAnsi"/>
          <w:color w:val="444444"/>
        </w:rPr>
        <w:t>MOD09GA</w:t>
      </w:r>
    </w:p>
    <w:p w:rsidR="003B22D1" w:rsidRDefault="003B22D1" w:rsidP="003B22D1">
      <w:pPr>
        <w:tabs>
          <w:tab w:val="left" w:pos="1352"/>
        </w:tabs>
        <w:rPr>
          <w:rFonts w:cstheme="minorHAnsi"/>
          <w:color w:val="444444"/>
        </w:rPr>
      </w:pPr>
    </w:p>
    <w:p w:rsidR="003B22D1" w:rsidRDefault="003B22D1" w:rsidP="003B22D1">
      <w:pPr>
        <w:tabs>
          <w:tab w:val="left" w:pos="1352"/>
        </w:tabs>
        <w:rPr>
          <w:rFonts w:cstheme="minorHAnsi"/>
          <w:color w:val="444444"/>
        </w:rPr>
      </w:pPr>
      <w:r>
        <w:rPr>
          <w:rFonts w:cstheme="minorHAnsi"/>
          <w:color w:val="444444"/>
        </w:rPr>
        <w:t xml:space="preserve">MOD09GA is </w:t>
      </w:r>
      <w:proofErr w:type="gramStart"/>
      <w:r>
        <w:rPr>
          <w:rFonts w:cstheme="minorHAnsi"/>
          <w:color w:val="444444"/>
        </w:rPr>
        <w:t>a single day composite of surface BRF for MODIS bands 1-7 and associated acquisition geometry at 1km resolution</w:t>
      </w:r>
      <w:proofErr w:type="gramEnd"/>
      <w:r>
        <w:rPr>
          <w:rFonts w:cstheme="minorHAnsi"/>
          <w:color w:val="444444"/>
        </w:rPr>
        <w:t xml:space="preserve">.  This product </w:t>
      </w:r>
      <w:proofErr w:type="gramStart"/>
      <w:r>
        <w:rPr>
          <w:rFonts w:cstheme="minorHAnsi"/>
          <w:color w:val="444444"/>
        </w:rPr>
        <w:t>is used</w:t>
      </w:r>
      <w:proofErr w:type="gramEnd"/>
      <w:r>
        <w:rPr>
          <w:rFonts w:cstheme="minorHAnsi"/>
          <w:color w:val="444444"/>
        </w:rPr>
        <w:t xml:space="preserve"> to filter MCD15A34H retrievals to those that match Landsat or SDR acquisition dates and have a limited range of view zenith angle.  </w:t>
      </w:r>
      <w:r w:rsidR="00A60A87">
        <w:rPr>
          <w:rFonts w:cstheme="minorHAnsi"/>
          <w:color w:val="444444"/>
        </w:rPr>
        <w:t>The geometry is identical to MCD15A3H products.</w:t>
      </w:r>
    </w:p>
    <w:p w:rsidR="003B22D1" w:rsidRDefault="003B22D1" w:rsidP="003B22D1">
      <w:pPr>
        <w:tabs>
          <w:tab w:val="left" w:pos="1352"/>
        </w:tabs>
        <w:rPr>
          <w:rFonts w:cstheme="minorHAnsi"/>
          <w:color w:val="444444"/>
        </w:rPr>
      </w:pPr>
    </w:p>
    <w:p w:rsidR="00335579" w:rsidRDefault="00335579">
      <w:pPr>
        <w:rPr>
          <w:rFonts w:eastAsia="Times New Roman" w:cstheme="minorHAnsi"/>
          <w:bCs/>
          <w:color w:val="000000" w:themeColor="text1"/>
          <w:kern w:val="36"/>
          <w:lang w:val="en-CA" w:eastAsia="en-CA"/>
        </w:rPr>
      </w:pPr>
      <w:r w:rsidRPr="00D957CD">
        <w:rPr>
          <w:rFonts w:eastAsia="Times New Roman" w:cstheme="minorHAnsi"/>
          <w:bCs/>
          <w:color w:val="000000" w:themeColor="text1"/>
          <w:kern w:val="36"/>
          <w:lang w:val="en-CA" w:eastAsia="en-CA"/>
        </w:rPr>
        <w:t>MOD44W</w:t>
      </w:r>
    </w:p>
    <w:p w:rsidR="00335579" w:rsidRDefault="00335579">
      <w:pPr>
        <w:rPr>
          <w:rFonts w:eastAsia="Times New Roman" w:cstheme="minorHAnsi"/>
          <w:bCs/>
          <w:color w:val="000000" w:themeColor="text1"/>
          <w:kern w:val="36"/>
          <w:lang w:val="en-CA" w:eastAsia="en-CA"/>
        </w:rPr>
      </w:pPr>
    </w:p>
    <w:p w:rsidR="00335579" w:rsidRDefault="00335579">
      <w:pPr>
        <w:rPr>
          <w:rFonts w:eastAsia="Times New Roman" w:cstheme="minorHAnsi"/>
          <w:bCs/>
          <w:color w:val="000000" w:themeColor="text1"/>
          <w:kern w:val="36"/>
          <w:lang w:val="en-CA" w:eastAsia="en-CA"/>
        </w:rPr>
      </w:pPr>
      <w:r w:rsidRPr="00D957CD">
        <w:rPr>
          <w:rFonts w:eastAsia="Times New Roman" w:cstheme="minorHAnsi"/>
          <w:bCs/>
          <w:color w:val="000000" w:themeColor="text1"/>
          <w:kern w:val="36"/>
          <w:lang w:val="en-CA" w:eastAsia="en-CA"/>
        </w:rPr>
        <w:t>MOD44W</w:t>
      </w:r>
      <w:r>
        <w:rPr>
          <w:rFonts w:eastAsia="Times New Roman" w:cstheme="minorHAnsi"/>
          <w:bCs/>
          <w:color w:val="000000" w:themeColor="text1"/>
          <w:kern w:val="36"/>
          <w:lang w:val="en-CA" w:eastAsia="en-CA"/>
        </w:rPr>
        <w:t xml:space="preserve"> is a monthly land/water mask derived using 250m resolution MODIS imagery using a pixel based supervised classification algorithm (xx).  The mask </w:t>
      </w:r>
      <w:proofErr w:type="gramStart"/>
      <w:r>
        <w:rPr>
          <w:rFonts w:eastAsia="Times New Roman" w:cstheme="minorHAnsi"/>
          <w:bCs/>
          <w:color w:val="000000" w:themeColor="text1"/>
          <w:kern w:val="36"/>
          <w:lang w:val="en-CA" w:eastAsia="en-CA"/>
        </w:rPr>
        <w:t>is used</w:t>
      </w:r>
      <w:proofErr w:type="gramEnd"/>
      <w:r>
        <w:rPr>
          <w:rFonts w:eastAsia="Times New Roman" w:cstheme="minorHAnsi"/>
          <w:bCs/>
          <w:color w:val="000000" w:themeColor="text1"/>
          <w:kern w:val="36"/>
          <w:lang w:val="en-CA" w:eastAsia="en-CA"/>
        </w:rPr>
        <w:t xml:space="preserve"> to screen out MCD15A3H retrievals that may potentially contain sub-pixel water not represented in the annual MCD12Q1 maps.</w:t>
      </w:r>
      <w:r w:rsidR="00A60A87">
        <w:rPr>
          <w:rFonts w:eastAsia="Times New Roman" w:cstheme="minorHAnsi"/>
          <w:bCs/>
          <w:color w:val="000000" w:themeColor="text1"/>
          <w:kern w:val="36"/>
          <w:lang w:val="en-CA" w:eastAsia="en-CA"/>
        </w:rPr>
        <w:t xml:space="preserve">  </w:t>
      </w:r>
      <w:r w:rsidR="00A60A87">
        <w:rPr>
          <w:rFonts w:cstheme="minorHAnsi"/>
          <w:color w:val="444444"/>
        </w:rPr>
        <w:t xml:space="preserve">The geometry is identical to MCD15A3H products when pixels </w:t>
      </w:r>
      <w:proofErr w:type="gramStart"/>
      <w:r w:rsidR="00A60A87">
        <w:rPr>
          <w:rFonts w:cstheme="minorHAnsi"/>
          <w:color w:val="444444"/>
        </w:rPr>
        <w:t>are aggregated</w:t>
      </w:r>
      <w:proofErr w:type="gramEnd"/>
      <w:r w:rsidR="00A60A87">
        <w:rPr>
          <w:rFonts w:cstheme="minorHAnsi"/>
          <w:color w:val="444444"/>
        </w:rPr>
        <w:t xml:space="preserve"> to corresponding 500m resolution grids.</w:t>
      </w:r>
    </w:p>
    <w:p w:rsidR="00335579" w:rsidRDefault="00335579">
      <w:pPr>
        <w:rPr>
          <w:rFonts w:cstheme="minorHAnsi"/>
          <w:color w:val="444444"/>
        </w:rPr>
      </w:pPr>
    </w:p>
    <w:p w:rsidR="00335579" w:rsidRDefault="00335579">
      <w:pPr>
        <w:rPr>
          <w:rFonts w:cstheme="minorHAnsi"/>
          <w:color w:val="444444"/>
        </w:rPr>
      </w:pPr>
      <w:r>
        <w:rPr>
          <w:rFonts w:cstheme="minorHAnsi"/>
          <w:color w:val="444444"/>
        </w:rPr>
        <w:t>MSI</w:t>
      </w:r>
    </w:p>
    <w:p w:rsidR="00335579" w:rsidRDefault="00335579">
      <w:pPr>
        <w:rPr>
          <w:rFonts w:cstheme="minorHAnsi"/>
          <w:color w:val="444444"/>
        </w:rPr>
      </w:pPr>
    </w:p>
    <w:p w:rsidR="00A60A87" w:rsidRDefault="00BB2E90">
      <w:pPr>
        <w:rPr>
          <w:rFonts w:cstheme="minorHAnsi"/>
          <w:color w:val="444444"/>
        </w:rPr>
      </w:pPr>
      <w:r>
        <w:rPr>
          <w:rFonts w:cstheme="minorHAnsi"/>
          <w:color w:val="444444"/>
        </w:rPr>
        <w:t xml:space="preserve">MSI is a Level 2 </w:t>
      </w:r>
      <w:proofErr w:type="spellStart"/>
      <w:r>
        <w:rPr>
          <w:rFonts w:cstheme="minorHAnsi"/>
          <w:color w:val="444444"/>
        </w:rPr>
        <w:t>Geolocated</w:t>
      </w:r>
      <w:proofErr w:type="spellEnd"/>
      <w:r>
        <w:rPr>
          <w:rFonts w:cstheme="minorHAnsi"/>
          <w:color w:val="444444"/>
        </w:rPr>
        <w:t xml:space="preserve"> (L2G) </w:t>
      </w:r>
      <w:r w:rsidR="00335579">
        <w:rPr>
          <w:rFonts w:cstheme="minorHAnsi"/>
          <w:color w:val="444444"/>
        </w:rPr>
        <w:t>surface BRF from the Multispectral Instruments o</w:t>
      </w:r>
      <w:r>
        <w:rPr>
          <w:rFonts w:cstheme="minorHAnsi"/>
          <w:color w:val="444444"/>
        </w:rPr>
        <w:t>f either</w:t>
      </w:r>
      <w:r w:rsidR="00335579">
        <w:rPr>
          <w:rFonts w:cstheme="minorHAnsi"/>
          <w:color w:val="444444"/>
        </w:rPr>
        <w:t xml:space="preserve"> t</w:t>
      </w:r>
      <w:r>
        <w:rPr>
          <w:rFonts w:cstheme="minorHAnsi"/>
          <w:color w:val="444444"/>
        </w:rPr>
        <w:t>he Sentinel 2a or</w:t>
      </w:r>
      <w:r w:rsidR="00335579">
        <w:rPr>
          <w:rFonts w:cstheme="minorHAnsi"/>
          <w:color w:val="444444"/>
        </w:rPr>
        <w:t xml:space="preserve"> 2b imagers.</w:t>
      </w:r>
      <w:r>
        <w:rPr>
          <w:rFonts w:cstheme="minorHAnsi"/>
          <w:color w:val="444444"/>
        </w:rPr>
        <w:t xml:space="preserve">  </w:t>
      </w:r>
      <w:r w:rsidR="003B22D1">
        <w:rPr>
          <w:rFonts w:cstheme="minorHAnsi"/>
          <w:color w:val="444444"/>
        </w:rPr>
        <w:t>Each product consists of 15</w:t>
      </w:r>
      <w:r>
        <w:rPr>
          <w:rFonts w:cstheme="minorHAnsi"/>
          <w:color w:val="444444"/>
        </w:rPr>
        <w:t xml:space="preserve"> bands at a spatial resolution of either 10m, 20m or 60m</w:t>
      </w:r>
      <w:r w:rsidR="003B22D1">
        <w:rPr>
          <w:rFonts w:cstheme="minorHAnsi"/>
          <w:color w:val="444444"/>
        </w:rPr>
        <w:t xml:space="preserve"> together with acquisition geometry, a simplified land cover label, and clear sky flags</w:t>
      </w:r>
      <w:r>
        <w:rPr>
          <w:rFonts w:cstheme="minorHAnsi"/>
          <w:color w:val="444444"/>
        </w:rPr>
        <w:t xml:space="preserve">.  </w:t>
      </w:r>
    </w:p>
    <w:p w:rsidR="00A60A87" w:rsidRDefault="00A60A87">
      <w:pPr>
        <w:rPr>
          <w:rFonts w:cstheme="minorHAnsi"/>
          <w:color w:val="444444"/>
        </w:rPr>
      </w:pPr>
      <w:r>
        <w:rPr>
          <w:rFonts w:cstheme="minorHAnsi"/>
          <w:color w:val="444444"/>
        </w:rPr>
        <w:t xml:space="preserve">The radiometric uncertainty is </w:t>
      </w:r>
    </w:p>
    <w:p w:rsidR="00A60A87" w:rsidRDefault="00A60A87">
      <w:pPr>
        <w:rPr>
          <w:rFonts w:cstheme="minorHAnsi"/>
          <w:color w:val="444444"/>
        </w:rPr>
      </w:pPr>
      <w:r>
        <w:rPr>
          <w:rFonts w:cstheme="minorHAnsi"/>
          <w:color w:val="444444"/>
        </w:rPr>
        <w:t xml:space="preserve">The geometry uncertainty is </w:t>
      </w:r>
    </w:p>
    <w:p w:rsidR="009A79D6" w:rsidRDefault="009A79D6" w:rsidP="009A79D6">
      <w:pPr>
        <w:rPr>
          <w:rFonts w:cstheme="minorHAnsi"/>
          <w:color w:val="444444"/>
        </w:rPr>
      </w:pPr>
      <w:r>
        <w:rPr>
          <w:rFonts w:cstheme="minorHAnsi"/>
          <w:color w:val="444444"/>
        </w:rPr>
        <w:t xml:space="preserve">The inputs used for LUT calibration and product retrieval </w:t>
      </w:r>
      <w:proofErr w:type="gramStart"/>
      <w:r>
        <w:rPr>
          <w:rFonts w:cstheme="minorHAnsi"/>
          <w:color w:val="444444"/>
        </w:rPr>
        <w:t>are given</w:t>
      </w:r>
      <w:proofErr w:type="gramEnd"/>
      <w:r>
        <w:rPr>
          <w:rFonts w:cstheme="minorHAnsi"/>
          <w:color w:val="444444"/>
        </w:rPr>
        <w:t xml:space="preserve"> in Table xx.</w:t>
      </w:r>
    </w:p>
    <w:p w:rsidR="003B22D1" w:rsidRDefault="003B22D1">
      <w:pPr>
        <w:rPr>
          <w:rFonts w:cstheme="minorHAnsi"/>
          <w:color w:val="444444"/>
        </w:rPr>
      </w:pPr>
    </w:p>
    <w:p w:rsidR="003B22D1" w:rsidRDefault="003B22D1">
      <w:pPr>
        <w:rPr>
          <w:rFonts w:cstheme="minorHAnsi"/>
          <w:color w:val="444444"/>
        </w:rPr>
      </w:pPr>
      <w:r>
        <w:rPr>
          <w:rFonts w:cstheme="minorHAnsi"/>
          <w:color w:val="444444"/>
        </w:rPr>
        <w:t xml:space="preserve">OLI </w:t>
      </w:r>
    </w:p>
    <w:p w:rsidR="00A60A87" w:rsidRDefault="003B22D1" w:rsidP="003B22D1">
      <w:pPr>
        <w:rPr>
          <w:rFonts w:cstheme="minorHAnsi"/>
          <w:color w:val="444444"/>
        </w:rPr>
      </w:pPr>
      <w:r>
        <w:rPr>
          <w:rFonts w:cstheme="minorHAnsi"/>
          <w:color w:val="444444"/>
        </w:rPr>
        <w:lastRenderedPageBreak/>
        <w:t xml:space="preserve"> OLI is a </w:t>
      </w:r>
      <w:r w:rsidR="00A60A87">
        <w:rPr>
          <w:rFonts w:cstheme="minorHAnsi"/>
          <w:color w:val="444444"/>
        </w:rPr>
        <w:t>L2G</w:t>
      </w:r>
      <w:r>
        <w:rPr>
          <w:rFonts w:cstheme="minorHAnsi"/>
          <w:color w:val="444444"/>
        </w:rPr>
        <w:t xml:space="preserve"> surface BRF from the Landsat 8 Operational Land Imager.  </w:t>
      </w:r>
      <w:r w:rsidR="00A60A87">
        <w:rPr>
          <w:rFonts w:cstheme="minorHAnsi"/>
          <w:color w:val="444444"/>
        </w:rPr>
        <w:t xml:space="preserve">Each product consists of eight 30m bands spanning visible, NIR and SWIR and two 100m thermal infrared bands, </w:t>
      </w:r>
      <w:r>
        <w:rPr>
          <w:rFonts w:cstheme="minorHAnsi"/>
          <w:color w:val="444444"/>
        </w:rPr>
        <w:t xml:space="preserve">together with </w:t>
      </w:r>
      <w:r w:rsidR="00A60A87">
        <w:rPr>
          <w:rFonts w:cstheme="minorHAnsi"/>
          <w:color w:val="444444"/>
        </w:rPr>
        <w:t xml:space="preserve">solar geometry and spacer across track roll angle at the scene </w:t>
      </w:r>
      <w:proofErr w:type="spellStart"/>
      <w:r w:rsidR="00A60A87">
        <w:rPr>
          <w:rFonts w:cstheme="minorHAnsi"/>
          <w:color w:val="444444"/>
        </w:rPr>
        <w:t>centre</w:t>
      </w:r>
      <w:proofErr w:type="spellEnd"/>
      <w:r>
        <w:rPr>
          <w:rFonts w:cstheme="minorHAnsi"/>
          <w:color w:val="444444"/>
        </w:rPr>
        <w:t xml:space="preserve">, a </w:t>
      </w:r>
      <w:r w:rsidR="00A60A87">
        <w:rPr>
          <w:rFonts w:cstheme="minorHAnsi"/>
          <w:color w:val="444444"/>
        </w:rPr>
        <w:t>land/water</w:t>
      </w:r>
      <w:r>
        <w:rPr>
          <w:rFonts w:cstheme="minorHAnsi"/>
          <w:color w:val="444444"/>
        </w:rPr>
        <w:t xml:space="preserve"> label, and clear sky flags.  </w:t>
      </w:r>
    </w:p>
    <w:p w:rsidR="00A60A87" w:rsidRDefault="00A60A87" w:rsidP="00A60A87">
      <w:pPr>
        <w:rPr>
          <w:rFonts w:cstheme="minorHAnsi"/>
          <w:color w:val="444444"/>
        </w:rPr>
      </w:pPr>
      <w:r>
        <w:rPr>
          <w:rFonts w:cstheme="minorHAnsi"/>
          <w:color w:val="444444"/>
        </w:rPr>
        <w:t xml:space="preserve">The radiometric uncertainty is </w:t>
      </w:r>
    </w:p>
    <w:p w:rsidR="00A60A87" w:rsidRDefault="00A60A87" w:rsidP="00A60A87">
      <w:pPr>
        <w:rPr>
          <w:rFonts w:cstheme="minorHAnsi"/>
          <w:color w:val="444444"/>
        </w:rPr>
      </w:pPr>
      <w:r>
        <w:rPr>
          <w:rFonts w:cstheme="minorHAnsi"/>
          <w:color w:val="444444"/>
        </w:rPr>
        <w:t xml:space="preserve">The geometry uncertainty is </w:t>
      </w:r>
    </w:p>
    <w:p w:rsidR="00A60A87" w:rsidRDefault="00A60A87" w:rsidP="003B22D1">
      <w:pPr>
        <w:rPr>
          <w:rFonts w:cstheme="minorHAnsi"/>
          <w:color w:val="444444"/>
        </w:rPr>
      </w:pPr>
    </w:p>
    <w:p w:rsidR="009A79D6" w:rsidRDefault="009A79D6" w:rsidP="009A79D6">
      <w:pPr>
        <w:rPr>
          <w:rFonts w:cstheme="minorHAnsi"/>
          <w:color w:val="444444"/>
        </w:rPr>
      </w:pPr>
      <w:r>
        <w:rPr>
          <w:rFonts w:cstheme="minorHAnsi"/>
          <w:color w:val="444444"/>
        </w:rPr>
        <w:t xml:space="preserve">The inputs used for LUT calibration and product retrieval </w:t>
      </w:r>
      <w:proofErr w:type="gramStart"/>
      <w:r>
        <w:rPr>
          <w:rFonts w:cstheme="minorHAnsi"/>
          <w:color w:val="444444"/>
        </w:rPr>
        <w:t>are given</w:t>
      </w:r>
      <w:proofErr w:type="gramEnd"/>
      <w:r>
        <w:rPr>
          <w:rFonts w:cstheme="minorHAnsi"/>
          <w:color w:val="444444"/>
        </w:rPr>
        <w:t xml:space="preserve"> in Table xx.</w:t>
      </w:r>
    </w:p>
    <w:p w:rsidR="003B22D1" w:rsidRDefault="003B22D1">
      <w:pPr>
        <w:rPr>
          <w:rFonts w:cstheme="minorHAnsi"/>
          <w:color w:val="444444"/>
        </w:rPr>
      </w:pPr>
    </w:p>
    <w:p w:rsidR="00A60A87" w:rsidRDefault="00A60A87" w:rsidP="00A60A87">
      <w:pPr>
        <w:rPr>
          <w:rFonts w:cstheme="minorHAnsi"/>
          <w:color w:val="444444"/>
        </w:rPr>
      </w:pPr>
    </w:p>
    <w:p w:rsidR="00A60A87" w:rsidRDefault="00A60A87" w:rsidP="00A60A87">
      <w:pPr>
        <w:rPr>
          <w:rFonts w:cstheme="minorHAnsi"/>
          <w:color w:val="444444"/>
        </w:rPr>
      </w:pPr>
      <w:r>
        <w:rPr>
          <w:rFonts w:cstheme="minorHAnsi"/>
          <w:color w:val="444444"/>
        </w:rPr>
        <w:t>ETM+</w:t>
      </w:r>
    </w:p>
    <w:p w:rsidR="00A60A87" w:rsidRDefault="00A60A87" w:rsidP="00A60A87">
      <w:pPr>
        <w:rPr>
          <w:rFonts w:cstheme="minorHAnsi"/>
          <w:color w:val="444444"/>
        </w:rPr>
      </w:pPr>
    </w:p>
    <w:p w:rsidR="00A60A87" w:rsidRDefault="00A60A87" w:rsidP="00A60A87">
      <w:pPr>
        <w:rPr>
          <w:rFonts w:cstheme="minorHAnsi"/>
          <w:color w:val="444444"/>
        </w:rPr>
      </w:pPr>
      <w:r>
        <w:rPr>
          <w:rFonts w:cstheme="minorHAnsi"/>
          <w:color w:val="444444"/>
        </w:rPr>
        <w:t xml:space="preserve">ETM+ is a L2G surface BRF from the Landsat 7 Enhanced Thematic Mapper Plus imager.  Each product consists of seven 30m bands spanning visible, NIR and SWIR, one 60m thermal infrared band, together with solar geometry and sensor attitude at the scene </w:t>
      </w:r>
      <w:proofErr w:type="spellStart"/>
      <w:r>
        <w:rPr>
          <w:rFonts w:cstheme="minorHAnsi"/>
          <w:color w:val="444444"/>
        </w:rPr>
        <w:t>centre</w:t>
      </w:r>
      <w:proofErr w:type="spellEnd"/>
      <w:r>
        <w:rPr>
          <w:rFonts w:cstheme="minorHAnsi"/>
          <w:color w:val="444444"/>
        </w:rPr>
        <w:t xml:space="preserve">, a land/water label, and clear sky flags.  Products after May 31, 2003 suffer from a </w:t>
      </w:r>
      <w:proofErr w:type="gramStart"/>
      <w:r>
        <w:rPr>
          <w:rFonts w:cstheme="minorHAnsi"/>
          <w:color w:val="444444"/>
        </w:rPr>
        <w:t>scan line corrector failure artifact</w:t>
      </w:r>
      <w:proofErr w:type="gramEnd"/>
      <w:r>
        <w:rPr>
          <w:rFonts w:cstheme="minorHAnsi"/>
          <w:color w:val="444444"/>
        </w:rPr>
        <w:t xml:space="preserve"> corresponding to missing pixels for alternate scans within each image.</w:t>
      </w:r>
    </w:p>
    <w:p w:rsidR="00873825" w:rsidRDefault="00873825" w:rsidP="00873825">
      <w:pPr>
        <w:rPr>
          <w:rFonts w:cstheme="minorHAnsi"/>
          <w:color w:val="444444"/>
        </w:rPr>
      </w:pPr>
      <w:r>
        <w:rPr>
          <w:rFonts w:cstheme="minorHAnsi"/>
          <w:color w:val="444444"/>
        </w:rPr>
        <w:t xml:space="preserve">The radiometric uncertainty is </w:t>
      </w:r>
    </w:p>
    <w:p w:rsidR="00873825" w:rsidRDefault="00873825" w:rsidP="00873825">
      <w:pPr>
        <w:rPr>
          <w:rFonts w:cstheme="minorHAnsi"/>
          <w:color w:val="444444"/>
        </w:rPr>
      </w:pPr>
      <w:r>
        <w:rPr>
          <w:rFonts w:cstheme="minorHAnsi"/>
          <w:color w:val="444444"/>
        </w:rPr>
        <w:t xml:space="preserve">The geometry uncertainty is </w:t>
      </w:r>
    </w:p>
    <w:p w:rsidR="009A79D6" w:rsidRDefault="009A79D6" w:rsidP="009A79D6">
      <w:pPr>
        <w:rPr>
          <w:rFonts w:cstheme="minorHAnsi"/>
          <w:color w:val="444444"/>
        </w:rPr>
      </w:pPr>
      <w:r>
        <w:rPr>
          <w:rFonts w:cstheme="minorHAnsi"/>
          <w:color w:val="444444"/>
        </w:rPr>
        <w:t xml:space="preserve">The inputs used for LUT calibration and product retrieval </w:t>
      </w:r>
      <w:proofErr w:type="gramStart"/>
      <w:r>
        <w:rPr>
          <w:rFonts w:cstheme="minorHAnsi"/>
          <w:color w:val="444444"/>
        </w:rPr>
        <w:t>are given</w:t>
      </w:r>
      <w:proofErr w:type="gramEnd"/>
      <w:r>
        <w:rPr>
          <w:rFonts w:cstheme="minorHAnsi"/>
          <w:color w:val="444444"/>
        </w:rPr>
        <w:t xml:space="preserve"> in Table xx.</w:t>
      </w:r>
    </w:p>
    <w:p w:rsidR="00A60A87" w:rsidRDefault="00A60A87">
      <w:pPr>
        <w:rPr>
          <w:rFonts w:cstheme="minorHAnsi"/>
          <w:color w:val="444444"/>
        </w:rPr>
      </w:pPr>
    </w:p>
    <w:p w:rsidR="008F0BC9" w:rsidRDefault="008F0BC9">
      <w:pPr>
        <w:rPr>
          <w:rFonts w:cstheme="minorHAnsi"/>
          <w:color w:val="444444"/>
        </w:rPr>
      </w:pPr>
    </w:p>
    <w:p w:rsidR="008F0BC9" w:rsidRDefault="00873825">
      <w:pPr>
        <w:rPr>
          <w:rFonts w:cstheme="minorHAnsi"/>
          <w:color w:val="444444"/>
        </w:rPr>
      </w:pPr>
      <w:r>
        <w:rPr>
          <w:rFonts w:cstheme="minorHAnsi"/>
          <w:color w:val="444444"/>
        </w:rPr>
        <w:t>TM</w:t>
      </w:r>
    </w:p>
    <w:p w:rsidR="00873825" w:rsidRPr="00873825" w:rsidRDefault="00873825">
      <w:pPr>
        <w:rPr>
          <w:rFonts w:cstheme="minorHAnsi"/>
          <w:color w:val="444444"/>
        </w:rPr>
      </w:pPr>
    </w:p>
    <w:p w:rsidR="00873825" w:rsidRDefault="00873825" w:rsidP="00873825">
      <w:pPr>
        <w:rPr>
          <w:rFonts w:cstheme="minorHAnsi"/>
          <w:color w:val="444444"/>
        </w:rPr>
      </w:pPr>
      <w:r w:rsidRPr="00873825">
        <w:rPr>
          <w:rFonts w:cstheme="minorHAnsi"/>
          <w:color w:val="444444"/>
        </w:rPr>
        <w:t xml:space="preserve">ETM+ is a L2G surface BRF from the Landsat 5 Thematic Mapper imager.  Each product consists of </w:t>
      </w:r>
      <w:r>
        <w:rPr>
          <w:rFonts w:cstheme="minorHAnsi"/>
          <w:color w:val="444444"/>
        </w:rPr>
        <w:t xml:space="preserve">six 30m bands spanning visible, NIR and SWIR, one 60m thermal infrared band, together with solar geometry and sensor attitude at the scene </w:t>
      </w:r>
      <w:proofErr w:type="spellStart"/>
      <w:r>
        <w:rPr>
          <w:rFonts w:cstheme="minorHAnsi"/>
          <w:color w:val="444444"/>
        </w:rPr>
        <w:t>centre</w:t>
      </w:r>
      <w:proofErr w:type="spellEnd"/>
      <w:r>
        <w:rPr>
          <w:rFonts w:cstheme="minorHAnsi"/>
          <w:color w:val="444444"/>
        </w:rPr>
        <w:t xml:space="preserve">, a land/water label, and clear sky flags.  </w:t>
      </w:r>
    </w:p>
    <w:p w:rsidR="00873825" w:rsidRDefault="00873825" w:rsidP="00873825">
      <w:pPr>
        <w:rPr>
          <w:rFonts w:cstheme="minorHAnsi"/>
          <w:color w:val="444444"/>
        </w:rPr>
      </w:pPr>
      <w:r>
        <w:rPr>
          <w:rFonts w:cstheme="minorHAnsi"/>
          <w:color w:val="444444"/>
        </w:rPr>
        <w:t xml:space="preserve">The radiometric uncertainty is </w:t>
      </w:r>
    </w:p>
    <w:p w:rsidR="00873825" w:rsidRDefault="00873825" w:rsidP="00873825">
      <w:pPr>
        <w:rPr>
          <w:rFonts w:cstheme="minorHAnsi"/>
          <w:color w:val="444444"/>
        </w:rPr>
      </w:pPr>
      <w:r>
        <w:rPr>
          <w:rFonts w:cstheme="minorHAnsi"/>
          <w:color w:val="444444"/>
        </w:rPr>
        <w:t xml:space="preserve">The geometry uncertainty is </w:t>
      </w:r>
    </w:p>
    <w:p w:rsidR="00873825" w:rsidRDefault="00873825">
      <w:pPr>
        <w:rPr>
          <w:rFonts w:cstheme="minorHAnsi"/>
          <w:color w:val="444444"/>
        </w:rPr>
      </w:pPr>
    </w:p>
    <w:p w:rsidR="009A79D6" w:rsidRDefault="009A79D6" w:rsidP="009A79D6">
      <w:pPr>
        <w:rPr>
          <w:rFonts w:cstheme="minorHAnsi"/>
          <w:color w:val="444444"/>
        </w:rPr>
      </w:pPr>
      <w:r>
        <w:rPr>
          <w:rFonts w:cstheme="minorHAnsi"/>
          <w:color w:val="444444"/>
        </w:rPr>
        <w:t xml:space="preserve">The inputs used for LUT calibration and product retrieval </w:t>
      </w:r>
      <w:proofErr w:type="gramStart"/>
      <w:r>
        <w:rPr>
          <w:rFonts w:cstheme="minorHAnsi"/>
          <w:color w:val="444444"/>
        </w:rPr>
        <w:t>are given</w:t>
      </w:r>
      <w:proofErr w:type="gramEnd"/>
      <w:r>
        <w:rPr>
          <w:rFonts w:cstheme="minorHAnsi"/>
          <w:color w:val="444444"/>
        </w:rPr>
        <w:t xml:space="preserve"> in Table xx.</w:t>
      </w:r>
    </w:p>
    <w:p w:rsidR="00873825" w:rsidRDefault="00873825" w:rsidP="00873825">
      <w:pPr>
        <w:rPr>
          <w:rFonts w:cstheme="minorHAnsi"/>
        </w:rPr>
      </w:pPr>
    </w:p>
    <w:p w:rsidR="00873825" w:rsidRDefault="00873825" w:rsidP="00873825">
      <w:pPr>
        <w:pStyle w:val="Heading2"/>
        <w:rPr>
          <w:rFonts w:eastAsia="Times New Roman"/>
          <w:bCs/>
        </w:rPr>
      </w:pPr>
      <w:r w:rsidRPr="00635084">
        <w:rPr>
          <w:rFonts w:eastAsia="Times New Roman"/>
          <w:bCs/>
        </w:rPr>
        <w:lastRenderedPageBreak/>
        <w:t>MOD44W Terra Land Water Mask Derived From MODIS and SRTM Yearly Global 250m</w:t>
      </w:r>
    </w:p>
    <w:p w:rsidR="00873825" w:rsidRPr="00635084" w:rsidRDefault="00873825" w:rsidP="00873825">
      <w:pPr>
        <w:rPr>
          <w:rFonts w:cstheme="minorHAnsi"/>
        </w:rPr>
      </w:pPr>
    </w:p>
    <w:p w:rsidR="00873825" w:rsidRPr="00635084" w:rsidRDefault="00873825" w:rsidP="00873825">
      <w:pPr>
        <w:rPr>
          <w:rFonts w:cstheme="minorHAnsi"/>
          <w:shd w:val="clear" w:color="auto" w:fill="FFFFFF"/>
        </w:rPr>
      </w:pPr>
      <w:r w:rsidRPr="00635084">
        <w:rPr>
          <w:rFonts w:eastAsia="Times New Roman" w:cstheme="minorHAnsi"/>
          <w:lang w:val="en-CA" w:eastAsia="en-CA"/>
        </w:rPr>
        <w:t xml:space="preserve">This mask corresponds to an annual land or water classification based on a decision tree classified using calibration based on the </w:t>
      </w:r>
      <w:r w:rsidRPr="00635084">
        <w:rPr>
          <w:rFonts w:cstheme="minorHAnsi"/>
          <w:shd w:val="clear" w:color="auto" w:fill="FFFFFF"/>
        </w:rPr>
        <w:t xml:space="preserve">SRTM Water Body Data.  The mask is included in MOD09GQ and used to specify areas not mapped in the 250m LAI and </w:t>
      </w:r>
      <w:proofErr w:type="spellStart"/>
      <w:r w:rsidRPr="00635084">
        <w:rPr>
          <w:rFonts w:cstheme="minorHAnsi"/>
          <w:shd w:val="clear" w:color="auto" w:fill="FFFFFF"/>
        </w:rPr>
        <w:t>fAPAR</w:t>
      </w:r>
      <w:proofErr w:type="spellEnd"/>
      <w:r w:rsidRPr="00635084">
        <w:rPr>
          <w:rFonts w:cstheme="minorHAnsi"/>
          <w:shd w:val="clear" w:color="auto" w:fill="FFFFFF"/>
        </w:rPr>
        <w:t xml:space="preserve"> products.</w:t>
      </w:r>
    </w:p>
    <w:p w:rsidR="00873825" w:rsidRDefault="00873825" w:rsidP="00873825">
      <w:pPr>
        <w:pStyle w:val="Heading2"/>
        <w:rPr>
          <w:rFonts w:asciiTheme="minorHAnsi" w:hAnsiTheme="minorHAnsi"/>
          <w:b/>
          <w:color w:val="000000" w:themeColor="text1"/>
          <w:sz w:val="22"/>
          <w:szCs w:val="22"/>
        </w:rPr>
      </w:pPr>
    </w:p>
    <w:p w:rsidR="00873825" w:rsidRDefault="00873825" w:rsidP="00873825">
      <w:pPr>
        <w:pStyle w:val="Heading2"/>
      </w:pPr>
      <w:r>
        <w:t xml:space="preserve">250m Resolution Biome Type </w:t>
      </w:r>
    </w:p>
    <w:p w:rsidR="00873825" w:rsidRPr="00635084" w:rsidRDefault="00873825" w:rsidP="00873825"/>
    <w:p w:rsidR="00873825" w:rsidRPr="00635084" w:rsidRDefault="00873825" w:rsidP="00873825">
      <w:pPr>
        <w:rPr>
          <w:rFonts w:cstheme="majorBidi"/>
          <w:color w:val="2E74B5" w:themeColor="accent1" w:themeShade="BF"/>
        </w:rPr>
      </w:pPr>
      <w:r w:rsidRPr="00635084">
        <w:rPr>
          <w:color w:val="000000" w:themeColor="text1"/>
        </w:rPr>
        <w:t xml:space="preserve">Three land cover products </w:t>
      </w:r>
      <w:proofErr w:type="gramStart"/>
      <w:r w:rsidRPr="00635084">
        <w:rPr>
          <w:color w:val="000000" w:themeColor="text1"/>
        </w:rPr>
        <w:t>were used</w:t>
      </w:r>
      <w:proofErr w:type="gramEnd"/>
      <w:r w:rsidRPr="00635084">
        <w:rPr>
          <w:color w:val="000000" w:themeColor="text1"/>
        </w:rPr>
        <w:t xml:space="preserve"> to specify the biome type for 250m LAI and </w:t>
      </w:r>
      <w:proofErr w:type="spellStart"/>
      <w:r w:rsidRPr="00635084">
        <w:rPr>
          <w:color w:val="000000" w:themeColor="text1"/>
        </w:rPr>
        <w:t>fAPAR</w:t>
      </w:r>
      <w:proofErr w:type="spellEnd"/>
      <w:r w:rsidRPr="00635084">
        <w:rPr>
          <w:color w:val="000000" w:themeColor="text1"/>
        </w:rPr>
        <w:t xml:space="preserve"> products using </w:t>
      </w:r>
      <w:r w:rsidRPr="00635084">
        <w:rPr>
          <w:rFonts w:cstheme="minorHAnsi"/>
        </w:rPr>
        <w:t>legend conversions (</w:t>
      </w:r>
      <w:r w:rsidRPr="00635084">
        <w:rPr>
          <w:rFonts w:cstheme="minorHAnsi"/>
        </w:rPr>
        <w:fldChar w:fldCharType="begin"/>
      </w:r>
      <w:r w:rsidRPr="00635084">
        <w:rPr>
          <w:rFonts w:cstheme="minorHAnsi"/>
        </w:rPr>
        <w:instrText xml:space="preserve"> REF _Ref81913758 \h </w:instrText>
      </w:r>
      <w:r w:rsidRPr="00635084">
        <w:rPr>
          <w:rFonts w:cstheme="minorHAnsi"/>
        </w:rPr>
      </w:r>
      <w:r w:rsidRPr="00635084">
        <w:rPr>
          <w:rFonts w:cstheme="minorHAnsi"/>
        </w:rPr>
        <w:instrText xml:space="preserve"> \* MERGEFORMAT </w:instrText>
      </w:r>
      <w:r w:rsidRPr="00635084">
        <w:rPr>
          <w:rFonts w:cstheme="minorHAnsi"/>
        </w:rPr>
        <w:fldChar w:fldCharType="separate"/>
      </w:r>
      <w:r w:rsidRPr="00635084">
        <w:rPr>
          <w:rFonts w:cstheme="minorHAnsi"/>
        </w:rPr>
        <w:t xml:space="preserve">Table </w:t>
      </w:r>
      <w:r w:rsidRPr="00635084">
        <w:rPr>
          <w:rFonts w:cstheme="minorHAnsi"/>
          <w:noProof/>
        </w:rPr>
        <w:t>9</w:t>
      </w:r>
      <w:r w:rsidRPr="00635084">
        <w:rPr>
          <w:rFonts w:cstheme="minorHAnsi"/>
        </w:rPr>
        <w:fldChar w:fldCharType="end"/>
      </w:r>
      <w:r w:rsidRPr="00635084">
        <w:rPr>
          <w:rFonts w:cstheme="minorHAnsi"/>
        </w:rPr>
        <w:t>)</w:t>
      </w:r>
    </w:p>
    <w:p w:rsidR="00873825" w:rsidRDefault="00873825" w:rsidP="00873825">
      <w:bookmarkStart w:id="7" w:name="_Ref81913758"/>
      <w:r>
        <w:t xml:space="preserve">Table </w:t>
      </w:r>
      <w:r>
        <w:fldChar w:fldCharType="begin"/>
      </w:r>
      <w:r>
        <w:instrText xml:space="preserve"> SEQ Table \* ARABIC </w:instrText>
      </w:r>
      <w:r>
        <w:fldChar w:fldCharType="separate"/>
      </w:r>
      <w:r>
        <w:rPr>
          <w:noProof/>
        </w:rPr>
        <w:t>9</w:t>
      </w:r>
      <w:r>
        <w:fldChar w:fldCharType="end"/>
      </w:r>
      <w:bookmarkEnd w:id="7"/>
      <w:r>
        <w:t xml:space="preserve">.  Legend conversion between available land cover products and MODIS </w:t>
      </w:r>
      <w:proofErr w:type="spellStart"/>
      <w:r>
        <w:t>bomes</w:t>
      </w:r>
      <w:proofErr w:type="spellEnd"/>
      <w:r>
        <w:t>.</w:t>
      </w:r>
    </w:p>
    <w:tbl>
      <w:tblPr>
        <w:tblStyle w:val="TableGrid"/>
        <w:tblW w:w="0" w:type="auto"/>
        <w:tblLook w:val="04A0" w:firstRow="1" w:lastRow="0" w:firstColumn="1" w:lastColumn="0" w:noHBand="0" w:noVBand="1"/>
      </w:tblPr>
      <w:tblGrid>
        <w:gridCol w:w="2566"/>
        <w:gridCol w:w="2170"/>
        <w:gridCol w:w="2307"/>
        <w:gridCol w:w="2307"/>
      </w:tblGrid>
      <w:tr w:rsidR="00873825" w:rsidRPr="00635084" w:rsidTr="00873825">
        <w:tc>
          <w:tcPr>
            <w:tcW w:w="2566" w:type="dxa"/>
          </w:tcPr>
          <w:p w:rsidR="00873825" w:rsidRPr="00635084" w:rsidRDefault="00873825" w:rsidP="00873825">
            <w:pPr>
              <w:rPr>
                <w:rFonts w:cstheme="minorHAnsi"/>
                <w:b/>
                <w:sz w:val="20"/>
                <w:szCs w:val="20"/>
                <w:lang w:val="en-CA"/>
              </w:rPr>
            </w:pPr>
            <w:r w:rsidRPr="00635084">
              <w:rPr>
                <w:rFonts w:cstheme="minorHAnsi"/>
                <w:b/>
                <w:sz w:val="20"/>
                <w:szCs w:val="20"/>
                <w:lang w:val="en-CA"/>
              </w:rPr>
              <w:t>Biome</w:t>
            </w:r>
          </w:p>
        </w:tc>
        <w:tc>
          <w:tcPr>
            <w:tcW w:w="6784" w:type="dxa"/>
            <w:gridSpan w:val="3"/>
          </w:tcPr>
          <w:p w:rsidR="00873825" w:rsidRPr="00635084" w:rsidRDefault="00873825" w:rsidP="00873825">
            <w:pPr>
              <w:rPr>
                <w:rFonts w:cstheme="minorHAnsi"/>
                <w:b/>
                <w:sz w:val="20"/>
                <w:szCs w:val="20"/>
                <w:lang w:val="en-CA"/>
              </w:rPr>
            </w:pPr>
            <w:r>
              <w:rPr>
                <w:rFonts w:cstheme="minorHAnsi"/>
                <w:b/>
                <w:sz w:val="20"/>
                <w:szCs w:val="20"/>
                <w:lang w:val="en-CA"/>
              </w:rPr>
              <w:t>Input Land Cover Legend Classes</w:t>
            </w:r>
          </w:p>
        </w:tc>
      </w:tr>
      <w:tr w:rsidR="00873825" w:rsidRPr="00635084" w:rsidTr="00873825">
        <w:tc>
          <w:tcPr>
            <w:tcW w:w="2566" w:type="dxa"/>
          </w:tcPr>
          <w:p w:rsidR="00873825" w:rsidRPr="00635084" w:rsidRDefault="00873825" w:rsidP="00873825">
            <w:pPr>
              <w:rPr>
                <w:rFonts w:cstheme="minorHAnsi"/>
                <w:b/>
                <w:sz w:val="20"/>
                <w:szCs w:val="20"/>
                <w:lang w:val="en-CA"/>
              </w:rPr>
            </w:pPr>
          </w:p>
        </w:tc>
        <w:tc>
          <w:tcPr>
            <w:tcW w:w="2170" w:type="dxa"/>
          </w:tcPr>
          <w:p w:rsidR="00873825" w:rsidRPr="00635084" w:rsidRDefault="00873825" w:rsidP="00873825">
            <w:pPr>
              <w:rPr>
                <w:rFonts w:cstheme="minorHAnsi"/>
                <w:b/>
                <w:sz w:val="20"/>
                <w:szCs w:val="20"/>
                <w:lang w:val="en-CA"/>
              </w:rPr>
            </w:pPr>
            <w:r>
              <w:rPr>
                <w:rFonts w:cstheme="minorHAnsi"/>
                <w:b/>
                <w:sz w:val="20"/>
                <w:szCs w:val="20"/>
                <w:lang w:val="en-CA"/>
              </w:rPr>
              <w:t>NALCMS</w:t>
            </w:r>
          </w:p>
        </w:tc>
        <w:tc>
          <w:tcPr>
            <w:tcW w:w="2307" w:type="dxa"/>
          </w:tcPr>
          <w:p w:rsidR="00873825" w:rsidRPr="00635084" w:rsidRDefault="00873825" w:rsidP="00873825">
            <w:pPr>
              <w:rPr>
                <w:rFonts w:cstheme="minorHAnsi"/>
                <w:b/>
                <w:sz w:val="20"/>
                <w:szCs w:val="20"/>
                <w:lang w:val="en-CA"/>
              </w:rPr>
            </w:pPr>
            <w:r>
              <w:rPr>
                <w:rFonts w:cstheme="minorHAnsi"/>
                <w:b/>
                <w:sz w:val="20"/>
                <w:szCs w:val="20"/>
                <w:lang w:val="en-CA"/>
              </w:rPr>
              <w:t>CORINE</w:t>
            </w:r>
          </w:p>
        </w:tc>
        <w:tc>
          <w:tcPr>
            <w:tcW w:w="2307" w:type="dxa"/>
          </w:tcPr>
          <w:p w:rsidR="00873825" w:rsidRPr="00635084" w:rsidRDefault="00873825" w:rsidP="00873825">
            <w:pPr>
              <w:rPr>
                <w:rFonts w:cstheme="minorHAnsi"/>
                <w:b/>
                <w:sz w:val="20"/>
                <w:szCs w:val="20"/>
                <w:lang w:val="en-CA"/>
              </w:rPr>
            </w:pPr>
            <w:r>
              <w:rPr>
                <w:rFonts w:cstheme="minorHAnsi"/>
                <w:b/>
                <w:sz w:val="20"/>
                <w:szCs w:val="20"/>
                <w:lang w:val="en-CA"/>
              </w:rPr>
              <w:t>CGLS</w:t>
            </w:r>
          </w:p>
        </w:tc>
      </w:tr>
      <w:tr w:rsidR="00873825" w:rsidRPr="00635084" w:rsidTr="00873825">
        <w:tc>
          <w:tcPr>
            <w:tcW w:w="2566" w:type="dxa"/>
          </w:tcPr>
          <w:p w:rsidR="00873825" w:rsidRPr="00635084" w:rsidRDefault="00873825" w:rsidP="00873825">
            <w:pPr>
              <w:rPr>
                <w:rFonts w:cstheme="minorHAnsi"/>
                <w:sz w:val="20"/>
                <w:szCs w:val="20"/>
                <w:lang w:val="en-CA"/>
              </w:rPr>
            </w:pPr>
            <w:r w:rsidRPr="00635084">
              <w:rPr>
                <w:rFonts w:cstheme="minorHAnsi"/>
                <w:sz w:val="20"/>
                <w:szCs w:val="20"/>
                <w:lang w:val="en-CA"/>
              </w:rPr>
              <w:t>Grasses/Cereal crops</w:t>
            </w:r>
          </w:p>
        </w:tc>
        <w:tc>
          <w:tcPr>
            <w:tcW w:w="2170"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r>
      <w:tr w:rsidR="00873825" w:rsidRPr="00635084" w:rsidTr="00873825">
        <w:tc>
          <w:tcPr>
            <w:tcW w:w="2566" w:type="dxa"/>
          </w:tcPr>
          <w:p w:rsidR="00873825" w:rsidRPr="00635084" w:rsidRDefault="00873825" w:rsidP="00873825">
            <w:pPr>
              <w:rPr>
                <w:rFonts w:cstheme="minorHAnsi"/>
                <w:sz w:val="20"/>
                <w:szCs w:val="20"/>
                <w:lang w:val="en-CA"/>
              </w:rPr>
            </w:pPr>
            <w:r w:rsidRPr="00635084">
              <w:rPr>
                <w:rFonts w:cstheme="minorHAnsi"/>
                <w:sz w:val="20"/>
                <w:szCs w:val="20"/>
                <w:lang w:val="en-CA"/>
              </w:rPr>
              <w:t>Shrubs</w:t>
            </w:r>
          </w:p>
        </w:tc>
        <w:tc>
          <w:tcPr>
            <w:tcW w:w="2170"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r>
      <w:tr w:rsidR="00873825" w:rsidRPr="00635084" w:rsidTr="00873825">
        <w:tc>
          <w:tcPr>
            <w:tcW w:w="2566" w:type="dxa"/>
          </w:tcPr>
          <w:p w:rsidR="00873825" w:rsidRPr="00635084" w:rsidRDefault="00873825" w:rsidP="00873825">
            <w:pPr>
              <w:rPr>
                <w:rFonts w:cstheme="minorHAnsi"/>
                <w:sz w:val="20"/>
                <w:szCs w:val="20"/>
                <w:lang w:val="en-CA"/>
              </w:rPr>
            </w:pPr>
            <w:r w:rsidRPr="00635084">
              <w:rPr>
                <w:rFonts w:cstheme="minorHAnsi"/>
                <w:sz w:val="20"/>
                <w:szCs w:val="20"/>
                <w:lang w:val="en-CA"/>
              </w:rPr>
              <w:t>Broadleaf crops</w:t>
            </w:r>
          </w:p>
        </w:tc>
        <w:tc>
          <w:tcPr>
            <w:tcW w:w="2170"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r>
      <w:tr w:rsidR="00873825" w:rsidRPr="00635084" w:rsidTr="00873825">
        <w:tc>
          <w:tcPr>
            <w:tcW w:w="2566" w:type="dxa"/>
          </w:tcPr>
          <w:p w:rsidR="00873825" w:rsidRPr="00635084" w:rsidRDefault="00873825" w:rsidP="00873825">
            <w:pPr>
              <w:rPr>
                <w:rFonts w:cstheme="minorHAnsi"/>
                <w:sz w:val="20"/>
                <w:szCs w:val="20"/>
                <w:lang w:val="en-CA"/>
              </w:rPr>
            </w:pPr>
            <w:proofErr w:type="spellStart"/>
            <w:r w:rsidRPr="00635084">
              <w:rPr>
                <w:rFonts w:cstheme="minorHAnsi"/>
                <w:sz w:val="20"/>
                <w:szCs w:val="20"/>
                <w:lang w:val="en-CA"/>
              </w:rPr>
              <w:t>Savanna</w:t>
            </w:r>
            <w:proofErr w:type="spellEnd"/>
          </w:p>
        </w:tc>
        <w:tc>
          <w:tcPr>
            <w:tcW w:w="2170"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r>
      <w:tr w:rsidR="00873825" w:rsidRPr="00635084" w:rsidTr="00873825">
        <w:tc>
          <w:tcPr>
            <w:tcW w:w="2566" w:type="dxa"/>
          </w:tcPr>
          <w:p w:rsidR="00873825" w:rsidRPr="00635084" w:rsidRDefault="00873825" w:rsidP="00873825">
            <w:pPr>
              <w:rPr>
                <w:rFonts w:cstheme="minorHAnsi"/>
                <w:sz w:val="20"/>
                <w:szCs w:val="20"/>
                <w:lang w:val="en-CA"/>
              </w:rPr>
            </w:pPr>
            <w:r w:rsidRPr="00635084">
              <w:rPr>
                <w:rFonts w:cstheme="minorHAnsi"/>
                <w:sz w:val="20"/>
                <w:szCs w:val="20"/>
                <w:lang w:val="en-CA"/>
              </w:rPr>
              <w:t>Evergreen Broadleaf forest</w:t>
            </w:r>
          </w:p>
        </w:tc>
        <w:tc>
          <w:tcPr>
            <w:tcW w:w="2170"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r>
      <w:tr w:rsidR="00873825" w:rsidRPr="00635084" w:rsidTr="00873825">
        <w:tc>
          <w:tcPr>
            <w:tcW w:w="2566" w:type="dxa"/>
          </w:tcPr>
          <w:p w:rsidR="00873825" w:rsidRPr="00635084" w:rsidRDefault="00873825" w:rsidP="00873825">
            <w:pPr>
              <w:rPr>
                <w:rFonts w:cstheme="minorHAnsi"/>
                <w:sz w:val="20"/>
                <w:szCs w:val="20"/>
                <w:lang w:val="en-CA"/>
              </w:rPr>
            </w:pPr>
            <w:r w:rsidRPr="00635084">
              <w:rPr>
                <w:rFonts w:cstheme="minorHAnsi"/>
                <w:sz w:val="20"/>
                <w:szCs w:val="20"/>
                <w:lang w:val="en-CA"/>
              </w:rPr>
              <w:t>Deciduous Broadleaf forest</w:t>
            </w:r>
          </w:p>
        </w:tc>
        <w:tc>
          <w:tcPr>
            <w:tcW w:w="2170"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r>
      <w:tr w:rsidR="00873825" w:rsidRPr="00635084" w:rsidTr="00873825">
        <w:tc>
          <w:tcPr>
            <w:tcW w:w="2566" w:type="dxa"/>
          </w:tcPr>
          <w:p w:rsidR="00873825" w:rsidRPr="00635084" w:rsidRDefault="00873825" w:rsidP="00873825">
            <w:pPr>
              <w:rPr>
                <w:rFonts w:cstheme="minorHAnsi"/>
                <w:sz w:val="20"/>
                <w:szCs w:val="20"/>
                <w:lang w:val="en-CA"/>
              </w:rPr>
            </w:pPr>
            <w:r w:rsidRPr="00635084">
              <w:rPr>
                <w:rFonts w:cstheme="minorHAnsi"/>
                <w:sz w:val="20"/>
                <w:szCs w:val="20"/>
                <w:lang w:val="en-CA"/>
              </w:rPr>
              <w:t xml:space="preserve">Evergreen </w:t>
            </w:r>
            <w:proofErr w:type="spellStart"/>
            <w:r w:rsidRPr="00635084">
              <w:rPr>
                <w:rFonts w:cstheme="minorHAnsi"/>
                <w:sz w:val="20"/>
                <w:szCs w:val="20"/>
                <w:lang w:val="en-CA"/>
              </w:rPr>
              <w:t>Needleleaf</w:t>
            </w:r>
            <w:proofErr w:type="spellEnd"/>
            <w:r w:rsidRPr="00635084">
              <w:rPr>
                <w:rFonts w:cstheme="minorHAnsi"/>
                <w:sz w:val="20"/>
                <w:szCs w:val="20"/>
                <w:lang w:val="en-CA"/>
              </w:rPr>
              <w:t xml:space="preserve"> forest</w:t>
            </w:r>
          </w:p>
        </w:tc>
        <w:tc>
          <w:tcPr>
            <w:tcW w:w="2170"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r>
      <w:tr w:rsidR="00873825" w:rsidRPr="00635084" w:rsidTr="00873825">
        <w:tc>
          <w:tcPr>
            <w:tcW w:w="2566" w:type="dxa"/>
          </w:tcPr>
          <w:p w:rsidR="00873825" w:rsidRPr="00635084" w:rsidRDefault="00873825" w:rsidP="00873825">
            <w:pPr>
              <w:rPr>
                <w:rFonts w:cstheme="minorHAnsi"/>
                <w:sz w:val="20"/>
                <w:szCs w:val="20"/>
                <w:lang w:val="en-CA"/>
              </w:rPr>
            </w:pPr>
            <w:r w:rsidRPr="00635084">
              <w:rPr>
                <w:rFonts w:cstheme="minorHAnsi"/>
                <w:sz w:val="20"/>
                <w:szCs w:val="20"/>
                <w:lang w:val="en-CA"/>
              </w:rPr>
              <w:t xml:space="preserve">Deciduous </w:t>
            </w:r>
            <w:proofErr w:type="spellStart"/>
            <w:r w:rsidRPr="00635084">
              <w:rPr>
                <w:rFonts w:cstheme="minorHAnsi"/>
                <w:sz w:val="20"/>
                <w:szCs w:val="20"/>
                <w:lang w:val="en-CA"/>
              </w:rPr>
              <w:t>Needleleaf</w:t>
            </w:r>
            <w:proofErr w:type="spellEnd"/>
            <w:r w:rsidRPr="00635084">
              <w:rPr>
                <w:rFonts w:cstheme="minorHAnsi"/>
                <w:sz w:val="20"/>
                <w:szCs w:val="20"/>
                <w:lang w:val="en-CA"/>
              </w:rPr>
              <w:t xml:space="preserve"> forest </w:t>
            </w:r>
          </w:p>
        </w:tc>
        <w:tc>
          <w:tcPr>
            <w:tcW w:w="2170"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c>
          <w:tcPr>
            <w:tcW w:w="2307" w:type="dxa"/>
          </w:tcPr>
          <w:p w:rsidR="00873825" w:rsidRPr="00635084" w:rsidRDefault="00873825" w:rsidP="00873825">
            <w:pPr>
              <w:rPr>
                <w:rFonts w:cstheme="minorHAnsi"/>
                <w:sz w:val="20"/>
                <w:szCs w:val="20"/>
                <w:lang w:val="en-CA"/>
              </w:rPr>
            </w:pPr>
          </w:p>
        </w:tc>
      </w:tr>
    </w:tbl>
    <w:p w:rsidR="00873825" w:rsidRPr="00635084" w:rsidRDefault="00873825" w:rsidP="00873825">
      <w:pPr>
        <w:rPr>
          <w:color w:val="000000" w:themeColor="text1"/>
        </w:rPr>
      </w:pPr>
    </w:p>
    <w:p w:rsidR="00873825" w:rsidRPr="00635084" w:rsidRDefault="00873825" w:rsidP="00873825">
      <w:pPr>
        <w:pStyle w:val="Heading3"/>
      </w:pPr>
      <w:r w:rsidRPr="00635084">
        <w:t xml:space="preserve">North American Land Change </w:t>
      </w:r>
      <w:proofErr w:type="spellStart"/>
      <w:r w:rsidRPr="00635084">
        <w:t>Monotoring</w:t>
      </w:r>
      <w:proofErr w:type="spellEnd"/>
      <w:r w:rsidRPr="00635084">
        <w:t xml:space="preserve"> System (NALCMS) 30m Land Cover</w:t>
      </w:r>
    </w:p>
    <w:p w:rsidR="00873825" w:rsidRPr="00635084" w:rsidRDefault="00873825" w:rsidP="00873825"/>
    <w:p w:rsidR="00873825" w:rsidRPr="00635084" w:rsidRDefault="00873825" w:rsidP="00873825">
      <w:pPr>
        <w:rPr>
          <w:color w:val="000000" w:themeColor="text1"/>
        </w:rPr>
      </w:pPr>
      <w:r w:rsidRPr="00635084">
        <w:rPr>
          <w:color w:val="000000" w:themeColor="text1"/>
        </w:rPr>
        <w:t xml:space="preserve">The North American Land Cover Monitoring System 30m land cover maps correspond to </w:t>
      </w:r>
      <w:proofErr w:type="spellStart"/>
      <w:r w:rsidRPr="00635084">
        <w:rPr>
          <w:color w:val="000000" w:themeColor="text1"/>
        </w:rPr>
        <w:t>conequitive</w:t>
      </w:r>
      <w:proofErr w:type="spellEnd"/>
      <w:r w:rsidRPr="00635084">
        <w:rPr>
          <w:color w:val="000000" w:themeColor="text1"/>
        </w:rPr>
        <w:t xml:space="preserve"> 5 year intervals from 2000 to 2020.  These maps provide consistent change updating with an overall accuracy of &gt;</w:t>
      </w:r>
      <w:proofErr w:type="gramStart"/>
      <w:r w:rsidRPr="00635084">
        <w:rPr>
          <w:color w:val="000000" w:themeColor="text1"/>
        </w:rPr>
        <w:t>xx%</w:t>
      </w:r>
      <w:proofErr w:type="gramEnd"/>
      <w:r w:rsidRPr="00635084">
        <w:rPr>
          <w:color w:val="000000" w:themeColor="text1"/>
        </w:rPr>
        <w:t xml:space="preserve"> for the simplified legend used to map MODIS biome types</w:t>
      </w:r>
      <w:r w:rsidRPr="00635084">
        <w:rPr>
          <w:rFonts w:cstheme="minorHAnsi"/>
          <w:color w:val="000000" w:themeColor="text1"/>
        </w:rPr>
        <w:t xml:space="preserve"> (</w:t>
      </w:r>
      <w:r w:rsidRPr="00635084">
        <w:rPr>
          <w:rFonts w:cstheme="minorHAnsi"/>
          <w:color w:val="000000" w:themeColor="text1"/>
        </w:rPr>
        <w:fldChar w:fldCharType="begin"/>
      </w:r>
      <w:r w:rsidRPr="00635084">
        <w:rPr>
          <w:rFonts w:cstheme="minorHAnsi"/>
          <w:color w:val="000000" w:themeColor="text1"/>
        </w:rPr>
        <w:instrText xml:space="preserve"> REF _Ref81913758 \h </w:instrText>
      </w:r>
      <w:r w:rsidRPr="00635084">
        <w:rPr>
          <w:rFonts w:cstheme="minorHAnsi"/>
          <w:color w:val="000000" w:themeColor="text1"/>
        </w:rPr>
      </w:r>
      <w:r w:rsidRPr="00635084">
        <w:rPr>
          <w:rFonts w:cstheme="minorHAnsi"/>
          <w:color w:val="000000" w:themeColor="text1"/>
        </w:rPr>
        <w:instrText xml:space="preserve"> \* MERGEFORMAT </w:instrText>
      </w:r>
      <w:r w:rsidRPr="00635084">
        <w:rPr>
          <w:rFonts w:cstheme="minorHAnsi"/>
          <w:color w:val="000000" w:themeColor="text1"/>
        </w:rPr>
        <w:fldChar w:fldCharType="separate"/>
      </w:r>
      <w:r w:rsidRPr="00635084">
        <w:rPr>
          <w:rFonts w:cstheme="minorHAnsi"/>
        </w:rPr>
        <w:t xml:space="preserve">Table </w:t>
      </w:r>
      <w:r w:rsidRPr="00635084">
        <w:rPr>
          <w:rFonts w:cstheme="minorHAnsi"/>
          <w:noProof/>
        </w:rPr>
        <w:t>8</w:t>
      </w:r>
      <w:r w:rsidRPr="00635084">
        <w:rPr>
          <w:rFonts w:cstheme="minorHAnsi"/>
          <w:color w:val="000000" w:themeColor="text1"/>
        </w:rPr>
        <w:fldChar w:fldCharType="end"/>
      </w:r>
      <w:r w:rsidRPr="00635084">
        <w:rPr>
          <w:rFonts w:cstheme="minorHAnsi"/>
          <w:color w:val="000000" w:themeColor="text1"/>
        </w:rPr>
        <w:t>).</w:t>
      </w:r>
      <w:r w:rsidRPr="00635084">
        <w:rPr>
          <w:color w:val="000000" w:themeColor="text1"/>
        </w:rPr>
        <w:t xml:space="preserve">  </w:t>
      </w:r>
    </w:p>
    <w:p w:rsidR="00873825" w:rsidRPr="00635084" w:rsidRDefault="00873825" w:rsidP="00873825">
      <w:pPr>
        <w:rPr>
          <w:color w:val="000000" w:themeColor="text1"/>
        </w:rPr>
      </w:pPr>
    </w:p>
    <w:p w:rsidR="00873825" w:rsidRPr="00635084" w:rsidRDefault="00873825" w:rsidP="00873825">
      <w:pPr>
        <w:pStyle w:val="Heading3"/>
      </w:pPr>
      <w:proofErr w:type="spellStart"/>
      <w:r w:rsidRPr="00635084">
        <w:t>Corine</w:t>
      </w:r>
      <w:proofErr w:type="spellEnd"/>
      <w:r w:rsidRPr="00635084">
        <w:t xml:space="preserve"> Land Cover</w:t>
      </w:r>
    </w:p>
    <w:p w:rsidR="00873825" w:rsidRPr="00635084" w:rsidRDefault="00873825" w:rsidP="00873825"/>
    <w:p w:rsidR="00873825" w:rsidRPr="00635084" w:rsidRDefault="00873825" w:rsidP="00873825">
      <w:pPr>
        <w:rPr>
          <w:color w:val="000000" w:themeColor="text1"/>
        </w:rPr>
      </w:pPr>
      <w:r w:rsidRPr="00635084">
        <w:rPr>
          <w:color w:val="000000" w:themeColor="text1"/>
        </w:rPr>
        <w:t xml:space="preserve">The </w:t>
      </w:r>
      <w:proofErr w:type="spellStart"/>
      <w:r w:rsidRPr="00635084">
        <w:rPr>
          <w:color w:val="000000" w:themeColor="text1"/>
        </w:rPr>
        <w:t>Corine</w:t>
      </w:r>
      <w:proofErr w:type="spellEnd"/>
      <w:r w:rsidRPr="00635084">
        <w:rPr>
          <w:color w:val="000000" w:themeColor="text1"/>
        </w:rPr>
        <w:t xml:space="preserve"> 100m land cover corresponds to 6 year intervals from 2000 to </w:t>
      </w:r>
      <w:proofErr w:type="gramStart"/>
      <w:r w:rsidRPr="00635084">
        <w:rPr>
          <w:color w:val="000000" w:themeColor="text1"/>
        </w:rPr>
        <w:t>present  for</w:t>
      </w:r>
      <w:proofErr w:type="gramEnd"/>
      <w:r w:rsidRPr="00635084">
        <w:rPr>
          <w:color w:val="000000" w:themeColor="text1"/>
        </w:rPr>
        <w:t xml:space="preserve"> Europe .  These maps provide consistent change updating with an overall accuracy of &gt;</w:t>
      </w:r>
      <w:proofErr w:type="gramStart"/>
      <w:r w:rsidRPr="00635084">
        <w:rPr>
          <w:color w:val="000000" w:themeColor="text1"/>
        </w:rPr>
        <w:t>xx%</w:t>
      </w:r>
      <w:proofErr w:type="gramEnd"/>
      <w:r w:rsidRPr="00635084">
        <w:rPr>
          <w:color w:val="000000" w:themeColor="text1"/>
        </w:rPr>
        <w:t xml:space="preserve"> for the simplified legend used to map MODIS biome types</w:t>
      </w:r>
      <w:r w:rsidRPr="00635084">
        <w:rPr>
          <w:rFonts w:cstheme="minorHAnsi"/>
          <w:color w:val="000000" w:themeColor="text1"/>
        </w:rPr>
        <w:t xml:space="preserve"> (</w:t>
      </w:r>
      <w:r w:rsidRPr="00635084">
        <w:rPr>
          <w:rFonts w:cstheme="minorHAnsi"/>
          <w:color w:val="000000" w:themeColor="text1"/>
        </w:rPr>
        <w:fldChar w:fldCharType="begin"/>
      </w:r>
      <w:r w:rsidRPr="00635084">
        <w:rPr>
          <w:rFonts w:cstheme="minorHAnsi"/>
          <w:color w:val="000000" w:themeColor="text1"/>
        </w:rPr>
        <w:instrText xml:space="preserve"> REF _Ref81913758 \h </w:instrText>
      </w:r>
      <w:r w:rsidRPr="00635084">
        <w:rPr>
          <w:rFonts w:cstheme="minorHAnsi"/>
          <w:color w:val="000000" w:themeColor="text1"/>
        </w:rPr>
      </w:r>
      <w:r w:rsidRPr="00635084">
        <w:rPr>
          <w:rFonts w:cstheme="minorHAnsi"/>
          <w:color w:val="000000" w:themeColor="text1"/>
        </w:rPr>
        <w:instrText xml:space="preserve"> \* MERGEFORMAT </w:instrText>
      </w:r>
      <w:r w:rsidRPr="00635084">
        <w:rPr>
          <w:rFonts w:cstheme="minorHAnsi"/>
          <w:color w:val="000000" w:themeColor="text1"/>
        </w:rPr>
        <w:fldChar w:fldCharType="separate"/>
      </w:r>
      <w:r w:rsidRPr="00635084">
        <w:rPr>
          <w:rFonts w:cstheme="minorHAnsi"/>
        </w:rPr>
        <w:t xml:space="preserve">Table </w:t>
      </w:r>
      <w:r w:rsidRPr="00635084">
        <w:rPr>
          <w:rFonts w:cstheme="minorHAnsi"/>
          <w:noProof/>
        </w:rPr>
        <w:t>8</w:t>
      </w:r>
      <w:r w:rsidRPr="00635084">
        <w:rPr>
          <w:rFonts w:cstheme="minorHAnsi"/>
          <w:color w:val="000000" w:themeColor="text1"/>
        </w:rPr>
        <w:fldChar w:fldCharType="end"/>
      </w:r>
      <w:r w:rsidRPr="00635084">
        <w:rPr>
          <w:rFonts w:cstheme="minorHAnsi"/>
          <w:color w:val="000000" w:themeColor="text1"/>
        </w:rPr>
        <w:t>).</w:t>
      </w:r>
      <w:r w:rsidRPr="00635084">
        <w:rPr>
          <w:color w:val="000000" w:themeColor="text1"/>
        </w:rPr>
        <w:t xml:space="preserve">  </w:t>
      </w:r>
    </w:p>
    <w:p w:rsidR="00873825" w:rsidRPr="00635084" w:rsidRDefault="00873825" w:rsidP="00873825">
      <w:pPr>
        <w:rPr>
          <w:color w:val="000000" w:themeColor="text1"/>
        </w:rPr>
      </w:pPr>
    </w:p>
    <w:p w:rsidR="00873825" w:rsidRPr="00635084" w:rsidRDefault="00873825" w:rsidP="00873825">
      <w:pPr>
        <w:pStyle w:val="Heading3"/>
      </w:pPr>
      <w:r w:rsidRPr="00635084">
        <w:t>Copernicus Global Land Service (CGLS) Land Cover</w:t>
      </w:r>
    </w:p>
    <w:p w:rsidR="00873825" w:rsidRPr="00635084" w:rsidRDefault="00873825" w:rsidP="00873825"/>
    <w:p w:rsidR="00873825" w:rsidRPr="00635084" w:rsidRDefault="00873825" w:rsidP="00873825">
      <w:pPr>
        <w:rPr>
          <w:color w:val="000000" w:themeColor="text1"/>
        </w:rPr>
      </w:pPr>
      <w:r w:rsidRPr="00635084">
        <w:rPr>
          <w:color w:val="000000" w:themeColor="text1"/>
        </w:rPr>
        <w:t>The CGLS 100m land cover corresponds to a circa 2016-2020 global land cover.  The map has an accuracy of &lt;</w:t>
      </w:r>
      <w:proofErr w:type="gramStart"/>
      <w:r w:rsidRPr="00635084">
        <w:rPr>
          <w:color w:val="000000" w:themeColor="text1"/>
        </w:rPr>
        <w:t>xx%</w:t>
      </w:r>
      <w:proofErr w:type="gramEnd"/>
      <w:r w:rsidRPr="00635084">
        <w:rPr>
          <w:color w:val="000000" w:themeColor="text1"/>
        </w:rPr>
        <w:t xml:space="preserve"> for the simplified </w:t>
      </w:r>
      <w:proofErr w:type="spellStart"/>
      <w:r w:rsidRPr="00635084">
        <w:rPr>
          <w:color w:val="000000" w:themeColor="text1"/>
        </w:rPr>
        <w:t>leged</w:t>
      </w:r>
      <w:proofErr w:type="spellEnd"/>
      <w:r w:rsidRPr="00635084">
        <w:rPr>
          <w:color w:val="000000" w:themeColor="text1"/>
        </w:rPr>
        <w:t xml:space="preserve"> used to map MODIS biome </w:t>
      </w:r>
      <w:r w:rsidRPr="00635084">
        <w:rPr>
          <w:rFonts w:cstheme="minorHAnsi"/>
          <w:color w:val="000000" w:themeColor="text1"/>
        </w:rPr>
        <w:t>types (</w:t>
      </w:r>
      <w:r w:rsidRPr="00635084">
        <w:rPr>
          <w:rFonts w:cstheme="minorHAnsi"/>
          <w:color w:val="000000" w:themeColor="text1"/>
        </w:rPr>
        <w:fldChar w:fldCharType="begin"/>
      </w:r>
      <w:r w:rsidRPr="00635084">
        <w:rPr>
          <w:rFonts w:cstheme="minorHAnsi"/>
          <w:color w:val="000000" w:themeColor="text1"/>
        </w:rPr>
        <w:instrText xml:space="preserve"> REF _Ref81913758 \h </w:instrText>
      </w:r>
      <w:r w:rsidRPr="00635084">
        <w:rPr>
          <w:rFonts w:cstheme="minorHAnsi"/>
          <w:color w:val="000000" w:themeColor="text1"/>
        </w:rPr>
      </w:r>
      <w:r w:rsidRPr="00635084">
        <w:rPr>
          <w:rFonts w:cstheme="minorHAnsi"/>
          <w:color w:val="000000" w:themeColor="text1"/>
        </w:rPr>
        <w:instrText xml:space="preserve"> \* MERGEFORMAT </w:instrText>
      </w:r>
      <w:r w:rsidRPr="00635084">
        <w:rPr>
          <w:rFonts w:cstheme="minorHAnsi"/>
          <w:color w:val="000000" w:themeColor="text1"/>
        </w:rPr>
        <w:fldChar w:fldCharType="separate"/>
      </w:r>
      <w:r w:rsidRPr="00635084">
        <w:rPr>
          <w:rFonts w:cstheme="minorHAnsi"/>
        </w:rPr>
        <w:t xml:space="preserve">Table </w:t>
      </w:r>
      <w:r w:rsidRPr="00635084">
        <w:rPr>
          <w:rFonts w:cstheme="minorHAnsi"/>
          <w:noProof/>
        </w:rPr>
        <w:t>8</w:t>
      </w:r>
      <w:r w:rsidRPr="00635084">
        <w:rPr>
          <w:rFonts w:cstheme="minorHAnsi"/>
          <w:color w:val="000000" w:themeColor="text1"/>
        </w:rPr>
        <w:fldChar w:fldCharType="end"/>
      </w:r>
      <w:r w:rsidRPr="00635084">
        <w:rPr>
          <w:rFonts w:cstheme="minorHAnsi"/>
          <w:color w:val="000000" w:themeColor="text1"/>
        </w:rPr>
        <w:t>).</w:t>
      </w:r>
      <w:r w:rsidRPr="00635084">
        <w:rPr>
          <w:color w:val="000000" w:themeColor="text1"/>
        </w:rPr>
        <w:t xml:space="preserve">  The map is not </w:t>
      </w:r>
      <w:r w:rsidRPr="00635084">
        <w:rPr>
          <w:color w:val="000000" w:themeColor="text1"/>
        </w:rPr>
        <w:lastRenderedPageBreak/>
        <w:t>optimal for retrievals outside this period but there is no other consistent land cover with all MODIS biomes at &lt;=250m resolution outside of North America and Europe available on GEE at present.</w:t>
      </w:r>
    </w:p>
    <w:p w:rsidR="00873825" w:rsidRPr="00635084" w:rsidRDefault="00873825" w:rsidP="00873825">
      <w:pPr>
        <w:rPr>
          <w:lang w:val="en-CA"/>
        </w:rPr>
      </w:pPr>
    </w:p>
    <w:p w:rsidR="00735AD8" w:rsidRDefault="00735AD8">
      <w:pPr>
        <w:rPr>
          <w:lang w:val="en-CA"/>
        </w:rPr>
      </w:pPr>
    </w:p>
    <w:p w:rsidR="00735AD8" w:rsidRDefault="00735AD8">
      <w:pPr>
        <w:rPr>
          <w:lang w:val="en-CA"/>
        </w:rPr>
      </w:pPr>
    </w:p>
    <w:p w:rsidR="00735AD8" w:rsidRDefault="00735AD8">
      <w:pPr>
        <w:rPr>
          <w:lang w:val="en-CA"/>
        </w:rPr>
      </w:pPr>
    </w:p>
    <w:p w:rsidR="00735AD8" w:rsidRDefault="00735AD8">
      <w:pPr>
        <w:rPr>
          <w:lang w:val="en-CA"/>
        </w:rPr>
      </w:pPr>
    </w:p>
    <w:p w:rsidR="00F2212B" w:rsidRDefault="009A79D6">
      <w:pPr>
        <w:rPr>
          <w:lang w:val="en-CA"/>
        </w:rPr>
      </w:pPr>
      <w:r>
        <w:rPr>
          <w:lang w:val="en-CA"/>
        </w:rPr>
        <w:t>Methods</w:t>
      </w:r>
    </w:p>
    <w:p w:rsidR="009A79D6" w:rsidRDefault="009A79D6">
      <w:pPr>
        <w:rPr>
          <w:lang w:val="en-CA"/>
        </w:rPr>
      </w:pPr>
    </w:p>
    <w:p w:rsidR="00684237" w:rsidRDefault="00684237">
      <w:pPr>
        <w:rPr>
          <w:lang w:val="en-CA"/>
        </w:rPr>
      </w:pPr>
      <w:r>
        <w:rPr>
          <w:lang w:val="en-CA"/>
        </w:rPr>
        <w:t>LUT Calibration</w:t>
      </w:r>
    </w:p>
    <w:p w:rsidR="00684237" w:rsidRDefault="00684237">
      <w:pPr>
        <w:rPr>
          <w:lang w:val="en-CA"/>
        </w:rPr>
      </w:pPr>
    </w:p>
    <w:p w:rsidR="00684237" w:rsidRDefault="00684237">
      <w:pPr>
        <w:rPr>
          <w:lang w:val="en-CA"/>
        </w:rPr>
      </w:pPr>
      <w:r>
        <w:rPr>
          <w:lang w:val="en-CA"/>
        </w:rPr>
        <w:t xml:space="preserve">The LUT </w:t>
      </w:r>
      <w:proofErr w:type="gramStart"/>
      <w:r>
        <w:rPr>
          <w:lang w:val="en-CA"/>
        </w:rPr>
        <w:t>was calibrated</w:t>
      </w:r>
      <w:proofErr w:type="gramEnd"/>
      <w:r>
        <w:rPr>
          <w:lang w:val="en-CA"/>
        </w:rPr>
        <w:t xml:space="preserve"> using spatially and temporally matching target sensor inputs (Table xx, Table xx, Table xx or Table xx) and MOD15A1 outputs (Table xx).  </w:t>
      </w:r>
    </w:p>
    <w:p w:rsidR="00684237" w:rsidRDefault="00684237">
      <w:pPr>
        <w:rPr>
          <w:lang w:val="en-CA"/>
        </w:rPr>
      </w:pPr>
    </w:p>
    <w:p w:rsidR="00684237" w:rsidRDefault="00684237">
      <w:pPr>
        <w:rPr>
          <w:lang w:val="en-CA"/>
        </w:rPr>
      </w:pPr>
      <w:r>
        <w:rPr>
          <w:lang w:val="en-CA"/>
        </w:rPr>
        <w:t xml:space="preserve">Matching </w:t>
      </w:r>
      <w:proofErr w:type="gramStart"/>
      <w:r>
        <w:rPr>
          <w:lang w:val="en-CA"/>
        </w:rPr>
        <w:t>was performed</w:t>
      </w:r>
      <w:proofErr w:type="gramEnd"/>
      <w:r>
        <w:rPr>
          <w:lang w:val="en-CA"/>
        </w:rPr>
        <w:t xml:space="preserve"> on a target sensor granule basis since their </w:t>
      </w:r>
      <w:proofErr w:type="spellStart"/>
      <w:r>
        <w:rPr>
          <w:lang w:val="en-CA"/>
        </w:rPr>
        <w:t>revist</w:t>
      </w:r>
      <w:proofErr w:type="spellEnd"/>
      <w:r>
        <w:rPr>
          <w:lang w:val="en-CA"/>
        </w:rPr>
        <w:t xml:space="preserve"> frequency was far less than MOD15A1.  </w:t>
      </w:r>
    </w:p>
    <w:p w:rsidR="00684237" w:rsidRDefault="00684237">
      <w:pPr>
        <w:rPr>
          <w:lang w:val="en-CA"/>
        </w:rPr>
      </w:pPr>
    </w:p>
    <w:p w:rsidR="00684237" w:rsidRDefault="00684237">
      <w:pPr>
        <w:rPr>
          <w:lang w:val="en-CA"/>
        </w:rPr>
      </w:pPr>
      <w:r>
        <w:rPr>
          <w:lang w:val="en-CA"/>
        </w:rPr>
        <w:t xml:space="preserve">The MOD15A1 product containing the granule and the product for prior and following 4d periods </w:t>
      </w:r>
      <w:proofErr w:type="gramStart"/>
      <w:r>
        <w:rPr>
          <w:lang w:val="en-CA"/>
        </w:rPr>
        <w:t>was extracted</w:t>
      </w:r>
      <w:proofErr w:type="gramEnd"/>
      <w:r>
        <w:rPr>
          <w:lang w:val="en-CA"/>
        </w:rPr>
        <w:t xml:space="preserve"> from archive. </w:t>
      </w:r>
    </w:p>
    <w:p w:rsidR="00684237" w:rsidRDefault="00684237">
      <w:pPr>
        <w:rPr>
          <w:lang w:val="en-CA"/>
        </w:rPr>
      </w:pPr>
    </w:p>
    <w:p w:rsidR="00684237" w:rsidRDefault="00684237">
      <w:pPr>
        <w:rPr>
          <w:lang w:val="en-CA"/>
        </w:rPr>
      </w:pPr>
      <w:r>
        <w:rPr>
          <w:lang w:val="en-CA"/>
        </w:rPr>
        <w:t xml:space="preserve">The MOD15A1 product </w:t>
      </w:r>
      <w:proofErr w:type="gramStart"/>
      <w:r>
        <w:rPr>
          <w:lang w:val="en-CA"/>
        </w:rPr>
        <w:t>was masked</w:t>
      </w:r>
      <w:proofErr w:type="gramEnd"/>
      <w:r>
        <w:rPr>
          <w:lang w:val="en-CA"/>
        </w:rPr>
        <w:t xml:space="preserve"> for all pixels where the main RT algorithm was not successful for the three extracted dates.</w:t>
      </w:r>
    </w:p>
    <w:p w:rsidR="00684237" w:rsidRDefault="00684237">
      <w:pPr>
        <w:rPr>
          <w:lang w:val="en-CA"/>
        </w:rPr>
      </w:pPr>
    </w:p>
    <w:p w:rsidR="00333BBB" w:rsidRDefault="00333BBB">
      <w:pPr>
        <w:rPr>
          <w:lang w:val="en-CA"/>
        </w:rPr>
      </w:pPr>
      <w:r>
        <w:rPr>
          <w:lang w:val="en-CA"/>
        </w:rPr>
        <w:t xml:space="preserve">To minimize biome misclassification the MOD15A1 product </w:t>
      </w:r>
      <w:proofErr w:type="gramStart"/>
      <w:r>
        <w:rPr>
          <w:lang w:val="en-CA"/>
        </w:rPr>
        <w:t>was masked</w:t>
      </w:r>
      <w:proofErr w:type="gramEnd"/>
      <w:r>
        <w:rPr>
          <w:lang w:val="en-CA"/>
        </w:rPr>
        <w:t xml:space="preserve"> for all pixels where the biome changed in any one pixel in a 3x3 neighbourhood between the current and </w:t>
      </w:r>
      <w:proofErr w:type="spellStart"/>
      <w:r>
        <w:rPr>
          <w:lang w:val="en-CA"/>
        </w:rPr>
        <w:t>adjanced</w:t>
      </w:r>
      <w:proofErr w:type="spellEnd"/>
      <w:r>
        <w:rPr>
          <w:lang w:val="en-CA"/>
        </w:rPr>
        <w:t xml:space="preserve"> years in the MCD12 product.</w:t>
      </w:r>
    </w:p>
    <w:p w:rsidR="00333BBB" w:rsidRDefault="00333BBB">
      <w:pPr>
        <w:rPr>
          <w:lang w:val="en-CA"/>
        </w:rPr>
      </w:pPr>
    </w:p>
    <w:p w:rsidR="00333BBB" w:rsidRDefault="00333BBB">
      <w:pPr>
        <w:rPr>
          <w:lang w:val="en-CA"/>
        </w:rPr>
      </w:pPr>
      <w:r>
        <w:rPr>
          <w:lang w:val="en-CA"/>
        </w:rPr>
        <w:t xml:space="preserve">Pixels where the MOD15A1 product </w:t>
      </w:r>
      <w:proofErr w:type="gramStart"/>
      <w:r>
        <w:rPr>
          <w:lang w:val="en-CA"/>
        </w:rPr>
        <w:t>was derived</w:t>
      </w:r>
      <w:proofErr w:type="gramEnd"/>
      <w:r>
        <w:rPr>
          <w:lang w:val="en-CA"/>
        </w:rPr>
        <w:t xml:space="preserve"> for the same date as the target sensor were found where possible.  Due to the lack of a pixel specific production time in MOD15A1 this </w:t>
      </w:r>
      <w:proofErr w:type="gramStart"/>
      <w:r>
        <w:rPr>
          <w:lang w:val="en-CA"/>
        </w:rPr>
        <w:t>was performed</w:t>
      </w:r>
      <w:proofErr w:type="gramEnd"/>
      <w:r>
        <w:rPr>
          <w:lang w:val="en-CA"/>
        </w:rPr>
        <w:t xml:space="preserve"> by finding all MOD15A1 terra retrievals with only one corresponding MOD09GQ retrieval in the 4d interval.  This was not exhaustive but at least found pixels where a temporal match </w:t>
      </w:r>
      <w:proofErr w:type="gramStart"/>
      <w:r>
        <w:rPr>
          <w:lang w:val="en-CA"/>
        </w:rPr>
        <w:t>is assumed</w:t>
      </w:r>
      <w:proofErr w:type="gramEnd"/>
      <w:r>
        <w:rPr>
          <w:lang w:val="en-CA"/>
        </w:rPr>
        <w:t>.</w:t>
      </w:r>
    </w:p>
    <w:p w:rsidR="00684237" w:rsidRDefault="00333BBB">
      <w:pPr>
        <w:rPr>
          <w:lang w:val="en-CA"/>
        </w:rPr>
      </w:pPr>
      <w:r>
        <w:rPr>
          <w:lang w:val="en-CA"/>
        </w:rPr>
        <w:lastRenderedPageBreak/>
        <w:t xml:space="preserve">For all other pixels, to </w:t>
      </w:r>
      <w:proofErr w:type="spellStart"/>
      <w:r>
        <w:rPr>
          <w:lang w:val="en-CA"/>
        </w:rPr>
        <w:t>minize</w:t>
      </w:r>
      <w:proofErr w:type="spellEnd"/>
      <w:r>
        <w:rPr>
          <w:lang w:val="en-CA"/>
        </w:rPr>
        <w:t xml:space="preserve"> temporal mismatch, </w:t>
      </w:r>
      <w:r w:rsidR="00684237">
        <w:rPr>
          <w:lang w:val="en-CA"/>
        </w:rPr>
        <w:t xml:space="preserve">the MOD15A1 product was masked </w:t>
      </w:r>
      <w:r>
        <w:rPr>
          <w:lang w:val="en-CA"/>
        </w:rPr>
        <w:t xml:space="preserve">for all </w:t>
      </w:r>
      <w:proofErr w:type="gramStart"/>
      <w:r>
        <w:rPr>
          <w:lang w:val="en-CA"/>
        </w:rPr>
        <w:t>pixels  where</w:t>
      </w:r>
      <w:proofErr w:type="gramEnd"/>
      <w:r>
        <w:rPr>
          <w:lang w:val="en-CA"/>
        </w:rPr>
        <w:t xml:space="preserve"> for any one pixel in a 3x3 neighbourhood where the maximum change in LAI exceeded twice the average standard error of the three retrievals.</w:t>
      </w:r>
    </w:p>
    <w:p w:rsidR="00333BBB" w:rsidRDefault="00333BBB">
      <w:pPr>
        <w:rPr>
          <w:lang w:val="en-CA"/>
        </w:rPr>
      </w:pPr>
    </w:p>
    <w:p w:rsidR="00333BBB" w:rsidRDefault="00333BBB">
      <w:pPr>
        <w:rPr>
          <w:lang w:val="en-CA"/>
        </w:rPr>
      </w:pPr>
      <w:r>
        <w:rPr>
          <w:lang w:val="en-CA"/>
        </w:rPr>
        <w:t xml:space="preserve">A layer indicating valid clear </w:t>
      </w:r>
      <w:proofErr w:type="spellStart"/>
      <w:r>
        <w:rPr>
          <w:lang w:val="en-CA"/>
        </w:rPr>
        <w:t>sku</w:t>
      </w:r>
      <w:proofErr w:type="spellEnd"/>
      <w:r>
        <w:rPr>
          <w:lang w:val="en-CA"/>
        </w:rPr>
        <w:t xml:space="preserve"> target pixels over land was produced and aggregated to all unmasked MOD15A1 pixels using a mean value as an indicator of the percentage valid target input pixels.  MOD15A1 pixels where the 3x3 </w:t>
      </w:r>
      <w:proofErr w:type="spellStart"/>
      <w:r>
        <w:rPr>
          <w:lang w:val="en-CA"/>
        </w:rPr>
        <w:t>neighbihood</w:t>
      </w:r>
      <w:proofErr w:type="spellEnd"/>
      <w:r>
        <w:rPr>
          <w:lang w:val="en-CA"/>
        </w:rPr>
        <w:t xml:space="preserve"> had less than </w:t>
      </w:r>
      <w:proofErr w:type="gramStart"/>
      <w:r>
        <w:rPr>
          <w:lang w:val="en-CA"/>
        </w:rPr>
        <w:t>xx%</w:t>
      </w:r>
      <w:proofErr w:type="gramEnd"/>
      <w:r>
        <w:rPr>
          <w:lang w:val="en-CA"/>
        </w:rPr>
        <w:t xml:space="preserve"> valid target pixels were masked.</w:t>
      </w:r>
    </w:p>
    <w:p w:rsidR="00333BBB" w:rsidRDefault="00333BBB">
      <w:pPr>
        <w:rPr>
          <w:lang w:val="en-CA"/>
        </w:rPr>
      </w:pPr>
    </w:p>
    <w:p w:rsidR="00B13085" w:rsidRDefault="00333BBB">
      <w:pPr>
        <w:rPr>
          <w:lang w:val="en-CA"/>
        </w:rPr>
      </w:pPr>
      <w:r>
        <w:rPr>
          <w:lang w:val="en-CA"/>
        </w:rPr>
        <w:t xml:space="preserve">Inputs from target sensor pixels </w:t>
      </w:r>
      <w:proofErr w:type="gramStart"/>
      <w:r>
        <w:rPr>
          <w:lang w:val="en-CA"/>
        </w:rPr>
        <w:t>were aggregated</w:t>
      </w:r>
      <w:proofErr w:type="gramEnd"/>
      <w:r>
        <w:rPr>
          <w:lang w:val="en-CA"/>
        </w:rPr>
        <w:t xml:space="preserve"> using their mean to matching unmasked MOD15A1 pixels.</w:t>
      </w:r>
      <w:r w:rsidR="00B13085">
        <w:rPr>
          <w:lang w:val="en-CA"/>
        </w:rPr>
        <w:t xml:space="preserve">  </w:t>
      </w:r>
    </w:p>
    <w:p w:rsidR="00B13085" w:rsidRDefault="00B13085">
      <w:pPr>
        <w:rPr>
          <w:lang w:val="en-CA"/>
        </w:rPr>
      </w:pPr>
    </w:p>
    <w:p w:rsidR="00B13085" w:rsidRDefault="00B13085">
      <w:pPr>
        <w:rPr>
          <w:lang w:val="en-CA"/>
        </w:rPr>
      </w:pPr>
      <w:r>
        <w:rPr>
          <w:lang w:val="en-CA"/>
        </w:rPr>
        <w:t xml:space="preserve">For Landsat sensors, the view zenith angle was estimated assuming the sensor track fell along the central axis of the rhomboid defined by the scene corner points in meter coordinates under local UTM projection and that the east and west edges of the rhomboid corresponded to the nominal flat earth scan angle of the sensor (Figure xx).  This approximation may result in errors in areas in topographic relief or near the poles.  The latter are not a concern due to the lack of </w:t>
      </w:r>
      <w:proofErr w:type="spellStart"/>
      <w:r>
        <w:rPr>
          <w:lang w:val="en-CA"/>
        </w:rPr>
        <w:t>vegegation</w:t>
      </w:r>
      <w:proofErr w:type="spellEnd"/>
      <w:r>
        <w:rPr>
          <w:lang w:val="en-CA"/>
        </w:rPr>
        <w:t xml:space="preserve"> but the former could result in some </w:t>
      </w:r>
      <w:proofErr w:type="spellStart"/>
      <w:r>
        <w:rPr>
          <w:lang w:val="en-CA"/>
        </w:rPr>
        <w:t>uncertanities</w:t>
      </w:r>
      <w:proofErr w:type="spellEnd"/>
      <w:r>
        <w:rPr>
          <w:lang w:val="en-CA"/>
        </w:rPr>
        <w:t xml:space="preserve"> in view zenith angle.  The view azimuth angle was not available for Landsat sensors and was defaulted as 90 degrees to ensure it could not be interpreted as a principle plane </w:t>
      </w:r>
      <w:proofErr w:type="gramStart"/>
      <w:r>
        <w:rPr>
          <w:lang w:val="en-CA"/>
        </w:rPr>
        <w:t>observation which</w:t>
      </w:r>
      <w:proofErr w:type="gramEnd"/>
      <w:r>
        <w:rPr>
          <w:lang w:val="en-CA"/>
        </w:rPr>
        <w:t xml:space="preserve"> would be rare for Landsat sensor orbits.</w:t>
      </w:r>
    </w:p>
    <w:p w:rsidR="00B13085" w:rsidRDefault="00B13085">
      <w:pPr>
        <w:rPr>
          <w:lang w:val="en-CA"/>
        </w:rPr>
      </w:pPr>
    </w:p>
    <w:p w:rsidR="00B13085" w:rsidRDefault="00B13085">
      <w:pPr>
        <w:rPr>
          <w:lang w:val="en-CA"/>
        </w:rPr>
      </w:pPr>
      <w:r>
        <w:rPr>
          <w:lang w:val="en-CA"/>
        </w:rPr>
        <w:t xml:space="preserve">For S2 imagers, the mean incidence view azimuth and zenith angle for the Band 4 (red) detectors </w:t>
      </w:r>
      <w:proofErr w:type="gramStart"/>
      <w:r>
        <w:rPr>
          <w:lang w:val="en-CA"/>
        </w:rPr>
        <w:t>was used</w:t>
      </w:r>
      <w:proofErr w:type="gramEnd"/>
      <w:r>
        <w:rPr>
          <w:lang w:val="en-CA"/>
        </w:rPr>
        <w:t xml:space="preserve"> for the granule.  </w:t>
      </w:r>
    </w:p>
    <w:p w:rsidR="00333BBB" w:rsidRDefault="00333BBB">
      <w:pPr>
        <w:rPr>
          <w:lang w:val="en-CA"/>
        </w:rPr>
      </w:pPr>
    </w:p>
    <w:p w:rsidR="00333BBB" w:rsidRDefault="00333BBB">
      <w:pPr>
        <w:rPr>
          <w:lang w:val="en-CA"/>
        </w:rPr>
      </w:pPr>
      <w:bookmarkStart w:id="8" w:name="_GoBack"/>
      <w:r>
        <w:rPr>
          <w:lang w:val="en-CA"/>
        </w:rPr>
        <w:t xml:space="preserve">The 3x3 pixel average of aggregated target inputs and corresponding MOD15A1 outputs were added to </w:t>
      </w:r>
      <w:bookmarkEnd w:id="8"/>
      <w:r>
        <w:rPr>
          <w:lang w:val="en-CA"/>
        </w:rPr>
        <w:t xml:space="preserve">the unsaturated calibration database unless one of the input MOD15A1 outputs were flagged saturated, in which case they were added to the saturated calibration database.  </w:t>
      </w:r>
    </w:p>
    <w:p w:rsidR="00333BBB" w:rsidRDefault="00333BBB">
      <w:pPr>
        <w:rPr>
          <w:lang w:val="en-CA"/>
        </w:rPr>
      </w:pPr>
    </w:p>
    <w:p w:rsidR="00333BBB" w:rsidRDefault="00333BBB">
      <w:pPr>
        <w:rPr>
          <w:lang w:val="en-CA"/>
        </w:rPr>
      </w:pPr>
      <w:r>
        <w:rPr>
          <w:lang w:val="en-CA"/>
        </w:rPr>
        <w:t xml:space="preserve">Each database </w:t>
      </w:r>
      <w:proofErr w:type="gramStart"/>
      <w:r>
        <w:rPr>
          <w:lang w:val="en-CA"/>
        </w:rPr>
        <w:t>was coded</w:t>
      </w:r>
      <w:proofErr w:type="gramEnd"/>
      <w:r>
        <w:rPr>
          <w:lang w:val="en-CA"/>
        </w:rPr>
        <w:t xml:space="preserve"> into a perfect hash table </w:t>
      </w:r>
      <w:r w:rsidR="00B13085">
        <w:rPr>
          <w:lang w:val="en-CA"/>
        </w:rPr>
        <w:t xml:space="preserve">for the relational mapping </w:t>
      </w:r>
      <w:r>
        <w:rPr>
          <w:lang w:val="en-CA"/>
        </w:rPr>
        <w:t xml:space="preserve">using </w:t>
      </w:r>
      <w:r w:rsidR="00B13085">
        <w:rPr>
          <w:lang w:val="en-CA"/>
        </w:rPr>
        <w:t>two decimal digits per input or output as indicated in Table xx and Table xx and the example in Table xx.</w:t>
      </w:r>
    </w:p>
    <w:p w:rsidR="00B13085" w:rsidRDefault="00B13085">
      <w:pPr>
        <w:rPr>
          <w:lang w:val="en-CA"/>
        </w:rPr>
      </w:pPr>
    </w:p>
    <w:p w:rsidR="00B13085" w:rsidRDefault="00B13085">
      <w:pPr>
        <w:rPr>
          <w:lang w:val="en-CA"/>
        </w:rPr>
      </w:pPr>
      <w:r>
        <w:rPr>
          <w:lang w:val="en-CA"/>
        </w:rPr>
        <w:t xml:space="preserve">A second hash table for a functional mapping was derived from the relational hash table but summarizing the median LAI or </w:t>
      </w:r>
      <w:proofErr w:type="spellStart"/>
      <w:r>
        <w:rPr>
          <w:lang w:val="en-CA"/>
        </w:rPr>
        <w:t>fAPAR</w:t>
      </w:r>
      <w:proofErr w:type="spellEnd"/>
      <w:r>
        <w:rPr>
          <w:lang w:val="en-CA"/>
        </w:rPr>
        <w:t xml:space="preserve"> for unique input codes together with a new standard error corresponding to the Euclidean sum of the mean standard error of duplicates and the standard deviation of the duplicates.  A second table with the standard deviation of the duplicates following the same order as the entries of the functional hash table was produced to provide a diagnostic for the increase </w:t>
      </w:r>
      <w:proofErr w:type="gramStart"/>
      <w:r>
        <w:rPr>
          <w:lang w:val="en-CA"/>
        </w:rPr>
        <w:t>in  uncertainty</w:t>
      </w:r>
      <w:proofErr w:type="gramEnd"/>
      <w:r>
        <w:rPr>
          <w:lang w:val="en-CA"/>
        </w:rPr>
        <w:t xml:space="preserve"> due to the transfer learning process.</w:t>
      </w:r>
    </w:p>
    <w:p w:rsidR="00B13085" w:rsidRDefault="00B13085">
      <w:pPr>
        <w:rPr>
          <w:lang w:val="en-CA"/>
        </w:rPr>
      </w:pPr>
    </w:p>
    <w:p w:rsidR="00B13085" w:rsidRDefault="00B13085">
      <w:pPr>
        <w:rPr>
          <w:lang w:val="en-CA"/>
        </w:rPr>
      </w:pPr>
    </w:p>
    <w:p w:rsidR="00B13085" w:rsidRDefault="00B13085">
      <w:pPr>
        <w:rPr>
          <w:lang w:val="en-CA"/>
        </w:rPr>
      </w:pPr>
    </w:p>
    <w:p w:rsidR="00684237" w:rsidRDefault="00684237">
      <w:pPr>
        <w:rPr>
          <w:lang w:val="en-CA"/>
        </w:rPr>
      </w:pPr>
    </w:p>
    <w:p w:rsidR="00684237" w:rsidRDefault="00684237">
      <w:pPr>
        <w:rPr>
          <w:lang w:val="en-CA"/>
        </w:rPr>
      </w:pPr>
    </w:p>
    <w:p w:rsidR="00F2212B" w:rsidRDefault="00F2212B">
      <w:pPr>
        <w:rPr>
          <w:lang w:val="en-CA"/>
        </w:rPr>
      </w:pPr>
    </w:p>
    <w:p w:rsidR="00F9301A" w:rsidRDefault="00B671D9">
      <w:pPr>
        <w:rPr>
          <w:lang w:val="en-CA"/>
        </w:rPr>
      </w:pPr>
      <w:r>
        <w:rPr>
          <w:lang w:val="en-CA"/>
        </w:rPr>
        <w:t>Results</w:t>
      </w:r>
    </w:p>
    <w:p w:rsidR="00DF147A" w:rsidRDefault="00DF147A">
      <w:pPr>
        <w:rPr>
          <w:lang w:val="en-CA"/>
        </w:rPr>
      </w:pPr>
    </w:p>
    <w:p w:rsidR="00DF147A" w:rsidRDefault="00B671D9">
      <w:pPr>
        <w:rPr>
          <w:lang w:val="en-CA"/>
        </w:rPr>
      </w:pPr>
      <w:r>
        <w:rPr>
          <w:lang w:val="en-CA"/>
        </w:rPr>
        <w:t>Discussion</w:t>
      </w:r>
    </w:p>
    <w:p w:rsidR="00DF147A" w:rsidRDefault="00DF147A">
      <w:pPr>
        <w:rPr>
          <w:lang w:val="en-CA"/>
        </w:rPr>
      </w:pPr>
    </w:p>
    <w:p w:rsidR="00BC7389" w:rsidRDefault="00BC7389">
      <w:pPr>
        <w:rPr>
          <w:lang w:val="en-CA"/>
        </w:rPr>
      </w:pPr>
    </w:p>
    <w:p w:rsidR="00B671D9" w:rsidRDefault="00B671D9">
      <w:pPr>
        <w:rPr>
          <w:lang w:val="en-CA"/>
        </w:rPr>
      </w:pPr>
      <w:r>
        <w:rPr>
          <w:lang w:val="en-CA"/>
        </w:rPr>
        <w:t>Conclusions</w:t>
      </w:r>
    </w:p>
    <w:p w:rsidR="00B671D9" w:rsidRPr="00B671D9" w:rsidRDefault="00B671D9" w:rsidP="00B671D9">
      <w:pPr>
        <w:rPr>
          <w:lang w:val="en-CA"/>
        </w:rPr>
      </w:pPr>
    </w:p>
    <w:p w:rsidR="00B671D9" w:rsidRPr="00B671D9" w:rsidRDefault="00B671D9" w:rsidP="00B671D9">
      <w:pPr>
        <w:rPr>
          <w:lang w:val="en-CA"/>
        </w:rPr>
      </w:pPr>
      <w:r>
        <w:rPr>
          <w:lang w:val="en-CA"/>
        </w:rPr>
        <w:t>References</w:t>
      </w:r>
    </w:p>
    <w:p w:rsidR="00B671D9" w:rsidRPr="00B671D9" w:rsidRDefault="00B671D9" w:rsidP="00B671D9">
      <w:pPr>
        <w:rPr>
          <w:lang w:val="en-CA"/>
        </w:rPr>
      </w:pPr>
    </w:p>
    <w:p w:rsidR="00B671D9" w:rsidRDefault="00B671D9" w:rsidP="00B671D9">
      <w:pPr>
        <w:rPr>
          <w:lang w:val="en-CA"/>
        </w:rPr>
      </w:pPr>
    </w:p>
    <w:p w:rsidR="00B671D9" w:rsidRDefault="00B671D9" w:rsidP="00B671D9">
      <w:pPr>
        <w:rPr>
          <w:rFonts w:cstheme="minorHAnsi"/>
          <w:lang w:val="en-CA"/>
        </w:rPr>
      </w:pPr>
      <w:r>
        <w:rPr>
          <w:rFonts w:cstheme="minorHAnsi"/>
          <w:lang w:val="en-CA"/>
        </w:rPr>
        <w:t xml:space="preserve">U.S.  </w:t>
      </w:r>
      <w:proofErr w:type="spellStart"/>
      <w:r>
        <w:rPr>
          <w:rFonts w:cstheme="minorHAnsi"/>
          <w:lang w:val="en-CA"/>
        </w:rPr>
        <w:t>Geologogical</w:t>
      </w:r>
      <w:proofErr w:type="spellEnd"/>
      <w:r>
        <w:rPr>
          <w:rFonts w:cstheme="minorHAnsi"/>
          <w:lang w:val="en-CA"/>
        </w:rPr>
        <w:t xml:space="preserve"> Survey, 2013.  Landsat – A global imaging mission.  U.S. Department of the Interior, Fact Sheet 2012-3072, </w:t>
      </w:r>
      <w:r w:rsidRPr="00D5270F">
        <w:rPr>
          <w:rFonts w:cstheme="minorHAnsi"/>
          <w:lang w:val="en-CA"/>
        </w:rPr>
        <w:t>https://pubs.usgs.gov/fs/2012/3072/fs2012-3072.pdf</w:t>
      </w:r>
      <w:r>
        <w:rPr>
          <w:rFonts w:cstheme="minorHAnsi"/>
          <w:lang w:val="en-CA"/>
        </w:rPr>
        <w:t xml:space="preserve"> accessed on September 7, 2021.</w:t>
      </w:r>
    </w:p>
    <w:p w:rsidR="00B671D9" w:rsidRPr="00D5270F" w:rsidRDefault="00B671D9" w:rsidP="00B671D9">
      <w:pPr>
        <w:rPr>
          <w:rFonts w:cstheme="minorHAnsi"/>
          <w:color w:val="0563C1" w:themeColor="hyperlink"/>
          <w:u w:val="single"/>
          <w:lang w:val="en-CA"/>
        </w:rPr>
      </w:pPr>
    </w:p>
    <w:p w:rsidR="00B671D9" w:rsidRPr="00D5270F" w:rsidRDefault="00B671D9" w:rsidP="00B671D9">
      <w:pPr>
        <w:rPr>
          <w:rFonts w:ascii="MetaSerifOT-Book" w:hAnsi="MetaSerifOT-Book" w:cs="MetaSerifOT-Book"/>
          <w:sz w:val="19"/>
          <w:szCs w:val="19"/>
          <w:lang w:val="en-CA"/>
        </w:rPr>
      </w:pPr>
      <w:r>
        <w:rPr>
          <w:rFonts w:cstheme="minorHAnsi"/>
          <w:lang w:val="en-CA"/>
        </w:rPr>
        <w:t xml:space="preserve">European Space Agency, 2012.  </w:t>
      </w:r>
      <w:r>
        <w:rPr>
          <w:rFonts w:ascii="MetaSerifOT-BookIta" w:hAnsi="MetaSerifOT-BookIta" w:cs="MetaSerifOT-BookIta"/>
          <w:sz w:val="19"/>
          <w:szCs w:val="19"/>
          <w:lang w:val="en-CA"/>
        </w:rPr>
        <w:t xml:space="preserve">Sentinel-2: ESA’s Optical High-Resolution Mission for GMES Operational Services, Editor </w:t>
      </w:r>
      <w:proofErr w:type="spellStart"/>
      <w:r>
        <w:rPr>
          <w:rFonts w:ascii="MetaSerifOT-BookIta" w:hAnsi="MetaSerifOT-BookIta" w:cs="MetaSerifOT-BookIta"/>
          <w:sz w:val="19"/>
          <w:szCs w:val="19"/>
          <w:lang w:val="en-CA"/>
        </w:rPr>
        <w:t>K.Fletcher</w:t>
      </w:r>
      <w:proofErr w:type="spellEnd"/>
      <w:r>
        <w:rPr>
          <w:rFonts w:ascii="MetaSerifOT-BookIta" w:hAnsi="MetaSerifOT-BookIta" w:cs="MetaSerifOT-BookIta"/>
          <w:sz w:val="19"/>
          <w:szCs w:val="19"/>
          <w:lang w:val="en-CA"/>
        </w:rPr>
        <w:t xml:space="preserve">, </w:t>
      </w:r>
      <w:r>
        <w:rPr>
          <w:rFonts w:ascii="MetaSerifOT-Book" w:hAnsi="MetaSerifOT-Book" w:cs="MetaSerifOT-Book"/>
          <w:sz w:val="19"/>
          <w:szCs w:val="19"/>
          <w:lang w:val="en-CA"/>
        </w:rPr>
        <w:t xml:space="preserve">ESA SP-1322/2, </w:t>
      </w:r>
      <w:r w:rsidRPr="00D5270F">
        <w:rPr>
          <w:rFonts w:ascii="MetaSerifOT-Book" w:hAnsi="MetaSerifOT-Book" w:cs="MetaSerifOT-Book"/>
          <w:sz w:val="19"/>
          <w:szCs w:val="19"/>
          <w:lang w:val="en-CA"/>
        </w:rPr>
        <w:t>https://sentinel.esa.int/document</w:t>
      </w:r>
      <w:r>
        <w:rPr>
          <w:rFonts w:ascii="MetaSerifOT-Book" w:hAnsi="MetaSerifOT-Book" w:cs="MetaSerifOT-Book"/>
          <w:sz w:val="19"/>
          <w:szCs w:val="19"/>
          <w:lang w:val="en-CA"/>
        </w:rPr>
        <w:t>s/247904/349490/S2_SP-1322_2.pdf</w:t>
      </w:r>
      <w:r>
        <w:rPr>
          <w:rFonts w:cstheme="minorHAnsi"/>
          <w:lang w:val="en-CA"/>
        </w:rPr>
        <w:t xml:space="preserve"> accessed on September 7, 2021.</w:t>
      </w:r>
    </w:p>
    <w:p w:rsidR="00B671D9" w:rsidRPr="00D957CD" w:rsidRDefault="00B671D9" w:rsidP="00B671D9">
      <w:pPr>
        <w:autoSpaceDE w:val="0"/>
        <w:autoSpaceDN w:val="0"/>
        <w:adjustRightInd w:val="0"/>
        <w:spacing w:after="0" w:line="240" w:lineRule="auto"/>
        <w:rPr>
          <w:rFonts w:cs="MetaSerifOT-Book"/>
          <w:lang w:val="en-CA"/>
        </w:rPr>
      </w:pPr>
    </w:p>
    <w:p w:rsidR="00B671D9" w:rsidRPr="00D957CD" w:rsidRDefault="00B671D9" w:rsidP="00B671D9">
      <w:pPr>
        <w:rPr>
          <w:rFonts w:cstheme="minorHAnsi"/>
          <w:lang w:val="en-CA"/>
        </w:rPr>
      </w:pPr>
      <w:proofErr w:type="spellStart"/>
      <w:r w:rsidRPr="00D957CD">
        <w:rPr>
          <w:rFonts w:cstheme="minorHAnsi"/>
          <w:shd w:val="clear" w:color="auto" w:fill="FFFFFF"/>
        </w:rPr>
        <w:t>Myneni</w:t>
      </w:r>
      <w:proofErr w:type="spellEnd"/>
      <w:r w:rsidRPr="00D957CD">
        <w:rPr>
          <w:rFonts w:cstheme="minorHAnsi"/>
          <w:shd w:val="clear" w:color="auto" w:fill="FFFFFF"/>
        </w:rPr>
        <w:t xml:space="preserve">, R., </w:t>
      </w:r>
      <w:proofErr w:type="spellStart"/>
      <w:r w:rsidRPr="00D957CD">
        <w:rPr>
          <w:rFonts w:cstheme="minorHAnsi"/>
          <w:shd w:val="clear" w:color="auto" w:fill="FFFFFF"/>
        </w:rPr>
        <w:t>Knyazikhin</w:t>
      </w:r>
      <w:proofErr w:type="spellEnd"/>
      <w:r w:rsidRPr="00D957CD">
        <w:rPr>
          <w:rFonts w:cstheme="minorHAnsi"/>
          <w:shd w:val="clear" w:color="auto" w:fill="FFFFFF"/>
        </w:rPr>
        <w:t>, Y., Park, T., 2021. </w:t>
      </w:r>
      <w:r w:rsidRPr="00D957CD">
        <w:rPr>
          <w:rFonts w:cstheme="minorHAnsi"/>
          <w:iCs/>
          <w:shd w:val="clear" w:color="auto" w:fill="FFFFFF"/>
        </w:rPr>
        <w:t>MODIS/</w:t>
      </w:r>
      <w:proofErr w:type="spellStart"/>
      <w:r w:rsidRPr="00D957CD">
        <w:rPr>
          <w:rFonts w:cstheme="minorHAnsi"/>
          <w:iCs/>
          <w:shd w:val="clear" w:color="auto" w:fill="FFFFFF"/>
        </w:rPr>
        <w:t>Terra+Aqua</w:t>
      </w:r>
      <w:proofErr w:type="spellEnd"/>
      <w:r w:rsidRPr="00D957CD">
        <w:rPr>
          <w:rFonts w:cstheme="minorHAnsi"/>
          <w:iCs/>
          <w:shd w:val="clear" w:color="auto" w:fill="FFFFFF"/>
        </w:rPr>
        <w:t xml:space="preserve"> Leaf Area Index/FPAR 4-Day L4 Global 500m SIN Grid V061</w:t>
      </w:r>
      <w:r w:rsidRPr="00D957CD">
        <w:rPr>
          <w:rFonts w:cstheme="minorHAnsi"/>
          <w:shd w:val="clear" w:color="auto" w:fill="FFFFFF"/>
        </w:rPr>
        <w:t> [Data set]. NASA EOSDIS Land Processes DAAC. Accessed 2021-09-09 from https://doi.org/10.5067/MODIS/MCD15A3H.061</w:t>
      </w:r>
    </w:p>
    <w:p w:rsidR="00B671D9" w:rsidRPr="00D957CD" w:rsidRDefault="00B671D9" w:rsidP="00B671D9">
      <w:pPr>
        <w:autoSpaceDE w:val="0"/>
        <w:autoSpaceDN w:val="0"/>
        <w:adjustRightInd w:val="0"/>
        <w:spacing w:after="0" w:line="240" w:lineRule="auto"/>
        <w:rPr>
          <w:rFonts w:cs="MetaSerifOT-Book"/>
          <w:lang w:val="en-CA"/>
        </w:rPr>
      </w:pPr>
    </w:p>
    <w:p w:rsidR="00B671D9" w:rsidRPr="00D957CD" w:rsidRDefault="00B671D9" w:rsidP="00B671D9">
      <w:pPr>
        <w:autoSpaceDE w:val="0"/>
        <w:autoSpaceDN w:val="0"/>
        <w:adjustRightInd w:val="0"/>
        <w:spacing w:after="0" w:line="240" w:lineRule="auto"/>
        <w:rPr>
          <w:rFonts w:cs="TimesNewRomanPSMT"/>
          <w:lang w:val="en-CA"/>
        </w:rPr>
      </w:pPr>
      <w:proofErr w:type="spellStart"/>
      <w:r w:rsidRPr="00D957CD">
        <w:rPr>
          <w:rFonts w:cs="TimesNewRomanPSMT"/>
          <w:lang w:val="en-CA"/>
        </w:rPr>
        <w:t>Ganguly</w:t>
      </w:r>
      <w:proofErr w:type="spellEnd"/>
      <w:r w:rsidRPr="00D957CD">
        <w:rPr>
          <w:rFonts w:cs="TimesNewRomanPSMT"/>
          <w:lang w:val="en-CA"/>
        </w:rPr>
        <w:t xml:space="preserve">, S., </w:t>
      </w:r>
      <w:proofErr w:type="spellStart"/>
      <w:r w:rsidRPr="00D957CD">
        <w:rPr>
          <w:rFonts w:cs="TimesNewRomanPSMT"/>
          <w:lang w:val="en-CA"/>
        </w:rPr>
        <w:t>Samanta</w:t>
      </w:r>
      <w:proofErr w:type="spellEnd"/>
      <w:r w:rsidRPr="00D957CD">
        <w:rPr>
          <w:rFonts w:cs="TimesNewRomanPSMT"/>
          <w:lang w:val="en-CA"/>
        </w:rPr>
        <w:t xml:space="preserve">, A., Schull, M.A., </w:t>
      </w:r>
      <w:proofErr w:type="spellStart"/>
      <w:r w:rsidRPr="00D957CD">
        <w:rPr>
          <w:rFonts w:cs="TimesNewRomanPSMT"/>
          <w:lang w:val="en-CA"/>
        </w:rPr>
        <w:t>Shabanov</w:t>
      </w:r>
      <w:proofErr w:type="spellEnd"/>
      <w:r w:rsidRPr="00D957CD">
        <w:rPr>
          <w:rFonts w:cs="TimesNewRomanPSMT"/>
          <w:lang w:val="en-CA"/>
        </w:rPr>
        <w:t xml:space="preserve">, N.V., </w:t>
      </w:r>
      <w:proofErr w:type="spellStart"/>
      <w:r w:rsidRPr="00D957CD">
        <w:rPr>
          <w:rFonts w:cs="TimesNewRomanPSMT"/>
          <w:lang w:val="en-CA"/>
        </w:rPr>
        <w:t>Milesi</w:t>
      </w:r>
      <w:proofErr w:type="spellEnd"/>
      <w:r w:rsidRPr="00D957CD">
        <w:rPr>
          <w:rFonts w:cs="TimesNewRomanPSMT"/>
          <w:lang w:val="en-CA"/>
        </w:rPr>
        <w:t xml:space="preserve">, C., </w:t>
      </w:r>
      <w:proofErr w:type="spellStart"/>
      <w:r w:rsidRPr="00D957CD">
        <w:rPr>
          <w:rFonts w:cs="TimesNewRomanPSMT"/>
          <w:lang w:val="en-CA"/>
        </w:rPr>
        <w:t>Nemani</w:t>
      </w:r>
      <w:proofErr w:type="spellEnd"/>
      <w:r w:rsidRPr="00D957CD">
        <w:rPr>
          <w:rFonts w:cs="TimesNewRomanPSMT"/>
          <w:lang w:val="en-CA"/>
        </w:rPr>
        <w:t xml:space="preserve">, R.R., </w:t>
      </w:r>
      <w:proofErr w:type="spellStart"/>
      <w:r w:rsidRPr="00D957CD">
        <w:rPr>
          <w:rFonts w:cs="TimesNewRomanPSMT"/>
          <w:lang w:val="en-CA"/>
        </w:rPr>
        <w:t>Knyazikhin</w:t>
      </w:r>
      <w:proofErr w:type="spellEnd"/>
      <w:r w:rsidRPr="00D957CD">
        <w:rPr>
          <w:rFonts w:cs="TimesNewRomanPSMT"/>
          <w:lang w:val="en-CA"/>
        </w:rPr>
        <w:t>,</w:t>
      </w:r>
    </w:p>
    <w:p w:rsidR="00B671D9" w:rsidRPr="00D957CD" w:rsidRDefault="00B671D9" w:rsidP="00B671D9">
      <w:pPr>
        <w:autoSpaceDE w:val="0"/>
        <w:autoSpaceDN w:val="0"/>
        <w:adjustRightInd w:val="0"/>
        <w:spacing w:after="0" w:line="240" w:lineRule="auto"/>
        <w:rPr>
          <w:rFonts w:cs="TimesNewRomanPSMT"/>
          <w:lang w:val="en-CA"/>
        </w:rPr>
      </w:pPr>
      <w:r w:rsidRPr="00D957CD">
        <w:rPr>
          <w:rFonts w:cs="TimesNewRomanPSMT"/>
          <w:lang w:val="en-CA"/>
        </w:rPr>
        <w:t xml:space="preserve">Y. and </w:t>
      </w:r>
      <w:proofErr w:type="spellStart"/>
      <w:r w:rsidRPr="00D957CD">
        <w:rPr>
          <w:rFonts w:cs="TimesNewRomanPSMT"/>
          <w:lang w:val="en-CA"/>
        </w:rPr>
        <w:t>Myneni</w:t>
      </w:r>
      <w:proofErr w:type="spellEnd"/>
      <w:r w:rsidRPr="00D957CD">
        <w:rPr>
          <w:rFonts w:cs="TimesNewRomanPSMT"/>
          <w:lang w:val="en-CA"/>
        </w:rPr>
        <w:t>, R.B., 2008b. Generating vegetation leaf area index Earth system data record</w:t>
      </w:r>
    </w:p>
    <w:p w:rsidR="00B671D9" w:rsidRPr="00D957CD" w:rsidRDefault="00B671D9" w:rsidP="00B671D9">
      <w:pPr>
        <w:autoSpaceDE w:val="0"/>
        <w:autoSpaceDN w:val="0"/>
        <w:adjustRightInd w:val="0"/>
        <w:spacing w:after="0" w:line="240" w:lineRule="auto"/>
        <w:rPr>
          <w:rFonts w:cs="TimesNewRomanPS-ItalicMT"/>
          <w:iCs/>
          <w:lang w:val="en-CA"/>
        </w:rPr>
      </w:pPr>
      <w:proofErr w:type="gramStart"/>
      <w:r w:rsidRPr="00D957CD">
        <w:rPr>
          <w:rFonts w:cs="TimesNewRomanPSMT"/>
          <w:lang w:val="en-CA"/>
        </w:rPr>
        <w:t>from</w:t>
      </w:r>
      <w:proofErr w:type="gramEnd"/>
      <w:r w:rsidRPr="00D957CD">
        <w:rPr>
          <w:rFonts w:cs="TimesNewRomanPSMT"/>
          <w:lang w:val="en-CA"/>
        </w:rPr>
        <w:t xml:space="preserve"> multiple sensors. Part 2: Implementation, analysis and validation. </w:t>
      </w:r>
      <w:r w:rsidRPr="00D957CD">
        <w:rPr>
          <w:rFonts w:cs="TimesNewRomanPS-ItalicMT"/>
          <w:iCs/>
          <w:lang w:val="en-CA"/>
        </w:rPr>
        <w:t>Remote Sensing of</w:t>
      </w:r>
    </w:p>
    <w:p w:rsidR="00B671D9" w:rsidRPr="00D957CD" w:rsidRDefault="00B671D9" w:rsidP="00B671D9">
      <w:pPr>
        <w:autoSpaceDE w:val="0"/>
        <w:autoSpaceDN w:val="0"/>
        <w:adjustRightInd w:val="0"/>
        <w:spacing w:after="0" w:line="240" w:lineRule="auto"/>
        <w:rPr>
          <w:rFonts w:cs="TimesNewRomanPSMT"/>
          <w:lang w:val="en-CA"/>
        </w:rPr>
      </w:pPr>
      <w:r w:rsidRPr="00D957CD">
        <w:rPr>
          <w:rFonts w:cs="TimesNewRomanPS-ItalicMT"/>
          <w:iCs/>
          <w:lang w:val="en-CA"/>
        </w:rPr>
        <w:t>Environment</w:t>
      </w:r>
      <w:r w:rsidRPr="00D957CD">
        <w:rPr>
          <w:rFonts w:cs="TimesNewRomanPSMT"/>
          <w:lang w:val="en-CA"/>
        </w:rPr>
        <w:t xml:space="preserve">, </w:t>
      </w:r>
      <w:r w:rsidRPr="00D957CD">
        <w:rPr>
          <w:rFonts w:cs="TimesNewRomanPS-ItalicMT"/>
          <w:iCs/>
          <w:lang w:val="en-CA"/>
        </w:rPr>
        <w:t>112</w:t>
      </w:r>
      <w:r w:rsidRPr="00D957CD">
        <w:rPr>
          <w:rFonts w:cs="TimesNewRomanPSMT"/>
          <w:lang w:val="en-CA"/>
        </w:rPr>
        <w:t>(12), pp.4318-4332.</w:t>
      </w:r>
    </w:p>
    <w:p w:rsidR="00B671D9" w:rsidRPr="00D957CD" w:rsidRDefault="00B671D9" w:rsidP="00B671D9">
      <w:pPr>
        <w:autoSpaceDE w:val="0"/>
        <w:autoSpaceDN w:val="0"/>
        <w:adjustRightInd w:val="0"/>
        <w:spacing w:after="0" w:line="240" w:lineRule="auto"/>
        <w:rPr>
          <w:rFonts w:cs="TimesNewRomanPSMT"/>
          <w:lang w:val="en-CA"/>
        </w:rPr>
      </w:pPr>
    </w:p>
    <w:p w:rsidR="00B671D9" w:rsidRPr="00D957CD" w:rsidRDefault="00B671D9" w:rsidP="00B671D9">
      <w:pPr>
        <w:autoSpaceDE w:val="0"/>
        <w:autoSpaceDN w:val="0"/>
        <w:adjustRightInd w:val="0"/>
        <w:spacing w:after="0" w:line="240" w:lineRule="auto"/>
        <w:rPr>
          <w:rFonts w:cs="TimesNewRomanPSMT"/>
          <w:lang w:val="en-CA"/>
        </w:rPr>
      </w:pPr>
      <w:proofErr w:type="spellStart"/>
      <w:r w:rsidRPr="00D957CD">
        <w:rPr>
          <w:rFonts w:cs="TimesNewRomanPSMT"/>
          <w:lang w:val="en-CA"/>
        </w:rPr>
        <w:t>Ganguly</w:t>
      </w:r>
      <w:proofErr w:type="spellEnd"/>
      <w:r w:rsidRPr="00D957CD">
        <w:rPr>
          <w:rFonts w:cs="TimesNewRomanPSMT"/>
          <w:lang w:val="en-CA"/>
        </w:rPr>
        <w:t xml:space="preserve">, S., Schull, M.A., </w:t>
      </w:r>
      <w:proofErr w:type="spellStart"/>
      <w:r w:rsidRPr="00D957CD">
        <w:rPr>
          <w:rFonts w:cs="TimesNewRomanPSMT"/>
          <w:lang w:val="en-CA"/>
        </w:rPr>
        <w:t>Samanta</w:t>
      </w:r>
      <w:proofErr w:type="spellEnd"/>
      <w:r w:rsidRPr="00D957CD">
        <w:rPr>
          <w:rFonts w:cs="TimesNewRomanPSMT"/>
          <w:lang w:val="en-CA"/>
        </w:rPr>
        <w:t xml:space="preserve">, A., </w:t>
      </w:r>
      <w:proofErr w:type="spellStart"/>
      <w:r w:rsidRPr="00D957CD">
        <w:rPr>
          <w:rFonts w:cs="TimesNewRomanPSMT"/>
          <w:lang w:val="en-CA"/>
        </w:rPr>
        <w:t>Shabanov</w:t>
      </w:r>
      <w:proofErr w:type="spellEnd"/>
      <w:r w:rsidRPr="00D957CD">
        <w:rPr>
          <w:rFonts w:cs="TimesNewRomanPSMT"/>
          <w:lang w:val="en-CA"/>
        </w:rPr>
        <w:t xml:space="preserve">, N.V., </w:t>
      </w:r>
      <w:proofErr w:type="spellStart"/>
      <w:r w:rsidRPr="00D957CD">
        <w:rPr>
          <w:rFonts w:cs="TimesNewRomanPSMT"/>
          <w:lang w:val="en-CA"/>
        </w:rPr>
        <w:t>Milesi</w:t>
      </w:r>
      <w:proofErr w:type="spellEnd"/>
      <w:r w:rsidRPr="00D957CD">
        <w:rPr>
          <w:rFonts w:cs="TimesNewRomanPSMT"/>
          <w:lang w:val="en-CA"/>
        </w:rPr>
        <w:t xml:space="preserve">, C., </w:t>
      </w:r>
      <w:proofErr w:type="spellStart"/>
      <w:r w:rsidRPr="00D957CD">
        <w:rPr>
          <w:rFonts w:cs="TimesNewRomanPSMT"/>
          <w:lang w:val="en-CA"/>
        </w:rPr>
        <w:t>Nemani</w:t>
      </w:r>
      <w:proofErr w:type="spellEnd"/>
      <w:r w:rsidRPr="00D957CD">
        <w:rPr>
          <w:rFonts w:cs="TimesNewRomanPSMT"/>
          <w:lang w:val="en-CA"/>
        </w:rPr>
        <w:t xml:space="preserve">, R.R., </w:t>
      </w:r>
      <w:proofErr w:type="spellStart"/>
      <w:r w:rsidRPr="00D957CD">
        <w:rPr>
          <w:rFonts w:cs="TimesNewRomanPSMT"/>
          <w:lang w:val="en-CA"/>
        </w:rPr>
        <w:t>Knyazikhin</w:t>
      </w:r>
      <w:proofErr w:type="spellEnd"/>
      <w:r w:rsidRPr="00D957CD">
        <w:rPr>
          <w:rFonts w:cs="TimesNewRomanPSMT"/>
          <w:lang w:val="en-CA"/>
        </w:rPr>
        <w:t>,</w:t>
      </w:r>
    </w:p>
    <w:p w:rsidR="00B671D9" w:rsidRPr="00D957CD" w:rsidRDefault="00B671D9" w:rsidP="00B671D9">
      <w:pPr>
        <w:autoSpaceDE w:val="0"/>
        <w:autoSpaceDN w:val="0"/>
        <w:adjustRightInd w:val="0"/>
        <w:spacing w:after="0" w:line="240" w:lineRule="auto"/>
        <w:rPr>
          <w:rFonts w:cs="TimesNewRomanPSMT"/>
          <w:lang w:val="en-CA"/>
        </w:rPr>
      </w:pPr>
      <w:r w:rsidRPr="00D957CD">
        <w:rPr>
          <w:rFonts w:cs="TimesNewRomanPSMT"/>
          <w:lang w:val="en-CA"/>
        </w:rPr>
        <w:lastRenderedPageBreak/>
        <w:t xml:space="preserve">Y. and </w:t>
      </w:r>
      <w:proofErr w:type="spellStart"/>
      <w:r w:rsidRPr="00D957CD">
        <w:rPr>
          <w:rFonts w:cs="TimesNewRomanPSMT"/>
          <w:lang w:val="en-CA"/>
        </w:rPr>
        <w:t>Myneni</w:t>
      </w:r>
      <w:proofErr w:type="spellEnd"/>
      <w:r w:rsidRPr="00D957CD">
        <w:rPr>
          <w:rFonts w:cs="TimesNewRomanPSMT"/>
          <w:lang w:val="en-CA"/>
        </w:rPr>
        <w:t>, R.B., 2008a. Generating vegetation leaf area index earth system data record</w:t>
      </w:r>
    </w:p>
    <w:p w:rsidR="00B671D9" w:rsidRPr="00D957CD" w:rsidRDefault="00B671D9" w:rsidP="00B671D9">
      <w:pPr>
        <w:autoSpaceDE w:val="0"/>
        <w:autoSpaceDN w:val="0"/>
        <w:adjustRightInd w:val="0"/>
        <w:spacing w:after="0" w:line="240" w:lineRule="auto"/>
        <w:rPr>
          <w:rFonts w:cs="TimesNewRomanPSMT"/>
          <w:lang w:val="en-CA"/>
        </w:rPr>
      </w:pPr>
      <w:proofErr w:type="gramStart"/>
      <w:r w:rsidRPr="00D957CD">
        <w:rPr>
          <w:rFonts w:cs="TimesNewRomanPSMT"/>
          <w:lang w:val="en-CA"/>
        </w:rPr>
        <w:t>from</w:t>
      </w:r>
      <w:proofErr w:type="gramEnd"/>
      <w:r w:rsidRPr="00D957CD">
        <w:rPr>
          <w:rFonts w:cs="TimesNewRomanPSMT"/>
          <w:lang w:val="en-CA"/>
        </w:rPr>
        <w:t xml:space="preserve"> multiple sensors. Part 1: Theory. </w:t>
      </w:r>
      <w:r w:rsidRPr="00D957CD">
        <w:rPr>
          <w:rFonts w:cs="TimesNewRomanPS-ItalicMT"/>
          <w:iCs/>
          <w:lang w:val="en-CA"/>
        </w:rPr>
        <w:t>Remote Sensing of Environment</w:t>
      </w:r>
      <w:r w:rsidRPr="00D957CD">
        <w:rPr>
          <w:rFonts w:cs="TimesNewRomanPSMT"/>
          <w:lang w:val="en-CA"/>
        </w:rPr>
        <w:t xml:space="preserve">, </w:t>
      </w:r>
      <w:r w:rsidRPr="00D957CD">
        <w:rPr>
          <w:rFonts w:cs="TimesNewRomanPS-ItalicMT"/>
          <w:iCs/>
          <w:lang w:val="en-CA"/>
        </w:rPr>
        <w:t>112</w:t>
      </w:r>
      <w:r w:rsidRPr="00D957CD">
        <w:rPr>
          <w:rFonts w:cs="TimesNewRomanPSMT"/>
          <w:lang w:val="en-CA"/>
        </w:rPr>
        <w:t>(12), pp.4333-</w:t>
      </w:r>
    </w:p>
    <w:p w:rsidR="00A70D90" w:rsidRPr="00D957CD" w:rsidRDefault="00B671D9" w:rsidP="00B671D9">
      <w:pPr>
        <w:tabs>
          <w:tab w:val="left" w:pos="2166"/>
        </w:tabs>
        <w:rPr>
          <w:rFonts w:cs="TimesNewRomanPSMT"/>
          <w:lang w:val="en-CA"/>
        </w:rPr>
      </w:pPr>
      <w:r w:rsidRPr="00D957CD">
        <w:rPr>
          <w:rFonts w:cs="TimesNewRomanPSMT"/>
          <w:lang w:val="en-CA"/>
        </w:rPr>
        <w:t>4343.</w:t>
      </w:r>
    </w:p>
    <w:p w:rsidR="001569AB" w:rsidRPr="00D957CD" w:rsidRDefault="001569AB" w:rsidP="00B671D9">
      <w:pPr>
        <w:tabs>
          <w:tab w:val="left" w:pos="2166"/>
        </w:tabs>
        <w:rPr>
          <w:rFonts w:cs="TimesNewRomanPSMT"/>
          <w:lang w:val="en-CA"/>
        </w:rPr>
      </w:pPr>
    </w:p>
    <w:p w:rsidR="006D441C" w:rsidRPr="00D957CD" w:rsidRDefault="006D441C" w:rsidP="00B671D9">
      <w:pPr>
        <w:tabs>
          <w:tab w:val="left" w:pos="2166"/>
        </w:tabs>
        <w:rPr>
          <w:rFonts w:cs="TimesNewRomanPSMT"/>
          <w:lang w:val="en-CA"/>
        </w:rPr>
      </w:pPr>
      <w:proofErr w:type="spellStart"/>
      <w:r w:rsidRPr="00D957CD">
        <w:rPr>
          <w:rFonts w:cs="TimesNewRomanPSMT"/>
          <w:lang w:val="en-CA"/>
        </w:rPr>
        <w:t>Goodfellow</w:t>
      </w:r>
      <w:proofErr w:type="spellEnd"/>
      <w:r w:rsidRPr="00D957CD">
        <w:rPr>
          <w:rFonts w:cs="TimesNewRomanPSMT"/>
          <w:lang w:val="en-CA"/>
        </w:rPr>
        <w:t xml:space="preserve">, I., </w:t>
      </w:r>
      <w:proofErr w:type="spellStart"/>
      <w:r w:rsidRPr="00D957CD">
        <w:rPr>
          <w:rFonts w:cs="TimesNewRomanPSMT"/>
          <w:lang w:val="en-CA"/>
        </w:rPr>
        <w:t>Benigo</w:t>
      </w:r>
      <w:proofErr w:type="spellEnd"/>
      <w:r w:rsidRPr="00D957CD">
        <w:rPr>
          <w:rFonts w:cs="TimesNewRomanPSMT"/>
          <w:lang w:val="en-CA"/>
        </w:rPr>
        <w:t xml:space="preserve">, Y., and </w:t>
      </w:r>
      <w:proofErr w:type="spellStart"/>
      <w:r w:rsidRPr="00D957CD">
        <w:rPr>
          <w:rFonts w:cs="TimesNewRomanPSMT"/>
          <w:lang w:val="en-CA"/>
        </w:rPr>
        <w:t>Courville</w:t>
      </w:r>
      <w:proofErr w:type="spellEnd"/>
      <w:r w:rsidRPr="00D957CD">
        <w:rPr>
          <w:rFonts w:cs="TimesNewRomanPSMT"/>
          <w:lang w:val="en-CA"/>
        </w:rPr>
        <w:t xml:space="preserve">, A., 2015.  Deep Learning.  MIT Press, </w:t>
      </w:r>
      <w:proofErr w:type="spellStart"/>
      <w:r w:rsidRPr="00D957CD">
        <w:rPr>
          <w:rFonts w:cs="TimesNewRomanPSMT"/>
          <w:lang w:val="en-CA"/>
        </w:rPr>
        <w:t>Cambride</w:t>
      </w:r>
      <w:proofErr w:type="spellEnd"/>
      <w:r w:rsidRPr="00D957CD">
        <w:rPr>
          <w:rFonts w:cs="TimesNewRomanPSMT"/>
          <w:lang w:val="en-CA"/>
        </w:rPr>
        <w:t>, 777 pp.</w:t>
      </w:r>
    </w:p>
    <w:p w:rsidR="000019D8" w:rsidRPr="00D957CD" w:rsidRDefault="000019D8" w:rsidP="000019D8">
      <w:pPr>
        <w:rPr>
          <w:lang w:val="en-CA"/>
        </w:rPr>
      </w:pPr>
    </w:p>
    <w:p w:rsidR="001569AB" w:rsidRPr="00D957CD" w:rsidRDefault="001569AB" w:rsidP="000019D8">
      <w:pPr>
        <w:rPr>
          <w:lang w:val="en-CA"/>
        </w:rPr>
      </w:pPr>
      <w:proofErr w:type="spellStart"/>
      <w:r w:rsidRPr="00D957CD">
        <w:rPr>
          <w:lang w:val="en-CA"/>
        </w:rPr>
        <w:t>Masek</w:t>
      </w:r>
      <w:proofErr w:type="spellEnd"/>
      <w:r w:rsidRPr="00D957CD">
        <w:rPr>
          <w:lang w:val="en-CA"/>
        </w:rPr>
        <w:t xml:space="preserve">, J. G., </w:t>
      </w:r>
      <w:proofErr w:type="spellStart"/>
      <w:r w:rsidRPr="00D957CD">
        <w:rPr>
          <w:lang w:val="en-CA"/>
        </w:rPr>
        <w:t>Vermote</w:t>
      </w:r>
      <w:proofErr w:type="spellEnd"/>
      <w:r w:rsidRPr="00D957CD">
        <w:rPr>
          <w:lang w:val="en-CA"/>
        </w:rPr>
        <w:t xml:space="preserve">, E. F., </w:t>
      </w:r>
      <w:proofErr w:type="spellStart"/>
      <w:r w:rsidRPr="00D957CD">
        <w:rPr>
          <w:lang w:val="en-CA"/>
        </w:rPr>
        <w:t>Saleous,N</w:t>
      </w:r>
      <w:proofErr w:type="spellEnd"/>
      <w:r w:rsidRPr="00D957CD">
        <w:rPr>
          <w:lang w:val="en-CA"/>
        </w:rPr>
        <w:t xml:space="preserve">. </w:t>
      </w:r>
      <w:proofErr w:type="spellStart"/>
      <w:r w:rsidRPr="00D957CD">
        <w:rPr>
          <w:lang w:val="en-CA"/>
        </w:rPr>
        <w:t>E.,Wolfe</w:t>
      </w:r>
      <w:proofErr w:type="spellEnd"/>
      <w:r w:rsidRPr="00D957CD">
        <w:rPr>
          <w:lang w:val="en-CA"/>
        </w:rPr>
        <w:t xml:space="preserve">, </w:t>
      </w:r>
      <w:proofErr w:type="spellStart"/>
      <w:r w:rsidRPr="00D957CD">
        <w:rPr>
          <w:lang w:val="en-CA"/>
        </w:rPr>
        <w:t>R.,Hall</w:t>
      </w:r>
      <w:proofErr w:type="spellEnd"/>
      <w:r w:rsidRPr="00D957CD">
        <w:rPr>
          <w:lang w:val="en-CA"/>
        </w:rPr>
        <w:t>, F.G.,</w:t>
      </w:r>
      <w:proofErr w:type="spellStart"/>
      <w:r w:rsidRPr="00D957CD">
        <w:rPr>
          <w:lang w:val="en-CA"/>
        </w:rPr>
        <w:t>Huemmrich</w:t>
      </w:r>
      <w:proofErr w:type="spellEnd"/>
      <w:r w:rsidRPr="00D957CD">
        <w:rPr>
          <w:lang w:val="en-CA"/>
        </w:rPr>
        <w:t>, K. F., et al. (2006).</w:t>
      </w:r>
    </w:p>
    <w:p w:rsidR="001569AB" w:rsidRPr="00D957CD" w:rsidRDefault="001569AB" w:rsidP="000019D8">
      <w:pPr>
        <w:rPr>
          <w:rFonts w:cs="AdvTT94c8263f.I"/>
          <w:lang w:val="en-CA"/>
        </w:rPr>
      </w:pPr>
      <w:r w:rsidRPr="00D957CD">
        <w:rPr>
          <w:lang w:val="en-CA"/>
        </w:rPr>
        <w:t>A Landsat surface re</w:t>
      </w:r>
      <w:r w:rsidRPr="00D957CD">
        <w:rPr>
          <w:rFonts w:cs="AdvTT5235d5a9+fb"/>
          <w:lang w:val="en-CA"/>
        </w:rPr>
        <w:t>fl</w:t>
      </w:r>
      <w:r w:rsidRPr="00D957CD">
        <w:rPr>
          <w:lang w:val="en-CA"/>
        </w:rPr>
        <w:t>ectance dataset for North America, 1990</w:t>
      </w:r>
      <w:r w:rsidRPr="00D957CD">
        <w:rPr>
          <w:rFonts w:cs="AdvTT5235d5a9+20"/>
          <w:lang w:val="en-CA"/>
        </w:rPr>
        <w:t>–</w:t>
      </w:r>
      <w:r w:rsidRPr="00D957CD">
        <w:rPr>
          <w:lang w:val="en-CA"/>
        </w:rPr>
        <w:t xml:space="preserve">2000. </w:t>
      </w:r>
      <w:r w:rsidRPr="00D957CD">
        <w:rPr>
          <w:rFonts w:cs="AdvTT94c8263f.I"/>
          <w:lang w:val="en-CA"/>
        </w:rPr>
        <w:t>IEEE Geoscience</w:t>
      </w:r>
    </w:p>
    <w:p w:rsidR="00BD0E73" w:rsidRPr="00D957CD" w:rsidRDefault="001569AB" w:rsidP="000019D8">
      <w:pPr>
        <w:rPr>
          <w:lang w:val="en-CA"/>
        </w:rPr>
      </w:pPr>
      <w:proofErr w:type="gramStart"/>
      <w:r w:rsidRPr="00D957CD">
        <w:rPr>
          <w:rFonts w:cs="AdvTT94c8263f.I"/>
          <w:lang w:val="en-CA"/>
        </w:rPr>
        <w:t>and</w:t>
      </w:r>
      <w:proofErr w:type="gramEnd"/>
      <w:r w:rsidRPr="00D957CD">
        <w:rPr>
          <w:rFonts w:cs="AdvTT94c8263f.I"/>
          <w:lang w:val="en-CA"/>
        </w:rPr>
        <w:t xml:space="preserve"> Remote Sensing Letters</w:t>
      </w:r>
      <w:r w:rsidRPr="00D957CD">
        <w:rPr>
          <w:lang w:val="en-CA"/>
        </w:rPr>
        <w:t xml:space="preserve">, </w:t>
      </w:r>
      <w:r w:rsidRPr="00D957CD">
        <w:rPr>
          <w:rFonts w:cs="AdvTT94c8263f.I"/>
          <w:lang w:val="en-CA"/>
        </w:rPr>
        <w:t>3</w:t>
      </w:r>
      <w:r w:rsidRPr="00D957CD">
        <w:rPr>
          <w:lang w:val="en-CA"/>
        </w:rPr>
        <w:t>(1), 68</w:t>
      </w:r>
      <w:r w:rsidRPr="00D957CD">
        <w:rPr>
          <w:rFonts w:cs="AdvTT5235d5a9+20"/>
          <w:lang w:val="en-CA"/>
        </w:rPr>
        <w:t>–</w:t>
      </w:r>
      <w:r w:rsidRPr="00D957CD">
        <w:rPr>
          <w:lang w:val="en-CA"/>
        </w:rPr>
        <w:t>72, doi:10.1109/LGRS.2005.857030</w:t>
      </w:r>
    </w:p>
    <w:p w:rsidR="00BD0E73" w:rsidRPr="00D957CD" w:rsidRDefault="00BD0E73" w:rsidP="001569AB">
      <w:pPr>
        <w:tabs>
          <w:tab w:val="left" w:pos="2166"/>
        </w:tabs>
        <w:rPr>
          <w:rFonts w:cs="AdvTT5235d5a9"/>
          <w:lang w:val="en-CA"/>
        </w:rPr>
      </w:pPr>
    </w:p>
    <w:p w:rsidR="001569AB" w:rsidRPr="00D957CD" w:rsidRDefault="000019D8" w:rsidP="000019D8">
      <w:r w:rsidRPr="00D957CD">
        <w:t xml:space="preserve">USGS, 2020a.   </w:t>
      </w:r>
      <w:r w:rsidRPr="00D957CD">
        <w:rPr>
          <w:bCs/>
        </w:rPr>
        <w:t xml:space="preserve">Landsat 8 Collection 2 (C2) Level 2 Science Product (L2SP) Guide.  US Department of Interior, LSDS-1619 Version </w:t>
      </w:r>
      <w:proofErr w:type="gramStart"/>
      <w:r w:rsidRPr="00D957CD">
        <w:rPr>
          <w:bCs/>
        </w:rPr>
        <w:t>2.0 ,36pp</w:t>
      </w:r>
      <w:proofErr w:type="gramEnd"/>
      <w:r w:rsidRPr="00D957CD">
        <w:rPr>
          <w:bCs/>
        </w:rPr>
        <w:t xml:space="preserve">.  </w:t>
      </w:r>
      <w:hyperlink r:id="rId5" w:history="1">
        <w:r w:rsidRPr="00D957CD">
          <w:rPr>
            <w:rStyle w:val="Hyperlink"/>
            <w:bCs/>
            <w:color w:val="auto"/>
            <w:u w:val="none"/>
          </w:rPr>
          <w:t>https://prd-wret.s3.us-west-2.amazonaws.com/assets/palladium/production/atoms/files/LSDS-1619_Landsat8-C2-L2-ScienceProductGuide-v2.pdf accessed on September 10</w:t>
        </w:r>
      </w:hyperlink>
      <w:r w:rsidRPr="00D957CD">
        <w:rPr>
          <w:bCs/>
        </w:rPr>
        <w:t>, 2021.</w:t>
      </w:r>
    </w:p>
    <w:p w:rsidR="000019D8" w:rsidRPr="00D957CD" w:rsidRDefault="000019D8" w:rsidP="000019D8">
      <w:pPr>
        <w:tabs>
          <w:tab w:val="left" w:pos="2166"/>
        </w:tabs>
        <w:rPr>
          <w:rFonts w:cs="AdvTT5235d5a9"/>
          <w:lang w:val="en-CA"/>
        </w:rPr>
      </w:pPr>
    </w:p>
    <w:p w:rsidR="000019D8" w:rsidRPr="00D957CD" w:rsidRDefault="000019D8" w:rsidP="000019D8">
      <w:pPr>
        <w:pStyle w:val="Default"/>
        <w:rPr>
          <w:rFonts w:asciiTheme="minorHAnsi" w:hAnsiTheme="minorHAnsi"/>
          <w:color w:val="auto"/>
          <w:sz w:val="22"/>
          <w:szCs w:val="22"/>
        </w:rPr>
      </w:pPr>
      <w:r w:rsidRPr="00D957CD">
        <w:rPr>
          <w:rFonts w:asciiTheme="minorHAnsi" w:hAnsiTheme="minorHAnsi"/>
          <w:color w:val="auto"/>
          <w:sz w:val="22"/>
          <w:szCs w:val="22"/>
        </w:rPr>
        <w:t xml:space="preserve">USGS, 2020b.    </w:t>
      </w:r>
      <w:r w:rsidRPr="00D957CD">
        <w:rPr>
          <w:rFonts w:asciiTheme="minorHAnsi" w:hAnsiTheme="minorHAnsi"/>
          <w:bCs/>
          <w:color w:val="auto"/>
          <w:sz w:val="22"/>
          <w:szCs w:val="22"/>
        </w:rPr>
        <w:t xml:space="preserve">Landsat 4-7 Collection 2 (C2) Level 2 Science Product (L2SP) Guide, LSDS-1618 Version </w:t>
      </w:r>
      <w:proofErr w:type="gramStart"/>
      <w:r w:rsidRPr="00D957CD">
        <w:rPr>
          <w:rFonts w:asciiTheme="minorHAnsi" w:hAnsiTheme="minorHAnsi"/>
          <w:bCs/>
          <w:color w:val="auto"/>
          <w:sz w:val="22"/>
          <w:szCs w:val="22"/>
        </w:rPr>
        <w:t>3.0 ,36pp</w:t>
      </w:r>
      <w:proofErr w:type="gramEnd"/>
      <w:r w:rsidRPr="00D957CD">
        <w:rPr>
          <w:rFonts w:asciiTheme="minorHAnsi" w:hAnsiTheme="minorHAnsi"/>
          <w:bCs/>
          <w:color w:val="auto"/>
          <w:sz w:val="22"/>
          <w:szCs w:val="22"/>
        </w:rPr>
        <w:t xml:space="preserve">.  </w:t>
      </w:r>
      <w:hyperlink r:id="rId6" w:history="1">
        <w:r w:rsidRPr="00D957CD">
          <w:rPr>
            <w:rFonts w:asciiTheme="minorHAnsi" w:hAnsiTheme="minorHAnsi"/>
            <w:color w:val="auto"/>
            <w:sz w:val="22"/>
            <w:szCs w:val="22"/>
          </w:rPr>
          <w:t xml:space="preserve"> </w:t>
        </w:r>
        <w:r w:rsidRPr="00D957CD">
          <w:rPr>
            <w:rStyle w:val="Hyperlink"/>
            <w:rFonts w:asciiTheme="minorHAnsi" w:hAnsiTheme="minorHAnsi"/>
            <w:bCs/>
            <w:color w:val="auto"/>
            <w:sz w:val="22"/>
            <w:szCs w:val="22"/>
            <w:u w:val="none"/>
          </w:rPr>
          <w:t>https://prd-wret.s3.us-west-2.amazonaws.com/assets/palladium/production/atoms/files/LSDS-1618_Landsat-4-7_C2-L2-ScienceProductGuide-v3.pdfaccessed on September 10</w:t>
        </w:r>
      </w:hyperlink>
      <w:r w:rsidRPr="00D957CD">
        <w:rPr>
          <w:rFonts w:asciiTheme="minorHAnsi" w:hAnsiTheme="minorHAnsi"/>
          <w:bCs/>
          <w:color w:val="auto"/>
          <w:sz w:val="22"/>
          <w:szCs w:val="22"/>
        </w:rPr>
        <w:t>, 2021.</w:t>
      </w:r>
    </w:p>
    <w:p w:rsidR="000019D8" w:rsidRPr="00D957CD" w:rsidRDefault="000019D8" w:rsidP="000019D8">
      <w:pPr>
        <w:tabs>
          <w:tab w:val="left" w:pos="2166"/>
        </w:tabs>
      </w:pPr>
    </w:p>
    <w:p w:rsidR="00D957CD" w:rsidRDefault="00D957CD" w:rsidP="000019D8">
      <w:pPr>
        <w:tabs>
          <w:tab w:val="left" w:pos="2166"/>
        </w:tabs>
        <w:rPr>
          <w:rFonts w:cs="Georgia"/>
          <w:lang w:val="en-CA"/>
        </w:rPr>
      </w:pPr>
      <w:r w:rsidRPr="00D957CD">
        <w:t xml:space="preserve">ESA, 2015.  Sentinel </w:t>
      </w:r>
      <w:proofErr w:type="gramStart"/>
      <w:r w:rsidRPr="00D957CD">
        <w:t>2</w:t>
      </w:r>
      <w:proofErr w:type="gramEnd"/>
      <w:r w:rsidRPr="00D957CD">
        <w:t xml:space="preserve"> User Handbook.  European Space Agency, </w:t>
      </w:r>
      <w:r w:rsidRPr="00D957CD">
        <w:rPr>
          <w:rFonts w:cs="Georgia"/>
          <w:lang w:val="en-CA"/>
        </w:rPr>
        <w:t xml:space="preserve">Issue 1 Rev 2, 64pp.  </w:t>
      </w:r>
      <w:hyperlink r:id="rId7" w:history="1">
        <w:r w:rsidRPr="00D957CD">
          <w:rPr>
            <w:rStyle w:val="Hyperlink"/>
            <w:rFonts w:cs="Georgia"/>
            <w:color w:val="auto"/>
            <w:u w:val="none"/>
            <w:lang w:val="en-CA"/>
          </w:rPr>
          <w:t>https://sentinel.esa.int/documents/247904/685211/Sentinel-2_User_Handbook accessed on September 10</w:t>
        </w:r>
      </w:hyperlink>
      <w:r w:rsidRPr="00D957CD">
        <w:rPr>
          <w:rFonts w:cs="Georgia"/>
          <w:lang w:val="en-CA"/>
        </w:rPr>
        <w:t>, 2021.</w:t>
      </w:r>
    </w:p>
    <w:p w:rsidR="003B22D1" w:rsidRDefault="003B22D1" w:rsidP="000019D8">
      <w:pPr>
        <w:tabs>
          <w:tab w:val="left" w:pos="2166"/>
        </w:tabs>
        <w:rPr>
          <w:rFonts w:cs="Georgia"/>
          <w:lang w:val="en-CA"/>
        </w:rPr>
      </w:pPr>
    </w:p>
    <w:p w:rsidR="003B22D1" w:rsidRPr="00635084" w:rsidRDefault="003B22D1" w:rsidP="003B22D1">
      <w:pPr>
        <w:rPr>
          <w:rFonts w:cstheme="minorHAnsi"/>
          <w:shd w:val="clear" w:color="auto" w:fill="FFFFFF"/>
        </w:rPr>
      </w:pPr>
      <w:proofErr w:type="spellStart"/>
      <w:r w:rsidRPr="00635084">
        <w:rPr>
          <w:rFonts w:cstheme="minorHAnsi"/>
          <w:shd w:val="clear" w:color="auto" w:fill="FFFFFF"/>
        </w:rPr>
        <w:t>Vermote</w:t>
      </w:r>
      <w:proofErr w:type="spellEnd"/>
      <w:r w:rsidRPr="00635084">
        <w:rPr>
          <w:rFonts w:cstheme="minorHAnsi"/>
          <w:shd w:val="clear" w:color="auto" w:fill="FFFFFF"/>
        </w:rPr>
        <w:t>, E., Wolfe, R., 2021. </w:t>
      </w:r>
      <w:r w:rsidRPr="00635084">
        <w:rPr>
          <w:rFonts w:cstheme="minorHAnsi"/>
          <w:iCs/>
          <w:shd w:val="clear" w:color="auto" w:fill="FFFFFF"/>
        </w:rPr>
        <w:t>MODIS/Terra Surface Reflectance Daily L2G Global 250m SIN Grid V061</w:t>
      </w:r>
      <w:r w:rsidRPr="00635084">
        <w:rPr>
          <w:rFonts w:cstheme="minorHAnsi"/>
          <w:shd w:val="clear" w:color="auto" w:fill="FFFFFF"/>
        </w:rPr>
        <w:t xml:space="preserve"> [Data set]. NASA EOSDIS Land Processes DAAC. Accessed 2021-09-09 from </w:t>
      </w:r>
      <w:hyperlink r:id="rId8" w:history="1">
        <w:r w:rsidRPr="00635084">
          <w:rPr>
            <w:rStyle w:val="Hyperlink"/>
            <w:rFonts w:cstheme="minorHAnsi"/>
            <w:shd w:val="clear" w:color="auto" w:fill="FFFFFF"/>
          </w:rPr>
          <w:t>https://doi.org/10.5067/MODIS/MOD09GQ.061</w:t>
        </w:r>
      </w:hyperlink>
      <w:r>
        <w:rPr>
          <w:rFonts w:cstheme="minorHAnsi"/>
          <w:shd w:val="clear" w:color="auto" w:fill="FFFFFF"/>
        </w:rPr>
        <w:t>.</w:t>
      </w:r>
    </w:p>
    <w:p w:rsidR="003B22D1" w:rsidRDefault="003B22D1" w:rsidP="000019D8">
      <w:pPr>
        <w:tabs>
          <w:tab w:val="left" w:pos="2166"/>
        </w:tabs>
      </w:pPr>
    </w:p>
    <w:p w:rsidR="00784EAB" w:rsidRDefault="00784EAB" w:rsidP="000019D8">
      <w:pPr>
        <w:tabs>
          <w:tab w:val="left" w:pos="2166"/>
        </w:tabs>
      </w:pPr>
    </w:p>
    <w:p w:rsidR="00784EAB" w:rsidRPr="00D957CD" w:rsidRDefault="00784EAB" w:rsidP="000019D8">
      <w:pPr>
        <w:tabs>
          <w:tab w:val="left" w:pos="2166"/>
        </w:tabs>
      </w:pPr>
      <w:r>
        <w:rPr>
          <w:rFonts w:ascii="Arial" w:hAnsi="Arial" w:cs="Arial"/>
          <w:color w:val="222222"/>
          <w:sz w:val="18"/>
          <w:szCs w:val="18"/>
          <w:shd w:val="clear" w:color="auto" w:fill="FFFFFF"/>
        </w:rPr>
        <w:t>Campos-</w:t>
      </w:r>
      <w:proofErr w:type="spellStart"/>
      <w:r>
        <w:rPr>
          <w:rFonts w:ascii="Arial" w:hAnsi="Arial" w:cs="Arial"/>
          <w:color w:val="222222"/>
          <w:sz w:val="18"/>
          <w:szCs w:val="18"/>
          <w:shd w:val="clear" w:color="auto" w:fill="FFFFFF"/>
        </w:rPr>
        <w:t>Taberner</w:t>
      </w:r>
      <w:proofErr w:type="spellEnd"/>
      <w:r>
        <w:rPr>
          <w:rFonts w:ascii="Arial" w:hAnsi="Arial" w:cs="Arial"/>
          <w:color w:val="222222"/>
          <w:sz w:val="18"/>
          <w:szCs w:val="18"/>
          <w:shd w:val="clear" w:color="auto" w:fill="FFFFFF"/>
        </w:rPr>
        <w:t>, M.; Moreno-</w:t>
      </w:r>
      <w:proofErr w:type="spellStart"/>
      <w:r>
        <w:rPr>
          <w:rFonts w:ascii="Arial" w:hAnsi="Arial" w:cs="Arial"/>
          <w:color w:val="222222"/>
          <w:sz w:val="18"/>
          <w:szCs w:val="18"/>
          <w:shd w:val="clear" w:color="auto" w:fill="FFFFFF"/>
        </w:rPr>
        <w:t>Martínez</w:t>
      </w:r>
      <w:proofErr w:type="spellEnd"/>
      <w:r>
        <w:rPr>
          <w:rFonts w:ascii="Arial" w:hAnsi="Arial" w:cs="Arial"/>
          <w:color w:val="222222"/>
          <w:sz w:val="18"/>
          <w:szCs w:val="18"/>
          <w:shd w:val="clear" w:color="auto" w:fill="FFFFFF"/>
        </w:rPr>
        <w:t xml:space="preserve">, Á.; </w:t>
      </w:r>
      <w:proofErr w:type="spellStart"/>
      <w:r>
        <w:rPr>
          <w:rFonts w:ascii="Arial" w:hAnsi="Arial" w:cs="Arial"/>
          <w:color w:val="222222"/>
          <w:sz w:val="18"/>
          <w:szCs w:val="18"/>
          <w:shd w:val="clear" w:color="auto" w:fill="FFFFFF"/>
        </w:rPr>
        <w:t>García-Haro</w:t>
      </w:r>
      <w:proofErr w:type="spellEnd"/>
      <w:r>
        <w:rPr>
          <w:rFonts w:ascii="Arial" w:hAnsi="Arial" w:cs="Arial"/>
          <w:color w:val="222222"/>
          <w:sz w:val="18"/>
          <w:szCs w:val="18"/>
          <w:shd w:val="clear" w:color="auto" w:fill="FFFFFF"/>
        </w:rPr>
        <w:t>, F.J.; Camps-</w:t>
      </w:r>
      <w:proofErr w:type="spellStart"/>
      <w:r>
        <w:rPr>
          <w:rFonts w:ascii="Arial" w:hAnsi="Arial" w:cs="Arial"/>
          <w:color w:val="222222"/>
          <w:sz w:val="18"/>
          <w:szCs w:val="18"/>
          <w:shd w:val="clear" w:color="auto" w:fill="FFFFFF"/>
        </w:rPr>
        <w:t>Valls</w:t>
      </w:r>
      <w:proofErr w:type="spellEnd"/>
      <w:r>
        <w:rPr>
          <w:rFonts w:ascii="Arial" w:hAnsi="Arial" w:cs="Arial"/>
          <w:color w:val="222222"/>
          <w:sz w:val="18"/>
          <w:szCs w:val="18"/>
          <w:shd w:val="clear" w:color="auto" w:fill="FFFFFF"/>
        </w:rPr>
        <w:t xml:space="preserve">, G.; Robinson, N.P.; </w:t>
      </w:r>
      <w:proofErr w:type="spellStart"/>
      <w:r>
        <w:rPr>
          <w:rFonts w:ascii="Arial" w:hAnsi="Arial" w:cs="Arial"/>
          <w:color w:val="222222"/>
          <w:sz w:val="18"/>
          <w:szCs w:val="18"/>
          <w:shd w:val="clear" w:color="auto" w:fill="FFFFFF"/>
        </w:rPr>
        <w:t>Kattge</w:t>
      </w:r>
      <w:proofErr w:type="spellEnd"/>
      <w:r>
        <w:rPr>
          <w:rFonts w:ascii="Arial" w:hAnsi="Arial" w:cs="Arial"/>
          <w:color w:val="222222"/>
          <w:sz w:val="18"/>
          <w:szCs w:val="18"/>
          <w:shd w:val="clear" w:color="auto" w:fill="FFFFFF"/>
        </w:rPr>
        <w:t>, J.; Running, S.W. Global Estimation of Biophysical Variables from Google Earth Engine Platform. </w:t>
      </w:r>
      <w:r>
        <w:rPr>
          <w:rStyle w:val="Emphasis"/>
          <w:rFonts w:ascii="Arial" w:hAnsi="Arial" w:cs="Arial"/>
          <w:color w:val="222222"/>
          <w:sz w:val="18"/>
          <w:szCs w:val="18"/>
          <w:shd w:val="clear" w:color="auto" w:fill="FFFFFF"/>
        </w:rPr>
        <w:t>Remote Sens.</w:t>
      </w:r>
      <w:r>
        <w:rPr>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2018</w:t>
      </w:r>
      <w:r>
        <w:rPr>
          <w:rFonts w:ascii="Arial" w:hAnsi="Arial" w:cs="Arial"/>
          <w:color w:val="222222"/>
          <w:sz w:val="18"/>
          <w:szCs w:val="18"/>
          <w:shd w:val="clear" w:color="auto" w:fill="FFFFFF"/>
        </w:rPr>
        <w:t>, </w:t>
      </w:r>
      <w:r>
        <w:rPr>
          <w:rStyle w:val="Emphasis"/>
          <w:rFonts w:ascii="Arial" w:hAnsi="Arial" w:cs="Arial"/>
          <w:color w:val="222222"/>
          <w:sz w:val="18"/>
          <w:szCs w:val="18"/>
          <w:shd w:val="clear" w:color="auto" w:fill="FFFFFF"/>
        </w:rPr>
        <w:t>10</w:t>
      </w:r>
      <w:r>
        <w:rPr>
          <w:rFonts w:ascii="Arial" w:hAnsi="Arial" w:cs="Arial"/>
          <w:color w:val="222222"/>
          <w:sz w:val="18"/>
          <w:szCs w:val="18"/>
          <w:shd w:val="clear" w:color="auto" w:fill="FFFFFF"/>
        </w:rPr>
        <w:t>, 1167. https://doi.org/10.3390/rs10081167</w:t>
      </w:r>
    </w:p>
    <w:sectPr w:rsidR="00784EAB" w:rsidRPr="00D957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taSerifOT-Book">
    <w:panose1 w:val="00000000000000000000"/>
    <w:charset w:val="00"/>
    <w:family w:val="roman"/>
    <w:notTrueType/>
    <w:pitch w:val="default"/>
    <w:sig w:usb0="00000003" w:usb1="00000000" w:usb2="00000000" w:usb3="00000000" w:csb0="00000001" w:csb1="00000000"/>
  </w:font>
  <w:font w:name="MetaSerifOT-BookIta">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AdvTT94c8263f.I">
    <w:panose1 w:val="00000000000000000000"/>
    <w:charset w:val="00"/>
    <w:family w:val="auto"/>
    <w:notTrueType/>
    <w:pitch w:val="default"/>
    <w:sig w:usb0="00000003" w:usb1="00000000" w:usb2="00000000" w:usb3="00000000" w:csb0="00000001" w:csb1="00000000"/>
  </w:font>
  <w:font w:name="AdvTT5235d5a9+fb">
    <w:panose1 w:val="00000000000000000000"/>
    <w:charset w:val="00"/>
    <w:family w:val="auto"/>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TT5235d5a9">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B22DE"/>
    <w:multiLevelType w:val="hybridMultilevel"/>
    <w:tmpl w:val="B8D08F30"/>
    <w:lvl w:ilvl="0" w:tplc="460825B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7113B3"/>
    <w:multiLevelType w:val="hybridMultilevel"/>
    <w:tmpl w:val="CDE8C092"/>
    <w:lvl w:ilvl="0" w:tplc="5074F35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DB6"/>
    <w:rsid w:val="000019D8"/>
    <w:rsid w:val="00056465"/>
    <w:rsid w:val="001114F1"/>
    <w:rsid w:val="001537D3"/>
    <w:rsid w:val="001569AB"/>
    <w:rsid w:val="001762DD"/>
    <w:rsid w:val="001C362B"/>
    <w:rsid w:val="001D6337"/>
    <w:rsid w:val="00223DB6"/>
    <w:rsid w:val="00285780"/>
    <w:rsid w:val="00290B8A"/>
    <w:rsid w:val="002D1763"/>
    <w:rsid w:val="00306029"/>
    <w:rsid w:val="00333BBB"/>
    <w:rsid w:val="00335579"/>
    <w:rsid w:val="003B14F1"/>
    <w:rsid w:val="003B22D1"/>
    <w:rsid w:val="00484F4B"/>
    <w:rsid w:val="004F3118"/>
    <w:rsid w:val="004F40A0"/>
    <w:rsid w:val="00537260"/>
    <w:rsid w:val="005510FC"/>
    <w:rsid w:val="005632A1"/>
    <w:rsid w:val="005665EC"/>
    <w:rsid w:val="005D7CEE"/>
    <w:rsid w:val="006642D0"/>
    <w:rsid w:val="00684237"/>
    <w:rsid w:val="006928F4"/>
    <w:rsid w:val="006D441C"/>
    <w:rsid w:val="00735AD8"/>
    <w:rsid w:val="00784EAB"/>
    <w:rsid w:val="007B4730"/>
    <w:rsid w:val="008033F5"/>
    <w:rsid w:val="00873825"/>
    <w:rsid w:val="008C4511"/>
    <w:rsid w:val="008D7340"/>
    <w:rsid w:val="008F0BC9"/>
    <w:rsid w:val="00914D28"/>
    <w:rsid w:val="0092234B"/>
    <w:rsid w:val="00923D56"/>
    <w:rsid w:val="009A79D6"/>
    <w:rsid w:val="00A60A87"/>
    <w:rsid w:val="00A70D90"/>
    <w:rsid w:val="00AD5C1F"/>
    <w:rsid w:val="00B012E4"/>
    <w:rsid w:val="00B13085"/>
    <w:rsid w:val="00B671D9"/>
    <w:rsid w:val="00BB2E90"/>
    <w:rsid w:val="00BC7389"/>
    <w:rsid w:val="00BD0E73"/>
    <w:rsid w:val="00CB4081"/>
    <w:rsid w:val="00D5270F"/>
    <w:rsid w:val="00D957CD"/>
    <w:rsid w:val="00DF147A"/>
    <w:rsid w:val="00E5141A"/>
    <w:rsid w:val="00E80F96"/>
    <w:rsid w:val="00F071A2"/>
    <w:rsid w:val="00F2212B"/>
    <w:rsid w:val="00F9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4166"/>
  <w15:chartTrackingRefBased/>
  <w15:docId w15:val="{CB579305-F263-4185-8F51-3563929E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57C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next w:val="Normal"/>
    <w:link w:val="Heading2Char"/>
    <w:uiPriority w:val="9"/>
    <w:unhideWhenUsed/>
    <w:qFormat/>
    <w:rsid w:val="0087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270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5270F"/>
    <w:rPr>
      <w:color w:val="0563C1" w:themeColor="hyperlink"/>
      <w:u w:val="single"/>
    </w:rPr>
  </w:style>
  <w:style w:type="character" w:styleId="FollowedHyperlink">
    <w:name w:val="FollowedHyperlink"/>
    <w:basedOn w:val="DefaultParagraphFont"/>
    <w:uiPriority w:val="99"/>
    <w:semiHidden/>
    <w:unhideWhenUsed/>
    <w:rsid w:val="00D5270F"/>
    <w:rPr>
      <w:color w:val="954F72" w:themeColor="followedHyperlink"/>
      <w:u w:val="single"/>
    </w:rPr>
  </w:style>
  <w:style w:type="paragraph" w:customStyle="1" w:styleId="Default">
    <w:name w:val="Default"/>
    <w:rsid w:val="000019D8"/>
    <w:pPr>
      <w:autoSpaceDE w:val="0"/>
      <w:autoSpaceDN w:val="0"/>
      <w:adjustRightInd w:val="0"/>
      <w:spacing w:after="0" w:line="240" w:lineRule="auto"/>
    </w:pPr>
    <w:rPr>
      <w:rFonts w:ascii="Arial" w:hAnsi="Arial" w:cs="Arial"/>
      <w:color w:val="000000"/>
      <w:sz w:val="24"/>
      <w:szCs w:val="24"/>
      <w:lang w:val="en-CA"/>
    </w:rPr>
  </w:style>
  <w:style w:type="character" w:customStyle="1" w:styleId="Heading1Char">
    <w:name w:val="Heading 1 Char"/>
    <w:basedOn w:val="DefaultParagraphFont"/>
    <w:link w:val="Heading1"/>
    <w:uiPriority w:val="9"/>
    <w:rsid w:val="00D957CD"/>
    <w:rPr>
      <w:rFonts w:ascii="Times New Roman" w:eastAsia="Times New Roman" w:hAnsi="Times New Roman" w:cs="Times New Roman"/>
      <w:b/>
      <w:bCs/>
      <w:kern w:val="36"/>
      <w:sz w:val="48"/>
      <w:szCs w:val="48"/>
      <w:lang w:val="en-CA" w:eastAsia="en-CA"/>
    </w:rPr>
  </w:style>
  <w:style w:type="paragraph" w:styleId="ListParagraph">
    <w:name w:val="List Paragraph"/>
    <w:basedOn w:val="Normal"/>
    <w:uiPriority w:val="34"/>
    <w:qFormat/>
    <w:rsid w:val="008F0BC9"/>
    <w:pPr>
      <w:ind w:left="720"/>
      <w:contextualSpacing/>
    </w:pPr>
  </w:style>
  <w:style w:type="character" w:customStyle="1" w:styleId="Heading2Char">
    <w:name w:val="Heading 2 Char"/>
    <w:basedOn w:val="DefaultParagraphFont"/>
    <w:link w:val="Heading2"/>
    <w:uiPriority w:val="9"/>
    <w:rsid w:val="008738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382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84E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42357">
      <w:bodyDiv w:val="1"/>
      <w:marLeft w:val="0"/>
      <w:marRight w:val="0"/>
      <w:marTop w:val="0"/>
      <w:marBottom w:val="0"/>
      <w:divBdr>
        <w:top w:val="none" w:sz="0" w:space="0" w:color="auto"/>
        <w:left w:val="none" w:sz="0" w:space="0" w:color="auto"/>
        <w:bottom w:val="none" w:sz="0" w:space="0" w:color="auto"/>
        <w:right w:val="none" w:sz="0" w:space="0" w:color="auto"/>
      </w:divBdr>
    </w:div>
    <w:div w:id="192945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7/MODIS/MOD09GQ.061" TargetMode="External"/><Relationship Id="rId3" Type="http://schemas.openxmlformats.org/officeDocument/2006/relationships/settings" Target="settings.xml"/><Relationship Id="rId7" Type="http://schemas.openxmlformats.org/officeDocument/2006/relationships/hyperlink" Target="https://sentinel.esa.int/documents/247904/685211/Sentinel-2_User_Handbook%20accessed%20on%20September%2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d-wret.s3.us-west-2.amazonaws.com/assets/palladium/production/atoms/files/LSDS-1619_Landsat8-C2-L2-ScienceProductGuide-v2.pdf%20accessed%20on%20September%2010" TargetMode="External"/><Relationship Id="rId5" Type="http://schemas.openxmlformats.org/officeDocument/2006/relationships/hyperlink" Target="https://prd-wret.s3.us-west-2.amazonaws.com/assets/palladium/production/atoms/files/LSDS-1619_Landsat8-C2-L2-ScienceProductGuide-v2.pdf%20accessed%20on%20September%20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5261</Words>
  <Characters>29991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35182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Richard</dc:creator>
  <cp:keywords/>
  <dc:description/>
  <cp:lastModifiedBy>Fernandes, Richard</cp:lastModifiedBy>
  <cp:revision>2</cp:revision>
  <dcterms:created xsi:type="dcterms:W3CDTF">2021-09-12T00:43:00Z</dcterms:created>
  <dcterms:modified xsi:type="dcterms:W3CDTF">2021-09-12T00:43:00Z</dcterms:modified>
</cp:coreProperties>
</file>