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9219" w14:textId="77777777" w:rsidR="002213A7" w:rsidRPr="002213A7" w:rsidRDefault="002213A7" w:rsidP="002213A7">
      <w:r w:rsidRPr="002213A7">
        <w:t xml:space="preserve">Para la ecuación del cohete de </w:t>
      </w:r>
      <w:proofErr w:type="spellStart"/>
      <w:r w:rsidRPr="002213A7">
        <w:t>Tsiolkovski</w:t>
      </w:r>
      <w:proofErr w:type="spellEnd"/>
      <w:r w:rsidRPr="002213A7">
        <w:t>, los valores típicos muestran que entre el 80% y el 90% de la masa inicial de un cohete corresponde al combustible. Por ejemplo, un cohete grande puede tener una masa inicial (\(m</w:t>
      </w:r>
      <w:proofErr w:type="gramStart"/>
      <w:r w:rsidRPr="002213A7">
        <w:t>_{0}\</w:t>
      </w:r>
      <w:proofErr w:type="gramEnd"/>
      <w:r w:rsidRPr="002213A7">
        <w:t>)) de 500,000 kg y una masa final (\(m_{f}\)) de 50,000 kg tras gastar todo el propelente.</w:t>
      </w:r>
    </w:p>
    <w:p w14:paraId="28F777D7" w14:textId="77777777" w:rsidR="002213A7" w:rsidRPr="002213A7" w:rsidRDefault="002213A7" w:rsidP="002213A7">
      <w:pPr>
        <w:rPr>
          <w:b/>
          <w:bCs/>
        </w:rPr>
      </w:pPr>
      <w:r w:rsidRPr="002213A7">
        <w:rPr>
          <w:b/>
          <w:bCs/>
        </w:rPr>
        <w:t>Masas del Cohete</w:t>
      </w:r>
    </w:p>
    <w:p w14:paraId="38BD33C5" w14:textId="77777777" w:rsidR="002213A7" w:rsidRPr="002213A7" w:rsidRDefault="002213A7" w:rsidP="002213A7">
      <w:pPr>
        <w:numPr>
          <w:ilvl w:val="0"/>
          <w:numId w:val="3"/>
        </w:numPr>
      </w:pPr>
      <w:r w:rsidRPr="002213A7">
        <w:rPr>
          <w:b/>
          <w:bCs/>
        </w:rPr>
        <w:t>Masa inicial (\(m</w:t>
      </w:r>
      <w:proofErr w:type="gramStart"/>
      <w:r w:rsidRPr="002213A7">
        <w:rPr>
          <w:b/>
          <w:bCs/>
        </w:rPr>
        <w:t>_{0}\</w:t>
      </w:r>
      <w:proofErr w:type="gramEnd"/>
      <w:r w:rsidRPr="002213A7">
        <w:rPr>
          <w:b/>
          <w:bCs/>
        </w:rPr>
        <w:t>)):</w:t>
      </w:r>
      <w:r w:rsidRPr="002213A7">
        <w:t xml:space="preserve"> Incluye la estructura, la carga útil y todo el combustible lleno al despegar.</w:t>
      </w:r>
    </w:p>
    <w:p w14:paraId="4D77DD0A" w14:textId="77777777" w:rsidR="002213A7" w:rsidRPr="002213A7" w:rsidRDefault="002213A7" w:rsidP="002213A7">
      <w:pPr>
        <w:numPr>
          <w:ilvl w:val="0"/>
          <w:numId w:val="3"/>
        </w:numPr>
      </w:pPr>
      <w:r w:rsidRPr="002213A7">
        <w:rPr>
          <w:b/>
          <w:bCs/>
        </w:rPr>
        <w:t>Masa final (\(m_{f}\)):</w:t>
      </w:r>
      <w:r w:rsidRPr="002213A7">
        <w:t xml:space="preserve"> Queda solo la estructura vacía y la carga útil cuando el combustible se agota.</w:t>
      </w:r>
    </w:p>
    <w:p w14:paraId="0A67A59F" w14:textId="77777777" w:rsidR="002213A7" w:rsidRPr="002213A7" w:rsidRDefault="002213A7" w:rsidP="002213A7">
      <w:pPr>
        <w:numPr>
          <w:ilvl w:val="0"/>
          <w:numId w:val="3"/>
        </w:numPr>
      </w:pPr>
      <w:r w:rsidRPr="002213A7">
        <w:rPr>
          <w:b/>
          <w:bCs/>
        </w:rPr>
        <w:t>Relación típica:</w:t>
      </w:r>
      <w:r w:rsidRPr="002213A7">
        <w:t xml:space="preserve"> La masa de combustible suele ser de 8 a 9 veces la masa final del cohete vacío. [</w:t>
      </w:r>
      <w:hyperlink r:id="rId5" w:history="1">
        <w:r w:rsidRPr="002213A7">
          <w:rPr>
            <w:rStyle w:val="Hipervnculo"/>
          </w:rPr>
          <w:t>1</w:t>
        </w:r>
      </w:hyperlink>
      <w:r w:rsidRPr="002213A7">
        <w:t>]</w:t>
      </w:r>
    </w:p>
    <w:p w14:paraId="45498832" w14:textId="77777777" w:rsidR="002213A7" w:rsidRPr="002213A7" w:rsidRDefault="002213A7" w:rsidP="002213A7">
      <w:pPr>
        <w:rPr>
          <w:b/>
          <w:bCs/>
        </w:rPr>
      </w:pPr>
      <w:r w:rsidRPr="002213A7">
        <w:rPr>
          <w:b/>
          <w:bCs/>
        </w:rPr>
        <w:t>Uso en la Ecuación</w:t>
      </w:r>
    </w:p>
    <w:p w14:paraId="30FAD249" w14:textId="77777777" w:rsidR="002213A7" w:rsidRPr="002213A7" w:rsidRDefault="002213A7" w:rsidP="002213A7">
      <w:pPr>
        <w:numPr>
          <w:ilvl w:val="0"/>
          <w:numId w:val="4"/>
        </w:numPr>
      </w:pPr>
      <w:r w:rsidRPr="002213A7">
        <w:t xml:space="preserve">La ecuación de </w:t>
      </w:r>
      <w:proofErr w:type="spellStart"/>
      <w:r w:rsidRPr="002213A7">
        <w:t>Tsiolkovski</w:t>
      </w:r>
      <w:proofErr w:type="spellEnd"/>
      <w:r w:rsidRPr="002213A7">
        <w:t xml:space="preserve"> usa el logaritmo natural de la división entre la masa inicial y la masa final (</w:t>
      </w:r>
      <w:proofErr w:type="gramStart"/>
      <w:r w:rsidRPr="002213A7">
        <w:t>\(</w:t>
      </w:r>
      <w:proofErr w:type="gramEnd"/>
      <w:r w:rsidRPr="002213A7">
        <w:t>\</w:t>
      </w:r>
      <w:proofErr w:type="spellStart"/>
      <w:proofErr w:type="gramStart"/>
      <w:r w:rsidRPr="002213A7">
        <w:t>ln</w:t>
      </w:r>
      <w:proofErr w:type="spellEnd"/>
      <w:r w:rsidRPr="002213A7">
        <w:t>(</w:t>
      </w:r>
      <w:proofErr w:type="gramEnd"/>
      <w:r w:rsidRPr="002213A7">
        <w:t xml:space="preserve">m_0 / </w:t>
      </w:r>
      <w:proofErr w:type="spellStart"/>
      <w:r w:rsidRPr="002213A7">
        <w:t>m_</w:t>
      </w:r>
      <w:proofErr w:type="gramStart"/>
      <w:r w:rsidRPr="002213A7">
        <w:t>f</w:t>
      </w:r>
      <w:proofErr w:type="spellEnd"/>
      <w:r w:rsidRPr="002213A7">
        <w:t>)\</w:t>
      </w:r>
      <w:proofErr w:type="gramEnd"/>
      <w:r w:rsidRPr="002213A7">
        <w:t>)).</w:t>
      </w:r>
    </w:p>
    <w:p w14:paraId="2162187B" w14:textId="77777777" w:rsidR="002213A7" w:rsidRPr="002213A7" w:rsidRDefault="002213A7" w:rsidP="002213A7">
      <w:pPr>
        <w:numPr>
          <w:ilvl w:val="0"/>
          <w:numId w:val="4"/>
        </w:numPr>
      </w:pPr>
      <w:r w:rsidRPr="002213A7">
        <w:t>Esta división define el cambio máximo de velocidad que el cohete puede lograr en el espacio.</w:t>
      </w:r>
    </w:p>
    <w:p w14:paraId="53195939" w14:textId="77777777" w:rsidR="00912D26" w:rsidRDefault="00912D26"/>
    <w:sectPr w:rsidR="00912D26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6E8D"/>
    <w:multiLevelType w:val="multilevel"/>
    <w:tmpl w:val="BF0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46056"/>
    <w:multiLevelType w:val="multilevel"/>
    <w:tmpl w:val="0FB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353EB"/>
    <w:multiLevelType w:val="multilevel"/>
    <w:tmpl w:val="2E4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07BFA"/>
    <w:multiLevelType w:val="multilevel"/>
    <w:tmpl w:val="156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63682">
    <w:abstractNumId w:val="3"/>
  </w:num>
  <w:num w:numId="2" w16cid:durableId="1712075897">
    <w:abstractNumId w:val="1"/>
  </w:num>
  <w:num w:numId="3" w16cid:durableId="274020039">
    <w:abstractNumId w:val="0"/>
  </w:num>
  <w:num w:numId="4" w16cid:durableId="198273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43"/>
    <w:rsid w:val="002213A7"/>
    <w:rsid w:val="00297B4E"/>
    <w:rsid w:val="00807B43"/>
    <w:rsid w:val="00912D26"/>
    <w:rsid w:val="00F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C68AB0-15F8-4F2C-81FF-BA049628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B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B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B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B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B4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3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c.ehu.es/sbweb/fisica/dinamica/cohete1/cohete1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2</cp:revision>
  <dcterms:created xsi:type="dcterms:W3CDTF">2026-08-18T22:54:00Z</dcterms:created>
  <dcterms:modified xsi:type="dcterms:W3CDTF">2026-08-18T22:54:00Z</dcterms:modified>
</cp:coreProperties>
</file>