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958F" w14:textId="77777777" w:rsidR="0096057F" w:rsidRDefault="0096057F" w:rsidP="0096057F">
      <w:pPr>
        <w:jc w:val="center"/>
      </w:pPr>
    </w:p>
    <w:p w14:paraId="2916EB6A" w14:textId="77777777" w:rsidR="0096057F" w:rsidRDefault="0096057F" w:rsidP="0096057F">
      <w:pPr>
        <w:jc w:val="center"/>
      </w:pPr>
    </w:p>
    <w:p w14:paraId="3AFBA1FF" w14:textId="77777777" w:rsidR="0096057F" w:rsidRDefault="0096057F" w:rsidP="0096057F">
      <w:pPr>
        <w:jc w:val="center"/>
      </w:pPr>
    </w:p>
    <w:p w14:paraId="462C8AF9" w14:textId="77777777" w:rsidR="0096057F" w:rsidRDefault="0096057F" w:rsidP="0096057F">
      <w:pPr>
        <w:jc w:val="center"/>
      </w:pPr>
    </w:p>
    <w:p w14:paraId="614ABB8E" w14:textId="77777777" w:rsidR="0096057F" w:rsidRDefault="0096057F" w:rsidP="0096057F">
      <w:pPr>
        <w:jc w:val="center"/>
      </w:pPr>
    </w:p>
    <w:p w14:paraId="1BCEBB27" w14:textId="77777777" w:rsidR="0096057F" w:rsidRDefault="0096057F" w:rsidP="0096057F">
      <w:pPr>
        <w:jc w:val="center"/>
      </w:pPr>
    </w:p>
    <w:p w14:paraId="6E323DD0" w14:textId="77777777" w:rsidR="00A104FF" w:rsidRDefault="00A104FF" w:rsidP="0096057F">
      <w:pPr>
        <w:jc w:val="center"/>
        <w:rPr>
          <w:sz w:val="28"/>
          <w:szCs w:val="28"/>
        </w:rPr>
      </w:pPr>
    </w:p>
    <w:p w14:paraId="2549D506" w14:textId="77777777" w:rsidR="00A104FF" w:rsidRDefault="00A104FF" w:rsidP="0096057F">
      <w:pPr>
        <w:jc w:val="center"/>
        <w:rPr>
          <w:sz w:val="28"/>
          <w:szCs w:val="28"/>
        </w:rPr>
      </w:pPr>
    </w:p>
    <w:p w14:paraId="1A84D598" w14:textId="187A422F" w:rsidR="00C24237" w:rsidRPr="00F15335" w:rsidRDefault="00C24237" w:rsidP="0096057F">
      <w:pPr>
        <w:jc w:val="center"/>
        <w:rPr>
          <w:b/>
          <w:bCs/>
          <w:sz w:val="40"/>
          <w:szCs w:val="40"/>
        </w:rPr>
      </w:pPr>
      <w:r w:rsidRPr="00F15335">
        <w:rPr>
          <w:b/>
          <w:bCs/>
          <w:sz w:val="40"/>
          <w:szCs w:val="40"/>
        </w:rPr>
        <w:t>Capital Asset Pricing Model</w:t>
      </w:r>
      <w:r w:rsidR="0096057F" w:rsidRPr="00F15335">
        <w:rPr>
          <w:b/>
          <w:bCs/>
          <w:sz w:val="40"/>
          <w:szCs w:val="40"/>
        </w:rPr>
        <w:t xml:space="preserve">: Does an International Exposure Factor Effect </w:t>
      </w:r>
      <w:r w:rsidR="00A104FF" w:rsidRPr="00F15335">
        <w:rPr>
          <w:b/>
          <w:bCs/>
          <w:sz w:val="40"/>
          <w:szCs w:val="40"/>
        </w:rPr>
        <w:t>A Security’s Excess Returns</w:t>
      </w:r>
      <w:r w:rsidR="0096057F" w:rsidRPr="00F15335">
        <w:rPr>
          <w:b/>
          <w:bCs/>
          <w:sz w:val="40"/>
          <w:szCs w:val="40"/>
        </w:rPr>
        <w:t>?</w:t>
      </w:r>
    </w:p>
    <w:p w14:paraId="54D75EB8" w14:textId="77777777" w:rsidR="0096057F" w:rsidRDefault="0096057F" w:rsidP="0096057F">
      <w:pPr>
        <w:jc w:val="center"/>
        <w:rPr>
          <w:sz w:val="28"/>
          <w:szCs w:val="28"/>
        </w:rPr>
      </w:pPr>
    </w:p>
    <w:p w14:paraId="38DD5438" w14:textId="39BE8787" w:rsidR="00AF3CE8" w:rsidRPr="00F15335" w:rsidRDefault="00012CEC" w:rsidP="0096057F">
      <w:pPr>
        <w:jc w:val="center"/>
        <w:rPr>
          <w:sz w:val="32"/>
          <w:szCs w:val="32"/>
        </w:rPr>
      </w:pPr>
      <w:r w:rsidRPr="00F15335">
        <w:rPr>
          <w:sz w:val="32"/>
          <w:szCs w:val="32"/>
        </w:rPr>
        <w:t xml:space="preserve">By: </w:t>
      </w:r>
      <w:r w:rsidR="00AF3CE8" w:rsidRPr="00F15335">
        <w:rPr>
          <w:sz w:val="32"/>
          <w:szCs w:val="32"/>
        </w:rPr>
        <w:t>Ryan Finegan</w:t>
      </w:r>
    </w:p>
    <w:p w14:paraId="7019C895" w14:textId="2830E029" w:rsidR="00012CEC" w:rsidRDefault="00012CEC" w:rsidP="0096057F">
      <w:pPr>
        <w:jc w:val="center"/>
        <w:rPr>
          <w:sz w:val="28"/>
          <w:szCs w:val="28"/>
        </w:rPr>
      </w:pPr>
    </w:p>
    <w:p w14:paraId="76144B40" w14:textId="10DA46A4" w:rsidR="00012CEC" w:rsidRPr="00F15335" w:rsidRDefault="00012CEC" w:rsidP="0096057F">
      <w:pPr>
        <w:jc w:val="center"/>
        <w:rPr>
          <w:sz w:val="32"/>
          <w:szCs w:val="32"/>
        </w:rPr>
      </w:pPr>
      <w:r w:rsidRPr="00F15335">
        <w:rPr>
          <w:sz w:val="32"/>
          <w:szCs w:val="32"/>
        </w:rPr>
        <w:t>Advisor: Professor Luo</w:t>
      </w:r>
    </w:p>
    <w:p w14:paraId="0BC3F58B" w14:textId="77777777" w:rsidR="00C24237" w:rsidRPr="0096057F" w:rsidRDefault="00C24237">
      <w:pPr>
        <w:rPr>
          <w:sz w:val="28"/>
          <w:szCs w:val="28"/>
        </w:rPr>
      </w:pPr>
    </w:p>
    <w:p w14:paraId="3535F008" w14:textId="77777777" w:rsidR="0096057F" w:rsidRPr="0096057F" w:rsidRDefault="0096057F">
      <w:pPr>
        <w:rPr>
          <w:b/>
          <w:bCs/>
          <w:sz w:val="28"/>
          <w:szCs w:val="28"/>
        </w:rPr>
      </w:pPr>
    </w:p>
    <w:p w14:paraId="2B31241E" w14:textId="77777777" w:rsidR="0096057F" w:rsidRPr="0096057F" w:rsidRDefault="0096057F">
      <w:pPr>
        <w:rPr>
          <w:b/>
          <w:bCs/>
          <w:sz w:val="28"/>
          <w:szCs w:val="28"/>
        </w:rPr>
      </w:pPr>
    </w:p>
    <w:p w14:paraId="0D680619" w14:textId="77777777" w:rsidR="0096057F" w:rsidRDefault="0096057F">
      <w:pPr>
        <w:rPr>
          <w:b/>
          <w:bCs/>
          <w:sz w:val="32"/>
          <w:szCs w:val="32"/>
        </w:rPr>
      </w:pPr>
    </w:p>
    <w:p w14:paraId="302D8816" w14:textId="77777777" w:rsidR="0096057F" w:rsidRDefault="0096057F">
      <w:pPr>
        <w:rPr>
          <w:b/>
          <w:bCs/>
          <w:sz w:val="32"/>
          <w:szCs w:val="32"/>
        </w:rPr>
      </w:pPr>
    </w:p>
    <w:p w14:paraId="3B741B4C" w14:textId="77777777" w:rsidR="0096057F" w:rsidRDefault="0096057F">
      <w:pPr>
        <w:rPr>
          <w:b/>
          <w:bCs/>
          <w:sz w:val="32"/>
          <w:szCs w:val="32"/>
        </w:rPr>
      </w:pPr>
    </w:p>
    <w:p w14:paraId="2330011A" w14:textId="77777777" w:rsidR="0096057F" w:rsidRDefault="0096057F">
      <w:pPr>
        <w:rPr>
          <w:b/>
          <w:bCs/>
          <w:sz w:val="32"/>
          <w:szCs w:val="32"/>
        </w:rPr>
      </w:pPr>
    </w:p>
    <w:p w14:paraId="3A236EA7" w14:textId="77777777" w:rsidR="0096057F" w:rsidRDefault="0096057F">
      <w:pPr>
        <w:rPr>
          <w:b/>
          <w:bCs/>
          <w:sz w:val="32"/>
          <w:szCs w:val="32"/>
        </w:rPr>
      </w:pPr>
    </w:p>
    <w:p w14:paraId="76E22E21" w14:textId="77777777" w:rsidR="0096057F" w:rsidRDefault="0096057F">
      <w:pPr>
        <w:rPr>
          <w:b/>
          <w:bCs/>
          <w:sz w:val="32"/>
          <w:szCs w:val="32"/>
        </w:rPr>
      </w:pPr>
    </w:p>
    <w:p w14:paraId="3E340704" w14:textId="77777777" w:rsidR="0096057F" w:rsidRDefault="0096057F">
      <w:pPr>
        <w:rPr>
          <w:b/>
          <w:bCs/>
          <w:sz w:val="32"/>
          <w:szCs w:val="32"/>
        </w:rPr>
      </w:pPr>
    </w:p>
    <w:p w14:paraId="671434C9" w14:textId="77777777" w:rsidR="0096057F" w:rsidRDefault="0096057F">
      <w:pPr>
        <w:rPr>
          <w:b/>
          <w:bCs/>
          <w:sz w:val="32"/>
          <w:szCs w:val="32"/>
        </w:rPr>
      </w:pPr>
    </w:p>
    <w:p w14:paraId="04EDFB24" w14:textId="77777777" w:rsidR="0096057F" w:rsidRDefault="0096057F">
      <w:pPr>
        <w:rPr>
          <w:b/>
          <w:bCs/>
          <w:sz w:val="32"/>
          <w:szCs w:val="32"/>
        </w:rPr>
      </w:pPr>
    </w:p>
    <w:p w14:paraId="78EC078B" w14:textId="77777777" w:rsidR="0096057F" w:rsidRDefault="0096057F">
      <w:pPr>
        <w:rPr>
          <w:b/>
          <w:bCs/>
          <w:sz w:val="32"/>
          <w:szCs w:val="32"/>
        </w:rPr>
      </w:pPr>
    </w:p>
    <w:p w14:paraId="68351E76" w14:textId="77777777" w:rsidR="0096057F" w:rsidRDefault="0096057F">
      <w:pPr>
        <w:rPr>
          <w:b/>
          <w:bCs/>
          <w:sz w:val="32"/>
          <w:szCs w:val="32"/>
        </w:rPr>
      </w:pPr>
    </w:p>
    <w:p w14:paraId="6ACAEA95" w14:textId="77777777" w:rsidR="0096057F" w:rsidRDefault="0096057F">
      <w:pPr>
        <w:rPr>
          <w:b/>
          <w:bCs/>
          <w:sz w:val="32"/>
          <w:szCs w:val="32"/>
        </w:rPr>
      </w:pPr>
    </w:p>
    <w:p w14:paraId="73ABAA59" w14:textId="77777777" w:rsidR="0096057F" w:rsidRDefault="0096057F">
      <w:pPr>
        <w:rPr>
          <w:b/>
          <w:bCs/>
          <w:sz w:val="32"/>
          <w:szCs w:val="32"/>
        </w:rPr>
      </w:pPr>
    </w:p>
    <w:p w14:paraId="41AFA6DB" w14:textId="77777777" w:rsidR="0096057F" w:rsidRDefault="0096057F">
      <w:pPr>
        <w:rPr>
          <w:b/>
          <w:bCs/>
          <w:sz w:val="32"/>
          <w:szCs w:val="32"/>
        </w:rPr>
      </w:pPr>
    </w:p>
    <w:p w14:paraId="5F0D92E3" w14:textId="77777777" w:rsidR="0096057F" w:rsidRDefault="0096057F">
      <w:pPr>
        <w:rPr>
          <w:b/>
          <w:bCs/>
          <w:sz w:val="32"/>
          <w:szCs w:val="32"/>
        </w:rPr>
      </w:pPr>
    </w:p>
    <w:p w14:paraId="04B5A7D0" w14:textId="77777777" w:rsidR="0096057F" w:rsidRDefault="0096057F">
      <w:pPr>
        <w:rPr>
          <w:b/>
          <w:bCs/>
          <w:sz w:val="32"/>
          <w:szCs w:val="32"/>
        </w:rPr>
      </w:pPr>
    </w:p>
    <w:p w14:paraId="65F20892" w14:textId="77777777" w:rsidR="0096057F" w:rsidRDefault="0096057F">
      <w:pPr>
        <w:rPr>
          <w:b/>
          <w:bCs/>
          <w:sz w:val="32"/>
          <w:szCs w:val="32"/>
        </w:rPr>
      </w:pPr>
    </w:p>
    <w:p w14:paraId="07630BD0" w14:textId="6277AA7C" w:rsidR="00C24237" w:rsidRDefault="00C24237">
      <w:pPr>
        <w:rPr>
          <w:b/>
          <w:bCs/>
          <w:sz w:val="32"/>
          <w:szCs w:val="32"/>
        </w:rPr>
      </w:pPr>
    </w:p>
    <w:p w14:paraId="23D45408" w14:textId="77777777" w:rsidR="00C42606" w:rsidRDefault="00C42606"/>
    <w:p w14:paraId="283BDFC3" w14:textId="77777777" w:rsidR="00E23BA6" w:rsidRDefault="00E23BA6" w:rsidP="00C42606">
      <w:pPr>
        <w:ind w:firstLine="720"/>
        <w:rPr>
          <w:sz w:val="26"/>
          <w:szCs w:val="26"/>
        </w:rPr>
      </w:pPr>
    </w:p>
    <w:p w14:paraId="6D765C7F" w14:textId="77777777" w:rsidR="003D33E9" w:rsidRDefault="003D33E9" w:rsidP="00E23BA6">
      <w:pPr>
        <w:ind w:firstLine="720"/>
        <w:rPr>
          <w:sz w:val="28"/>
          <w:szCs w:val="28"/>
        </w:rPr>
      </w:pPr>
    </w:p>
    <w:sdt>
      <w:sdtPr>
        <w:id w:val="-2101473538"/>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2CEA63CD" w14:textId="06DF58D4" w:rsidR="00AE1F18" w:rsidRPr="00AE1F18" w:rsidRDefault="00AE1F18">
          <w:pPr>
            <w:pStyle w:val="TOCHeading"/>
            <w:rPr>
              <w:sz w:val="40"/>
              <w:szCs w:val="40"/>
            </w:rPr>
          </w:pPr>
          <w:r w:rsidRPr="00AE1F18">
            <w:rPr>
              <w:sz w:val="40"/>
              <w:szCs w:val="40"/>
            </w:rPr>
            <w:t>Table of Contents</w:t>
          </w:r>
        </w:p>
        <w:p w14:paraId="505AEDFD" w14:textId="6ABD7C1A" w:rsidR="00AE1F18" w:rsidRPr="00AE1F18" w:rsidRDefault="00AE1F18">
          <w:pPr>
            <w:pStyle w:val="TOC1"/>
            <w:tabs>
              <w:tab w:val="right" w:leader="dot" w:pos="9350"/>
            </w:tabs>
            <w:rPr>
              <w:rFonts w:eastAsiaTheme="minorEastAsia" w:cstheme="minorBidi"/>
              <w:b w:val="0"/>
              <w:bCs w:val="0"/>
              <w:i w:val="0"/>
              <w:iCs w:val="0"/>
              <w:noProof/>
              <w:sz w:val="36"/>
              <w:szCs w:val="36"/>
            </w:rPr>
          </w:pPr>
          <w:r w:rsidRPr="00AE1F18">
            <w:rPr>
              <w:b w:val="0"/>
              <w:bCs w:val="0"/>
              <w:sz w:val="36"/>
              <w:szCs w:val="36"/>
            </w:rPr>
            <w:fldChar w:fldCharType="begin"/>
          </w:r>
          <w:r w:rsidRPr="00AE1F18">
            <w:rPr>
              <w:sz w:val="36"/>
              <w:szCs w:val="36"/>
            </w:rPr>
            <w:instrText xml:space="preserve"> TOC \o "1-3" \h \z \u </w:instrText>
          </w:r>
          <w:r w:rsidRPr="00AE1F18">
            <w:rPr>
              <w:b w:val="0"/>
              <w:bCs w:val="0"/>
              <w:sz w:val="36"/>
              <w:szCs w:val="36"/>
            </w:rPr>
            <w:fldChar w:fldCharType="separate"/>
          </w:r>
          <w:hyperlink w:anchor="_Toc44117303" w:history="1">
            <w:r w:rsidRPr="00AE1F18">
              <w:rPr>
                <w:rStyle w:val="Hyperlink"/>
                <w:noProof/>
                <w:sz w:val="36"/>
                <w:szCs w:val="36"/>
              </w:rPr>
              <w:t>Abstract:</w:t>
            </w:r>
            <w:r w:rsidRPr="00AE1F18">
              <w:rPr>
                <w:noProof/>
                <w:webHidden/>
                <w:sz w:val="36"/>
                <w:szCs w:val="36"/>
              </w:rPr>
              <w:tab/>
            </w:r>
            <w:r w:rsidRPr="00AE1F18">
              <w:rPr>
                <w:noProof/>
                <w:webHidden/>
                <w:sz w:val="36"/>
                <w:szCs w:val="36"/>
              </w:rPr>
              <w:fldChar w:fldCharType="begin"/>
            </w:r>
            <w:r w:rsidRPr="00AE1F18">
              <w:rPr>
                <w:noProof/>
                <w:webHidden/>
                <w:sz w:val="36"/>
                <w:szCs w:val="36"/>
              </w:rPr>
              <w:instrText xml:space="preserve"> PAGEREF _Toc44117303 \h </w:instrText>
            </w:r>
            <w:r w:rsidRPr="00AE1F18">
              <w:rPr>
                <w:noProof/>
                <w:webHidden/>
                <w:sz w:val="36"/>
                <w:szCs w:val="36"/>
              </w:rPr>
            </w:r>
            <w:r w:rsidRPr="00AE1F18">
              <w:rPr>
                <w:noProof/>
                <w:webHidden/>
                <w:sz w:val="36"/>
                <w:szCs w:val="36"/>
              </w:rPr>
              <w:fldChar w:fldCharType="separate"/>
            </w:r>
            <w:r w:rsidR="008B6B43">
              <w:rPr>
                <w:noProof/>
                <w:webHidden/>
                <w:sz w:val="36"/>
                <w:szCs w:val="36"/>
              </w:rPr>
              <w:t>3</w:t>
            </w:r>
            <w:r w:rsidRPr="00AE1F18">
              <w:rPr>
                <w:noProof/>
                <w:webHidden/>
                <w:sz w:val="36"/>
                <w:szCs w:val="36"/>
              </w:rPr>
              <w:fldChar w:fldCharType="end"/>
            </w:r>
          </w:hyperlink>
        </w:p>
        <w:p w14:paraId="4B68DDA6" w14:textId="28294F88" w:rsidR="00AE1F18" w:rsidRPr="00AE1F18" w:rsidRDefault="00AE1F18">
          <w:pPr>
            <w:pStyle w:val="TOC1"/>
            <w:tabs>
              <w:tab w:val="right" w:leader="dot" w:pos="9350"/>
            </w:tabs>
            <w:rPr>
              <w:rFonts w:eastAsiaTheme="minorEastAsia" w:cstheme="minorBidi"/>
              <w:b w:val="0"/>
              <w:bCs w:val="0"/>
              <w:i w:val="0"/>
              <w:iCs w:val="0"/>
              <w:noProof/>
              <w:sz w:val="36"/>
              <w:szCs w:val="36"/>
            </w:rPr>
          </w:pPr>
          <w:hyperlink w:anchor="_Toc44117304" w:history="1">
            <w:r w:rsidRPr="00AE1F18">
              <w:rPr>
                <w:rStyle w:val="Hyperlink"/>
                <w:noProof/>
                <w:sz w:val="36"/>
                <w:szCs w:val="36"/>
              </w:rPr>
              <w:t>Overview:</w:t>
            </w:r>
            <w:r w:rsidRPr="00AE1F18">
              <w:rPr>
                <w:noProof/>
                <w:webHidden/>
                <w:sz w:val="36"/>
                <w:szCs w:val="36"/>
              </w:rPr>
              <w:tab/>
            </w:r>
            <w:r w:rsidRPr="00AE1F18">
              <w:rPr>
                <w:noProof/>
                <w:webHidden/>
                <w:sz w:val="36"/>
                <w:szCs w:val="36"/>
              </w:rPr>
              <w:fldChar w:fldCharType="begin"/>
            </w:r>
            <w:r w:rsidRPr="00AE1F18">
              <w:rPr>
                <w:noProof/>
                <w:webHidden/>
                <w:sz w:val="36"/>
                <w:szCs w:val="36"/>
              </w:rPr>
              <w:instrText xml:space="preserve"> PAGEREF _Toc44117304 \h </w:instrText>
            </w:r>
            <w:r w:rsidRPr="00AE1F18">
              <w:rPr>
                <w:noProof/>
                <w:webHidden/>
                <w:sz w:val="36"/>
                <w:szCs w:val="36"/>
              </w:rPr>
            </w:r>
            <w:r w:rsidRPr="00AE1F18">
              <w:rPr>
                <w:noProof/>
                <w:webHidden/>
                <w:sz w:val="36"/>
                <w:szCs w:val="36"/>
              </w:rPr>
              <w:fldChar w:fldCharType="separate"/>
            </w:r>
            <w:r w:rsidR="008B6B43">
              <w:rPr>
                <w:noProof/>
                <w:webHidden/>
                <w:sz w:val="36"/>
                <w:szCs w:val="36"/>
              </w:rPr>
              <w:t>4</w:t>
            </w:r>
            <w:r w:rsidRPr="00AE1F18">
              <w:rPr>
                <w:noProof/>
                <w:webHidden/>
                <w:sz w:val="36"/>
                <w:szCs w:val="36"/>
              </w:rPr>
              <w:fldChar w:fldCharType="end"/>
            </w:r>
          </w:hyperlink>
        </w:p>
        <w:p w14:paraId="110C01E0" w14:textId="5C2BA0E4" w:rsidR="00AE1F18" w:rsidRPr="00AE1F18" w:rsidRDefault="00AE1F18">
          <w:pPr>
            <w:pStyle w:val="TOC1"/>
            <w:tabs>
              <w:tab w:val="right" w:leader="dot" w:pos="9350"/>
            </w:tabs>
            <w:rPr>
              <w:rFonts w:eastAsiaTheme="minorEastAsia" w:cstheme="minorBidi"/>
              <w:b w:val="0"/>
              <w:bCs w:val="0"/>
              <w:i w:val="0"/>
              <w:iCs w:val="0"/>
              <w:noProof/>
              <w:sz w:val="36"/>
              <w:szCs w:val="36"/>
            </w:rPr>
          </w:pPr>
          <w:hyperlink w:anchor="_Toc44117305" w:history="1">
            <w:r w:rsidRPr="00AE1F18">
              <w:rPr>
                <w:rStyle w:val="Hyperlink"/>
                <w:noProof/>
                <w:sz w:val="36"/>
                <w:szCs w:val="36"/>
              </w:rPr>
              <w:t>Data and Calculations:</w:t>
            </w:r>
            <w:r w:rsidRPr="00AE1F18">
              <w:rPr>
                <w:noProof/>
                <w:webHidden/>
                <w:sz w:val="36"/>
                <w:szCs w:val="36"/>
              </w:rPr>
              <w:tab/>
            </w:r>
            <w:r w:rsidRPr="00AE1F18">
              <w:rPr>
                <w:noProof/>
                <w:webHidden/>
                <w:sz w:val="36"/>
                <w:szCs w:val="36"/>
              </w:rPr>
              <w:fldChar w:fldCharType="begin"/>
            </w:r>
            <w:r w:rsidRPr="00AE1F18">
              <w:rPr>
                <w:noProof/>
                <w:webHidden/>
                <w:sz w:val="36"/>
                <w:szCs w:val="36"/>
              </w:rPr>
              <w:instrText xml:space="preserve"> PAGEREF _Toc44117305 \h </w:instrText>
            </w:r>
            <w:r w:rsidRPr="00AE1F18">
              <w:rPr>
                <w:noProof/>
                <w:webHidden/>
                <w:sz w:val="36"/>
                <w:szCs w:val="36"/>
              </w:rPr>
            </w:r>
            <w:r w:rsidRPr="00AE1F18">
              <w:rPr>
                <w:noProof/>
                <w:webHidden/>
                <w:sz w:val="36"/>
                <w:szCs w:val="36"/>
              </w:rPr>
              <w:fldChar w:fldCharType="separate"/>
            </w:r>
            <w:r w:rsidR="008B6B43">
              <w:rPr>
                <w:noProof/>
                <w:webHidden/>
                <w:sz w:val="36"/>
                <w:szCs w:val="36"/>
              </w:rPr>
              <w:t>5</w:t>
            </w:r>
            <w:r w:rsidRPr="00AE1F18">
              <w:rPr>
                <w:noProof/>
                <w:webHidden/>
                <w:sz w:val="36"/>
                <w:szCs w:val="36"/>
              </w:rPr>
              <w:fldChar w:fldCharType="end"/>
            </w:r>
          </w:hyperlink>
        </w:p>
        <w:p w14:paraId="14B09651" w14:textId="6A0B1C17" w:rsidR="00AE1F18" w:rsidRPr="00AE1F18" w:rsidRDefault="00AE1F18">
          <w:pPr>
            <w:pStyle w:val="TOC2"/>
            <w:tabs>
              <w:tab w:val="right" w:leader="dot" w:pos="9350"/>
            </w:tabs>
            <w:rPr>
              <w:rFonts w:eastAsiaTheme="minorEastAsia" w:cstheme="minorBidi"/>
              <w:b w:val="0"/>
              <w:bCs w:val="0"/>
              <w:noProof/>
              <w:sz w:val="36"/>
              <w:szCs w:val="36"/>
            </w:rPr>
          </w:pPr>
          <w:hyperlink w:anchor="_Toc44117306" w:history="1">
            <w:r w:rsidRPr="00AE1F18">
              <w:rPr>
                <w:rStyle w:val="Hyperlink"/>
                <w:noProof/>
                <w:sz w:val="32"/>
                <w:szCs w:val="32"/>
              </w:rPr>
              <w:t>VEMAX (2009-2019)</w:t>
            </w:r>
            <w:r w:rsidRPr="00AE1F18">
              <w:rPr>
                <w:noProof/>
                <w:webHidden/>
                <w:sz w:val="32"/>
                <w:szCs w:val="32"/>
              </w:rPr>
              <w:tab/>
            </w:r>
            <w:r w:rsidRPr="00AE1F18">
              <w:rPr>
                <w:noProof/>
                <w:webHidden/>
                <w:sz w:val="32"/>
                <w:szCs w:val="32"/>
              </w:rPr>
              <w:fldChar w:fldCharType="begin"/>
            </w:r>
            <w:r w:rsidRPr="00AE1F18">
              <w:rPr>
                <w:noProof/>
                <w:webHidden/>
                <w:sz w:val="32"/>
                <w:szCs w:val="32"/>
              </w:rPr>
              <w:instrText xml:space="preserve"> PAGEREF _Toc44117306 \h </w:instrText>
            </w:r>
            <w:r w:rsidRPr="00AE1F18">
              <w:rPr>
                <w:noProof/>
                <w:webHidden/>
                <w:sz w:val="32"/>
                <w:szCs w:val="32"/>
              </w:rPr>
            </w:r>
            <w:r w:rsidRPr="00AE1F18">
              <w:rPr>
                <w:noProof/>
                <w:webHidden/>
                <w:sz w:val="32"/>
                <w:szCs w:val="32"/>
              </w:rPr>
              <w:fldChar w:fldCharType="separate"/>
            </w:r>
            <w:r w:rsidR="008B6B43">
              <w:rPr>
                <w:noProof/>
                <w:webHidden/>
                <w:sz w:val="32"/>
                <w:szCs w:val="32"/>
              </w:rPr>
              <w:t>5</w:t>
            </w:r>
            <w:r w:rsidRPr="00AE1F18">
              <w:rPr>
                <w:noProof/>
                <w:webHidden/>
                <w:sz w:val="32"/>
                <w:szCs w:val="32"/>
              </w:rPr>
              <w:fldChar w:fldCharType="end"/>
            </w:r>
          </w:hyperlink>
        </w:p>
        <w:p w14:paraId="55834DC8" w14:textId="3B080A26" w:rsidR="00AE1F18" w:rsidRPr="00AE1F18" w:rsidRDefault="00AE1F18">
          <w:pPr>
            <w:pStyle w:val="TOC2"/>
            <w:tabs>
              <w:tab w:val="right" w:leader="dot" w:pos="9350"/>
            </w:tabs>
            <w:rPr>
              <w:rFonts w:eastAsiaTheme="minorEastAsia" w:cstheme="minorBidi"/>
              <w:b w:val="0"/>
              <w:bCs w:val="0"/>
              <w:noProof/>
              <w:sz w:val="36"/>
              <w:szCs w:val="36"/>
            </w:rPr>
          </w:pPr>
          <w:hyperlink w:anchor="_Toc44117307" w:history="1">
            <w:r w:rsidRPr="00AE1F18">
              <w:rPr>
                <w:rStyle w:val="Hyperlink"/>
                <w:noProof/>
                <w:sz w:val="32"/>
                <w:szCs w:val="32"/>
              </w:rPr>
              <w:t>VEA (2009-2019)</w:t>
            </w:r>
            <w:r w:rsidRPr="00AE1F18">
              <w:rPr>
                <w:noProof/>
                <w:webHidden/>
                <w:sz w:val="32"/>
                <w:szCs w:val="32"/>
              </w:rPr>
              <w:tab/>
            </w:r>
            <w:r w:rsidRPr="00AE1F18">
              <w:rPr>
                <w:noProof/>
                <w:webHidden/>
                <w:sz w:val="32"/>
                <w:szCs w:val="32"/>
              </w:rPr>
              <w:fldChar w:fldCharType="begin"/>
            </w:r>
            <w:r w:rsidRPr="00AE1F18">
              <w:rPr>
                <w:noProof/>
                <w:webHidden/>
                <w:sz w:val="32"/>
                <w:szCs w:val="32"/>
              </w:rPr>
              <w:instrText xml:space="preserve"> PAGEREF _Toc44117307 \h </w:instrText>
            </w:r>
            <w:r w:rsidRPr="00AE1F18">
              <w:rPr>
                <w:noProof/>
                <w:webHidden/>
                <w:sz w:val="32"/>
                <w:szCs w:val="32"/>
              </w:rPr>
            </w:r>
            <w:r w:rsidRPr="00AE1F18">
              <w:rPr>
                <w:noProof/>
                <w:webHidden/>
                <w:sz w:val="32"/>
                <w:szCs w:val="32"/>
              </w:rPr>
              <w:fldChar w:fldCharType="separate"/>
            </w:r>
            <w:r w:rsidR="008B6B43">
              <w:rPr>
                <w:noProof/>
                <w:webHidden/>
                <w:sz w:val="32"/>
                <w:szCs w:val="32"/>
              </w:rPr>
              <w:t>6</w:t>
            </w:r>
            <w:r w:rsidRPr="00AE1F18">
              <w:rPr>
                <w:noProof/>
                <w:webHidden/>
                <w:sz w:val="32"/>
                <w:szCs w:val="32"/>
              </w:rPr>
              <w:fldChar w:fldCharType="end"/>
            </w:r>
          </w:hyperlink>
        </w:p>
        <w:p w14:paraId="294BDFE1" w14:textId="6EC3154B" w:rsidR="00AE1F18" w:rsidRPr="00AE1F18" w:rsidRDefault="00AE1F18">
          <w:pPr>
            <w:pStyle w:val="TOC2"/>
            <w:tabs>
              <w:tab w:val="right" w:leader="dot" w:pos="9350"/>
            </w:tabs>
            <w:rPr>
              <w:rFonts w:eastAsiaTheme="minorEastAsia" w:cstheme="minorBidi"/>
              <w:b w:val="0"/>
              <w:bCs w:val="0"/>
              <w:noProof/>
              <w:sz w:val="36"/>
              <w:szCs w:val="36"/>
            </w:rPr>
          </w:pPr>
          <w:hyperlink w:anchor="_Toc44117308" w:history="1">
            <w:r w:rsidRPr="00AE1F18">
              <w:rPr>
                <w:rStyle w:val="Hyperlink"/>
                <w:noProof/>
                <w:sz w:val="32"/>
                <w:szCs w:val="32"/>
              </w:rPr>
              <w:t>Comparing the Two Regressions:</w:t>
            </w:r>
            <w:r w:rsidRPr="00AE1F18">
              <w:rPr>
                <w:noProof/>
                <w:webHidden/>
                <w:sz w:val="32"/>
                <w:szCs w:val="32"/>
              </w:rPr>
              <w:tab/>
            </w:r>
            <w:r w:rsidRPr="00AE1F18">
              <w:rPr>
                <w:noProof/>
                <w:webHidden/>
                <w:sz w:val="32"/>
                <w:szCs w:val="32"/>
              </w:rPr>
              <w:fldChar w:fldCharType="begin"/>
            </w:r>
            <w:r w:rsidRPr="00AE1F18">
              <w:rPr>
                <w:noProof/>
                <w:webHidden/>
                <w:sz w:val="32"/>
                <w:szCs w:val="32"/>
              </w:rPr>
              <w:instrText xml:space="preserve"> PAGEREF _Toc44117308 \h </w:instrText>
            </w:r>
            <w:r w:rsidRPr="00AE1F18">
              <w:rPr>
                <w:noProof/>
                <w:webHidden/>
                <w:sz w:val="32"/>
                <w:szCs w:val="32"/>
              </w:rPr>
            </w:r>
            <w:r w:rsidRPr="00AE1F18">
              <w:rPr>
                <w:noProof/>
                <w:webHidden/>
                <w:sz w:val="32"/>
                <w:szCs w:val="32"/>
              </w:rPr>
              <w:fldChar w:fldCharType="separate"/>
            </w:r>
            <w:r w:rsidR="008B6B43">
              <w:rPr>
                <w:noProof/>
                <w:webHidden/>
                <w:sz w:val="32"/>
                <w:szCs w:val="32"/>
              </w:rPr>
              <w:t>7</w:t>
            </w:r>
            <w:r w:rsidRPr="00AE1F18">
              <w:rPr>
                <w:noProof/>
                <w:webHidden/>
                <w:sz w:val="32"/>
                <w:szCs w:val="32"/>
              </w:rPr>
              <w:fldChar w:fldCharType="end"/>
            </w:r>
          </w:hyperlink>
        </w:p>
        <w:p w14:paraId="5ED875A1" w14:textId="33C39DAB" w:rsidR="00AE1F18" w:rsidRPr="00AE1F18" w:rsidRDefault="00AE1F18">
          <w:pPr>
            <w:pStyle w:val="TOC2"/>
            <w:tabs>
              <w:tab w:val="right" w:leader="dot" w:pos="9350"/>
            </w:tabs>
            <w:rPr>
              <w:rFonts w:eastAsiaTheme="minorEastAsia" w:cstheme="minorBidi"/>
              <w:b w:val="0"/>
              <w:bCs w:val="0"/>
              <w:noProof/>
              <w:sz w:val="36"/>
              <w:szCs w:val="36"/>
            </w:rPr>
          </w:pPr>
          <w:hyperlink w:anchor="_Toc44117309" w:history="1">
            <w:r w:rsidRPr="00AE1F18">
              <w:rPr>
                <w:rStyle w:val="Hyperlink"/>
                <w:noProof/>
                <w:sz w:val="32"/>
                <w:szCs w:val="32"/>
              </w:rPr>
              <w:t>Beta-Sorted Portfolios Checking CAPM on Present Day Stock Market:</w:t>
            </w:r>
            <w:r w:rsidRPr="00AE1F18">
              <w:rPr>
                <w:noProof/>
                <w:webHidden/>
                <w:sz w:val="32"/>
                <w:szCs w:val="32"/>
              </w:rPr>
              <w:tab/>
            </w:r>
            <w:r w:rsidRPr="00AE1F18">
              <w:rPr>
                <w:noProof/>
                <w:webHidden/>
                <w:sz w:val="32"/>
                <w:szCs w:val="32"/>
              </w:rPr>
              <w:fldChar w:fldCharType="begin"/>
            </w:r>
            <w:r w:rsidRPr="00AE1F18">
              <w:rPr>
                <w:noProof/>
                <w:webHidden/>
                <w:sz w:val="32"/>
                <w:szCs w:val="32"/>
              </w:rPr>
              <w:instrText xml:space="preserve"> PAGEREF _Toc44117309 \h </w:instrText>
            </w:r>
            <w:r w:rsidRPr="00AE1F18">
              <w:rPr>
                <w:noProof/>
                <w:webHidden/>
                <w:sz w:val="32"/>
                <w:szCs w:val="32"/>
              </w:rPr>
            </w:r>
            <w:r w:rsidRPr="00AE1F18">
              <w:rPr>
                <w:noProof/>
                <w:webHidden/>
                <w:sz w:val="32"/>
                <w:szCs w:val="32"/>
              </w:rPr>
              <w:fldChar w:fldCharType="separate"/>
            </w:r>
            <w:r w:rsidR="008B6B43">
              <w:rPr>
                <w:noProof/>
                <w:webHidden/>
                <w:sz w:val="32"/>
                <w:szCs w:val="32"/>
              </w:rPr>
              <w:t>8</w:t>
            </w:r>
            <w:r w:rsidRPr="00AE1F18">
              <w:rPr>
                <w:noProof/>
                <w:webHidden/>
                <w:sz w:val="32"/>
                <w:szCs w:val="32"/>
              </w:rPr>
              <w:fldChar w:fldCharType="end"/>
            </w:r>
          </w:hyperlink>
        </w:p>
        <w:p w14:paraId="312598DA" w14:textId="5D9BABD4" w:rsidR="00AE1F18" w:rsidRPr="00AE1F18" w:rsidRDefault="00AE1F18">
          <w:pPr>
            <w:pStyle w:val="TOC2"/>
            <w:tabs>
              <w:tab w:val="right" w:leader="dot" w:pos="9350"/>
            </w:tabs>
            <w:rPr>
              <w:rFonts w:eastAsiaTheme="minorEastAsia" w:cstheme="minorBidi"/>
              <w:b w:val="0"/>
              <w:bCs w:val="0"/>
              <w:noProof/>
              <w:sz w:val="36"/>
              <w:szCs w:val="36"/>
            </w:rPr>
          </w:pPr>
          <w:hyperlink w:anchor="_Toc44117310" w:history="1">
            <w:r w:rsidRPr="00AE1F18">
              <w:rPr>
                <w:rStyle w:val="Hyperlink"/>
                <w:noProof/>
                <w:sz w:val="32"/>
                <w:szCs w:val="32"/>
              </w:rPr>
              <w:t>VEMAX (2015-2019)</w:t>
            </w:r>
            <w:r w:rsidRPr="00AE1F18">
              <w:rPr>
                <w:noProof/>
                <w:webHidden/>
                <w:sz w:val="32"/>
                <w:szCs w:val="32"/>
              </w:rPr>
              <w:tab/>
            </w:r>
            <w:r w:rsidRPr="00AE1F18">
              <w:rPr>
                <w:noProof/>
                <w:webHidden/>
                <w:sz w:val="32"/>
                <w:szCs w:val="32"/>
              </w:rPr>
              <w:fldChar w:fldCharType="begin"/>
            </w:r>
            <w:r w:rsidRPr="00AE1F18">
              <w:rPr>
                <w:noProof/>
                <w:webHidden/>
                <w:sz w:val="32"/>
                <w:szCs w:val="32"/>
              </w:rPr>
              <w:instrText xml:space="preserve"> PAGEREF _Toc44117310 \h </w:instrText>
            </w:r>
            <w:r w:rsidRPr="00AE1F18">
              <w:rPr>
                <w:noProof/>
                <w:webHidden/>
                <w:sz w:val="32"/>
                <w:szCs w:val="32"/>
              </w:rPr>
            </w:r>
            <w:r w:rsidRPr="00AE1F18">
              <w:rPr>
                <w:noProof/>
                <w:webHidden/>
                <w:sz w:val="32"/>
                <w:szCs w:val="32"/>
              </w:rPr>
              <w:fldChar w:fldCharType="separate"/>
            </w:r>
            <w:r w:rsidR="008B6B43">
              <w:rPr>
                <w:noProof/>
                <w:webHidden/>
                <w:sz w:val="32"/>
                <w:szCs w:val="32"/>
              </w:rPr>
              <w:t>9</w:t>
            </w:r>
            <w:r w:rsidRPr="00AE1F18">
              <w:rPr>
                <w:noProof/>
                <w:webHidden/>
                <w:sz w:val="32"/>
                <w:szCs w:val="32"/>
              </w:rPr>
              <w:fldChar w:fldCharType="end"/>
            </w:r>
          </w:hyperlink>
        </w:p>
        <w:p w14:paraId="0A65A43D" w14:textId="1AA893BC" w:rsidR="00AE1F18" w:rsidRPr="00AE1F18" w:rsidRDefault="00AE1F18">
          <w:pPr>
            <w:pStyle w:val="TOC2"/>
            <w:tabs>
              <w:tab w:val="right" w:leader="dot" w:pos="9350"/>
            </w:tabs>
            <w:rPr>
              <w:rFonts w:eastAsiaTheme="minorEastAsia" w:cstheme="minorBidi"/>
              <w:b w:val="0"/>
              <w:bCs w:val="0"/>
              <w:noProof/>
              <w:sz w:val="36"/>
              <w:szCs w:val="36"/>
            </w:rPr>
          </w:pPr>
          <w:hyperlink w:anchor="_Toc44117311" w:history="1">
            <w:r w:rsidRPr="00AE1F18">
              <w:rPr>
                <w:rStyle w:val="Hyperlink"/>
                <w:noProof/>
                <w:sz w:val="32"/>
                <w:szCs w:val="32"/>
              </w:rPr>
              <w:t>VEA (2015-2019)</w:t>
            </w:r>
            <w:r w:rsidRPr="00AE1F18">
              <w:rPr>
                <w:noProof/>
                <w:webHidden/>
                <w:sz w:val="32"/>
                <w:szCs w:val="32"/>
              </w:rPr>
              <w:tab/>
            </w:r>
            <w:r w:rsidRPr="00AE1F18">
              <w:rPr>
                <w:noProof/>
                <w:webHidden/>
                <w:sz w:val="32"/>
                <w:szCs w:val="32"/>
              </w:rPr>
              <w:fldChar w:fldCharType="begin"/>
            </w:r>
            <w:r w:rsidRPr="00AE1F18">
              <w:rPr>
                <w:noProof/>
                <w:webHidden/>
                <w:sz w:val="32"/>
                <w:szCs w:val="32"/>
              </w:rPr>
              <w:instrText xml:space="preserve"> PAGEREF _Toc44117311 \h </w:instrText>
            </w:r>
            <w:r w:rsidRPr="00AE1F18">
              <w:rPr>
                <w:noProof/>
                <w:webHidden/>
                <w:sz w:val="32"/>
                <w:szCs w:val="32"/>
              </w:rPr>
            </w:r>
            <w:r w:rsidRPr="00AE1F18">
              <w:rPr>
                <w:noProof/>
                <w:webHidden/>
                <w:sz w:val="32"/>
                <w:szCs w:val="32"/>
              </w:rPr>
              <w:fldChar w:fldCharType="separate"/>
            </w:r>
            <w:r w:rsidR="008B6B43">
              <w:rPr>
                <w:noProof/>
                <w:webHidden/>
                <w:sz w:val="32"/>
                <w:szCs w:val="32"/>
              </w:rPr>
              <w:t>10</w:t>
            </w:r>
            <w:r w:rsidRPr="00AE1F18">
              <w:rPr>
                <w:noProof/>
                <w:webHidden/>
                <w:sz w:val="32"/>
                <w:szCs w:val="32"/>
              </w:rPr>
              <w:fldChar w:fldCharType="end"/>
            </w:r>
          </w:hyperlink>
        </w:p>
        <w:p w14:paraId="785A5EBF" w14:textId="1B41DD1F" w:rsidR="00AE1F18" w:rsidRPr="00AE1F18" w:rsidRDefault="00AE1F18">
          <w:pPr>
            <w:pStyle w:val="TOC1"/>
            <w:tabs>
              <w:tab w:val="right" w:leader="dot" w:pos="9350"/>
            </w:tabs>
            <w:rPr>
              <w:rFonts w:eastAsiaTheme="minorEastAsia" w:cstheme="minorBidi"/>
              <w:b w:val="0"/>
              <w:bCs w:val="0"/>
              <w:i w:val="0"/>
              <w:iCs w:val="0"/>
              <w:noProof/>
              <w:sz w:val="36"/>
              <w:szCs w:val="36"/>
            </w:rPr>
          </w:pPr>
          <w:hyperlink w:anchor="_Toc44117312" w:history="1">
            <w:r w:rsidRPr="00AE1F18">
              <w:rPr>
                <w:rStyle w:val="Hyperlink"/>
                <w:noProof/>
                <w:sz w:val="36"/>
                <w:szCs w:val="36"/>
              </w:rPr>
              <w:t>SMB - Double Sorted Portfolios with an International Component:</w:t>
            </w:r>
            <w:r w:rsidRPr="00AE1F18">
              <w:rPr>
                <w:noProof/>
                <w:webHidden/>
                <w:sz w:val="36"/>
                <w:szCs w:val="36"/>
              </w:rPr>
              <w:tab/>
            </w:r>
            <w:r w:rsidRPr="00AE1F18">
              <w:rPr>
                <w:noProof/>
                <w:webHidden/>
                <w:sz w:val="36"/>
                <w:szCs w:val="36"/>
              </w:rPr>
              <w:fldChar w:fldCharType="begin"/>
            </w:r>
            <w:r w:rsidRPr="00AE1F18">
              <w:rPr>
                <w:noProof/>
                <w:webHidden/>
                <w:sz w:val="36"/>
                <w:szCs w:val="36"/>
              </w:rPr>
              <w:instrText xml:space="preserve"> PAGEREF _Toc44117312 \h </w:instrText>
            </w:r>
            <w:r w:rsidRPr="00AE1F18">
              <w:rPr>
                <w:noProof/>
                <w:webHidden/>
                <w:sz w:val="36"/>
                <w:szCs w:val="36"/>
              </w:rPr>
            </w:r>
            <w:r w:rsidRPr="00AE1F18">
              <w:rPr>
                <w:noProof/>
                <w:webHidden/>
                <w:sz w:val="36"/>
                <w:szCs w:val="36"/>
              </w:rPr>
              <w:fldChar w:fldCharType="separate"/>
            </w:r>
            <w:r w:rsidR="008B6B43">
              <w:rPr>
                <w:noProof/>
                <w:webHidden/>
                <w:sz w:val="36"/>
                <w:szCs w:val="36"/>
              </w:rPr>
              <w:t>11</w:t>
            </w:r>
            <w:r w:rsidRPr="00AE1F18">
              <w:rPr>
                <w:noProof/>
                <w:webHidden/>
                <w:sz w:val="36"/>
                <w:szCs w:val="36"/>
              </w:rPr>
              <w:fldChar w:fldCharType="end"/>
            </w:r>
          </w:hyperlink>
        </w:p>
        <w:p w14:paraId="3DF1B422" w14:textId="6D26642D" w:rsidR="00AE1F18" w:rsidRPr="00AE1F18" w:rsidRDefault="00AE1F18">
          <w:pPr>
            <w:pStyle w:val="TOC1"/>
            <w:tabs>
              <w:tab w:val="right" w:leader="dot" w:pos="9350"/>
            </w:tabs>
            <w:rPr>
              <w:rFonts w:eastAsiaTheme="minorEastAsia" w:cstheme="minorBidi"/>
              <w:b w:val="0"/>
              <w:bCs w:val="0"/>
              <w:i w:val="0"/>
              <w:iCs w:val="0"/>
              <w:noProof/>
              <w:sz w:val="36"/>
              <w:szCs w:val="36"/>
            </w:rPr>
          </w:pPr>
          <w:hyperlink w:anchor="_Toc44117313" w:history="1">
            <w:r w:rsidRPr="00AE1F18">
              <w:rPr>
                <w:rStyle w:val="Hyperlink"/>
                <w:noProof/>
                <w:sz w:val="36"/>
                <w:szCs w:val="36"/>
              </w:rPr>
              <w:t>Conclusion and Future Work:</w:t>
            </w:r>
            <w:r w:rsidRPr="00AE1F18">
              <w:rPr>
                <w:noProof/>
                <w:webHidden/>
                <w:sz w:val="36"/>
                <w:szCs w:val="36"/>
              </w:rPr>
              <w:tab/>
            </w:r>
            <w:r w:rsidRPr="00AE1F18">
              <w:rPr>
                <w:noProof/>
                <w:webHidden/>
                <w:sz w:val="36"/>
                <w:szCs w:val="36"/>
              </w:rPr>
              <w:fldChar w:fldCharType="begin"/>
            </w:r>
            <w:r w:rsidRPr="00AE1F18">
              <w:rPr>
                <w:noProof/>
                <w:webHidden/>
                <w:sz w:val="36"/>
                <w:szCs w:val="36"/>
              </w:rPr>
              <w:instrText xml:space="preserve"> PAGEREF _Toc44117313 \h </w:instrText>
            </w:r>
            <w:r w:rsidRPr="00AE1F18">
              <w:rPr>
                <w:noProof/>
                <w:webHidden/>
                <w:sz w:val="36"/>
                <w:szCs w:val="36"/>
              </w:rPr>
            </w:r>
            <w:r w:rsidRPr="00AE1F18">
              <w:rPr>
                <w:noProof/>
                <w:webHidden/>
                <w:sz w:val="36"/>
                <w:szCs w:val="36"/>
              </w:rPr>
              <w:fldChar w:fldCharType="separate"/>
            </w:r>
            <w:r w:rsidR="008B6B43">
              <w:rPr>
                <w:noProof/>
                <w:webHidden/>
                <w:sz w:val="36"/>
                <w:szCs w:val="36"/>
              </w:rPr>
              <w:t>13</w:t>
            </w:r>
            <w:r w:rsidRPr="00AE1F18">
              <w:rPr>
                <w:noProof/>
                <w:webHidden/>
                <w:sz w:val="36"/>
                <w:szCs w:val="36"/>
              </w:rPr>
              <w:fldChar w:fldCharType="end"/>
            </w:r>
          </w:hyperlink>
        </w:p>
        <w:p w14:paraId="7C9841CF" w14:textId="02C027E9" w:rsidR="00AE1F18" w:rsidRPr="00AE1F18" w:rsidRDefault="00AE1F18">
          <w:pPr>
            <w:pStyle w:val="TOC1"/>
            <w:tabs>
              <w:tab w:val="right" w:leader="dot" w:pos="9350"/>
            </w:tabs>
            <w:rPr>
              <w:rFonts w:eastAsiaTheme="minorEastAsia" w:cstheme="minorBidi"/>
              <w:b w:val="0"/>
              <w:bCs w:val="0"/>
              <w:i w:val="0"/>
              <w:iCs w:val="0"/>
              <w:noProof/>
              <w:sz w:val="36"/>
              <w:szCs w:val="36"/>
            </w:rPr>
          </w:pPr>
          <w:hyperlink w:anchor="_Toc44117314" w:history="1">
            <w:r w:rsidRPr="00AE1F18">
              <w:rPr>
                <w:rStyle w:val="Hyperlink"/>
                <w:noProof/>
                <w:sz w:val="36"/>
                <w:szCs w:val="36"/>
              </w:rPr>
              <w:t>Acknowledgements:</w:t>
            </w:r>
            <w:r w:rsidRPr="00AE1F18">
              <w:rPr>
                <w:noProof/>
                <w:webHidden/>
                <w:sz w:val="36"/>
                <w:szCs w:val="36"/>
              </w:rPr>
              <w:tab/>
            </w:r>
            <w:r w:rsidRPr="00AE1F18">
              <w:rPr>
                <w:noProof/>
                <w:webHidden/>
                <w:sz w:val="36"/>
                <w:szCs w:val="36"/>
              </w:rPr>
              <w:fldChar w:fldCharType="begin"/>
            </w:r>
            <w:r w:rsidRPr="00AE1F18">
              <w:rPr>
                <w:noProof/>
                <w:webHidden/>
                <w:sz w:val="36"/>
                <w:szCs w:val="36"/>
              </w:rPr>
              <w:instrText xml:space="preserve"> PAGEREF _Toc44117314 \h </w:instrText>
            </w:r>
            <w:r w:rsidRPr="00AE1F18">
              <w:rPr>
                <w:noProof/>
                <w:webHidden/>
                <w:sz w:val="36"/>
                <w:szCs w:val="36"/>
              </w:rPr>
            </w:r>
            <w:r w:rsidRPr="00AE1F18">
              <w:rPr>
                <w:noProof/>
                <w:webHidden/>
                <w:sz w:val="36"/>
                <w:szCs w:val="36"/>
              </w:rPr>
              <w:fldChar w:fldCharType="separate"/>
            </w:r>
            <w:r w:rsidR="008B6B43">
              <w:rPr>
                <w:noProof/>
                <w:webHidden/>
                <w:sz w:val="36"/>
                <w:szCs w:val="36"/>
              </w:rPr>
              <w:t>13</w:t>
            </w:r>
            <w:r w:rsidRPr="00AE1F18">
              <w:rPr>
                <w:noProof/>
                <w:webHidden/>
                <w:sz w:val="36"/>
                <w:szCs w:val="36"/>
              </w:rPr>
              <w:fldChar w:fldCharType="end"/>
            </w:r>
          </w:hyperlink>
        </w:p>
        <w:p w14:paraId="78218AA5" w14:textId="2A8A06CD" w:rsidR="00AE1F18" w:rsidRPr="00AE1F18" w:rsidRDefault="00AE1F18">
          <w:pPr>
            <w:pStyle w:val="TOC1"/>
            <w:tabs>
              <w:tab w:val="right" w:leader="dot" w:pos="9350"/>
            </w:tabs>
            <w:rPr>
              <w:rFonts w:eastAsiaTheme="minorEastAsia" w:cstheme="minorBidi"/>
              <w:b w:val="0"/>
              <w:bCs w:val="0"/>
              <w:i w:val="0"/>
              <w:iCs w:val="0"/>
              <w:noProof/>
              <w:sz w:val="36"/>
              <w:szCs w:val="36"/>
            </w:rPr>
          </w:pPr>
          <w:hyperlink w:anchor="_Toc44117315" w:history="1">
            <w:r w:rsidRPr="00AE1F18">
              <w:rPr>
                <w:rStyle w:val="Hyperlink"/>
                <w:noProof/>
                <w:sz w:val="36"/>
                <w:szCs w:val="36"/>
              </w:rPr>
              <w:t>References:</w:t>
            </w:r>
            <w:r w:rsidRPr="00AE1F18">
              <w:rPr>
                <w:noProof/>
                <w:webHidden/>
                <w:sz w:val="36"/>
                <w:szCs w:val="36"/>
              </w:rPr>
              <w:tab/>
            </w:r>
            <w:r w:rsidRPr="00AE1F18">
              <w:rPr>
                <w:noProof/>
                <w:webHidden/>
                <w:sz w:val="36"/>
                <w:szCs w:val="36"/>
              </w:rPr>
              <w:fldChar w:fldCharType="begin"/>
            </w:r>
            <w:r w:rsidRPr="00AE1F18">
              <w:rPr>
                <w:noProof/>
                <w:webHidden/>
                <w:sz w:val="36"/>
                <w:szCs w:val="36"/>
              </w:rPr>
              <w:instrText xml:space="preserve"> PAGEREF _Toc44117315 \h </w:instrText>
            </w:r>
            <w:r w:rsidRPr="00AE1F18">
              <w:rPr>
                <w:noProof/>
                <w:webHidden/>
                <w:sz w:val="36"/>
                <w:szCs w:val="36"/>
              </w:rPr>
            </w:r>
            <w:r w:rsidRPr="00AE1F18">
              <w:rPr>
                <w:noProof/>
                <w:webHidden/>
                <w:sz w:val="36"/>
                <w:szCs w:val="36"/>
              </w:rPr>
              <w:fldChar w:fldCharType="separate"/>
            </w:r>
            <w:r w:rsidR="008B6B43">
              <w:rPr>
                <w:noProof/>
                <w:webHidden/>
                <w:sz w:val="36"/>
                <w:szCs w:val="36"/>
              </w:rPr>
              <w:t>14</w:t>
            </w:r>
            <w:r w:rsidRPr="00AE1F18">
              <w:rPr>
                <w:noProof/>
                <w:webHidden/>
                <w:sz w:val="36"/>
                <w:szCs w:val="36"/>
              </w:rPr>
              <w:fldChar w:fldCharType="end"/>
            </w:r>
          </w:hyperlink>
        </w:p>
        <w:p w14:paraId="37037887" w14:textId="19B9C5A0" w:rsidR="00AE1F18" w:rsidRDefault="00AE1F18">
          <w:r w:rsidRPr="00AE1F18">
            <w:rPr>
              <w:b/>
              <w:bCs/>
              <w:noProof/>
              <w:sz w:val="36"/>
              <w:szCs w:val="36"/>
            </w:rPr>
            <w:fldChar w:fldCharType="end"/>
          </w:r>
        </w:p>
      </w:sdtContent>
    </w:sdt>
    <w:p w14:paraId="7C49CAD1" w14:textId="77777777" w:rsidR="00E23BA6" w:rsidRPr="007166A5" w:rsidRDefault="00E23BA6" w:rsidP="00C42606">
      <w:pPr>
        <w:ind w:firstLine="720"/>
        <w:rPr>
          <w:sz w:val="28"/>
          <w:szCs w:val="28"/>
        </w:rPr>
      </w:pPr>
    </w:p>
    <w:p w14:paraId="17D1BDAF" w14:textId="77777777" w:rsidR="00E23BA6" w:rsidRDefault="00E23BA6" w:rsidP="00C42606">
      <w:pPr>
        <w:ind w:firstLine="720"/>
        <w:rPr>
          <w:sz w:val="26"/>
          <w:szCs w:val="26"/>
        </w:rPr>
      </w:pPr>
    </w:p>
    <w:p w14:paraId="4F355B48" w14:textId="77777777" w:rsidR="00E23BA6" w:rsidRDefault="00E23BA6" w:rsidP="00C42606">
      <w:pPr>
        <w:ind w:firstLine="720"/>
        <w:rPr>
          <w:sz w:val="26"/>
          <w:szCs w:val="26"/>
        </w:rPr>
      </w:pPr>
    </w:p>
    <w:p w14:paraId="6F848D01" w14:textId="77777777" w:rsidR="00E23BA6" w:rsidRDefault="00E23BA6" w:rsidP="00C42606">
      <w:pPr>
        <w:ind w:firstLine="720"/>
        <w:rPr>
          <w:sz w:val="26"/>
          <w:szCs w:val="26"/>
        </w:rPr>
      </w:pPr>
    </w:p>
    <w:p w14:paraId="7E54CB0A" w14:textId="77777777" w:rsidR="00E23BA6" w:rsidRDefault="00E23BA6" w:rsidP="00C42606">
      <w:pPr>
        <w:ind w:firstLine="720"/>
        <w:rPr>
          <w:sz w:val="26"/>
          <w:szCs w:val="26"/>
        </w:rPr>
      </w:pPr>
    </w:p>
    <w:p w14:paraId="57137A2C" w14:textId="77777777" w:rsidR="00E23BA6" w:rsidRDefault="00E23BA6" w:rsidP="00C42606">
      <w:pPr>
        <w:ind w:firstLine="720"/>
        <w:rPr>
          <w:sz w:val="26"/>
          <w:szCs w:val="26"/>
        </w:rPr>
      </w:pPr>
    </w:p>
    <w:p w14:paraId="1CA3C1B1" w14:textId="77777777" w:rsidR="00E23BA6" w:rsidRDefault="00E23BA6" w:rsidP="00C42606">
      <w:pPr>
        <w:ind w:firstLine="720"/>
        <w:rPr>
          <w:sz w:val="26"/>
          <w:szCs w:val="26"/>
        </w:rPr>
      </w:pPr>
    </w:p>
    <w:p w14:paraId="302011BA" w14:textId="77777777" w:rsidR="00E23BA6" w:rsidRDefault="00E23BA6" w:rsidP="00C42606">
      <w:pPr>
        <w:ind w:firstLine="720"/>
        <w:rPr>
          <w:sz w:val="26"/>
          <w:szCs w:val="26"/>
        </w:rPr>
      </w:pPr>
    </w:p>
    <w:p w14:paraId="28A2411F" w14:textId="77777777" w:rsidR="00E23BA6" w:rsidRDefault="00E23BA6" w:rsidP="00C42606">
      <w:pPr>
        <w:ind w:firstLine="720"/>
        <w:rPr>
          <w:sz w:val="26"/>
          <w:szCs w:val="26"/>
        </w:rPr>
      </w:pPr>
    </w:p>
    <w:p w14:paraId="628CBB48" w14:textId="77777777" w:rsidR="00AE1F18" w:rsidRPr="00AE1F18" w:rsidRDefault="00AE1F18" w:rsidP="00AE1F18"/>
    <w:p w14:paraId="16328947" w14:textId="74FFE86F" w:rsidR="00C24237" w:rsidRPr="00CA33F8" w:rsidRDefault="00A104FF" w:rsidP="00AE1F18">
      <w:pPr>
        <w:pStyle w:val="Heading1"/>
        <w:rPr>
          <w:sz w:val="40"/>
          <w:szCs w:val="40"/>
        </w:rPr>
      </w:pPr>
      <w:bookmarkStart w:id="0" w:name="_Toc44117303"/>
      <w:r w:rsidRPr="00CA33F8">
        <w:rPr>
          <w:sz w:val="40"/>
          <w:szCs w:val="40"/>
        </w:rPr>
        <w:lastRenderedPageBreak/>
        <w:t>Abstract</w:t>
      </w:r>
      <w:r w:rsidR="00C24237" w:rsidRPr="00CA33F8">
        <w:rPr>
          <w:sz w:val="40"/>
          <w:szCs w:val="40"/>
        </w:rPr>
        <w:t>:</w:t>
      </w:r>
      <w:bookmarkEnd w:id="0"/>
    </w:p>
    <w:p w14:paraId="03CB40B3" w14:textId="77777777" w:rsidR="000802E1" w:rsidRPr="007166A5" w:rsidRDefault="000802E1">
      <w:pPr>
        <w:rPr>
          <w:sz w:val="28"/>
          <w:szCs w:val="28"/>
        </w:rPr>
      </w:pPr>
    </w:p>
    <w:p w14:paraId="602E33A1" w14:textId="1EDABB91" w:rsidR="00C24237" w:rsidRPr="007166A5" w:rsidRDefault="00AF3CE8" w:rsidP="00C42606">
      <w:pPr>
        <w:ind w:firstLine="720"/>
        <w:rPr>
          <w:sz w:val="28"/>
          <w:szCs w:val="28"/>
        </w:rPr>
      </w:pPr>
      <w:r w:rsidRPr="007166A5">
        <w:rPr>
          <w:sz w:val="28"/>
          <w:szCs w:val="28"/>
        </w:rPr>
        <w:t xml:space="preserve">With the inspiration of the Fama and French Three Factor Model, we decided to observe </w:t>
      </w:r>
      <w:r w:rsidR="00C42606" w:rsidRPr="007166A5">
        <w:rPr>
          <w:sz w:val="28"/>
          <w:szCs w:val="28"/>
        </w:rPr>
        <w:t xml:space="preserve">the Capital Asset Pricing Model with an emphasis on </w:t>
      </w:r>
      <w:r w:rsidR="00155B5A" w:rsidRPr="007166A5">
        <w:rPr>
          <w:sz w:val="28"/>
          <w:szCs w:val="28"/>
        </w:rPr>
        <w:t>three</w:t>
      </w:r>
      <w:r w:rsidR="00C42606" w:rsidRPr="007166A5">
        <w:rPr>
          <w:sz w:val="28"/>
          <w:szCs w:val="28"/>
        </w:rPr>
        <w:t xml:space="preserve"> main factors: the size of the firm</w:t>
      </w:r>
      <w:r w:rsidR="00155B5A" w:rsidRPr="007166A5">
        <w:rPr>
          <w:sz w:val="28"/>
          <w:szCs w:val="28"/>
        </w:rPr>
        <w:t xml:space="preserve"> based on market capitalization, their security’s average annual excess returns, </w:t>
      </w:r>
      <w:r w:rsidR="00C42606" w:rsidRPr="007166A5">
        <w:rPr>
          <w:sz w:val="28"/>
          <w:szCs w:val="28"/>
        </w:rPr>
        <w:t>and the international exposure the firm has</w:t>
      </w:r>
      <w:r w:rsidR="00155B5A" w:rsidRPr="007166A5">
        <w:rPr>
          <w:sz w:val="28"/>
          <w:szCs w:val="28"/>
        </w:rPr>
        <w:t xml:space="preserve"> on two separate indices (VEA and VEMAX)</w:t>
      </w:r>
      <w:r w:rsidR="00C42606" w:rsidRPr="007166A5">
        <w:rPr>
          <w:sz w:val="28"/>
          <w:szCs w:val="28"/>
        </w:rPr>
        <w:t>. We did this by running regress</w:t>
      </w:r>
      <w:r w:rsidR="00155B5A" w:rsidRPr="007166A5">
        <w:rPr>
          <w:sz w:val="28"/>
          <w:szCs w:val="28"/>
        </w:rPr>
        <w:t>i</w:t>
      </w:r>
      <w:r w:rsidR="00C42606" w:rsidRPr="007166A5">
        <w:rPr>
          <w:sz w:val="28"/>
          <w:szCs w:val="28"/>
        </w:rPr>
        <w:t>ons o</w:t>
      </w:r>
      <w:r w:rsidR="00155B5A" w:rsidRPr="007166A5">
        <w:rPr>
          <w:sz w:val="28"/>
          <w:szCs w:val="28"/>
        </w:rPr>
        <w:t>n</w:t>
      </w:r>
      <w:r w:rsidR="00C42606" w:rsidRPr="007166A5">
        <w:rPr>
          <w:sz w:val="28"/>
          <w:szCs w:val="28"/>
        </w:rPr>
        <w:t xml:space="preserve"> thousands of stocks listed on the NYSE, NASDAQ, and AMEX exchanges. These regressions were used to</w:t>
      </w:r>
      <w:r w:rsidRPr="007166A5">
        <w:rPr>
          <w:sz w:val="28"/>
          <w:szCs w:val="28"/>
        </w:rPr>
        <w:t xml:space="preserve"> calculate beta and gamma coefficients of</w:t>
      </w:r>
      <w:r w:rsidR="00A47E12" w:rsidRPr="007166A5">
        <w:rPr>
          <w:sz w:val="28"/>
          <w:szCs w:val="28"/>
        </w:rPr>
        <w:t xml:space="preserve"> </w:t>
      </w:r>
      <w:r w:rsidR="00C42606" w:rsidRPr="007166A5">
        <w:rPr>
          <w:sz w:val="28"/>
          <w:szCs w:val="28"/>
        </w:rPr>
        <w:t xml:space="preserve">all the stocks </w:t>
      </w:r>
      <w:r w:rsidR="00A47E12" w:rsidRPr="007166A5">
        <w:rPr>
          <w:sz w:val="28"/>
          <w:szCs w:val="28"/>
        </w:rPr>
        <w:t xml:space="preserve">with security price data from </w:t>
      </w:r>
      <w:r w:rsidR="00C42606" w:rsidRPr="007166A5">
        <w:rPr>
          <w:sz w:val="28"/>
          <w:szCs w:val="28"/>
        </w:rPr>
        <w:t xml:space="preserve">two distinct time windows: </w:t>
      </w:r>
      <w:r w:rsidR="00A47E12" w:rsidRPr="007166A5">
        <w:rPr>
          <w:sz w:val="28"/>
          <w:szCs w:val="28"/>
        </w:rPr>
        <w:t>2015 to 2019</w:t>
      </w:r>
      <w:r w:rsidR="00C42606" w:rsidRPr="007166A5">
        <w:rPr>
          <w:sz w:val="28"/>
          <w:szCs w:val="28"/>
        </w:rPr>
        <w:t xml:space="preserve"> and 2009 to 2019</w:t>
      </w:r>
      <w:r w:rsidR="00A47E12" w:rsidRPr="007166A5">
        <w:rPr>
          <w:sz w:val="28"/>
          <w:szCs w:val="28"/>
        </w:rPr>
        <w:t xml:space="preserve">. All the data was recovered using pandas datareader through yahoo finance’s API. Using python and statsmodels API, </w:t>
      </w:r>
      <w:r w:rsidR="00A104FF" w:rsidRPr="007166A5">
        <w:rPr>
          <w:sz w:val="28"/>
          <w:szCs w:val="28"/>
        </w:rPr>
        <w:t>we</w:t>
      </w:r>
      <w:r w:rsidR="00A47E12" w:rsidRPr="007166A5">
        <w:rPr>
          <w:sz w:val="28"/>
          <w:szCs w:val="28"/>
        </w:rPr>
        <w:t xml:space="preserve"> ran a regression for all the stocks to find their </w:t>
      </w:r>
      <w:r w:rsidR="00012CEC">
        <w:rPr>
          <w:sz w:val="28"/>
          <w:szCs w:val="28"/>
        </w:rPr>
        <w:t>b</w:t>
      </w:r>
      <w:r w:rsidR="00A47E12" w:rsidRPr="007166A5">
        <w:rPr>
          <w:sz w:val="28"/>
          <w:szCs w:val="28"/>
        </w:rPr>
        <w:t xml:space="preserve">eta and </w:t>
      </w:r>
      <w:r w:rsidR="00012CEC">
        <w:rPr>
          <w:sz w:val="28"/>
          <w:szCs w:val="28"/>
        </w:rPr>
        <w:t>g</w:t>
      </w:r>
      <w:r w:rsidR="00A47E12" w:rsidRPr="007166A5">
        <w:rPr>
          <w:sz w:val="28"/>
          <w:szCs w:val="28"/>
        </w:rPr>
        <w:t xml:space="preserve">amma coefficients. Beta was the stock’s market risk to the S&amp;P 500 and the </w:t>
      </w:r>
      <w:r w:rsidR="00012CEC">
        <w:rPr>
          <w:sz w:val="28"/>
          <w:szCs w:val="28"/>
        </w:rPr>
        <w:t>g</w:t>
      </w:r>
      <w:r w:rsidR="00A47E12" w:rsidRPr="007166A5">
        <w:rPr>
          <w:sz w:val="28"/>
          <w:szCs w:val="28"/>
        </w:rPr>
        <w:t>amma coefficient was the international exposure using Vanguard’s FTSE Developed Markets Index (VEA</w:t>
      </w:r>
      <w:r w:rsidR="00A104FF" w:rsidRPr="007166A5">
        <w:rPr>
          <w:sz w:val="28"/>
          <w:szCs w:val="28"/>
        </w:rPr>
        <w:t>) and Vanguard’s Emerging Markets Stock Index</w:t>
      </w:r>
      <w:r w:rsidR="00C42606" w:rsidRPr="007166A5">
        <w:rPr>
          <w:sz w:val="28"/>
          <w:szCs w:val="28"/>
        </w:rPr>
        <w:t xml:space="preserve"> (VEMAX)</w:t>
      </w:r>
      <w:r w:rsidR="00A47E12" w:rsidRPr="007166A5">
        <w:rPr>
          <w:sz w:val="28"/>
          <w:szCs w:val="28"/>
        </w:rPr>
        <w:t>. VEA has holdings primarily in European and Pacific-based companies</w:t>
      </w:r>
      <w:r w:rsidR="00A104FF" w:rsidRPr="007166A5">
        <w:rPr>
          <w:sz w:val="28"/>
          <w:szCs w:val="28"/>
        </w:rPr>
        <w:t xml:space="preserve"> while VEMAX has Alibaba and Tencent Holdings as their two highest in terms of percentage of total assets. </w:t>
      </w:r>
      <w:r w:rsidR="00A47E12" w:rsidRPr="007166A5">
        <w:rPr>
          <w:sz w:val="28"/>
          <w:szCs w:val="28"/>
        </w:rPr>
        <w:t xml:space="preserve">We wanted to examine if more exposure to the international markets would lead to more average </w:t>
      </w:r>
      <w:r w:rsidR="00C42606" w:rsidRPr="007166A5">
        <w:rPr>
          <w:sz w:val="28"/>
          <w:szCs w:val="28"/>
        </w:rPr>
        <w:t>annual excess</w:t>
      </w:r>
      <w:r w:rsidR="00A47E12" w:rsidRPr="007166A5">
        <w:rPr>
          <w:sz w:val="28"/>
          <w:szCs w:val="28"/>
        </w:rPr>
        <w:t xml:space="preserve"> returns</w:t>
      </w:r>
      <w:r w:rsidR="00C42606" w:rsidRPr="007166A5">
        <w:rPr>
          <w:sz w:val="28"/>
          <w:szCs w:val="28"/>
        </w:rPr>
        <w:t xml:space="preserve"> to the risk-free rate</w:t>
      </w:r>
      <w:r w:rsidR="00A47E12" w:rsidRPr="007166A5">
        <w:rPr>
          <w:sz w:val="28"/>
          <w:szCs w:val="28"/>
        </w:rPr>
        <w:t xml:space="preserve">. The beta and gamma of each security was calculated </w:t>
      </w:r>
      <w:r w:rsidR="00C42606" w:rsidRPr="007166A5">
        <w:rPr>
          <w:sz w:val="28"/>
          <w:szCs w:val="28"/>
        </w:rPr>
        <w:t xml:space="preserve">monthly </w:t>
      </w:r>
      <w:r w:rsidR="00A47E12" w:rsidRPr="007166A5">
        <w:rPr>
          <w:sz w:val="28"/>
          <w:szCs w:val="28"/>
        </w:rPr>
        <w:t xml:space="preserve">over a </w:t>
      </w:r>
      <w:r w:rsidR="000D7976" w:rsidRPr="007166A5">
        <w:rPr>
          <w:sz w:val="28"/>
          <w:szCs w:val="28"/>
        </w:rPr>
        <w:t>seven-year period (2009-2015)</w:t>
      </w:r>
      <w:r w:rsidR="000D7976">
        <w:rPr>
          <w:sz w:val="28"/>
          <w:szCs w:val="28"/>
        </w:rPr>
        <w:t xml:space="preserve"> </w:t>
      </w:r>
      <w:r w:rsidR="00C42606" w:rsidRPr="007166A5">
        <w:rPr>
          <w:sz w:val="28"/>
          <w:szCs w:val="28"/>
        </w:rPr>
        <w:t xml:space="preserve">for the first backtest and a </w:t>
      </w:r>
      <w:r w:rsidR="000D7976" w:rsidRPr="007166A5">
        <w:rPr>
          <w:sz w:val="28"/>
          <w:szCs w:val="28"/>
        </w:rPr>
        <w:t>three-year period (2015-2017)</w:t>
      </w:r>
      <w:r w:rsidR="000D7976">
        <w:rPr>
          <w:sz w:val="28"/>
          <w:szCs w:val="28"/>
        </w:rPr>
        <w:t xml:space="preserve"> </w:t>
      </w:r>
      <w:r w:rsidR="00C42606" w:rsidRPr="007166A5">
        <w:rPr>
          <w:sz w:val="28"/>
          <w:szCs w:val="28"/>
        </w:rPr>
        <w:t>for the second backtest</w:t>
      </w:r>
      <w:r w:rsidR="00A47E12" w:rsidRPr="007166A5">
        <w:rPr>
          <w:sz w:val="28"/>
          <w:szCs w:val="28"/>
        </w:rPr>
        <w:t xml:space="preserve">. Before </w:t>
      </w:r>
      <w:r w:rsidR="00A104FF" w:rsidRPr="007166A5">
        <w:rPr>
          <w:sz w:val="28"/>
          <w:szCs w:val="28"/>
        </w:rPr>
        <w:t>we</w:t>
      </w:r>
      <w:r w:rsidR="00A47E12" w:rsidRPr="007166A5">
        <w:rPr>
          <w:sz w:val="28"/>
          <w:szCs w:val="28"/>
        </w:rPr>
        <w:t xml:space="preserve"> put the stocks into ten different portfolios, we decided to pursue a market capitalization weighted portfolio taken from </w:t>
      </w:r>
      <w:r w:rsidR="000D7976" w:rsidRPr="007166A5">
        <w:rPr>
          <w:sz w:val="28"/>
          <w:szCs w:val="28"/>
        </w:rPr>
        <w:t xml:space="preserve">December </w:t>
      </w:r>
      <w:proofErr w:type="gramStart"/>
      <w:r w:rsidR="000D7976" w:rsidRPr="007166A5">
        <w:rPr>
          <w:sz w:val="28"/>
          <w:szCs w:val="28"/>
        </w:rPr>
        <w:t xml:space="preserve">2015 </w:t>
      </w:r>
      <w:r w:rsidR="000D7976">
        <w:rPr>
          <w:sz w:val="28"/>
          <w:szCs w:val="28"/>
        </w:rPr>
        <w:t xml:space="preserve"> </w:t>
      </w:r>
      <w:r w:rsidR="00C42606" w:rsidRPr="007166A5">
        <w:rPr>
          <w:sz w:val="28"/>
          <w:szCs w:val="28"/>
        </w:rPr>
        <w:t>(</w:t>
      </w:r>
      <w:proofErr w:type="gramEnd"/>
      <w:r w:rsidR="00C42606" w:rsidRPr="007166A5">
        <w:rPr>
          <w:sz w:val="28"/>
          <w:szCs w:val="28"/>
        </w:rPr>
        <w:t xml:space="preserve">first backtest) and </w:t>
      </w:r>
      <w:r w:rsidR="000D7976" w:rsidRPr="007166A5">
        <w:rPr>
          <w:sz w:val="28"/>
          <w:szCs w:val="28"/>
        </w:rPr>
        <w:t>December of 2017</w:t>
      </w:r>
      <w:r w:rsidR="000D7976">
        <w:rPr>
          <w:sz w:val="28"/>
          <w:szCs w:val="28"/>
        </w:rPr>
        <w:t xml:space="preserve"> </w:t>
      </w:r>
      <w:r w:rsidR="00C42606" w:rsidRPr="007166A5">
        <w:rPr>
          <w:sz w:val="28"/>
          <w:szCs w:val="28"/>
        </w:rPr>
        <w:t>(second backtest)</w:t>
      </w:r>
      <w:r w:rsidR="00A47E12" w:rsidRPr="007166A5">
        <w:rPr>
          <w:sz w:val="28"/>
          <w:szCs w:val="28"/>
        </w:rPr>
        <w:t xml:space="preserve">. The gamma of each stock was then sorted based on the market cap weighted gammas into ten portfolios. Portfolio 0 had the highest weighted gammas and Portfolio </w:t>
      </w:r>
      <w:r w:rsidR="00155B5A" w:rsidRPr="007166A5">
        <w:rPr>
          <w:sz w:val="28"/>
          <w:szCs w:val="28"/>
        </w:rPr>
        <w:t>9</w:t>
      </w:r>
      <w:r w:rsidR="00A47E12" w:rsidRPr="007166A5">
        <w:rPr>
          <w:sz w:val="28"/>
          <w:szCs w:val="28"/>
        </w:rPr>
        <w:t xml:space="preserve"> had the lowest weighted gammas. </w:t>
      </w:r>
      <w:r w:rsidR="00155B5A" w:rsidRPr="007166A5">
        <w:rPr>
          <w:sz w:val="28"/>
          <w:szCs w:val="28"/>
        </w:rPr>
        <w:t xml:space="preserve">We also made separate backtests for portfolios based on their weighted beta coefficients to compare with the studies of Fama and French. </w:t>
      </w:r>
      <w:r w:rsidR="004B6522">
        <w:rPr>
          <w:sz w:val="28"/>
          <w:szCs w:val="28"/>
        </w:rPr>
        <w:t>We also explored the size factor of firms and their exposure to the international markets. For this, the portfolios were equally weighted and there were 15 portfolios. The stocks were double sorted</w:t>
      </w:r>
      <w:r w:rsidR="00012CEC">
        <w:rPr>
          <w:sz w:val="28"/>
          <w:szCs w:val="28"/>
        </w:rPr>
        <w:t>,</w:t>
      </w:r>
      <w:r w:rsidR="004B6522">
        <w:rPr>
          <w:sz w:val="28"/>
          <w:szCs w:val="28"/>
        </w:rPr>
        <w:t xml:space="preserve"> first based on market cap size (small, medium, big), then sorted by their respective gammas or international exposure to the VEA or VEMAX index. </w:t>
      </w:r>
    </w:p>
    <w:p w14:paraId="20A71887" w14:textId="73501C51" w:rsidR="00C24237" w:rsidRDefault="00C24237"/>
    <w:p w14:paraId="20DB53ED" w14:textId="4BF9AB92" w:rsidR="00CA33F8" w:rsidRDefault="00CA33F8" w:rsidP="00CA33F8">
      <w:pPr>
        <w:pStyle w:val="Heading1"/>
      </w:pPr>
    </w:p>
    <w:p w14:paraId="4437E7E4" w14:textId="77777777" w:rsidR="00AE1F18" w:rsidRPr="00AE1F18" w:rsidRDefault="00AE1F18" w:rsidP="00AE1F18"/>
    <w:p w14:paraId="6BC6C7B6" w14:textId="419589FC" w:rsidR="001021F6" w:rsidRPr="00CA33F8" w:rsidRDefault="00C42606" w:rsidP="00CA33F8">
      <w:pPr>
        <w:pStyle w:val="Heading1"/>
        <w:rPr>
          <w:sz w:val="40"/>
          <w:szCs w:val="40"/>
        </w:rPr>
      </w:pPr>
      <w:bookmarkStart w:id="1" w:name="_Toc44117304"/>
      <w:r w:rsidRPr="00CA33F8">
        <w:rPr>
          <w:sz w:val="40"/>
          <w:szCs w:val="40"/>
        </w:rPr>
        <w:lastRenderedPageBreak/>
        <w:t>Overview:</w:t>
      </w:r>
      <w:bookmarkEnd w:id="1"/>
    </w:p>
    <w:p w14:paraId="0C02C53B" w14:textId="519A5341" w:rsidR="00C42606" w:rsidRPr="007166A5" w:rsidRDefault="001021F6" w:rsidP="001021F6">
      <w:pPr>
        <w:rPr>
          <w:sz w:val="28"/>
          <w:szCs w:val="28"/>
        </w:rPr>
      </w:pPr>
      <w:r>
        <w:rPr>
          <w:sz w:val="28"/>
          <w:szCs w:val="28"/>
        </w:rPr>
        <w:t xml:space="preserve">          </w:t>
      </w:r>
    </w:p>
    <w:p w14:paraId="6155220D" w14:textId="6BAE5490" w:rsidR="00C42606" w:rsidRPr="007166A5" w:rsidRDefault="00C42606" w:rsidP="00155B5A">
      <w:pPr>
        <w:ind w:firstLine="720"/>
        <w:rPr>
          <w:sz w:val="28"/>
          <w:szCs w:val="28"/>
        </w:rPr>
      </w:pPr>
      <w:r w:rsidRPr="007166A5">
        <w:rPr>
          <w:sz w:val="28"/>
          <w:szCs w:val="28"/>
        </w:rPr>
        <w:t>The Capital Asset Pricing Model is a formula used in finance to calculate the</w:t>
      </w:r>
      <w:r w:rsidR="001021F6">
        <w:rPr>
          <w:sz w:val="28"/>
          <w:szCs w:val="28"/>
        </w:rPr>
        <w:t xml:space="preserve"> </w:t>
      </w:r>
      <w:r w:rsidRPr="007166A5">
        <w:rPr>
          <w:sz w:val="28"/>
          <w:szCs w:val="28"/>
        </w:rPr>
        <w:t xml:space="preserve">expected returns of securities given their risk to the overall market, usually using the S&amp;P 500 index. The coefficient that measures a security’s risk to the market is called the beta. When a beta is over one, the security is said to be riskier than the market. When the beta of a security is below one and above zero, it is supposed to lower the </w:t>
      </w:r>
      <w:r w:rsidR="00012CEC">
        <w:rPr>
          <w:sz w:val="28"/>
          <w:szCs w:val="28"/>
        </w:rPr>
        <w:t xml:space="preserve">systemic </w:t>
      </w:r>
      <w:r w:rsidRPr="007166A5">
        <w:rPr>
          <w:sz w:val="28"/>
          <w:szCs w:val="28"/>
        </w:rPr>
        <w:t>risk of the portfolio. Previous research studies have been performed to examine if the model is a good indicator to excess returns of stocks here in the United States. One of these studies was the Fama and French Three Factor Model. This was an expansion to the asset pricing model, CAPM. Its factors were the overall size of the companies, the book to market values and the excess returns to the market.</w:t>
      </w:r>
      <w:r w:rsidR="002C22E0">
        <w:rPr>
          <w:sz w:val="28"/>
          <w:szCs w:val="28"/>
        </w:rPr>
        <w:t xml:space="preserve"> Fama and French believed that two main portfolio characteristics would lead to an alpha greater than zero. To have an alpha greater than zero, returns must be greater than that of what the CAPM suggests. These two characteristics were included in their three-factor model. They were stocks that had a relatively small market cap and stocks with high book to market ratios (value stocks).</w:t>
      </w:r>
      <w:r w:rsidRPr="007166A5">
        <w:rPr>
          <w:sz w:val="28"/>
          <w:szCs w:val="28"/>
        </w:rPr>
        <w:t xml:space="preserve"> </w:t>
      </w:r>
      <w:r w:rsidR="002C22E0">
        <w:rPr>
          <w:sz w:val="28"/>
          <w:szCs w:val="28"/>
        </w:rPr>
        <w:t>Basically, t</w:t>
      </w:r>
      <w:r w:rsidRPr="007166A5">
        <w:rPr>
          <w:sz w:val="28"/>
          <w:szCs w:val="28"/>
        </w:rPr>
        <w:t xml:space="preserve">his study in 1992 uncovered that value stocks outperform growth stocks and smaller companies’ stocks outperform larger companies. </w:t>
      </w:r>
      <w:r w:rsidR="002C22E0">
        <w:rPr>
          <w:sz w:val="28"/>
          <w:szCs w:val="28"/>
        </w:rPr>
        <w:t xml:space="preserve">Their study </w:t>
      </w:r>
      <w:r w:rsidR="008B6B43">
        <w:rPr>
          <w:sz w:val="28"/>
          <w:szCs w:val="28"/>
        </w:rPr>
        <w:t xml:space="preserve">determined that a good strategy would require a long-short strategy. They would be long on portfolios with high book to market values and short on portfolios that had low book to market values. Also, a long position would be held on portfolios made up of small cap stocks and short positions on portfolios with large cap stocks. </w:t>
      </w:r>
      <w:r w:rsidRPr="007166A5">
        <w:rPr>
          <w:sz w:val="28"/>
          <w:szCs w:val="28"/>
        </w:rPr>
        <w:t xml:space="preserve">In </w:t>
      </w:r>
      <w:r w:rsidR="00444EDF">
        <w:rPr>
          <w:sz w:val="28"/>
          <w:szCs w:val="28"/>
        </w:rPr>
        <w:t>our</w:t>
      </w:r>
      <w:r w:rsidRPr="007166A5">
        <w:rPr>
          <w:sz w:val="28"/>
          <w:szCs w:val="28"/>
        </w:rPr>
        <w:t xml:space="preserve"> study we check if this still exists today as well as looking at companies’ exposure to international markets. </w:t>
      </w:r>
      <w:r w:rsidR="00444EDF">
        <w:rPr>
          <w:sz w:val="28"/>
          <w:szCs w:val="28"/>
        </w:rPr>
        <w:t>We explore if an international exposure factor or the size of the firm</w:t>
      </w:r>
      <w:r w:rsidR="002C22E0">
        <w:rPr>
          <w:sz w:val="28"/>
          <w:szCs w:val="28"/>
        </w:rPr>
        <w:t>, with any respect to the volatility of the entire market (VIX),</w:t>
      </w:r>
      <w:r w:rsidR="00444EDF">
        <w:rPr>
          <w:sz w:val="28"/>
          <w:szCs w:val="28"/>
        </w:rPr>
        <w:t xml:space="preserve"> has any effect on </w:t>
      </w:r>
      <w:r w:rsidR="008B6B43">
        <w:rPr>
          <w:sz w:val="28"/>
          <w:szCs w:val="28"/>
        </w:rPr>
        <w:t xml:space="preserve">average annual </w:t>
      </w:r>
      <w:r w:rsidR="00012CEC">
        <w:rPr>
          <w:sz w:val="28"/>
          <w:szCs w:val="28"/>
        </w:rPr>
        <w:t>excess returns</w:t>
      </w:r>
      <w:r w:rsidR="002C22E0">
        <w:rPr>
          <w:sz w:val="28"/>
          <w:szCs w:val="28"/>
        </w:rPr>
        <w:t xml:space="preserve">. </w:t>
      </w:r>
      <w:r w:rsidR="008B6B43">
        <w:rPr>
          <w:sz w:val="28"/>
          <w:szCs w:val="28"/>
        </w:rPr>
        <w:t xml:space="preserve">Companies with high international reach are normally companies that have been around for a long time with enough resources to provide their products or services globally. International reach also provides a firm with diversification to different systemic risks and political conflicts which could benefit a firm long term with sustainability and consistency. </w:t>
      </w:r>
    </w:p>
    <w:p w14:paraId="18B99621" w14:textId="1A0840B7" w:rsidR="00C42606" w:rsidRPr="007166A5" w:rsidRDefault="00C42606">
      <w:pPr>
        <w:rPr>
          <w:sz w:val="28"/>
          <w:szCs w:val="28"/>
        </w:rPr>
      </w:pPr>
    </w:p>
    <w:p w14:paraId="49A766D9" w14:textId="36217FC7" w:rsidR="00C42606" w:rsidRPr="007166A5" w:rsidRDefault="00C42606">
      <w:pPr>
        <w:rPr>
          <w:b/>
          <w:bCs/>
          <w:sz w:val="28"/>
          <w:szCs w:val="28"/>
        </w:rPr>
      </w:pPr>
    </w:p>
    <w:p w14:paraId="3E2FD32E" w14:textId="4BC5560A" w:rsidR="00C42606" w:rsidRPr="007166A5" w:rsidRDefault="00C42606">
      <w:pPr>
        <w:rPr>
          <w:b/>
          <w:bCs/>
          <w:sz w:val="28"/>
          <w:szCs w:val="28"/>
        </w:rPr>
      </w:pPr>
    </w:p>
    <w:p w14:paraId="6C829EAA" w14:textId="6A0DC236" w:rsidR="00C42606" w:rsidRPr="007166A5" w:rsidRDefault="00C42606">
      <w:pPr>
        <w:rPr>
          <w:b/>
          <w:bCs/>
          <w:sz w:val="28"/>
          <w:szCs w:val="28"/>
        </w:rPr>
      </w:pPr>
    </w:p>
    <w:p w14:paraId="2CE08588" w14:textId="3C6F8C2C" w:rsidR="00C42606" w:rsidRDefault="00C42606">
      <w:pPr>
        <w:rPr>
          <w:b/>
          <w:bCs/>
          <w:sz w:val="32"/>
          <w:szCs w:val="32"/>
        </w:rPr>
      </w:pPr>
    </w:p>
    <w:p w14:paraId="1E613EB1" w14:textId="13AEC373" w:rsidR="00C42606" w:rsidRDefault="00C42606">
      <w:pPr>
        <w:rPr>
          <w:b/>
          <w:bCs/>
          <w:sz w:val="32"/>
          <w:szCs w:val="32"/>
        </w:rPr>
      </w:pPr>
    </w:p>
    <w:p w14:paraId="3EDDFB58" w14:textId="77777777" w:rsidR="00AE1F18" w:rsidRPr="00AE1F18" w:rsidRDefault="00AE1F18" w:rsidP="00AE1F18"/>
    <w:p w14:paraId="635B4FDA" w14:textId="2FC7E63A" w:rsidR="000802E1" w:rsidRPr="00CA33F8" w:rsidRDefault="000802E1" w:rsidP="00CA33F8">
      <w:pPr>
        <w:pStyle w:val="Heading1"/>
        <w:rPr>
          <w:sz w:val="40"/>
          <w:szCs w:val="40"/>
        </w:rPr>
      </w:pPr>
      <w:bookmarkStart w:id="2" w:name="_Toc44117305"/>
      <w:r w:rsidRPr="00CA33F8">
        <w:rPr>
          <w:sz w:val="40"/>
          <w:szCs w:val="40"/>
        </w:rPr>
        <w:lastRenderedPageBreak/>
        <w:t>Data and Calculations:</w:t>
      </w:r>
      <w:bookmarkEnd w:id="2"/>
    </w:p>
    <w:p w14:paraId="1F3DB426" w14:textId="77777777" w:rsidR="000802E1" w:rsidRPr="005B31CE" w:rsidRDefault="000802E1">
      <w:pPr>
        <w:rPr>
          <w:sz w:val="28"/>
          <w:szCs w:val="28"/>
        </w:rPr>
      </w:pPr>
    </w:p>
    <w:p w14:paraId="4923564C" w14:textId="23D1ACED" w:rsidR="000802E1" w:rsidRPr="005B31CE" w:rsidRDefault="000802E1" w:rsidP="00155B5A">
      <w:pPr>
        <w:ind w:firstLine="720"/>
        <w:rPr>
          <w:sz w:val="28"/>
          <w:szCs w:val="28"/>
        </w:rPr>
      </w:pPr>
      <w:r w:rsidRPr="005B31CE">
        <w:rPr>
          <w:sz w:val="28"/>
          <w:szCs w:val="28"/>
        </w:rPr>
        <w:t>There were three places where data was pulled from: Wharton Research</w:t>
      </w:r>
      <w:r w:rsidR="001021F6">
        <w:rPr>
          <w:sz w:val="28"/>
          <w:szCs w:val="28"/>
        </w:rPr>
        <w:t xml:space="preserve"> </w:t>
      </w:r>
      <w:r w:rsidRPr="005B31CE">
        <w:rPr>
          <w:sz w:val="28"/>
          <w:szCs w:val="28"/>
        </w:rPr>
        <w:t>Data Services, Yahoo Finance API, and the Kenneth R. French Data Library. All calculations were used in python’s libraries with the regressions run in statsmodels paired with a for loop to find the beta and gamma coefficients from the year 20</w:t>
      </w:r>
      <w:r w:rsidR="004334B4" w:rsidRPr="005B31CE">
        <w:rPr>
          <w:sz w:val="28"/>
          <w:szCs w:val="28"/>
        </w:rPr>
        <w:t>09</w:t>
      </w:r>
      <w:r w:rsidRPr="005B31CE">
        <w:rPr>
          <w:sz w:val="28"/>
          <w:szCs w:val="28"/>
        </w:rPr>
        <w:t xml:space="preserve"> to 201</w:t>
      </w:r>
      <w:r w:rsidR="004334B4" w:rsidRPr="005B31CE">
        <w:rPr>
          <w:sz w:val="28"/>
          <w:szCs w:val="28"/>
        </w:rPr>
        <w:t>5</w:t>
      </w:r>
      <w:r w:rsidRPr="005B31CE">
        <w:rPr>
          <w:sz w:val="28"/>
          <w:szCs w:val="28"/>
        </w:rPr>
        <w:t xml:space="preserve"> and the annual excess returns were pulled from the years of 201</w:t>
      </w:r>
      <w:r w:rsidR="004334B4" w:rsidRPr="005B31CE">
        <w:rPr>
          <w:sz w:val="28"/>
          <w:szCs w:val="28"/>
        </w:rPr>
        <w:t>6</w:t>
      </w:r>
      <w:r w:rsidRPr="005B31CE">
        <w:rPr>
          <w:sz w:val="28"/>
          <w:szCs w:val="28"/>
        </w:rPr>
        <w:t xml:space="preserve"> to 2019. Market capitalization of all the stocks was calculated by multiplying the stock’s price in December </w:t>
      </w:r>
      <w:r w:rsidR="004334B4" w:rsidRPr="005B31CE">
        <w:rPr>
          <w:sz w:val="28"/>
          <w:szCs w:val="28"/>
        </w:rPr>
        <w:t>31</w:t>
      </w:r>
      <w:r w:rsidRPr="005B31CE">
        <w:rPr>
          <w:sz w:val="28"/>
          <w:szCs w:val="28"/>
        </w:rPr>
        <w:t>, 201</w:t>
      </w:r>
      <w:r w:rsidR="004334B4" w:rsidRPr="005B31CE">
        <w:rPr>
          <w:sz w:val="28"/>
          <w:szCs w:val="28"/>
        </w:rPr>
        <w:t>5</w:t>
      </w:r>
      <w:r w:rsidRPr="005B31CE">
        <w:rPr>
          <w:sz w:val="28"/>
          <w:szCs w:val="28"/>
        </w:rPr>
        <w:t xml:space="preserve"> by their total shares outstanding from that same date. The ten portfolios were sorted by market-cap weighted gamma values. The higher gammas were placed into portfolio 0 and the lowest gammas were placed into portfolio </w:t>
      </w:r>
      <w:r w:rsidR="00155B5A" w:rsidRPr="005B31CE">
        <w:rPr>
          <w:sz w:val="28"/>
          <w:szCs w:val="28"/>
        </w:rPr>
        <w:t>9</w:t>
      </w:r>
      <w:r w:rsidRPr="005B31CE">
        <w:rPr>
          <w:sz w:val="28"/>
          <w:szCs w:val="28"/>
        </w:rPr>
        <w:t xml:space="preserve">. 10 new portfolios were created based on market-cap weighted betas. These are represented as the red dots in the scatter plot. The blue line is representing the excess return of the S&amp;P 500 index. The color bar in the graph shows that the portfolios with an average gamma that is highest is colored yellow while the portfolio with the lowest average gamma is colored purple. </w:t>
      </w:r>
      <w:r w:rsidR="00012CEC">
        <w:rPr>
          <w:sz w:val="28"/>
          <w:szCs w:val="28"/>
        </w:rPr>
        <w:t>The regression formula is below.</w:t>
      </w:r>
    </w:p>
    <w:p w14:paraId="1B47ECB3" w14:textId="446B24DC" w:rsidR="000802E1" w:rsidRDefault="000802E1"/>
    <w:p w14:paraId="5D71D919" w14:textId="73A2715D" w:rsidR="00B0525B" w:rsidRDefault="00AE1F18">
      <m:oMathPara>
        <m:oMath>
          <m:sSub>
            <m:sSubPr>
              <m:ctrlPr>
                <w:rPr>
                  <w:rFonts w:ascii="Cambria Math" w:eastAsiaTheme="minorHAnsi" w:hAnsi="Cambria Math"/>
                  <w:i/>
                  <w:sz w:val="28"/>
                  <w:szCs w:val="28"/>
                </w:rPr>
              </m:ctrlPr>
            </m:sSubPr>
            <m:e>
              <m:r>
                <w:rPr>
                  <w:rFonts w:ascii="Cambria Math" w:hAnsi="Cambria Math"/>
                  <w:sz w:val="28"/>
                  <w:szCs w:val="28"/>
                </w:rPr>
                <m:t>r</m:t>
              </m:r>
            </m:e>
            <m:sub>
              <m:r>
                <w:rPr>
                  <w:rFonts w:ascii="Cambria Math" w:hAnsi="Cambria Math"/>
                  <w:sz w:val="28"/>
                  <w:szCs w:val="28"/>
                </w:rPr>
                <m:t>jt</m:t>
              </m:r>
            </m:sub>
          </m:sSub>
          <m:r>
            <w:rPr>
              <w:rFonts w:ascii="Cambria Math" w:hAnsi="Cambria Math"/>
              <w:sz w:val="28"/>
              <w:szCs w:val="28"/>
            </w:rPr>
            <m:t>=</m:t>
          </m:r>
          <m:sSub>
            <m:sSubPr>
              <m:ctrlPr>
                <w:rPr>
                  <w:rFonts w:ascii="Cambria Math" w:eastAsiaTheme="minorHAnsi" w:hAnsi="Cambria Math"/>
                  <w:i/>
                  <w:sz w:val="28"/>
                  <w:szCs w:val="28"/>
                </w:rPr>
              </m:ctrlPr>
            </m:sSubPr>
            <m:e>
              <m:r>
                <w:rPr>
                  <w:rFonts w:ascii="Cambria Math" w:hAnsi="Cambria Math"/>
                  <w:sz w:val="28"/>
                  <w:szCs w:val="28"/>
                </w:rPr>
                <m:t>α</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β</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r</m:t>
              </m:r>
            </m:e>
            <m:sub>
              <m:r>
                <w:rPr>
                  <w:rFonts w:ascii="Cambria Math" w:hAnsi="Cambria Math"/>
                  <w:sz w:val="28"/>
                  <w:szCs w:val="28"/>
                </w:rPr>
                <m:t xml:space="preserve">m,t </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γ</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r</m:t>
              </m:r>
            </m:e>
            <m:sub>
              <m:r>
                <w:rPr>
                  <w:rFonts w:ascii="Cambria Math" w:hAnsi="Cambria Math"/>
                  <w:sz w:val="28"/>
                  <w:szCs w:val="28"/>
                </w:rPr>
                <m:t xml:space="preserve">intl, t  </m:t>
              </m:r>
            </m:sub>
          </m:sSub>
          <m:r>
            <w:rPr>
              <w:rFonts w:ascii="Cambria Math" w:eastAsiaTheme="minorHAnsi" w:hAnsi="Cambria Math"/>
              <w:sz w:val="28"/>
              <w:szCs w:val="28"/>
            </w:rPr>
            <m:t xml:space="preserve">+ </m:t>
          </m:r>
          <m:sSub>
            <m:sSubPr>
              <m:ctrlPr>
                <w:rPr>
                  <w:rFonts w:ascii="Cambria Math" w:eastAsiaTheme="minorHAnsi" w:hAnsi="Cambria Math"/>
                  <w:i/>
                  <w:sz w:val="28"/>
                  <w:szCs w:val="28"/>
                </w:rPr>
              </m:ctrlPr>
            </m:sSubPr>
            <m:e>
              <m:r>
                <w:rPr>
                  <w:rFonts w:ascii="Cambria Math" w:eastAsiaTheme="minorHAnsi" w:hAnsi="Cambria Math"/>
                  <w:sz w:val="28"/>
                  <w:szCs w:val="28"/>
                </w:rPr>
                <m:t>ε</m:t>
              </m:r>
            </m:e>
            <m:sub>
              <m:r>
                <w:rPr>
                  <w:rFonts w:ascii="Cambria Math" w:eastAsiaTheme="minorHAnsi" w:hAnsi="Cambria Math"/>
                  <w:sz w:val="28"/>
                  <w:szCs w:val="28"/>
                </w:rPr>
                <m:t>jt</m:t>
              </m:r>
            </m:sub>
          </m:sSub>
        </m:oMath>
      </m:oMathPara>
    </w:p>
    <w:p w14:paraId="551C5B1C" w14:textId="77777777" w:rsidR="00300EED" w:rsidRDefault="00300EED" w:rsidP="00E23BA6">
      <w:pPr>
        <w:tabs>
          <w:tab w:val="left" w:pos="918"/>
          <w:tab w:val="left" w:pos="1440"/>
          <w:tab w:val="left" w:pos="2160"/>
          <w:tab w:val="left" w:pos="6282"/>
        </w:tabs>
        <w:jc w:val="center"/>
      </w:pPr>
    </w:p>
    <w:p w14:paraId="4E1B450C" w14:textId="4378B199" w:rsidR="00300EED" w:rsidRPr="00AE1F18" w:rsidRDefault="00300EED" w:rsidP="00AE1F18">
      <w:pPr>
        <w:pStyle w:val="Heading2"/>
        <w:jc w:val="center"/>
        <w:rPr>
          <w:sz w:val="32"/>
          <w:szCs w:val="32"/>
        </w:rPr>
      </w:pPr>
      <w:bookmarkStart w:id="3" w:name="_Toc44117306"/>
      <w:r w:rsidRPr="00AE1F18">
        <w:rPr>
          <w:sz w:val="32"/>
          <w:szCs w:val="32"/>
        </w:rPr>
        <w:t>VEMAX</w:t>
      </w:r>
      <w:r w:rsidR="00AE1F18">
        <w:rPr>
          <w:sz w:val="32"/>
          <w:szCs w:val="32"/>
        </w:rPr>
        <w:t xml:space="preserve"> (2009-2019)</w:t>
      </w:r>
      <w:bookmarkEnd w:id="3"/>
    </w:p>
    <w:p w14:paraId="1BD5ED57" w14:textId="0D909A8E" w:rsidR="00300EED" w:rsidRDefault="00300EED" w:rsidP="00E23BA6">
      <w:pPr>
        <w:tabs>
          <w:tab w:val="left" w:pos="918"/>
          <w:tab w:val="left" w:pos="1440"/>
          <w:tab w:val="left" w:pos="2160"/>
          <w:tab w:val="left" w:pos="6282"/>
        </w:tabs>
        <w:jc w:val="center"/>
      </w:pPr>
      <w:r>
        <w:rPr>
          <w:noProof/>
        </w:rPr>
        <w:drawing>
          <wp:anchor distT="0" distB="0" distL="114300" distR="114300" simplePos="0" relativeHeight="251664384" behindDoc="0" locked="0" layoutInCell="1" allowOverlap="1" wp14:anchorId="1EC23BA4" wp14:editId="53FC3AC4">
            <wp:simplePos x="0" y="0"/>
            <wp:positionH relativeFrom="column">
              <wp:posOffset>562707</wp:posOffset>
            </wp:positionH>
            <wp:positionV relativeFrom="paragraph">
              <wp:posOffset>210869</wp:posOffset>
            </wp:positionV>
            <wp:extent cx="5097780" cy="2827020"/>
            <wp:effectExtent l="0" t="0" r="0" b="5080"/>
            <wp:wrapSquare wrapText="bothSides"/>
            <wp:docPr id="10" name="Picture 9">
              <a:extLst xmlns:a="http://schemas.openxmlformats.org/drawingml/2006/main">
                <a:ext uri="{FF2B5EF4-FFF2-40B4-BE49-F238E27FC236}">
                  <a16:creationId xmlns:a16="http://schemas.microsoft.com/office/drawing/2014/main" id="{D9CFD384-D321-FC41-AA82-82ECE7C07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9CFD384-D321-FC41-AA82-82ECE7C07E9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97780" cy="2827020"/>
                    </a:xfrm>
                    <a:prstGeom prst="rect">
                      <a:avLst/>
                    </a:prstGeom>
                  </pic:spPr>
                </pic:pic>
              </a:graphicData>
            </a:graphic>
            <wp14:sizeRelH relativeFrom="page">
              <wp14:pctWidth>0</wp14:pctWidth>
            </wp14:sizeRelH>
            <wp14:sizeRelV relativeFrom="page">
              <wp14:pctHeight>0</wp14:pctHeight>
            </wp14:sizeRelV>
          </wp:anchor>
        </w:drawing>
      </w:r>
    </w:p>
    <w:p w14:paraId="08141F27" w14:textId="59397D81" w:rsidR="004334B4" w:rsidRDefault="004334B4"/>
    <w:p w14:paraId="7A0BE739" w14:textId="61DA6A69" w:rsidR="00E23BA6" w:rsidRDefault="00D774A0" w:rsidP="004334B4">
      <w:pPr>
        <w:tabs>
          <w:tab w:val="left" w:pos="1260"/>
        </w:tabs>
      </w:pPr>
      <w:r>
        <w:tab/>
      </w:r>
    </w:p>
    <w:p w14:paraId="1AEF16FB" w14:textId="55EDB6F4" w:rsidR="00E23BA6" w:rsidRDefault="00E23BA6" w:rsidP="004334B4">
      <w:pPr>
        <w:tabs>
          <w:tab w:val="left" w:pos="1260"/>
        </w:tabs>
      </w:pPr>
    </w:p>
    <w:p w14:paraId="17021912" w14:textId="77777777" w:rsidR="00300EED" w:rsidRDefault="00300EED" w:rsidP="00307B78">
      <w:pPr>
        <w:tabs>
          <w:tab w:val="left" w:pos="1260"/>
        </w:tabs>
        <w:jc w:val="both"/>
        <w:rPr>
          <w:sz w:val="28"/>
          <w:szCs w:val="28"/>
        </w:rPr>
      </w:pPr>
    </w:p>
    <w:p w14:paraId="58485B4A" w14:textId="167C98DF" w:rsidR="00E23BA6" w:rsidRPr="005B31CE" w:rsidRDefault="001021F6" w:rsidP="00307B78">
      <w:pPr>
        <w:tabs>
          <w:tab w:val="left" w:pos="1260"/>
        </w:tabs>
        <w:jc w:val="both"/>
        <w:rPr>
          <w:sz w:val="28"/>
          <w:szCs w:val="28"/>
        </w:rPr>
      </w:pPr>
      <w:r>
        <w:rPr>
          <w:sz w:val="28"/>
          <w:szCs w:val="28"/>
        </w:rPr>
        <w:lastRenderedPageBreak/>
        <w:t xml:space="preserve">          </w:t>
      </w:r>
      <w:r w:rsidR="00E23BA6" w:rsidRPr="005B31CE">
        <w:rPr>
          <w:sz w:val="28"/>
          <w:szCs w:val="28"/>
        </w:rPr>
        <w:t xml:space="preserve">The emerging markets index (VEMAX) </w:t>
      </w:r>
      <w:r w:rsidR="00307B78" w:rsidRPr="005B31CE">
        <w:rPr>
          <w:sz w:val="28"/>
          <w:szCs w:val="28"/>
        </w:rPr>
        <w:t xml:space="preserve">is shown above. The yellow dot is the portfolio with the highest weighted gamma. The purple dot that is below the blue S&amp;P 500 annual return line is the lowest gamma portfolio. This scatterplot shows that the portfolio with the higher exposure to an international emerging market index experienced higher average annual returns when compared to portfolios with lower weighted gammas. The highest gamma portfolio also experienced higher returns than what the Capital Asset Pricing Model suggests. </w:t>
      </w:r>
      <w:r w:rsidR="00012CEC">
        <w:rPr>
          <w:sz w:val="28"/>
          <w:szCs w:val="28"/>
        </w:rPr>
        <w:t xml:space="preserve">CAPM suggests that Portfolio 0 had a beta of 0.366, so the expected return should have been 6.40%. Portfolio 0 had a </w:t>
      </w:r>
      <w:r w:rsidR="000D7976">
        <w:rPr>
          <w:sz w:val="28"/>
          <w:szCs w:val="28"/>
        </w:rPr>
        <w:t xml:space="preserve">11.05% return which is a 4.66% weighted return in excess of CAPM. </w:t>
      </w:r>
    </w:p>
    <w:p w14:paraId="2475CB7B" w14:textId="38A25FB5" w:rsidR="00E23BA6" w:rsidRDefault="00E23BA6" w:rsidP="004334B4">
      <w:pPr>
        <w:tabs>
          <w:tab w:val="left" w:pos="1260"/>
        </w:tabs>
      </w:pPr>
    </w:p>
    <w:p w14:paraId="232B1827" w14:textId="66484B21" w:rsidR="00E23BA6" w:rsidRDefault="00E23BA6" w:rsidP="004334B4">
      <w:pPr>
        <w:tabs>
          <w:tab w:val="left" w:pos="1260"/>
        </w:tabs>
      </w:pPr>
    </w:p>
    <w:p w14:paraId="12D06ADD" w14:textId="5873A241" w:rsidR="00E23BA6" w:rsidRDefault="00E23BA6" w:rsidP="004334B4">
      <w:pPr>
        <w:tabs>
          <w:tab w:val="left" w:pos="1260"/>
        </w:tabs>
      </w:pPr>
    </w:p>
    <w:p w14:paraId="14107D59" w14:textId="4606DD46" w:rsidR="00E23BA6" w:rsidRPr="00AE1F18" w:rsidRDefault="00FB510A" w:rsidP="00AE1F18">
      <w:pPr>
        <w:pStyle w:val="Heading2"/>
        <w:jc w:val="center"/>
        <w:rPr>
          <w:sz w:val="32"/>
          <w:szCs w:val="32"/>
        </w:rPr>
      </w:pPr>
      <w:bookmarkStart w:id="4" w:name="_Toc44117307"/>
      <w:r w:rsidRPr="00AE1F18">
        <w:rPr>
          <w:sz w:val="32"/>
          <w:szCs w:val="32"/>
        </w:rPr>
        <w:t>VEA</w:t>
      </w:r>
      <w:r w:rsidR="00AE1F18">
        <w:rPr>
          <w:sz w:val="32"/>
          <w:szCs w:val="32"/>
        </w:rPr>
        <w:t xml:space="preserve"> (2009-2019)</w:t>
      </w:r>
      <w:bookmarkEnd w:id="4"/>
    </w:p>
    <w:p w14:paraId="4BA6EB87" w14:textId="10639615" w:rsidR="00FB510A" w:rsidRDefault="00AE1F18" w:rsidP="004334B4">
      <w:pPr>
        <w:tabs>
          <w:tab w:val="left" w:pos="1260"/>
        </w:tabs>
      </w:pPr>
      <w:r w:rsidRPr="00AE1F18">
        <w:rPr>
          <w:noProof/>
          <w:sz w:val="32"/>
          <w:szCs w:val="32"/>
        </w:rPr>
        <w:drawing>
          <wp:anchor distT="0" distB="0" distL="114300" distR="114300" simplePos="0" relativeHeight="251665408" behindDoc="0" locked="0" layoutInCell="1" allowOverlap="1" wp14:anchorId="00376EA9" wp14:editId="53209EE5">
            <wp:simplePos x="0" y="0"/>
            <wp:positionH relativeFrom="column">
              <wp:posOffset>224790</wp:posOffset>
            </wp:positionH>
            <wp:positionV relativeFrom="paragraph">
              <wp:posOffset>230163</wp:posOffset>
            </wp:positionV>
            <wp:extent cx="5380990" cy="3263265"/>
            <wp:effectExtent l="0" t="0" r="3810" b="635"/>
            <wp:wrapSquare wrapText="bothSides"/>
            <wp:docPr id="12" name="Picture 11">
              <a:extLst xmlns:a="http://schemas.openxmlformats.org/drawingml/2006/main">
                <a:ext uri="{FF2B5EF4-FFF2-40B4-BE49-F238E27FC236}">
                  <a16:creationId xmlns:a16="http://schemas.microsoft.com/office/drawing/2014/main" id="{0DC3C6A6-6A0B-0049-B10E-1B2CBC0190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DC3C6A6-6A0B-0049-B10E-1B2CBC01908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80990" cy="3263265"/>
                    </a:xfrm>
                    <a:prstGeom prst="rect">
                      <a:avLst/>
                    </a:prstGeom>
                  </pic:spPr>
                </pic:pic>
              </a:graphicData>
            </a:graphic>
            <wp14:sizeRelH relativeFrom="page">
              <wp14:pctWidth>0</wp14:pctWidth>
            </wp14:sizeRelH>
            <wp14:sizeRelV relativeFrom="page">
              <wp14:pctHeight>0</wp14:pctHeight>
            </wp14:sizeRelV>
          </wp:anchor>
        </w:drawing>
      </w:r>
    </w:p>
    <w:p w14:paraId="4BD11A86" w14:textId="77777777" w:rsidR="00301793" w:rsidRPr="005B31CE" w:rsidRDefault="00301793" w:rsidP="004334B4">
      <w:pPr>
        <w:tabs>
          <w:tab w:val="left" w:pos="1260"/>
        </w:tabs>
      </w:pPr>
    </w:p>
    <w:p w14:paraId="2FEB82BB" w14:textId="4D2A6FE3" w:rsidR="00301793" w:rsidRPr="005B31CE" w:rsidRDefault="001021F6" w:rsidP="004334B4">
      <w:pPr>
        <w:tabs>
          <w:tab w:val="left" w:pos="1260"/>
        </w:tabs>
        <w:rPr>
          <w:sz w:val="28"/>
          <w:szCs w:val="28"/>
        </w:rPr>
      </w:pPr>
      <w:r>
        <w:rPr>
          <w:sz w:val="28"/>
          <w:szCs w:val="28"/>
        </w:rPr>
        <w:t xml:space="preserve">          </w:t>
      </w:r>
      <w:r w:rsidR="00A46761" w:rsidRPr="005B31CE">
        <w:rPr>
          <w:sz w:val="28"/>
          <w:szCs w:val="28"/>
        </w:rPr>
        <w:t xml:space="preserve">The developed international market regression was less deviating from the Capital Asset Pricing Model. The portfolios were around the same returns as the CAPM suggested. The highest gamma portfolio in this scenario was below what the CAPM suggests.  </w:t>
      </w:r>
      <w:r w:rsidR="000D7976">
        <w:rPr>
          <w:sz w:val="28"/>
          <w:szCs w:val="28"/>
        </w:rPr>
        <w:t>In this scenario</w:t>
      </w:r>
      <w:r w:rsidR="00FB510A" w:rsidRPr="005B31CE">
        <w:rPr>
          <w:sz w:val="28"/>
          <w:szCs w:val="28"/>
        </w:rPr>
        <w:t xml:space="preserve">, a portfolio with higher international exposure to a developed economy </w:t>
      </w:r>
      <w:r w:rsidR="000D7976">
        <w:rPr>
          <w:sz w:val="28"/>
          <w:szCs w:val="28"/>
        </w:rPr>
        <w:t>did</w:t>
      </w:r>
      <w:r w:rsidR="00FB510A" w:rsidRPr="005B31CE">
        <w:rPr>
          <w:sz w:val="28"/>
          <w:szCs w:val="28"/>
        </w:rPr>
        <w:t xml:space="preserve"> </w:t>
      </w:r>
      <w:r w:rsidR="000D7976">
        <w:rPr>
          <w:sz w:val="28"/>
          <w:szCs w:val="28"/>
        </w:rPr>
        <w:t>not produce</w:t>
      </w:r>
      <w:r w:rsidR="00FB510A" w:rsidRPr="005B31CE">
        <w:rPr>
          <w:sz w:val="28"/>
          <w:szCs w:val="28"/>
        </w:rPr>
        <w:t xml:space="preserve"> returns greater than that of what the CAPM suggests. </w:t>
      </w:r>
      <w:r w:rsidR="000D7976">
        <w:rPr>
          <w:sz w:val="28"/>
          <w:szCs w:val="28"/>
        </w:rPr>
        <w:t xml:space="preserve">Furthermore, this relates to a realization in our data that will be touched on later; when the gammas of stocks are more deviating in a specific time window or given a certain index, then the expected weighted returns show more deviation in excess on what the capital asset pricing model suggests. This </w:t>
      </w:r>
      <w:r w:rsidR="000D7976">
        <w:rPr>
          <w:sz w:val="28"/>
          <w:szCs w:val="28"/>
        </w:rPr>
        <w:lastRenderedPageBreak/>
        <w:t xml:space="preserve">trend will be more pronounced in the backtests that that have a three-year coefficient portfolio time window. </w:t>
      </w:r>
    </w:p>
    <w:p w14:paraId="5DE2AD65" w14:textId="77777777" w:rsidR="00B83C30" w:rsidRDefault="00B83C30" w:rsidP="004334B4">
      <w:pPr>
        <w:tabs>
          <w:tab w:val="left" w:pos="1260"/>
        </w:tabs>
        <w:rPr>
          <w:sz w:val="28"/>
          <w:szCs w:val="28"/>
        </w:rPr>
      </w:pPr>
    </w:p>
    <w:p w14:paraId="4208A5B7" w14:textId="77777777" w:rsidR="00B83C30" w:rsidRDefault="00B83C30" w:rsidP="004334B4">
      <w:pPr>
        <w:tabs>
          <w:tab w:val="left" w:pos="1260"/>
        </w:tabs>
        <w:rPr>
          <w:sz w:val="28"/>
          <w:szCs w:val="28"/>
        </w:rPr>
      </w:pPr>
    </w:p>
    <w:p w14:paraId="67EE2F15" w14:textId="76C7B5F9" w:rsidR="00301793" w:rsidRPr="00AE1F18" w:rsidRDefault="00301793" w:rsidP="00AE1F18">
      <w:pPr>
        <w:pStyle w:val="Heading2"/>
        <w:jc w:val="center"/>
        <w:rPr>
          <w:sz w:val="32"/>
          <w:szCs w:val="32"/>
        </w:rPr>
      </w:pPr>
      <w:bookmarkStart w:id="5" w:name="_Toc44117308"/>
      <w:r w:rsidRPr="00AE1F18">
        <w:rPr>
          <w:sz w:val="32"/>
          <w:szCs w:val="32"/>
        </w:rPr>
        <w:t xml:space="preserve">Comparing the </w:t>
      </w:r>
      <w:r w:rsidR="00640F67" w:rsidRPr="00AE1F18">
        <w:rPr>
          <w:sz w:val="32"/>
          <w:szCs w:val="32"/>
        </w:rPr>
        <w:t>T</w:t>
      </w:r>
      <w:r w:rsidRPr="00AE1F18">
        <w:rPr>
          <w:sz w:val="32"/>
          <w:szCs w:val="32"/>
        </w:rPr>
        <w:t>wo Regressions:</w:t>
      </w:r>
      <w:bookmarkEnd w:id="5"/>
    </w:p>
    <w:p w14:paraId="588EBCF0" w14:textId="77777777" w:rsidR="00301793" w:rsidRPr="005B31CE" w:rsidRDefault="00301793" w:rsidP="004334B4">
      <w:pPr>
        <w:tabs>
          <w:tab w:val="left" w:pos="1260"/>
        </w:tabs>
        <w:rPr>
          <w:sz w:val="28"/>
          <w:szCs w:val="28"/>
        </w:rPr>
      </w:pPr>
    </w:p>
    <w:p w14:paraId="0FCE2898" w14:textId="046AD636" w:rsidR="007166A5" w:rsidRPr="005B31CE" w:rsidRDefault="001021F6" w:rsidP="005B31CE">
      <w:pPr>
        <w:tabs>
          <w:tab w:val="left" w:pos="1260"/>
        </w:tabs>
        <w:rPr>
          <w:sz w:val="28"/>
          <w:szCs w:val="28"/>
        </w:rPr>
      </w:pPr>
      <w:r>
        <w:rPr>
          <w:sz w:val="28"/>
          <w:szCs w:val="28"/>
        </w:rPr>
        <w:t xml:space="preserve">          </w:t>
      </w:r>
      <w:r w:rsidR="00FB510A" w:rsidRPr="005B31CE">
        <w:rPr>
          <w:sz w:val="28"/>
          <w:szCs w:val="28"/>
        </w:rPr>
        <w:t xml:space="preserve">For this ten year backtest, the </w:t>
      </w:r>
      <w:r w:rsidR="00301793" w:rsidRPr="005B31CE">
        <w:rPr>
          <w:sz w:val="28"/>
          <w:szCs w:val="28"/>
        </w:rPr>
        <w:t>e</w:t>
      </w:r>
      <w:r w:rsidR="00FB510A" w:rsidRPr="005B31CE">
        <w:rPr>
          <w:sz w:val="28"/>
          <w:szCs w:val="28"/>
        </w:rPr>
        <w:t xml:space="preserve">merging market index (VEMAX) was better in terms </w:t>
      </w:r>
      <w:r w:rsidR="00301793" w:rsidRPr="005B31CE">
        <w:rPr>
          <w:sz w:val="28"/>
          <w:szCs w:val="28"/>
        </w:rPr>
        <w:t xml:space="preserve">average annual returns. A portfolio with higher exposure to this emerging market index saw returns that beat the market and the Capital Asset Pricing Model. </w:t>
      </w:r>
    </w:p>
    <w:p w14:paraId="35132521" w14:textId="77777777" w:rsidR="005B31CE" w:rsidRDefault="005B31CE" w:rsidP="00301793">
      <w:pPr>
        <w:rPr>
          <w:sz w:val="28"/>
          <w:szCs w:val="28"/>
        </w:rPr>
      </w:pPr>
    </w:p>
    <w:p w14:paraId="2EC64072" w14:textId="25CC7033" w:rsidR="00301793" w:rsidRPr="005B31CE" w:rsidRDefault="001021F6" w:rsidP="00301793">
      <w:pPr>
        <w:rPr>
          <w:sz w:val="28"/>
          <w:szCs w:val="28"/>
        </w:rPr>
      </w:pPr>
      <w:r>
        <w:rPr>
          <w:sz w:val="28"/>
          <w:szCs w:val="28"/>
        </w:rPr>
        <w:t xml:space="preserve">          </w:t>
      </w:r>
      <w:r w:rsidR="00301793" w:rsidRPr="005B31CE">
        <w:rPr>
          <w:sz w:val="28"/>
          <w:szCs w:val="28"/>
        </w:rPr>
        <w:t xml:space="preserve">This chart was created to better visualize the results of this regression. The portfolios sorted by gamma were then compared to the CAPM expected return based on the S&amp;P’s returns. According to the VEMAX regression, the portfolio with the highest market-cap weighted gamma saw a return that was over 400 basis points higher than </w:t>
      </w:r>
      <w:r w:rsidR="00640F67">
        <w:rPr>
          <w:sz w:val="28"/>
          <w:szCs w:val="28"/>
        </w:rPr>
        <w:t xml:space="preserve">what </w:t>
      </w:r>
      <w:r w:rsidR="00301793" w:rsidRPr="005B31CE">
        <w:rPr>
          <w:sz w:val="28"/>
          <w:szCs w:val="28"/>
        </w:rPr>
        <w:t>the Capital Asset Pricing Model</w:t>
      </w:r>
      <w:r w:rsidR="00640F67">
        <w:rPr>
          <w:sz w:val="28"/>
          <w:szCs w:val="28"/>
        </w:rPr>
        <w:t xml:space="preserve"> suggests</w:t>
      </w:r>
      <w:r w:rsidR="00301793" w:rsidRPr="005B31CE">
        <w:rPr>
          <w:sz w:val="28"/>
          <w:szCs w:val="28"/>
        </w:rPr>
        <w:t xml:space="preserve">. </w:t>
      </w:r>
    </w:p>
    <w:p w14:paraId="6ECF4DE8" w14:textId="04423310" w:rsidR="00E23BA6" w:rsidRDefault="00301793" w:rsidP="004334B4">
      <w:pPr>
        <w:tabs>
          <w:tab w:val="left" w:pos="1260"/>
        </w:tabs>
      </w:pPr>
      <w:r>
        <w:rPr>
          <w:noProof/>
        </w:rPr>
        <w:drawing>
          <wp:anchor distT="0" distB="0" distL="114300" distR="114300" simplePos="0" relativeHeight="251668480" behindDoc="0" locked="0" layoutInCell="1" allowOverlap="1" wp14:anchorId="2186C439" wp14:editId="77EEF221">
            <wp:simplePos x="0" y="0"/>
            <wp:positionH relativeFrom="column">
              <wp:posOffset>-60960</wp:posOffset>
            </wp:positionH>
            <wp:positionV relativeFrom="paragraph">
              <wp:posOffset>313006</wp:posOffset>
            </wp:positionV>
            <wp:extent cx="6204585" cy="207518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4 at 12.11.28 AM.png"/>
                    <pic:cNvPicPr/>
                  </pic:nvPicPr>
                  <pic:blipFill>
                    <a:blip r:embed="rId9">
                      <a:extLst>
                        <a:ext uri="{28A0092B-C50C-407E-A947-70E740481C1C}">
                          <a14:useLocalDpi xmlns:a14="http://schemas.microsoft.com/office/drawing/2010/main" val="0"/>
                        </a:ext>
                      </a:extLst>
                    </a:blip>
                    <a:stretch>
                      <a:fillRect/>
                    </a:stretch>
                  </pic:blipFill>
                  <pic:spPr>
                    <a:xfrm>
                      <a:off x="0" y="0"/>
                      <a:ext cx="6204585" cy="2075180"/>
                    </a:xfrm>
                    <a:prstGeom prst="rect">
                      <a:avLst/>
                    </a:prstGeom>
                  </pic:spPr>
                </pic:pic>
              </a:graphicData>
            </a:graphic>
            <wp14:sizeRelH relativeFrom="page">
              <wp14:pctWidth>0</wp14:pctWidth>
            </wp14:sizeRelH>
            <wp14:sizeRelV relativeFrom="page">
              <wp14:pctHeight>0</wp14:pctHeight>
            </wp14:sizeRelV>
          </wp:anchor>
        </w:drawing>
      </w:r>
    </w:p>
    <w:p w14:paraId="2815280F" w14:textId="76A5ADAE" w:rsidR="00FB510A" w:rsidRDefault="00FB510A" w:rsidP="004334B4">
      <w:pPr>
        <w:tabs>
          <w:tab w:val="left" w:pos="1260"/>
        </w:tabs>
      </w:pPr>
    </w:p>
    <w:p w14:paraId="1B82B029" w14:textId="7A210F2B" w:rsidR="00FB510A" w:rsidRDefault="00FB510A" w:rsidP="004334B4">
      <w:pPr>
        <w:tabs>
          <w:tab w:val="left" w:pos="1260"/>
        </w:tabs>
      </w:pPr>
    </w:p>
    <w:p w14:paraId="282F34A9" w14:textId="0581375A" w:rsidR="005B31CE" w:rsidRDefault="001021F6" w:rsidP="004334B4">
      <w:pPr>
        <w:tabs>
          <w:tab w:val="left" w:pos="1260"/>
        </w:tabs>
        <w:rPr>
          <w:sz w:val="28"/>
          <w:szCs w:val="28"/>
        </w:rPr>
      </w:pPr>
      <w:r>
        <w:rPr>
          <w:sz w:val="28"/>
          <w:szCs w:val="28"/>
        </w:rPr>
        <w:t xml:space="preserve">          </w:t>
      </w:r>
      <w:r w:rsidR="00301793" w:rsidRPr="005B31CE">
        <w:rPr>
          <w:sz w:val="28"/>
          <w:szCs w:val="28"/>
        </w:rPr>
        <w:t xml:space="preserve">For this time period (2009-2019), the results seen in the VEMAX regression are very promising showing that high gamma portfolios beat the market while low gamma portfolios underperform the market and the Capital Asset Pricing Model. Using this backtest, a long/short equity strategy would work well. We would short the stocks with low gammas and be long on stocks that are more exposed to the emerging markets, mainly that of China (Alibaba and Tencent). </w:t>
      </w:r>
    </w:p>
    <w:p w14:paraId="522A9E18" w14:textId="77777777" w:rsidR="005B31CE" w:rsidRDefault="005B31CE" w:rsidP="004334B4">
      <w:pPr>
        <w:tabs>
          <w:tab w:val="left" w:pos="1260"/>
        </w:tabs>
        <w:rPr>
          <w:sz w:val="28"/>
          <w:szCs w:val="28"/>
        </w:rPr>
      </w:pPr>
    </w:p>
    <w:p w14:paraId="0F5329D5" w14:textId="6F8A9DA4" w:rsidR="00300EED" w:rsidRDefault="00300EED" w:rsidP="004334B4">
      <w:pPr>
        <w:tabs>
          <w:tab w:val="left" w:pos="1260"/>
        </w:tabs>
        <w:rPr>
          <w:sz w:val="28"/>
          <w:szCs w:val="28"/>
        </w:rPr>
      </w:pPr>
    </w:p>
    <w:p w14:paraId="0318EEE6" w14:textId="77777777" w:rsidR="00300EED" w:rsidRDefault="00300EED" w:rsidP="00300EED">
      <w:pPr>
        <w:tabs>
          <w:tab w:val="left" w:pos="1260"/>
        </w:tabs>
        <w:rPr>
          <w:sz w:val="28"/>
          <w:szCs w:val="28"/>
        </w:rPr>
      </w:pPr>
    </w:p>
    <w:p w14:paraId="55CF4084" w14:textId="77777777" w:rsidR="00AE1F18" w:rsidRDefault="00AE1F18" w:rsidP="00AE1F18">
      <w:pPr>
        <w:pStyle w:val="Heading2"/>
        <w:jc w:val="center"/>
        <w:rPr>
          <w:sz w:val="32"/>
          <w:szCs w:val="32"/>
        </w:rPr>
      </w:pPr>
      <w:bookmarkStart w:id="6" w:name="_Toc44117309"/>
    </w:p>
    <w:p w14:paraId="3B4A0D9E" w14:textId="6500411F" w:rsidR="00300EED" w:rsidRPr="00AE1F18" w:rsidRDefault="00300EED" w:rsidP="00AE1F18">
      <w:pPr>
        <w:pStyle w:val="Heading2"/>
        <w:jc w:val="center"/>
        <w:rPr>
          <w:sz w:val="32"/>
          <w:szCs w:val="32"/>
        </w:rPr>
      </w:pPr>
      <w:r w:rsidRPr="00AE1F18">
        <w:rPr>
          <w:sz w:val="32"/>
          <w:szCs w:val="32"/>
        </w:rPr>
        <w:t>Beta-Sorted Portfolios Checking CAPM on Present Day Stock Market:</w:t>
      </w:r>
      <w:bookmarkEnd w:id="6"/>
    </w:p>
    <w:p w14:paraId="70A9C07A" w14:textId="77777777" w:rsidR="00300EED" w:rsidRDefault="00300EED" w:rsidP="004334B4">
      <w:pPr>
        <w:tabs>
          <w:tab w:val="left" w:pos="1260"/>
        </w:tabs>
        <w:rPr>
          <w:sz w:val="28"/>
          <w:szCs w:val="28"/>
        </w:rPr>
      </w:pPr>
    </w:p>
    <w:p w14:paraId="1D42076D" w14:textId="40B994C0" w:rsidR="00300EED" w:rsidRDefault="00300EED" w:rsidP="004334B4">
      <w:pPr>
        <w:tabs>
          <w:tab w:val="left" w:pos="1260"/>
        </w:tabs>
        <w:rPr>
          <w:sz w:val="28"/>
          <w:szCs w:val="28"/>
        </w:rPr>
      </w:pPr>
      <w:r>
        <w:rPr>
          <w:noProof/>
        </w:rPr>
        <w:drawing>
          <wp:anchor distT="0" distB="0" distL="114300" distR="114300" simplePos="0" relativeHeight="251666432" behindDoc="0" locked="0" layoutInCell="1" allowOverlap="1" wp14:anchorId="1223FF12" wp14:editId="4D52D030">
            <wp:simplePos x="0" y="0"/>
            <wp:positionH relativeFrom="column">
              <wp:posOffset>885825</wp:posOffset>
            </wp:positionH>
            <wp:positionV relativeFrom="paragraph">
              <wp:posOffset>89535</wp:posOffset>
            </wp:positionV>
            <wp:extent cx="3931920" cy="2179955"/>
            <wp:effectExtent l="0" t="0" r="5080" b="4445"/>
            <wp:wrapSquare wrapText="bothSides"/>
            <wp:docPr id="11" name="Picture 10">
              <a:extLst xmlns:a="http://schemas.openxmlformats.org/drawingml/2006/main">
                <a:ext uri="{FF2B5EF4-FFF2-40B4-BE49-F238E27FC236}">
                  <a16:creationId xmlns:a16="http://schemas.microsoft.com/office/drawing/2014/main" id="{A6681911-5A85-3245-B15F-8B7E2E861A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6681911-5A85-3245-B15F-8B7E2E861A3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31920" cy="2179955"/>
                    </a:xfrm>
                    <a:prstGeom prst="rect">
                      <a:avLst/>
                    </a:prstGeom>
                  </pic:spPr>
                </pic:pic>
              </a:graphicData>
            </a:graphic>
            <wp14:sizeRelH relativeFrom="page">
              <wp14:pctWidth>0</wp14:pctWidth>
            </wp14:sizeRelH>
            <wp14:sizeRelV relativeFrom="page">
              <wp14:pctHeight>0</wp14:pctHeight>
            </wp14:sizeRelV>
          </wp:anchor>
        </w:drawing>
      </w:r>
    </w:p>
    <w:p w14:paraId="34A3F232" w14:textId="723A89FF" w:rsidR="00300EED" w:rsidRDefault="00300EED" w:rsidP="004334B4">
      <w:pPr>
        <w:tabs>
          <w:tab w:val="left" w:pos="1260"/>
        </w:tabs>
        <w:rPr>
          <w:sz w:val="28"/>
          <w:szCs w:val="28"/>
        </w:rPr>
      </w:pPr>
    </w:p>
    <w:p w14:paraId="62DE324B" w14:textId="7ABD06C4" w:rsidR="00300EED" w:rsidRDefault="00300EED" w:rsidP="004334B4">
      <w:pPr>
        <w:tabs>
          <w:tab w:val="left" w:pos="1260"/>
        </w:tabs>
        <w:rPr>
          <w:sz w:val="28"/>
          <w:szCs w:val="28"/>
        </w:rPr>
      </w:pPr>
    </w:p>
    <w:p w14:paraId="00C4AD38" w14:textId="7660A889" w:rsidR="00300EED" w:rsidRDefault="00300EED" w:rsidP="004334B4">
      <w:pPr>
        <w:tabs>
          <w:tab w:val="left" w:pos="1260"/>
        </w:tabs>
        <w:rPr>
          <w:sz w:val="28"/>
          <w:szCs w:val="28"/>
        </w:rPr>
      </w:pPr>
    </w:p>
    <w:p w14:paraId="7356519D" w14:textId="3CA9DC4F" w:rsidR="00300EED" w:rsidRDefault="00300EED" w:rsidP="004334B4">
      <w:pPr>
        <w:tabs>
          <w:tab w:val="left" w:pos="1260"/>
        </w:tabs>
        <w:rPr>
          <w:sz w:val="28"/>
          <w:szCs w:val="28"/>
        </w:rPr>
      </w:pPr>
    </w:p>
    <w:p w14:paraId="1A35929A" w14:textId="746C6A79" w:rsidR="00300EED" w:rsidRDefault="00300EED" w:rsidP="004334B4">
      <w:pPr>
        <w:tabs>
          <w:tab w:val="left" w:pos="1260"/>
        </w:tabs>
        <w:rPr>
          <w:sz w:val="28"/>
          <w:szCs w:val="28"/>
        </w:rPr>
      </w:pPr>
    </w:p>
    <w:p w14:paraId="5765B80D" w14:textId="4D714856" w:rsidR="00300EED" w:rsidRDefault="00300EED" w:rsidP="004334B4">
      <w:pPr>
        <w:tabs>
          <w:tab w:val="left" w:pos="1260"/>
        </w:tabs>
        <w:rPr>
          <w:sz w:val="28"/>
          <w:szCs w:val="28"/>
        </w:rPr>
      </w:pPr>
    </w:p>
    <w:p w14:paraId="208BA4FB" w14:textId="3E3CC24D" w:rsidR="00300EED" w:rsidRDefault="00300EED" w:rsidP="004334B4">
      <w:pPr>
        <w:tabs>
          <w:tab w:val="left" w:pos="1260"/>
        </w:tabs>
        <w:rPr>
          <w:sz w:val="28"/>
          <w:szCs w:val="28"/>
        </w:rPr>
      </w:pPr>
    </w:p>
    <w:p w14:paraId="76B7310C" w14:textId="6335E9AA" w:rsidR="00300EED" w:rsidRDefault="00300EED" w:rsidP="004334B4">
      <w:pPr>
        <w:tabs>
          <w:tab w:val="left" w:pos="1260"/>
        </w:tabs>
        <w:rPr>
          <w:sz w:val="28"/>
          <w:szCs w:val="28"/>
        </w:rPr>
      </w:pPr>
    </w:p>
    <w:p w14:paraId="21F0278D" w14:textId="47EB8D69" w:rsidR="00300EED" w:rsidRDefault="00300EED" w:rsidP="004334B4">
      <w:pPr>
        <w:tabs>
          <w:tab w:val="left" w:pos="1260"/>
        </w:tabs>
        <w:rPr>
          <w:sz w:val="28"/>
          <w:szCs w:val="28"/>
        </w:rPr>
      </w:pPr>
    </w:p>
    <w:p w14:paraId="07FB3F6D" w14:textId="3C3472BC" w:rsidR="00300EED" w:rsidRDefault="00300EED" w:rsidP="004334B4">
      <w:pPr>
        <w:tabs>
          <w:tab w:val="left" w:pos="1260"/>
        </w:tabs>
        <w:rPr>
          <w:sz w:val="28"/>
          <w:szCs w:val="28"/>
        </w:rPr>
      </w:pPr>
    </w:p>
    <w:p w14:paraId="07601F14" w14:textId="6CF7165E" w:rsidR="00300EED" w:rsidRDefault="00300EED" w:rsidP="004334B4">
      <w:pPr>
        <w:tabs>
          <w:tab w:val="left" w:pos="1260"/>
        </w:tabs>
        <w:rPr>
          <w:sz w:val="28"/>
          <w:szCs w:val="28"/>
        </w:rPr>
      </w:pPr>
    </w:p>
    <w:p w14:paraId="253FDBBC" w14:textId="18434808" w:rsidR="00300EED" w:rsidRDefault="00300EED" w:rsidP="004334B4">
      <w:pPr>
        <w:tabs>
          <w:tab w:val="left" w:pos="1260"/>
        </w:tabs>
        <w:rPr>
          <w:sz w:val="28"/>
          <w:szCs w:val="28"/>
        </w:rPr>
      </w:pPr>
    </w:p>
    <w:p w14:paraId="5447E4F4" w14:textId="682F2815" w:rsidR="00300EED" w:rsidRDefault="00300EED" w:rsidP="004334B4">
      <w:pPr>
        <w:tabs>
          <w:tab w:val="left" w:pos="1260"/>
        </w:tabs>
        <w:rPr>
          <w:sz w:val="28"/>
          <w:szCs w:val="28"/>
        </w:rPr>
      </w:pPr>
      <w:r>
        <w:rPr>
          <w:noProof/>
        </w:rPr>
        <w:drawing>
          <wp:anchor distT="0" distB="0" distL="114300" distR="114300" simplePos="0" relativeHeight="251667456" behindDoc="0" locked="0" layoutInCell="1" allowOverlap="1" wp14:anchorId="44E666DE" wp14:editId="091BE2A5">
            <wp:simplePos x="0" y="0"/>
            <wp:positionH relativeFrom="column">
              <wp:posOffset>885190</wp:posOffset>
            </wp:positionH>
            <wp:positionV relativeFrom="paragraph">
              <wp:posOffset>0</wp:posOffset>
            </wp:positionV>
            <wp:extent cx="3906520" cy="2165985"/>
            <wp:effectExtent l="0" t="0" r="5080" b="5715"/>
            <wp:wrapSquare wrapText="bothSides"/>
            <wp:docPr id="13" name="Picture 12">
              <a:extLst xmlns:a="http://schemas.openxmlformats.org/drawingml/2006/main">
                <a:ext uri="{FF2B5EF4-FFF2-40B4-BE49-F238E27FC236}">
                  <a16:creationId xmlns:a16="http://schemas.microsoft.com/office/drawing/2014/main" id="{8449F856-3D68-E748-8DAA-EFA3762B5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449F856-3D68-E748-8DAA-EFA3762B5E9D}"/>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06520" cy="2165985"/>
                    </a:xfrm>
                    <a:prstGeom prst="rect">
                      <a:avLst/>
                    </a:prstGeom>
                  </pic:spPr>
                </pic:pic>
              </a:graphicData>
            </a:graphic>
            <wp14:sizeRelH relativeFrom="page">
              <wp14:pctWidth>0</wp14:pctWidth>
            </wp14:sizeRelH>
            <wp14:sizeRelV relativeFrom="page">
              <wp14:pctHeight>0</wp14:pctHeight>
            </wp14:sizeRelV>
          </wp:anchor>
        </w:drawing>
      </w:r>
    </w:p>
    <w:p w14:paraId="2CDCCEA2" w14:textId="378A3401" w:rsidR="00300EED" w:rsidRDefault="00300EED" w:rsidP="004334B4">
      <w:pPr>
        <w:tabs>
          <w:tab w:val="left" w:pos="1260"/>
        </w:tabs>
        <w:rPr>
          <w:sz w:val="28"/>
          <w:szCs w:val="28"/>
        </w:rPr>
      </w:pPr>
    </w:p>
    <w:p w14:paraId="690E7F06" w14:textId="77777777" w:rsidR="00300EED" w:rsidRDefault="00300EED" w:rsidP="004334B4">
      <w:pPr>
        <w:tabs>
          <w:tab w:val="left" w:pos="1260"/>
        </w:tabs>
        <w:rPr>
          <w:sz w:val="28"/>
          <w:szCs w:val="28"/>
        </w:rPr>
      </w:pPr>
    </w:p>
    <w:p w14:paraId="6D9C66DC" w14:textId="0EFB53B9" w:rsidR="00300EED" w:rsidRDefault="00300EED" w:rsidP="004334B4">
      <w:pPr>
        <w:tabs>
          <w:tab w:val="left" w:pos="1260"/>
        </w:tabs>
        <w:rPr>
          <w:sz w:val="28"/>
          <w:szCs w:val="28"/>
        </w:rPr>
      </w:pPr>
    </w:p>
    <w:p w14:paraId="0591B677" w14:textId="77777777" w:rsidR="00300EED" w:rsidRDefault="00300EED" w:rsidP="004334B4">
      <w:pPr>
        <w:tabs>
          <w:tab w:val="left" w:pos="1260"/>
        </w:tabs>
        <w:rPr>
          <w:sz w:val="28"/>
          <w:szCs w:val="28"/>
        </w:rPr>
      </w:pPr>
    </w:p>
    <w:p w14:paraId="3C4BE75F" w14:textId="77777777" w:rsidR="00300EED" w:rsidRDefault="00300EED" w:rsidP="004334B4">
      <w:pPr>
        <w:tabs>
          <w:tab w:val="left" w:pos="1260"/>
        </w:tabs>
        <w:rPr>
          <w:sz w:val="28"/>
          <w:szCs w:val="28"/>
        </w:rPr>
      </w:pPr>
    </w:p>
    <w:p w14:paraId="33642ADA" w14:textId="77777777" w:rsidR="00300EED" w:rsidRDefault="00300EED" w:rsidP="004334B4">
      <w:pPr>
        <w:tabs>
          <w:tab w:val="left" w:pos="1260"/>
        </w:tabs>
        <w:rPr>
          <w:sz w:val="28"/>
          <w:szCs w:val="28"/>
        </w:rPr>
      </w:pPr>
    </w:p>
    <w:p w14:paraId="5C72D32B" w14:textId="77777777" w:rsidR="00300EED" w:rsidRDefault="00300EED" w:rsidP="004334B4">
      <w:pPr>
        <w:tabs>
          <w:tab w:val="left" w:pos="1260"/>
        </w:tabs>
        <w:rPr>
          <w:sz w:val="28"/>
          <w:szCs w:val="28"/>
        </w:rPr>
      </w:pPr>
    </w:p>
    <w:p w14:paraId="58E37726" w14:textId="77777777" w:rsidR="00300EED" w:rsidRDefault="00300EED" w:rsidP="004334B4">
      <w:pPr>
        <w:tabs>
          <w:tab w:val="left" w:pos="1260"/>
        </w:tabs>
        <w:rPr>
          <w:sz w:val="28"/>
          <w:szCs w:val="28"/>
        </w:rPr>
      </w:pPr>
    </w:p>
    <w:p w14:paraId="34F46E3C" w14:textId="77777777" w:rsidR="00300EED" w:rsidRDefault="00300EED" w:rsidP="004334B4">
      <w:pPr>
        <w:tabs>
          <w:tab w:val="left" w:pos="1260"/>
        </w:tabs>
        <w:rPr>
          <w:sz w:val="28"/>
          <w:szCs w:val="28"/>
        </w:rPr>
      </w:pPr>
    </w:p>
    <w:p w14:paraId="487296AB" w14:textId="77777777" w:rsidR="00300EED" w:rsidRDefault="00300EED" w:rsidP="004334B4">
      <w:pPr>
        <w:tabs>
          <w:tab w:val="left" w:pos="1260"/>
        </w:tabs>
        <w:rPr>
          <w:sz w:val="28"/>
          <w:szCs w:val="28"/>
        </w:rPr>
      </w:pPr>
    </w:p>
    <w:p w14:paraId="1E3BCA89" w14:textId="77777777" w:rsidR="007166A5" w:rsidRPr="005B31CE" w:rsidRDefault="007166A5" w:rsidP="004334B4">
      <w:pPr>
        <w:tabs>
          <w:tab w:val="left" w:pos="1260"/>
        </w:tabs>
        <w:rPr>
          <w:sz w:val="28"/>
          <w:szCs w:val="28"/>
        </w:rPr>
      </w:pPr>
    </w:p>
    <w:p w14:paraId="04C066CA" w14:textId="23D40D4A" w:rsidR="004334B4" w:rsidRDefault="001021F6" w:rsidP="004334B4">
      <w:pPr>
        <w:tabs>
          <w:tab w:val="left" w:pos="1260"/>
        </w:tabs>
      </w:pPr>
      <w:r>
        <w:rPr>
          <w:sz w:val="28"/>
          <w:szCs w:val="28"/>
        </w:rPr>
        <w:t xml:space="preserve">          </w:t>
      </w:r>
      <w:r w:rsidR="00D774A0" w:rsidRPr="005B31CE">
        <w:rPr>
          <w:sz w:val="28"/>
          <w:szCs w:val="28"/>
        </w:rPr>
        <w:t xml:space="preserve">The scatterplots </w:t>
      </w:r>
      <w:r w:rsidR="00300EED">
        <w:rPr>
          <w:sz w:val="28"/>
          <w:szCs w:val="28"/>
        </w:rPr>
        <w:t>above</w:t>
      </w:r>
      <w:r w:rsidR="00D774A0" w:rsidRPr="005B31CE">
        <w:rPr>
          <w:sz w:val="28"/>
          <w:szCs w:val="28"/>
        </w:rPr>
        <w:t xml:space="preserve"> </w:t>
      </w:r>
      <w:r w:rsidR="00300EED">
        <w:rPr>
          <w:sz w:val="28"/>
          <w:szCs w:val="28"/>
        </w:rPr>
        <w:t>are</w:t>
      </w:r>
      <w:r w:rsidR="00D774A0" w:rsidRPr="005B31CE">
        <w:rPr>
          <w:sz w:val="28"/>
          <w:szCs w:val="28"/>
        </w:rPr>
        <w:t xml:space="preserve"> regressions run just to see the Capital Asset Pricing Model and the effects of a portfolio’s weighted beta and excess returns. The blue line is again representing the excess return of the S&amp;P 500 index from 2016 to 2019</w:t>
      </w:r>
      <w:r w:rsidR="00D774A0">
        <w:t xml:space="preserve">. </w:t>
      </w:r>
      <w:r w:rsidR="00300EED">
        <w:rPr>
          <w:sz w:val="28"/>
          <w:szCs w:val="28"/>
        </w:rPr>
        <w:t xml:space="preserve"> The scatterplot on top is the emerging markets portfolio and the one underneath is the scatterplot for the developed international index. Both are very similar in results. The ten portfolios that were separately sorted based on the weighted beta are seen to be almost exactly on the blue line which represents the average annual excess return of the market. </w:t>
      </w:r>
      <w:r w:rsidR="00444EDF">
        <w:rPr>
          <w:sz w:val="28"/>
          <w:szCs w:val="28"/>
        </w:rPr>
        <w:t xml:space="preserve">These portfolios were created using a market capitalization weighted formula. </w:t>
      </w:r>
      <w:r w:rsidR="00640F67">
        <w:rPr>
          <w:sz w:val="28"/>
          <w:szCs w:val="28"/>
        </w:rPr>
        <w:t>Initially, we created equally weighted portfolios after running the regression and the results actually showed a negative relationship between the portfolio betas and excess returns. A weighted portfolio</w:t>
      </w:r>
      <w:r>
        <w:rPr>
          <w:sz w:val="28"/>
          <w:szCs w:val="28"/>
        </w:rPr>
        <w:t xml:space="preserve"> </w:t>
      </w:r>
      <w:r w:rsidR="00640F67">
        <w:rPr>
          <w:sz w:val="28"/>
          <w:szCs w:val="28"/>
        </w:rPr>
        <w:lastRenderedPageBreak/>
        <w:t xml:space="preserve">construction based on market capitalization seemed like the best idea after Dr. Scott Weisbenner of Illinois suggested that the CAPM should be studied based on more asset classes, such as real estate and fixed income securities along with equities, to get stronger results. To better account for the assets while we were mainly observing CAPM in the United States’ stock exchanges, we decided to add a factor based on a firm’s size to weight the returns and beta and gamma coefficients of each stock security before sorting them into the portfolios. The results above are what resulted in accounting for the market capitalization of each firm. </w:t>
      </w:r>
    </w:p>
    <w:p w14:paraId="58A6D7B9" w14:textId="5CAE3CB4" w:rsidR="005B31CE" w:rsidRDefault="005B31CE" w:rsidP="005B31CE"/>
    <w:p w14:paraId="7031F1EE" w14:textId="77777777" w:rsidR="00300EED" w:rsidRDefault="00300EED" w:rsidP="00640F67">
      <w:pPr>
        <w:rPr>
          <w:sz w:val="28"/>
          <w:szCs w:val="28"/>
        </w:rPr>
      </w:pPr>
    </w:p>
    <w:p w14:paraId="6265313D" w14:textId="77777777" w:rsidR="00300EED" w:rsidRDefault="00300EED" w:rsidP="005B31CE">
      <w:pPr>
        <w:ind w:firstLine="720"/>
        <w:rPr>
          <w:sz w:val="28"/>
          <w:szCs w:val="28"/>
        </w:rPr>
      </w:pPr>
    </w:p>
    <w:p w14:paraId="6126EF5F" w14:textId="21E518FB" w:rsidR="00300EED" w:rsidRPr="00AE1F18" w:rsidRDefault="00241563" w:rsidP="00AE1F18">
      <w:pPr>
        <w:pStyle w:val="Heading2"/>
        <w:ind w:firstLine="720"/>
        <w:jc w:val="center"/>
        <w:rPr>
          <w:sz w:val="32"/>
          <w:szCs w:val="32"/>
        </w:rPr>
      </w:pPr>
      <w:bookmarkStart w:id="7" w:name="_Toc44117310"/>
      <w:r w:rsidRPr="00AE1F18">
        <w:rPr>
          <w:sz w:val="32"/>
          <w:szCs w:val="32"/>
        </w:rPr>
        <w:t>VEMAX (2015-2019)</w:t>
      </w:r>
      <w:bookmarkEnd w:id="7"/>
    </w:p>
    <w:p w14:paraId="65BE6BDA" w14:textId="77777777" w:rsidR="00300EED" w:rsidRDefault="00300EED" w:rsidP="005B31CE">
      <w:pPr>
        <w:ind w:firstLine="720"/>
        <w:rPr>
          <w:sz w:val="28"/>
          <w:szCs w:val="28"/>
        </w:rPr>
      </w:pPr>
    </w:p>
    <w:p w14:paraId="589F1319" w14:textId="43A0E102" w:rsidR="00B0525B" w:rsidRDefault="001021F6" w:rsidP="00B0525B">
      <w:pPr>
        <w:rPr>
          <w:sz w:val="28"/>
          <w:szCs w:val="28"/>
        </w:rPr>
      </w:pPr>
      <w:r>
        <w:rPr>
          <w:sz w:val="28"/>
          <w:szCs w:val="28"/>
        </w:rPr>
        <w:t xml:space="preserve">          </w:t>
      </w:r>
      <w:r w:rsidR="004334B4" w:rsidRPr="005B31CE">
        <w:rPr>
          <w:sz w:val="28"/>
          <w:szCs w:val="28"/>
        </w:rPr>
        <w:t xml:space="preserve">The next regression we ran was based on a </w:t>
      </w:r>
      <w:r w:rsidR="00D774A0" w:rsidRPr="005B31CE">
        <w:rPr>
          <w:sz w:val="28"/>
          <w:szCs w:val="28"/>
        </w:rPr>
        <w:t>shorter</w:t>
      </w:r>
      <w:r w:rsidR="004334B4" w:rsidRPr="005B31CE">
        <w:rPr>
          <w:sz w:val="28"/>
          <w:szCs w:val="28"/>
        </w:rPr>
        <w:t xml:space="preserve"> time window. The time window for the beta and gamma calculation was from 2015 to 2017. The returns data was taken from 2018 to 2019. Market capitalization was taken by retrieving the stock’s data from December 29, 2017 and multiplying by its total number of shares outstanding from the same date.</w:t>
      </w:r>
      <w:r w:rsidR="00640F67">
        <w:rPr>
          <w:sz w:val="28"/>
          <w:szCs w:val="28"/>
        </w:rPr>
        <w:t xml:space="preserve"> The same formula was used for these backtests. </w:t>
      </w:r>
    </w:p>
    <w:p w14:paraId="5414BD46" w14:textId="1272892E" w:rsidR="00B0525B" w:rsidRDefault="00B0525B" w:rsidP="00B0525B">
      <w:pPr>
        <w:rPr>
          <w:sz w:val="28"/>
          <w:szCs w:val="28"/>
        </w:rPr>
      </w:pPr>
    </w:p>
    <w:p w14:paraId="66D93867" w14:textId="090F934B" w:rsidR="00B0525B" w:rsidRDefault="00AE1F18" w:rsidP="00640F67">
      <w:pPr>
        <w:jc w:val="center"/>
      </w:pPr>
      <m:oMathPara>
        <m:oMath>
          <m:sSub>
            <m:sSubPr>
              <m:ctrlPr>
                <w:rPr>
                  <w:rFonts w:ascii="Cambria Math" w:eastAsiaTheme="minorHAnsi" w:hAnsi="Cambria Math"/>
                  <w:i/>
                  <w:sz w:val="28"/>
                  <w:szCs w:val="28"/>
                </w:rPr>
              </m:ctrlPr>
            </m:sSubPr>
            <m:e>
              <m:r>
                <w:rPr>
                  <w:rFonts w:ascii="Cambria Math" w:hAnsi="Cambria Math"/>
                  <w:sz w:val="28"/>
                  <w:szCs w:val="28"/>
                </w:rPr>
                <m:t>r</m:t>
              </m:r>
            </m:e>
            <m:sub>
              <m:r>
                <w:rPr>
                  <w:rFonts w:ascii="Cambria Math" w:hAnsi="Cambria Math"/>
                  <w:sz w:val="28"/>
                  <w:szCs w:val="28"/>
                </w:rPr>
                <m:t>jt</m:t>
              </m:r>
            </m:sub>
          </m:sSub>
          <m:r>
            <w:rPr>
              <w:rFonts w:ascii="Cambria Math" w:hAnsi="Cambria Math"/>
              <w:sz w:val="28"/>
              <w:szCs w:val="28"/>
            </w:rPr>
            <m:t>=</m:t>
          </m:r>
          <m:sSub>
            <m:sSubPr>
              <m:ctrlPr>
                <w:rPr>
                  <w:rFonts w:ascii="Cambria Math" w:eastAsiaTheme="minorHAnsi" w:hAnsi="Cambria Math"/>
                  <w:i/>
                  <w:sz w:val="28"/>
                  <w:szCs w:val="28"/>
                </w:rPr>
              </m:ctrlPr>
            </m:sSubPr>
            <m:e>
              <m:r>
                <w:rPr>
                  <w:rFonts w:ascii="Cambria Math" w:hAnsi="Cambria Math"/>
                  <w:sz w:val="28"/>
                  <w:szCs w:val="28"/>
                </w:rPr>
                <m:t>α</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β</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r</m:t>
              </m:r>
            </m:e>
            <m:sub>
              <m:r>
                <w:rPr>
                  <w:rFonts w:ascii="Cambria Math" w:hAnsi="Cambria Math"/>
                  <w:sz w:val="28"/>
                  <w:szCs w:val="28"/>
                </w:rPr>
                <m:t xml:space="preserve">m,t </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γ</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r</m:t>
              </m:r>
            </m:e>
            <m:sub>
              <m:r>
                <w:rPr>
                  <w:rFonts w:ascii="Cambria Math" w:hAnsi="Cambria Math"/>
                  <w:sz w:val="28"/>
                  <w:szCs w:val="28"/>
                </w:rPr>
                <m:t xml:space="preserve">intl, t  </m:t>
              </m:r>
            </m:sub>
          </m:sSub>
          <m:r>
            <w:rPr>
              <w:rFonts w:ascii="Cambria Math" w:eastAsiaTheme="minorHAnsi" w:hAnsi="Cambria Math"/>
              <w:sz w:val="28"/>
              <w:szCs w:val="28"/>
            </w:rPr>
            <m:t xml:space="preserve">+ </m:t>
          </m:r>
          <m:sSub>
            <m:sSubPr>
              <m:ctrlPr>
                <w:rPr>
                  <w:rFonts w:ascii="Cambria Math" w:eastAsiaTheme="minorHAnsi" w:hAnsi="Cambria Math"/>
                  <w:i/>
                  <w:sz w:val="28"/>
                  <w:szCs w:val="28"/>
                </w:rPr>
              </m:ctrlPr>
            </m:sSubPr>
            <m:e>
              <m:r>
                <w:rPr>
                  <w:rFonts w:ascii="Cambria Math" w:eastAsiaTheme="minorHAnsi" w:hAnsi="Cambria Math"/>
                  <w:sz w:val="28"/>
                  <w:szCs w:val="28"/>
                </w:rPr>
                <m:t>ε</m:t>
              </m:r>
            </m:e>
            <m:sub>
              <m:r>
                <w:rPr>
                  <w:rFonts w:ascii="Cambria Math" w:eastAsiaTheme="minorHAnsi" w:hAnsi="Cambria Math"/>
                  <w:sz w:val="28"/>
                  <w:szCs w:val="28"/>
                </w:rPr>
                <m:t>jt</m:t>
              </m:r>
            </m:sub>
          </m:sSub>
        </m:oMath>
      </m:oMathPara>
    </w:p>
    <w:p w14:paraId="3D206552" w14:textId="0482D0C6" w:rsidR="000802E1" w:rsidRPr="00B0525B" w:rsidRDefault="00B0525B" w:rsidP="005B31CE">
      <w:pPr>
        <w:ind w:firstLine="720"/>
        <w:rPr>
          <w:rFonts w:eastAsiaTheme="minorEastAsia"/>
          <w:sz w:val="28"/>
          <w:szCs w:val="28"/>
        </w:rPr>
      </w:pPr>
      <m:oMathPara>
        <m:oMath>
          <m:r>
            <w:rPr>
              <w:rFonts w:ascii="Cambria Math" w:hAnsi="Cambria Math"/>
              <w:sz w:val="28"/>
              <w:szCs w:val="28"/>
            </w:rPr>
            <m:t xml:space="preserve"> </m:t>
          </m:r>
        </m:oMath>
      </m:oMathPara>
    </w:p>
    <w:p w14:paraId="4DEB0DA4" w14:textId="4F0558EA" w:rsidR="00B0525B" w:rsidRPr="00B0525B" w:rsidRDefault="00594B0D" w:rsidP="005B31CE">
      <w:pPr>
        <w:ind w:firstLine="720"/>
        <w:rPr>
          <w:rFonts w:eastAsiaTheme="minorEastAsia"/>
        </w:rPr>
      </w:pPr>
      <w:r>
        <w:rPr>
          <w:noProof/>
          <w:sz w:val="28"/>
          <w:szCs w:val="28"/>
        </w:rPr>
        <w:drawing>
          <wp:anchor distT="0" distB="0" distL="114300" distR="114300" simplePos="0" relativeHeight="251672576" behindDoc="0" locked="0" layoutInCell="1" allowOverlap="1" wp14:anchorId="27385C7A" wp14:editId="6A43139B">
            <wp:simplePos x="0" y="0"/>
            <wp:positionH relativeFrom="column">
              <wp:posOffset>959485</wp:posOffset>
            </wp:positionH>
            <wp:positionV relativeFrom="paragraph">
              <wp:posOffset>100330</wp:posOffset>
            </wp:positionV>
            <wp:extent cx="3715385" cy="2129155"/>
            <wp:effectExtent l="0" t="0" r="571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0 at 2.08.25 AM.png"/>
                    <pic:cNvPicPr/>
                  </pic:nvPicPr>
                  <pic:blipFill>
                    <a:blip r:embed="rId12">
                      <a:extLst>
                        <a:ext uri="{28A0092B-C50C-407E-A947-70E740481C1C}">
                          <a14:useLocalDpi xmlns:a14="http://schemas.microsoft.com/office/drawing/2010/main" val="0"/>
                        </a:ext>
                      </a:extLst>
                    </a:blip>
                    <a:stretch>
                      <a:fillRect/>
                    </a:stretch>
                  </pic:blipFill>
                  <pic:spPr>
                    <a:xfrm>
                      <a:off x="0" y="0"/>
                      <a:ext cx="3715385" cy="2129155"/>
                    </a:xfrm>
                    <a:prstGeom prst="rect">
                      <a:avLst/>
                    </a:prstGeom>
                  </pic:spPr>
                </pic:pic>
              </a:graphicData>
            </a:graphic>
            <wp14:sizeRelH relativeFrom="page">
              <wp14:pctWidth>0</wp14:pctWidth>
            </wp14:sizeRelH>
            <wp14:sizeRelV relativeFrom="page">
              <wp14:pctHeight>0</wp14:pctHeight>
            </wp14:sizeRelV>
          </wp:anchor>
        </w:drawing>
      </w:r>
    </w:p>
    <w:p w14:paraId="711D25CE" w14:textId="095B10E6" w:rsidR="000802E1" w:rsidRPr="005B31CE" w:rsidRDefault="000802E1">
      <w:pPr>
        <w:rPr>
          <w:sz w:val="28"/>
          <w:szCs w:val="28"/>
        </w:rPr>
      </w:pPr>
    </w:p>
    <w:p w14:paraId="2B6B182F" w14:textId="4F5565B8" w:rsidR="00594B0D" w:rsidRDefault="00594B0D" w:rsidP="00594B0D">
      <w:pPr>
        <w:ind w:firstLine="720"/>
        <w:rPr>
          <w:sz w:val="28"/>
          <w:szCs w:val="28"/>
        </w:rPr>
      </w:pPr>
    </w:p>
    <w:p w14:paraId="717D77CD" w14:textId="77777777" w:rsidR="00594B0D" w:rsidRDefault="00594B0D" w:rsidP="00594B0D">
      <w:pPr>
        <w:ind w:firstLine="720"/>
        <w:rPr>
          <w:sz w:val="28"/>
          <w:szCs w:val="28"/>
        </w:rPr>
      </w:pPr>
    </w:p>
    <w:p w14:paraId="7D907BC3" w14:textId="77777777" w:rsidR="00594B0D" w:rsidRDefault="00594B0D" w:rsidP="00594B0D">
      <w:pPr>
        <w:ind w:firstLine="720"/>
        <w:rPr>
          <w:sz w:val="28"/>
          <w:szCs w:val="28"/>
        </w:rPr>
      </w:pPr>
    </w:p>
    <w:p w14:paraId="44263F3A" w14:textId="599402B9" w:rsidR="00594B0D" w:rsidRDefault="00594B0D" w:rsidP="00594B0D">
      <w:pPr>
        <w:ind w:firstLine="720"/>
        <w:rPr>
          <w:sz w:val="28"/>
          <w:szCs w:val="28"/>
        </w:rPr>
      </w:pPr>
    </w:p>
    <w:p w14:paraId="628B0684" w14:textId="09168A4B" w:rsidR="00594B0D" w:rsidRDefault="00594B0D" w:rsidP="00594B0D">
      <w:pPr>
        <w:ind w:firstLine="720"/>
        <w:rPr>
          <w:sz w:val="28"/>
          <w:szCs w:val="28"/>
        </w:rPr>
      </w:pPr>
    </w:p>
    <w:p w14:paraId="6151FED1" w14:textId="77777777" w:rsidR="00594B0D" w:rsidRDefault="00594B0D" w:rsidP="00594B0D">
      <w:pPr>
        <w:ind w:firstLine="720"/>
        <w:rPr>
          <w:sz w:val="28"/>
          <w:szCs w:val="28"/>
        </w:rPr>
      </w:pPr>
    </w:p>
    <w:p w14:paraId="7C6A2A3E" w14:textId="77777777" w:rsidR="00594B0D" w:rsidRDefault="00594B0D" w:rsidP="00594B0D">
      <w:pPr>
        <w:ind w:firstLine="720"/>
        <w:rPr>
          <w:sz w:val="28"/>
          <w:szCs w:val="28"/>
        </w:rPr>
      </w:pPr>
    </w:p>
    <w:p w14:paraId="24E8AC5B" w14:textId="77777777" w:rsidR="00594B0D" w:rsidRDefault="00594B0D" w:rsidP="00594B0D">
      <w:pPr>
        <w:ind w:firstLine="720"/>
        <w:rPr>
          <w:sz w:val="28"/>
          <w:szCs w:val="28"/>
        </w:rPr>
      </w:pPr>
    </w:p>
    <w:p w14:paraId="77998475" w14:textId="77777777" w:rsidR="00594B0D" w:rsidRDefault="00594B0D" w:rsidP="00594B0D">
      <w:pPr>
        <w:ind w:firstLine="720"/>
        <w:rPr>
          <w:sz w:val="28"/>
          <w:szCs w:val="28"/>
        </w:rPr>
      </w:pPr>
    </w:p>
    <w:p w14:paraId="358BF306" w14:textId="77777777" w:rsidR="00594B0D" w:rsidRDefault="00594B0D" w:rsidP="00594B0D">
      <w:pPr>
        <w:ind w:firstLine="720"/>
        <w:rPr>
          <w:sz w:val="28"/>
          <w:szCs w:val="28"/>
        </w:rPr>
      </w:pPr>
    </w:p>
    <w:p w14:paraId="236AC146" w14:textId="77777777" w:rsidR="00594B0D" w:rsidRDefault="00594B0D" w:rsidP="00594B0D">
      <w:pPr>
        <w:ind w:firstLine="720"/>
        <w:rPr>
          <w:sz w:val="28"/>
          <w:szCs w:val="28"/>
        </w:rPr>
      </w:pPr>
    </w:p>
    <w:p w14:paraId="0793AF33" w14:textId="77777777" w:rsidR="00594B0D" w:rsidRDefault="00594B0D" w:rsidP="00594B0D">
      <w:pPr>
        <w:ind w:firstLine="720"/>
        <w:rPr>
          <w:sz w:val="28"/>
          <w:szCs w:val="28"/>
        </w:rPr>
      </w:pPr>
    </w:p>
    <w:p w14:paraId="1A4F51E9" w14:textId="77777777" w:rsidR="00594B0D" w:rsidRDefault="00594B0D" w:rsidP="00594B0D">
      <w:pPr>
        <w:ind w:firstLine="720"/>
        <w:rPr>
          <w:sz w:val="28"/>
          <w:szCs w:val="28"/>
        </w:rPr>
      </w:pPr>
    </w:p>
    <w:p w14:paraId="326CBB5E" w14:textId="77777777" w:rsidR="00594B0D" w:rsidRDefault="00594B0D" w:rsidP="00594B0D">
      <w:pPr>
        <w:ind w:firstLine="720"/>
        <w:rPr>
          <w:sz w:val="28"/>
          <w:szCs w:val="28"/>
        </w:rPr>
      </w:pPr>
    </w:p>
    <w:p w14:paraId="530382B0" w14:textId="77777777" w:rsidR="00594B0D" w:rsidRDefault="00594B0D" w:rsidP="00594B0D">
      <w:pPr>
        <w:ind w:firstLine="720"/>
        <w:rPr>
          <w:sz w:val="28"/>
          <w:szCs w:val="28"/>
        </w:rPr>
      </w:pPr>
    </w:p>
    <w:p w14:paraId="106A0AA3" w14:textId="5D2B562E" w:rsidR="00594B0D" w:rsidRDefault="00594B0D" w:rsidP="00594B0D">
      <w:pPr>
        <w:ind w:firstLine="720"/>
        <w:rPr>
          <w:sz w:val="28"/>
          <w:szCs w:val="28"/>
        </w:rPr>
      </w:pPr>
      <w:r>
        <w:rPr>
          <w:noProof/>
          <w:sz w:val="28"/>
          <w:szCs w:val="28"/>
        </w:rPr>
        <w:lastRenderedPageBreak/>
        <w:drawing>
          <wp:anchor distT="0" distB="0" distL="114300" distR="114300" simplePos="0" relativeHeight="251673600" behindDoc="0" locked="0" layoutInCell="1" allowOverlap="1" wp14:anchorId="0C367F49" wp14:editId="19E68F94">
            <wp:simplePos x="0" y="0"/>
            <wp:positionH relativeFrom="column">
              <wp:posOffset>971719</wp:posOffset>
            </wp:positionH>
            <wp:positionV relativeFrom="paragraph">
              <wp:posOffset>0</wp:posOffset>
            </wp:positionV>
            <wp:extent cx="3772535" cy="23260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26 at 9.46.42 PM.png"/>
                    <pic:cNvPicPr/>
                  </pic:nvPicPr>
                  <pic:blipFill>
                    <a:blip r:embed="rId13">
                      <a:extLst>
                        <a:ext uri="{28A0092B-C50C-407E-A947-70E740481C1C}">
                          <a14:useLocalDpi xmlns:a14="http://schemas.microsoft.com/office/drawing/2010/main" val="0"/>
                        </a:ext>
                      </a:extLst>
                    </a:blip>
                    <a:stretch>
                      <a:fillRect/>
                    </a:stretch>
                  </pic:blipFill>
                  <pic:spPr>
                    <a:xfrm>
                      <a:off x="0" y="0"/>
                      <a:ext cx="3772535" cy="2326005"/>
                    </a:xfrm>
                    <a:prstGeom prst="rect">
                      <a:avLst/>
                    </a:prstGeom>
                  </pic:spPr>
                </pic:pic>
              </a:graphicData>
            </a:graphic>
            <wp14:sizeRelH relativeFrom="page">
              <wp14:pctWidth>0</wp14:pctWidth>
            </wp14:sizeRelH>
            <wp14:sizeRelV relativeFrom="page">
              <wp14:pctHeight>0</wp14:pctHeight>
            </wp14:sizeRelV>
          </wp:anchor>
        </w:drawing>
      </w:r>
    </w:p>
    <w:p w14:paraId="1DCB492E" w14:textId="77777777" w:rsidR="00594B0D" w:rsidRDefault="00594B0D" w:rsidP="00594B0D">
      <w:pPr>
        <w:ind w:firstLine="720"/>
        <w:rPr>
          <w:sz w:val="28"/>
          <w:szCs w:val="28"/>
        </w:rPr>
      </w:pPr>
    </w:p>
    <w:p w14:paraId="4E319ED8" w14:textId="77777777" w:rsidR="00594B0D" w:rsidRDefault="00594B0D" w:rsidP="00594B0D">
      <w:pPr>
        <w:ind w:firstLine="720"/>
        <w:rPr>
          <w:sz w:val="28"/>
          <w:szCs w:val="28"/>
        </w:rPr>
      </w:pPr>
    </w:p>
    <w:p w14:paraId="1BAFF482" w14:textId="77777777" w:rsidR="00594B0D" w:rsidRDefault="00594B0D" w:rsidP="00594B0D">
      <w:pPr>
        <w:ind w:firstLine="720"/>
        <w:rPr>
          <w:sz w:val="28"/>
          <w:szCs w:val="28"/>
        </w:rPr>
      </w:pPr>
    </w:p>
    <w:p w14:paraId="6FDCB3B2" w14:textId="77777777" w:rsidR="00594B0D" w:rsidRDefault="00594B0D" w:rsidP="00594B0D">
      <w:pPr>
        <w:ind w:firstLine="720"/>
        <w:rPr>
          <w:sz w:val="28"/>
          <w:szCs w:val="28"/>
        </w:rPr>
      </w:pPr>
    </w:p>
    <w:p w14:paraId="2961CD82" w14:textId="77777777" w:rsidR="00594B0D" w:rsidRDefault="00594B0D" w:rsidP="00594B0D">
      <w:pPr>
        <w:ind w:firstLine="720"/>
        <w:rPr>
          <w:sz w:val="28"/>
          <w:szCs w:val="28"/>
        </w:rPr>
      </w:pPr>
    </w:p>
    <w:p w14:paraId="337BAB8E" w14:textId="77777777" w:rsidR="00594B0D" w:rsidRDefault="00594B0D" w:rsidP="00594B0D">
      <w:pPr>
        <w:ind w:firstLine="720"/>
        <w:rPr>
          <w:sz w:val="28"/>
          <w:szCs w:val="28"/>
        </w:rPr>
      </w:pPr>
    </w:p>
    <w:p w14:paraId="51F8B2DA" w14:textId="77777777" w:rsidR="00594B0D" w:rsidRDefault="00594B0D" w:rsidP="00594B0D">
      <w:pPr>
        <w:ind w:firstLine="720"/>
        <w:rPr>
          <w:sz w:val="28"/>
          <w:szCs w:val="28"/>
        </w:rPr>
      </w:pPr>
    </w:p>
    <w:p w14:paraId="031A1167" w14:textId="77777777" w:rsidR="00594B0D" w:rsidRDefault="00594B0D" w:rsidP="00594B0D">
      <w:pPr>
        <w:ind w:firstLine="720"/>
        <w:rPr>
          <w:sz w:val="28"/>
          <w:szCs w:val="28"/>
        </w:rPr>
      </w:pPr>
    </w:p>
    <w:p w14:paraId="7BFC9271" w14:textId="77777777" w:rsidR="00594B0D" w:rsidRDefault="00594B0D" w:rsidP="00594B0D">
      <w:pPr>
        <w:ind w:firstLine="720"/>
        <w:rPr>
          <w:sz w:val="28"/>
          <w:szCs w:val="28"/>
        </w:rPr>
      </w:pPr>
    </w:p>
    <w:p w14:paraId="62F1FDFF" w14:textId="77777777" w:rsidR="00594B0D" w:rsidRDefault="00594B0D" w:rsidP="00594B0D">
      <w:pPr>
        <w:ind w:firstLine="720"/>
        <w:rPr>
          <w:sz w:val="28"/>
          <w:szCs w:val="28"/>
        </w:rPr>
      </w:pPr>
    </w:p>
    <w:p w14:paraId="2CC32442" w14:textId="77777777" w:rsidR="00594B0D" w:rsidRDefault="00594B0D" w:rsidP="00594B0D">
      <w:pPr>
        <w:ind w:firstLine="720"/>
        <w:rPr>
          <w:sz w:val="28"/>
          <w:szCs w:val="28"/>
        </w:rPr>
      </w:pPr>
    </w:p>
    <w:p w14:paraId="65B54BAE" w14:textId="77777777" w:rsidR="00594B0D" w:rsidRDefault="00594B0D" w:rsidP="00594B0D">
      <w:pPr>
        <w:ind w:firstLine="720"/>
        <w:rPr>
          <w:sz w:val="28"/>
          <w:szCs w:val="28"/>
        </w:rPr>
      </w:pPr>
    </w:p>
    <w:p w14:paraId="1055C462" w14:textId="4707D5EB" w:rsidR="00B83C30" w:rsidRDefault="001021F6" w:rsidP="00594B0D">
      <w:pPr>
        <w:ind w:firstLine="720"/>
        <w:rPr>
          <w:sz w:val="28"/>
          <w:szCs w:val="28"/>
        </w:rPr>
      </w:pPr>
      <w:r>
        <w:rPr>
          <w:sz w:val="28"/>
          <w:szCs w:val="28"/>
        </w:rPr>
        <w:t xml:space="preserve">The red </w:t>
      </w:r>
      <w:r w:rsidR="007440CB">
        <w:rPr>
          <w:sz w:val="28"/>
          <w:szCs w:val="28"/>
        </w:rPr>
        <w:t>points</w:t>
      </w:r>
      <w:r>
        <w:rPr>
          <w:sz w:val="28"/>
          <w:szCs w:val="28"/>
        </w:rPr>
        <w:t xml:space="preserve"> were the weighted beta portfolios and the blue </w:t>
      </w:r>
      <w:r w:rsidR="007440CB">
        <w:rPr>
          <w:sz w:val="28"/>
          <w:szCs w:val="28"/>
        </w:rPr>
        <w:t>points</w:t>
      </w:r>
      <w:r>
        <w:rPr>
          <w:sz w:val="28"/>
          <w:szCs w:val="28"/>
        </w:rPr>
        <w:t xml:space="preserve"> are the 1-8 gamma weighted portfolios </w:t>
      </w:r>
      <w:r w:rsidR="007440CB">
        <w:rPr>
          <w:sz w:val="28"/>
          <w:szCs w:val="28"/>
        </w:rPr>
        <w:t>in</w:t>
      </w:r>
      <w:r>
        <w:rPr>
          <w:sz w:val="28"/>
          <w:szCs w:val="28"/>
        </w:rPr>
        <w:t xml:space="preserve"> the table above. The yellow </w:t>
      </w:r>
      <w:r w:rsidR="00594B0D">
        <w:rPr>
          <w:sz w:val="28"/>
          <w:szCs w:val="28"/>
        </w:rPr>
        <w:t>point on the scatterplot</w:t>
      </w:r>
      <w:r>
        <w:rPr>
          <w:sz w:val="28"/>
          <w:szCs w:val="28"/>
        </w:rPr>
        <w:t xml:space="preserve"> represents </w:t>
      </w:r>
      <w:r w:rsidR="00594B0D">
        <w:rPr>
          <w:sz w:val="28"/>
          <w:szCs w:val="28"/>
        </w:rPr>
        <w:t>P</w:t>
      </w:r>
      <w:r>
        <w:rPr>
          <w:sz w:val="28"/>
          <w:szCs w:val="28"/>
        </w:rPr>
        <w:t xml:space="preserve">ortfolio </w:t>
      </w:r>
      <w:r w:rsidR="00594B0D">
        <w:rPr>
          <w:sz w:val="28"/>
          <w:szCs w:val="28"/>
        </w:rPr>
        <w:t xml:space="preserve">0 </w:t>
      </w:r>
      <w:r>
        <w:rPr>
          <w:sz w:val="28"/>
          <w:szCs w:val="28"/>
        </w:rPr>
        <w:t xml:space="preserve">made up of the highest weighted gamma stocks. The portfolio beats CAPM experiencing higher returns with less systemic risk. Portfolio 9 made up of the lowest weighted gammas </w:t>
      </w:r>
      <w:r w:rsidR="00594B0D">
        <w:rPr>
          <w:sz w:val="28"/>
          <w:szCs w:val="28"/>
        </w:rPr>
        <w:t xml:space="preserve">fell below CAPM experiencing less returns than that of CAPM. Market weighted portfolios with higher exposure to the emerging markets saw excess returns to CAPM while also performing better than Portfolio 9 in terms of less systemic risk and higher average annual returns. </w:t>
      </w:r>
      <w:r>
        <w:rPr>
          <w:sz w:val="28"/>
          <w:szCs w:val="28"/>
        </w:rPr>
        <w:t xml:space="preserve"> </w:t>
      </w:r>
    </w:p>
    <w:p w14:paraId="44379A0E" w14:textId="77777777" w:rsidR="00594B0D" w:rsidRDefault="00594B0D" w:rsidP="00594B0D">
      <w:pPr>
        <w:ind w:firstLine="720"/>
        <w:rPr>
          <w:sz w:val="28"/>
          <w:szCs w:val="28"/>
        </w:rPr>
      </w:pPr>
    </w:p>
    <w:p w14:paraId="6532D246" w14:textId="77777777" w:rsidR="00B83C30" w:rsidRDefault="00B83C30" w:rsidP="00241563">
      <w:pPr>
        <w:ind w:firstLine="720"/>
        <w:rPr>
          <w:sz w:val="28"/>
          <w:szCs w:val="28"/>
        </w:rPr>
      </w:pPr>
    </w:p>
    <w:p w14:paraId="6C374235" w14:textId="4620E395" w:rsidR="000802E1" w:rsidRPr="00AE1F18" w:rsidRDefault="00241563" w:rsidP="00AE1F18">
      <w:pPr>
        <w:pStyle w:val="Heading2"/>
        <w:jc w:val="center"/>
        <w:rPr>
          <w:sz w:val="32"/>
          <w:szCs w:val="32"/>
        </w:rPr>
      </w:pPr>
      <w:bookmarkStart w:id="8" w:name="_Toc44117311"/>
      <w:r w:rsidRPr="00AE1F18">
        <w:rPr>
          <w:sz w:val="32"/>
          <w:szCs w:val="32"/>
        </w:rPr>
        <w:t>VEA (2015-2019)</w:t>
      </w:r>
      <w:bookmarkEnd w:id="8"/>
    </w:p>
    <w:p w14:paraId="0D1E6A88" w14:textId="6031CFA3" w:rsidR="000802E1" w:rsidRDefault="000802E1"/>
    <w:p w14:paraId="343A65B3" w14:textId="542C719B" w:rsidR="000802E1" w:rsidRDefault="008D67E3">
      <w:r>
        <w:rPr>
          <w:noProof/>
        </w:rPr>
        <w:drawing>
          <wp:anchor distT="0" distB="0" distL="114300" distR="114300" simplePos="0" relativeHeight="251674624" behindDoc="0" locked="0" layoutInCell="1" allowOverlap="1" wp14:anchorId="459F44B4" wp14:editId="762FAB0C">
            <wp:simplePos x="0" y="0"/>
            <wp:positionH relativeFrom="column">
              <wp:posOffset>972185</wp:posOffset>
            </wp:positionH>
            <wp:positionV relativeFrom="paragraph">
              <wp:posOffset>49530</wp:posOffset>
            </wp:positionV>
            <wp:extent cx="3379470" cy="2534285"/>
            <wp:effectExtent l="0" t="0" r="0" b="5715"/>
            <wp:wrapSquare wrapText="bothSides"/>
            <wp:docPr id="8" name="Picture 2">
              <a:extLst xmlns:a="http://schemas.openxmlformats.org/drawingml/2006/main">
                <a:ext uri="{FF2B5EF4-FFF2-40B4-BE49-F238E27FC236}">
                  <a16:creationId xmlns:a16="http://schemas.microsoft.com/office/drawing/2014/main" id="{81BEA74C-7114-EC42-9AAE-C1FEB4A4BF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BEA74C-7114-EC42-9AAE-C1FEB4A4BF8E}"/>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79470" cy="2534285"/>
                    </a:xfrm>
                    <a:prstGeom prst="rect">
                      <a:avLst/>
                    </a:prstGeom>
                  </pic:spPr>
                </pic:pic>
              </a:graphicData>
            </a:graphic>
            <wp14:sizeRelH relativeFrom="page">
              <wp14:pctWidth>0</wp14:pctWidth>
            </wp14:sizeRelH>
            <wp14:sizeRelV relativeFrom="page">
              <wp14:pctHeight>0</wp14:pctHeight>
            </wp14:sizeRelV>
          </wp:anchor>
        </w:drawing>
      </w:r>
    </w:p>
    <w:p w14:paraId="54BDC880" w14:textId="1199CBCF" w:rsidR="000802E1" w:rsidRDefault="000802E1"/>
    <w:p w14:paraId="1820428B" w14:textId="40A624DC" w:rsidR="000802E1" w:rsidRDefault="000802E1"/>
    <w:p w14:paraId="7155552B" w14:textId="13E94DEA" w:rsidR="000802E1" w:rsidRDefault="000802E1"/>
    <w:p w14:paraId="723F5145" w14:textId="68A095D0" w:rsidR="00C24237" w:rsidRPr="00C24237" w:rsidRDefault="00C24237">
      <w:pPr>
        <w:rPr>
          <w:sz w:val="28"/>
          <w:szCs w:val="28"/>
        </w:rPr>
      </w:pPr>
    </w:p>
    <w:p w14:paraId="481C9E20" w14:textId="335E0C2B" w:rsidR="00C24237" w:rsidRDefault="00C24237"/>
    <w:p w14:paraId="446A6F98" w14:textId="4F01DDC6" w:rsidR="000802E1" w:rsidRDefault="000802E1">
      <w:pPr>
        <w:rPr>
          <w:sz w:val="28"/>
          <w:szCs w:val="28"/>
        </w:rPr>
      </w:pPr>
    </w:p>
    <w:p w14:paraId="5BD2877C" w14:textId="7F122372" w:rsidR="000802E1" w:rsidRDefault="000802E1">
      <w:pPr>
        <w:rPr>
          <w:sz w:val="28"/>
          <w:szCs w:val="28"/>
        </w:rPr>
      </w:pPr>
    </w:p>
    <w:p w14:paraId="74E75F96" w14:textId="2DD48120" w:rsidR="000802E1" w:rsidRDefault="000802E1">
      <w:pPr>
        <w:rPr>
          <w:sz w:val="28"/>
          <w:szCs w:val="28"/>
        </w:rPr>
      </w:pPr>
    </w:p>
    <w:p w14:paraId="3058B814" w14:textId="2F2AAFEF" w:rsidR="00444EDF" w:rsidRDefault="00C24237">
      <w:r>
        <w:t xml:space="preserve"> </w:t>
      </w:r>
    </w:p>
    <w:p w14:paraId="13AC42E9" w14:textId="79E268D0" w:rsidR="000802E1" w:rsidRPr="000802E1" w:rsidRDefault="000802E1" w:rsidP="000802E1"/>
    <w:p w14:paraId="70A1EEA7" w14:textId="1537A6D6" w:rsidR="000802E1" w:rsidRPr="000802E1" w:rsidRDefault="000802E1" w:rsidP="000802E1"/>
    <w:p w14:paraId="2841056B" w14:textId="617990DE" w:rsidR="000802E1" w:rsidRPr="000802E1" w:rsidRDefault="000802E1" w:rsidP="000802E1"/>
    <w:p w14:paraId="0FB77AEE" w14:textId="0CF3AD9E" w:rsidR="000802E1" w:rsidRPr="000802E1" w:rsidRDefault="000802E1" w:rsidP="000802E1"/>
    <w:p w14:paraId="7B583FDD" w14:textId="36FD6FC2" w:rsidR="000802E1" w:rsidRPr="000802E1" w:rsidRDefault="000802E1" w:rsidP="000802E1"/>
    <w:p w14:paraId="54F57527" w14:textId="679C2CF0" w:rsidR="000802E1" w:rsidRPr="000802E1" w:rsidRDefault="000802E1" w:rsidP="000802E1"/>
    <w:p w14:paraId="6D74CFDF" w14:textId="72C65BF8" w:rsidR="000802E1" w:rsidRPr="000802E1" w:rsidRDefault="000802E1" w:rsidP="000802E1"/>
    <w:p w14:paraId="7B946A36" w14:textId="5FFE1E23" w:rsidR="000802E1" w:rsidRPr="000802E1" w:rsidRDefault="008D67E3" w:rsidP="000802E1">
      <w:r>
        <w:rPr>
          <w:noProof/>
        </w:rPr>
        <w:drawing>
          <wp:anchor distT="0" distB="0" distL="114300" distR="114300" simplePos="0" relativeHeight="251675648" behindDoc="0" locked="0" layoutInCell="1" allowOverlap="1" wp14:anchorId="31FC760C" wp14:editId="3CE2B22B">
            <wp:simplePos x="0" y="0"/>
            <wp:positionH relativeFrom="column">
              <wp:posOffset>942340</wp:posOffset>
            </wp:positionH>
            <wp:positionV relativeFrom="paragraph">
              <wp:posOffset>49530</wp:posOffset>
            </wp:positionV>
            <wp:extent cx="3873500" cy="247586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26 at 10.48.01 PM.png"/>
                    <pic:cNvPicPr/>
                  </pic:nvPicPr>
                  <pic:blipFill>
                    <a:blip r:embed="rId15">
                      <a:extLst>
                        <a:ext uri="{28A0092B-C50C-407E-A947-70E740481C1C}">
                          <a14:useLocalDpi xmlns:a14="http://schemas.microsoft.com/office/drawing/2010/main" val="0"/>
                        </a:ext>
                      </a:extLst>
                    </a:blip>
                    <a:stretch>
                      <a:fillRect/>
                    </a:stretch>
                  </pic:blipFill>
                  <pic:spPr>
                    <a:xfrm>
                      <a:off x="0" y="0"/>
                      <a:ext cx="3873500" cy="2475865"/>
                    </a:xfrm>
                    <a:prstGeom prst="rect">
                      <a:avLst/>
                    </a:prstGeom>
                  </pic:spPr>
                </pic:pic>
              </a:graphicData>
            </a:graphic>
            <wp14:sizeRelH relativeFrom="page">
              <wp14:pctWidth>0</wp14:pctWidth>
            </wp14:sizeRelH>
            <wp14:sizeRelV relativeFrom="page">
              <wp14:pctHeight>0</wp14:pctHeight>
            </wp14:sizeRelV>
          </wp:anchor>
        </w:drawing>
      </w:r>
    </w:p>
    <w:p w14:paraId="436D7A96" w14:textId="1658388F" w:rsidR="000802E1" w:rsidRPr="000802E1" w:rsidRDefault="000802E1" w:rsidP="000802E1"/>
    <w:p w14:paraId="111B8C86" w14:textId="77777777" w:rsidR="008D67E3" w:rsidRDefault="008D67E3" w:rsidP="006C2BF4">
      <w:pPr>
        <w:ind w:firstLine="720"/>
        <w:rPr>
          <w:b/>
          <w:bCs/>
          <w:sz w:val="32"/>
          <w:szCs w:val="32"/>
        </w:rPr>
      </w:pPr>
    </w:p>
    <w:p w14:paraId="0B94709F" w14:textId="77777777" w:rsidR="008D67E3" w:rsidRDefault="008D67E3" w:rsidP="006C2BF4">
      <w:pPr>
        <w:ind w:firstLine="720"/>
        <w:rPr>
          <w:b/>
          <w:bCs/>
          <w:sz w:val="32"/>
          <w:szCs w:val="32"/>
        </w:rPr>
      </w:pPr>
    </w:p>
    <w:p w14:paraId="235B9CEB" w14:textId="77777777" w:rsidR="008D67E3" w:rsidRDefault="008D67E3" w:rsidP="006C2BF4">
      <w:pPr>
        <w:ind w:firstLine="720"/>
        <w:rPr>
          <w:b/>
          <w:bCs/>
          <w:sz w:val="32"/>
          <w:szCs w:val="32"/>
        </w:rPr>
      </w:pPr>
    </w:p>
    <w:p w14:paraId="63FA3704" w14:textId="77777777" w:rsidR="008D67E3" w:rsidRDefault="008D67E3" w:rsidP="006C2BF4">
      <w:pPr>
        <w:ind w:firstLine="720"/>
        <w:rPr>
          <w:b/>
          <w:bCs/>
          <w:sz w:val="32"/>
          <w:szCs w:val="32"/>
        </w:rPr>
      </w:pPr>
    </w:p>
    <w:p w14:paraId="33F72412" w14:textId="77777777" w:rsidR="008D67E3" w:rsidRDefault="008D67E3" w:rsidP="006C2BF4">
      <w:pPr>
        <w:ind w:firstLine="720"/>
        <w:rPr>
          <w:b/>
          <w:bCs/>
          <w:sz w:val="32"/>
          <w:szCs w:val="32"/>
        </w:rPr>
      </w:pPr>
    </w:p>
    <w:p w14:paraId="5B738E91" w14:textId="77777777" w:rsidR="008D67E3" w:rsidRDefault="008D67E3" w:rsidP="006C2BF4">
      <w:pPr>
        <w:ind w:firstLine="720"/>
        <w:rPr>
          <w:b/>
          <w:bCs/>
          <w:sz w:val="32"/>
          <w:szCs w:val="32"/>
        </w:rPr>
      </w:pPr>
    </w:p>
    <w:p w14:paraId="2A0A86AD" w14:textId="77777777" w:rsidR="008D67E3" w:rsidRDefault="008D67E3" w:rsidP="006C2BF4">
      <w:pPr>
        <w:ind w:firstLine="720"/>
        <w:rPr>
          <w:b/>
          <w:bCs/>
          <w:sz w:val="32"/>
          <w:szCs w:val="32"/>
        </w:rPr>
      </w:pPr>
    </w:p>
    <w:p w14:paraId="7870F106" w14:textId="77777777" w:rsidR="008D67E3" w:rsidRDefault="008D67E3" w:rsidP="006C2BF4">
      <w:pPr>
        <w:ind w:firstLine="720"/>
        <w:rPr>
          <w:b/>
          <w:bCs/>
          <w:sz w:val="32"/>
          <w:szCs w:val="32"/>
        </w:rPr>
      </w:pPr>
    </w:p>
    <w:p w14:paraId="3F8D57DE" w14:textId="77777777" w:rsidR="008D67E3" w:rsidRDefault="008D67E3" w:rsidP="006C2BF4">
      <w:pPr>
        <w:ind w:firstLine="720"/>
        <w:rPr>
          <w:b/>
          <w:bCs/>
          <w:sz w:val="32"/>
          <w:szCs w:val="32"/>
        </w:rPr>
      </w:pPr>
    </w:p>
    <w:p w14:paraId="7BE1DE12" w14:textId="2DF7BBE7" w:rsidR="008D67E3" w:rsidRDefault="008D67E3" w:rsidP="006C2BF4">
      <w:pPr>
        <w:ind w:firstLine="720"/>
        <w:rPr>
          <w:b/>
          <w:bCs/>
          <w:sz w:val="32"/>
          <w:szCs w:val="32"/>
        </w:rPr>
      </w:pPr>
    </w:p>
    <w:p w14:paraId="2F63F7EB" w14:textId="77777777" w:rsidR="00856DE3" w:rsidRDefault="00856DE3" w:rsidP="00856DE3">
      <w:pPr>
        <w:ind w:firstLine="720"/>
        <w:rPr>
          <w:sz w:val="28"/>
          <w:szCs w:val="28"/>
        </w:rPr>
      </w:pPr>
    </w:p>
    <w:p w14:paraId="45DE963B" w14:textId="77777777" w:rsidR="00FC6FDA" w:rsidRDefault="00FC6FDA" w:rsidP="00856DE3">
      <w:pPr>
        <w:ind w:firstLine="720"/>
        <w:rPr>
          <w:sz w:val="28"/>
          <w:szCs w:val="28"/>
        </w:rPr>
      </w:pPr>
    </w:p>
    <w:p w14:paraId="13F06530" w14:textId="5FD9E978" w:rsidR="003923AE" w:rsidRPr="003923AE" w:rsidRDefault="003923AE" w:rsidP="00856DE3">
      <w:pPr>
        <w:ind w:firstLine="720"/>
        <w:rPr>
          <w:sz w:val="28"/>
          <w:szCs w:val="28"/>
        </w:rPr>
      </w:pPr>
      <w:r w:rsidRPr="003923AE">
        <w:rPr>
          <w:sz w:val="28"/>
          <w:szCs w:val="28"/>
        </w:rPr>
        <w:t>For the weighted gamma sorted portfolios</w:t>
      </w:r>
      <w:r w:rsidRPr="003923AE">
        <w:rPr>
          <w:b/>
          <w:bCs/>
          <w:sz w:val="28"/>
          <w:szCs w:val="28"/>
        </w:rPr>
        <w:t xml:space="preserve"> </w:t>
      </w:r>
      <w:r w:rsidRPr="003923AE">
        <w:rPr>
          <w:sz w:val="28"/>
          <w:szCs w:val="28"/>
        </w:rPr>
        <w:t xml:space="preserve">with respect to the VEA or developed markets index, </w:t>
      </w:r>
      <w:r>
        <w:rPr>
          <w:sz w:val="28"/>
          <w:szCs w:val="28"/>
        </w:rPr>
        <w:t xml:space="preserve">Portfolio 0 with the highest gamma compared to the Portfolio 9 with the lowest gamma saw higher returns by about 4.8% while also showing less systemic risk with a lower beta. Portfolio 0 also </w:t>
      </w:r>
      <w:r w:rsidR="00E56686">
        <w:rPr>
          <w:sz w:val="28"/>
          <w:szCs w:val="28"/>
        </w:rPr>
        <w:t xml:space="preserve">experienced excess returns to CAPM by about 510 basis points. </w:t>
      </w:r>
      <w:r w:rsidR="00E348EA">
        <w:rPr>
          <w:sz w:val="28"/>
          <w:szCs w:val="28"/>
        </w:rPr>
        <w:t xml:space="preserve">Similar to the emerging markets backtest, the portfolio with the highest exposure to the international developed markets faced higher average annual returns and less systemic risk when compared to the portfolio with the lowest exposure to the international markets. </w:t>
      </w:r>
    </w:p>
    <w:p w14:paraId="3414C9E1" w14:textId="77777777" w:rsidR="00E348EA" w:rsidRDefault="00E348EA" w:rsidP="00AE1F18">
      <w:pPr>
        <w:rPr>
          <w:b/>
          <w:bCs/>
          <w:sz w:val="32"/>
          <w:szCs w:val="32"/>
        </w:rPr>
      </w:pPr>
    </w:p>
    <w:p w14:paraId="57563704" w14:textId="59F2EDFB" w:rsidR="00E348EA" w:rsidRPr="00AE1F18" w:rsidRDefault="00AE1F18" w:rsidP="00AE1F18">
      <w:pPr>
        <w:pStyle w:val="Heading1"/>
        <w:rPr>
          <w:sz w:val="40"/>
          <w:szCs w:val="40"/>
        </w:rPr>
      </w:pPr>
      <w:bookmarkStart w:id="9" w:name="_Toc44117312"/>
      <w:r>
        <w:rPr>
          <w:sz w:val="40"/>
          <w:szCs w:val="40"/>
        </w:rPr>
        <w:t xml:space="preserve">SMB - </w:t>
      </w:r>
      <w:r w:rsidR="00E348EA" w:rsidRPr="00AE1F18">
        <w:rPr>
          <w:sz w:val="40"/>
          <w:szCs w:val="40"/>
        </w:rPr>
        <w:t>Double Sorted Portfolios with an International Component:</w:t>
      </w:r>
      <w:bookmarkEnd w:id="9"/>
    </w:p>
    <w:p w14:paraId="120AC153" w14:textId="3AE72EAF" w:rsidR="008D67E3" w:rsidRDefault="008D67E3" w:rsidP="00E348EA">
      <w:pPr>
        <w:rPr>
          <w:b/>
          <w:bCs/>
          <w:sz w:val="32"/>
          <w:szCs w:val="32"/>
        </w:rPr>
      </w:pPr>
    </w:p>
    <w:p w14:paraId="51F6CA63" w14:textId="17A8DB2E" w:rsidR="00E348EA" w:rsidRPr="00E348EA" w:rsidRDefault="00E348EA" w:rsidP="00E348EA">
      <w:pPr>
        <w:rPr>
          <w:sz w:val="28"/>
          <w:szCs w:val="28"/>
        </w:rPr>
      </w:pPr>
      <w:r>
        <w:rPr>
          <w:b/>
          <w:bCs/>
          <w:sz w:val="32"/>
          <w:szCs w:val="32"/>
        </w:rPr>
        <w:tab/>
      </w:r>
      <w:r>
        <w:rPr>
          <w:sz w:val="28"/>
          <w:szCs w:val="28"/>
        </w:rPr>
        <w:t>With the same data as the first backtest from the years of 2009 to 2019, we decided to look into forming portfolios by double sorting. 15 portfolios were created with respect to each of the indices, VEA and VEMAX. The first component was size. So, stocks that were in the 33rd percentile of market capitalization were placed in the S subset. For the M subset, the median stocks with 66</w:t>
      </w:r>
      <w:r w:rsidRPr="00E348EA">
        <w:rPr>
          <w:sz w:val="28"/>
          <w:szCs w:val="28"/>
          <w:vertAlign w:val="superscript"/>
        </w:rPr>
        <w:t>th</w:t>
      </w:r>
      <w:r>
        <w:rPr>
          <w:sz w:val="28"/>
          <w:szCs w:val="28"/>
        </w:rPr>
        <w:t xml:space="preserve"> to 33</w:t>
      </w:r>
      <w:r w:rsidRPr="00E348EA">
        <w:rPr>
          <w:sz w:val="28"/>
          <w:szCs w:val="28"/>
          <w:vertAlign w:val="superscript"/>
        </w:rPr>
        <w:t>rd</w:t>
      </w:r>
      <w:r>
        <w:rPr>
          <w:sz w:val="28"/>
          <w:szCs w:val="28"/>
        </w:rPr>
        <w:t xml:space="preserve"> percentile market capitalization were grouped together. The B subset were the stocks that were the biggest in terms of market capitalization, 66</w:t>
      </w:r>
      <w:r w:rsidRPr="00E348EA">
        <w:rPr>
          <w:sz w:val="28"/>
          <w:szCs w:val="28"/>
          <w:vertAlign w:val="superscript"/>
        </w:rPr>
        <w:t>th</w:t>
      </w:r>
      <w:r>
        <w:rPr>
          <w:sz w:val="28"/>
          <w:szCs w:val="28"/>
        </w:rPr>
        <w:t xml:space="preserve"> percentile and above. Once these three groups were formed, the next sorting was based on five groups of gamma exposure. </w:t>
      </w:r>
      <w:r w:rsidR="00856DE3">
        <w:rPr>
          <w:sz w:val="28"/>
          <w:szCs w:val="28"/>
        </w:rPr>
        <w:t xml:space="preserve">The smallest gammas, given market </w:t>
      </w:r>
      <w:r w:rsidR="00856DE3">
        <w:rPr>
          <w:sz w:val="28"/>
          <w:szCs w:val="28"/>
        </w:rPr>
        <w:lastRenderedPageBreak/>
        <w:t xml:space="preserve">capitalization sorting, were sorted into their own portfolio. The chart below will give a better representation on how these portfolios were created. Based on the size of the firm’s stock, portfolios were created by first examining size, then grouping by the international exposure to the respective index. </w:t>
      </w:r>
      <w:r w:rsidR="00FC6FDA">
        <w:rPr>
          <w:sz w:val="28"/>
          <w:szCs w:val="28"/>
        </w:rPr>
        <w:t>The formula for the regression we used displayed in the chart below is as follows.</w:t>
      </w:r>
    </w:p>
    <w:p w14:paraId="00E352F5" w14:textId="44DF063B" w:rsidR="00E348EA" w:rsidRDefault="00E348EA" w:rsidP="00E348EA">
      <w:pPr>
        <w:rPr>
          <w:b/>
          <w:bCs/>
          <w:sz w:val="32"/>
          <w:szCs w:val="32"/>
        </w:rPr>
      </w:pPr>
    </w:p>
    <w:p w14:paraId="06E25834" w14:textId="22CAAC27" w:rsidR="00E348EA" w:rsidRDefault="00E348EA" w:rsidP="00E348EA">
      <w:pPr>
        <w:rPr>
          <w:b/>
          <w:bCs/>
          <w:sz w:val="32"/>
          <w:szCs w:val="32"/>
        </w:rPr>
      </w:pPr>
    </w:p>
    <w:p w14:paraId="13FD3C05" w14:textId="34C5472C" w:rsidR="00040A18" w:rsidRDefault="006A2EBD" w:rsidP="00040A18">
      <w:pPr>
        <w:ind w:firstLine="720"/>
        <w:rPr>
          <w:sz w:val="28"/>
          <w:szCs w:val="28"/>
        </w:rPr>
      </w:pPr>
      <m:oMathPara>
        <m:oMath>
          <m:sSub>
            <m:sSubPr>
              <m:ctrlPr>
                <w:rPr>
                  <w:rFonts w:ascii="Cambria Math" w:eastAsiaTheme="minorHAnsi" w:hAnsi="Cambria Math"/>
                  <w:i/>
                  <w:sz w:val="28"/>
                  <w:szCs w:val="28"/>
                </w:rPr>
              </m:ctrlPr>
            </m:sSubPr>
            <m:e>
              <m:r>
                <w:rPr>
                  <w:rFonts w:ascii="Cambria Math" w:hAnsi="Cambria Math"/>
                  <w:sz w:val="28"/>
                  <w:szCs w:val="28"/>
                </w:rPr>
                <m:t>r</m:t>
              </m:r>
            </m:e>
            <m:sub>
              <m:r>
                <w:rPr>
                  <w:rFonts w:ascii="Cambria Math" w:hAnsi="Cambria Math"/>
                  <w:sz w:val="28"/>
                  <w:szCs w:val="28"/>
                </w:rPr>
                <m:t>jt</m:t>
              </m:r>
            </m:sub>
          </m:sSub>
          <m:r>
            <w:rPr>
              <w:rFonts w:ascii="Cambria Math" w:hAnsi="Cambria Math"/>
              <w:sz w:val="28"/>
              <w:szCs w:val="28"/>
            </w:rPr>
            <m:t>=</m:t>
          </m:r>
          <m:sSub>
            <m:sSubPr>
              <m:ctrlPr>
                <w:rPr>
                  <w:rFonts w:ascii="Cambria Math" w:eastAsiaTheme="minorHAnsi" w:hAnsi="Cambria Math"/>
                  <w:i/>
                  <w:sz w:val="28"/>
                  <w:szCs w:val="28"/>
                </w:rPr>
              </m:ctrlPr>
            </m:sSubPr>
            <m:e>
              <m:r>
                <w:rPr>
                  <w:rFonts w:ascii="Cambria Math" w:hAnsi="Cambria Math"/>
                  <w:sz w:val="28"/>
                  <w:szCs w:val="28"/>
                </w:rPr>
                <m:t>α</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β</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r</m:t>
              </m:r>
            </m:e>
            <m:sub>
              <m:r>
                <w:rPr>
                  <w:rFonts w:ascii="Cambria Math" w:hAnsi="Cambria Math"/>
                  <w:sz w:val="28"/>
                  <w:szCs w:val="28"/>
                </w:rPr>
                <m:t xml:space="preserve">m,t </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γ</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r</m:t>
              </m:r>
            </m:e>
            <m:sub>
              <m:r>
                <w:rPr>
                  <w:rFonts w:ascii="Cambria Math" w:hAnsi="Cambria Math"/>
                  <w:sz w:val="28"/>
                  <w:szCs w:val="28"/>
                </w:rPr>
                <m:t xml:space="preserve">intl, t  </m:t>
              </m:r>
            </m:sub>
          </m:sSub>
          <m:r>
            <w:rPr>
              <w:rFonts w:ascii="Cambria Math" w:eastAsiaTheme="minorHAnsi" w:hAnsi="Cambria Math"/>
              <w:sz w:val="28"/>
              <w:szCs w:val="28"/>
            </w:rPr>
            <m:t xml:space="preserve">+ </m:t>
          </m:r>
          <m:sSub>
            <m:sSubPr>
              <m:ctrlPr>
                <w:rPr>
                  <w:rFonts w:ascii="Cambria Math" w:eastAsiaTheme="minorHAnsi" w:hAnsi="Cambria Math"/>
                  <w:i/>
                  <w:sz w:val="28"/>
                  <w:szCs w:val="28"/>
                </w:rPr>
              </m:ctrlPr>
            </m:sSubPr>
            <m:e>
              <m:r>
                <w:rPr>
                  <w:rFonts w:ascii="Cambria Math" w:eastAsiaTheme="minorHAnsi" w:hAnsi="Cambria Math"/>
                  <w:sz w:val="28"/>
                  <w:szCs w:val="28"/>
                </w:rPr>
                <m:t>δ</m:t>
              </m:r>
            </m:e>
            <m:sub>
              <m:r>
                <w:rPr>
                  <w:rFonts w:ascii="Cambria Math" w:eastAsiaTheme="minorHAnsi" w:hAnsi="Cambria Math"/>
                  <w:sz w:val="28"/>
                  <w:szCs w:val="28"/>
                </w:rPr>
                <m:t>j</m:t>
              </m:r>
            </m:sub>
          </m:sSub>
          <m:r>
            <w:rPr>
              <w:rFonts w:ascii="Cambria Math" w:eastAsiaTheme="minorHAnsi" w:hAnsi="Cambria Math"/>
              <w:sz w:val="28"/>
              <w:szCs w:val="28"/>
            </w:rPr>
            <m:t xml:space="preserve">* </m:t>
          </m:r>
          <m:sSub>
            <m:sSubPr>
              <m:ctrlPr>
                <w:rPr>
                  <w:rFonts w:ascii="Cambria Math" w:eastAsiaTheme="minorHAnsi" w:hAnsi="Cambria Math"/>
                  <w:i/>
                  <w:sz w:val="28"/>
                  <w:szCs w:val="28"/>
                </w:rPr>
              </m:ctrlPr>
            </m:sSubPr>
            <m:e>
              <m:r>
                <w:rPr>
                  <w:rFonts w:ascii="Cambria Math" w:eastAsiaTheme="minorHAnsi" w:hAnsi="Cambria Math"/>
                  <w:sz w:val="28"/>
                  <w:szCs w:val="28"/>
                </w:rPr>
                <m:t>r</m:t>
              </m:r>
            </m:e>
            <m:sub>
              <m:r>
                <w:rPr>
                  <w:rFonts w:ascii="Cambria Math" w:eastAsiaTheme="minorHAnsi" w:hAnsi="Cambria Math"/>
                  <w:sz w:val="28"/>
                  <w:szCs w:val="28"/>
                </w:rPr>
                <m:t>SMB,t</m:t>
              </m:r>
            </m:sub>
          </m:sSub>
          <m:r>
            <w:rPr>
              <w:rFonts w:ascii="Cambria Math" w:eastAsiaTheme="minorHAnsi" w:hAnsi="Cambria Math"/>
              <w:sz w:val="28"/>
              <w:szCs w:val="28"/>
            </w:rPr>
            <m:t xml:space="preserve"> + </m:t>
          </m:r>
          <m:sSub>
            <m:sSubPr>
              <m:ctrlPr>
                <w:rPr>
                  <w:rFonts w:ascii="Cambria Math" w:eastAsiaTheme="minorHAnsi" w:hAnsi="Cambria Math"/>
                  <w:i/>
                  <w:sz w:val="28"/>
                  <w:szCs w:val="28"/>
                </w:rPr>
              </m:ctrlPr>
            </m:sSubPr>
            <m:e>
              <m:r>
                <w:rPr>
                  <w:rFonts w:ascii="Cambria Math" w:eastAsiaTheme="minorHAnsi" w:hAnsi="Cambria Math"/>
                  <w:sz w:val="28"/>
                  <w:szCs w:val="28"/>
                </w:rPr>
                <m:t>ε</m:t>
              </m:r>
            </m:e>
            <m:sub>
              <m:r>
                <w:rPr>
                  <w:rFonts w:ascii="Cambria Math" w:eastAsiaTheme="minorHAnsi" w:hAnsi="Cambria Math"/>
                  <w:sz w:val="28"/>
                  <w:szCs w:val="28"/>
                </w:rPr>
                <m:t>jt</m:t>
              </m:r>
            </m:sub>
          </m:sSub>
          <m:r>
            <w:rPr>
              <w:rFonts w:ascii="Cambria Math" w:eastAsiaTheme="minorHAnsi" w:hAnsi="Cambria Math"/>
              <w:sz w:val="28"/>
              <w:szCs w:val="28"/>
            </w:rPr>
            <m:t xml:space="preserve"> </m:t>
          </m:r>
        </m:oMath>
      </m:oMathPara>
    </w:p>
    <w:p w14:paraId="6FA6D5AC" w14:textId="7C26F07E" w:rsidR="006A2EBD" w:rsidRDefault="006A2EBD" w:rsidP="00040A18">
      <w:pPr>
        <w:ind w:firstLine="720"/>
        <w:rPr>
          <w:sz w:val="28"/>
          <w:szCs w:val="28"/>
        </w:rPr>
      </w:pPr>
      <w:r>
        <w:rPr>
          <w:b/>
          <w:bCs/>
          <w:noProof/>
          <w:sz w:val="32"/>
          <w:szCs w:val="32"/>
        </w:rPr>
        <w:drawing>
          <wp:anchor distT="0" distB="0" distL="114300" distR="114300" simplePos="0" relativeHeight="251676672" behindDoc="0" locked="0" layoutInCell="1" allowOverlap="1" wp14:anchorId="0640F4F3" wp14:editId="14303F76">
            <wp:simplePos x="0" y="0"/>
            <wp:positionH relativeFrom="column">
              <wp:posOffset>0</wp:posOffset>
            </wp:positionH>
            <wp:positionV relativeFrom="paragraph">
              <wp:posOffset>353597</wp:posOffset>
            </wp:positionV>
            <wp:extent cx="5943600" cy="19831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26 at 11.18.30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3105"/>
                    </a:xfrm>
                    <a:prstGeom prst="rect">
                      <a:avLst/>
                    </a:prstGeom>
                  </pic:spPr>
                </pic:pic>
              </a:graphicData>
            </a:graphic>
            <wp14:sizeRelH relativeFrom="page">
              <wp14:pctWidth>0</wp14:pctWidth>
            </wp14:sizeRelH>
            <wp14:sizeRelV relativeFrom="page">
              <wp14:pctHeight>0</wp14:pctHeight>
            </wp14:sizeRelV>
          </wp:anchor>
        </w:drawing>
      </w:r>
    </w:p>
    <w:p w14:paraId="753C322B" w14:textId="77777777" w:rsidR="006A2EBD" w:rsidRDefault="006A2EBD" w:rsidP="00040A18">
      <w:pPr>
        <w:ind w:firstLine="720"/>
        <w:rPr>
          <w:sz w:val="28"/>
          <w:szCs w:val="28"/>
        </w:rPr>
      </w:pPr>
    </w:p>
    <w:p w14:paraId="730A3175" w14:textId="77777777" w:rsidR="00AE1F18" w:rsidRDefault="00AE1F18" w:rsidP="00040A18">
      <w:pPr>
        <w:ind w:firstLine="720"/>
        <w:rPr>
          <w:sz w:val="28"/>
          <w:szCs w:val="28"/>
        </w:rPr>
      </w:pPr>
    </w:p>
    <w:p w14:paraId="46D82DB6" w14:textId="45DE0F9F" w:rsidR="00C75445" w:rsidRPr="00040A18" w:rsidRDefault="00040A18" w:rsidP="00040A18">
      <w:pPr>
        <w:ind w:firstLine="720"/>
        <w:rPr>
          <w:sz w:val="28"/>
          <w:szCs w:val="28"/>
        </w:rPr>
      </w:pPr>
      <w:r>
        <w:rPr>
          <w:sz w:val="28"/>
          <w:szCs w:val="28"/>
        </w:rPr>
        <w:t xml:space="preserve">Unlike the other backtests, we made this </w:t>
      </w:r>
      <w:r w:rsidR="0064332E">
        <w:rPr>
          <w:sz w:val="28"/>
          <w:szCs w:val="28"/>
        </w:rPr>
        <w:t>equally weighted</w:t>
      </w:r>
      <w:r>
        <w:rPr>
          <w:sz w:val="28"/>
          <w:szCs w:val="28"/>
        </w:rPr>
        <w:t xml:space="preserve"> portfolio</w:t>
      </w:r>
      <w:r w:rsidR="0064332E">
        <w:rPr>
          <w:sz w:val="28"/>
          <w:szCs w:val="28"/>
        </w:rPr>
        <w:t>s</w:t>
      </w:r>
      <w:r>
        <w:rPr>
          <w:sz w:val="28"/>
          <w:szCs w:val="28"/>
        </w:rPr>
        <w:t xml:space="preserve"> due to the fact that we already accounted for the size of the firm during are first part of the double sort. </w:t>
      </w:r>
      <w:r w:rsidRPr="00040A18">
        <w:rPr>
          <w:sz w:val="28"/>
          <w:szCs w:val="28"/>
        </w:rPr>
        <w:t xml:space="preserve">The </w:t>
      </w:r>
      <w:r>
        <w:rPr>
          <w:sz w:val="28"/>
          <w:szCs w:val="28"/>
        </w:rPr>
        <w:t xml:space="preserve">portfolios made up of the </w:t>
      </w:r>
      <w:r w:rsidRPr="00040A18">
        <w:rPr>
          <w:sz w:val="28"/>
          <w:szCs w:val="28"/>
        </w:rPr>
        <w:t xml:space="preserve">smallest firms, based on market capitalization, </w:t>
      </w:r>
      <w:r>
        <w:rPr>
          <w:sz w:val="28"/>
          <w:szCs w:val="28"/>
        </w:rPr>
        <w:t>performed best when compared to other portfolios. We can conclude that small firms with the least amount of international exposure, whether that be in the emerging or developed markets</w:t>
      </w:r>
      <w:r w:rsidR="0064332E">
        <w:rPr>
          <w:sz w:val="28"/>
          <w:szCs w:val="28"/>
        </w:rPr>
        <w:t>, see the highest returns out of any other portfolio</w:t>
      </w:r>
      <w:r>
        <w:rPr>
          <w:sz w:val="28"/>
          <w:szCs w:val="28"/>
        </w:rPr>
        <w:t xml:space="preserve">. </w:t>
      </w:r>
      <w:r w:rsidR="0064332E">
        <w:rPr>
          <w:sz w:val="28"/>
          <w:szCs w:val="28"/>
        </w:rPr>
        <w:t xml:space="preserve">This is in line with the results many years ago from the Fama French Three Factor Model where the smaller firms </w:t>
      </w:r>
      <w:r w:rsidR="00831923">
        <w:rPr>
          <w:sz w:val="28"/>
          <w:szCs w:val="28"/>
        </w:rPr>
        <w:t xml:space="preserve">beat larger firms on average. The smallest firms having the least international exposure can be explained by the fact that small firms in their earlier stages still growing performed better by focusing on improving operations in the nation’s borders to better profits instead of stretching their resources too thin and prematurely expanding into international markets. </w:t>
      </w:r>
    </w:p>
    <w:p w14:paraId="0C7748A8" w14:textId="69184884" w:rsidR="00AE1F18" w:rsidRDefault="00AE1F18" w:rsidP="00AE1F18">
      <w:pPr>
        <w:pStyle w:val="Heading1"/>
        <w:rPr>
          <w:sz w:val="40"/>
          <w:szCs w:val="40"/>
        </w:rPr>
      </w:pPr>
    </w:p>
    <w:p w14:paraId="63A2E943" w14:textId="77777777" w:rsidR="00AE1F18" w:rsidRPr="00AE1F18" w:rsidRDefault="00AE1F18" w:rsidP="00AE1F18"/>
    <w:p w14:paraId="2519BE40" w14:textId="3F85D633" w:rsidR="000802E1" w:rsidRPr="00AE1F18" w:rsidRDefault="000802E1" w:rsidP="00AE1F18">
      <w:pPr>
        <w:pStyle w:val="Heading1"/>
        <w:rPr>
          <w:sz w:val="40"/>
          <w:szCs w:val="40"/>
        </w:rPr>
      </w:pPr>
      <w:bookmarkStart w:id="10" w:name="_Toc44117313"/>
      <w:r w:rsidRPr="00AE1F18">
        <w:rPr>
          <w:sz w:val="40"/>
          <w:szCs w:val="40"/>
        </w:rPr>
        <w:lastRenderedPageBreak/>
        <w:t>Conclusion</w:t>
      </w:r>
      <w:r w:rsidR="006C2BF4" w:rsidRPr="00AE1F18">
        <w:rPr>
          <w:sz w:val="40"/>
          <w:szCs w:val="40"/>
        </w:rPr>
        <w:t xml:space="preserve"> and Future Work</w:t>
      </w:r>
      <w:r w:rsidRPr="00AE1F18">
        <w:rPr>
          <w:sz w:val="40"/>
          <w:szCs w:val="40"/>
        </w:rPr>
        <w:t>:</w:t>
      </w:r>
      <w:bookmarkEnd w:id="10"/>
    </w:p>
    <w:p w14:paraId="10EED4BB" w14:textId="7480420F" w:rsidR="000802E1" w:rsidRPr="000802E1" w:rsidRDefault="000802E1" w:rsidP="000802E1">
      <w:pPr>
        <w:rPr>
          <w:sz w:val="32"/>
          <w:szCs w:val="32"/>
        </w:rPr>
      </w:pPr>
    </w:p>
    <w:p w14:paraId="19990F90" w14:textId="4FBECF6B" w:rsidR="000802E1" w:rsidRPr="003923AE" w:rsidRDefault="000802E1" w:rsidP="006C2BF4">
      <w:pPr>
        <w:ind w:firstLine="720"/>
        <w:rPr>
          <w:sz w:val="28"/>
          <w:szCs w:val="28"/>
        </w:rPr>
      </w:pPr>
      <w:r w:rsidRPr="003923AE">
        <w:rPr>
          <w:sz w:val="28"/>
          <w:szCs w:val="28"/>
        </w:rPr>
        <w:t xml:space="preserve">In this study we found that companies listed on US stock exchanges from 2015 to 2019 followed closely with the Capital Asset Pricing Model when the securities were accounted for their total market capitalization. Portfolios with higher weighted gamma coefficients saw better returns than the portfolios with lower gammas or international exposure. We decided to account for companies’ sizes in each portfolio on inspiration of the Fama and French study in 1992. Future studies can look into other asset classes such as fixed income securities to see if other securities follow the CAPM model closer or to see if international exposure is a good factor to pair with this asset pricing model. </w:t>
      </w:r>
      <w:r w:rsidR="00A05069">
        <w:rPr>
          <w:sz w:val="28"/>
          <w:szCs w:val="28"/>
        </w:rPr>
        <w:t xml:space="preserve">This SMB portion of the research project was an 11 year backtest from 2009 to 2019 where the portfolios were equally weighted and mainly sorted on the size of the stock’s market capitalization. The results here showed that smaller sized firms outperform the market and larger firms no matter their exposure to international markets. Smaller firms’ stocks have more room for growth while also don’t have a big presence overseas yet due to the fact that the company is still expanding and in the early stage of business development. Another finding in our study was the fact that the backtests that found the most profound results were those years that were high in volatility. When the VIX was at a high point, the portfolios had deviating gamma and beta coefficients where real returns could have been realized. To expand on this study further, one can incorporate a volatility factor and see any pattern between the </w:t>
      </w:r>
      <w:r w:rsidR="00E30EA1">
        <w:rPr>
          <w:sz w:val="28"/>
          <w:szCs w:val="28"/>
        </w:rPr>
        <w:t>market’s</w:t>
      </w:r>
      <w:r w:rsidR="00A05069">
        <w:rPr>
          <w:sz w:val="28"/>
          <w:szCs w:val="28"/>
        </w:rPr>
        <w:t xml:space="preserve"> overall volatility and the average annual excess returns of these securities. One factor I am going to expand upon in the future given more time is sentiment analysis and the patterns between beta and gamma coefficients. </w:t>
      </w:r>
      <w:r w:rsidR="00E30EA1">
        <w:rPr>
          <w:sz w:val="28"/>
          <w:szCs w:val="28"/>
        </w:rPr>
        <w:t xml:space="preserve">I would like to look at scraping data off twitter for their cashtags and also scraping data off of a reliable new source heavily used by investing professionals. Given this extra information, we would look at the macroeconomic news sentiment and whether or not it plays a big role in an equity’s return based on international exposure and beta coefficients. </w:t>
      </w:r>
    </w:p>
    <w:p w14:paraId="2C87062D" w14:textId="13267834" w:rsidR="00AE1F18" w:rsidRPr="005B1C28" w:rsidRDefault="00AE1F18" w:rsidP="005B1C28"/>
    <w:p w14:paraId="31DC806C" w14:textId="733785B3" w:rsidR="005B1C28" w:rsidRPr="005B1C28" w:rsidRDefault="005B1C28" w:rsidP="005B1C28"/>
    <w:p w14:paraId="34111565" w14:textId="12738359" w:rsidR="005B1C28" w:rsidRPr="00AE1F18" w:rsidRDefault="006C2BF4" w:rsidP="00AE1F18">
      <w:pPr>
        <w:pStyle w:val="Heading1"/>
        <w:rPr>
          <w:sz w:val="40"/>
          <w:szCs w:val="40"/>
        </w:rPr>
      </w:pPr>
      <w:bookmarkStart w:id="11" w:name="_Toc44117314"/>
      <w:r w:rsidRPr="00AE1F18">
        <w:rPr>
          <w:sz w:val="40"/>
          <w:szCs w:val="40"/>
        </w:rPr>
        <w:t>Acknowledgements:</w:t>
      </w:r>
      <w:bookmarkEnd w:id="11"/>
    </w:p>
    <w:p w14:paraId="11EAACE2" w14:textId="6D41C4FD" w:rsidR="006C2BF4" w:rsidRDefault="006C2BF4" w:rsidP="005B1C28"/>
    <w:p w14:paraId="0F2F0D8E" w14:textId="0E8B654C" w:rsidR="006C2BF4" w:rsidRPr="00E30EA1" w:rsidRDefault="006C2BF4" w:rsidP="006C2BF4">
      <w:pPr>
        <w:ind w:firstLine="720"/>
        <w:rPr>
          <w:sz w:val="28"/>
          <w:szCs w:val="28"/>
        </w:rPr>
      </w:pPr>
      <w:r w:rsidRPr="00E30EA1">
        <w:rPr>
          <w:sz w:val="28"/>
          <w:szCs w:val="28"/>
        </w:rPr>
        <w:t xml:space="preserve">I would like to thank my advisor, Professor Luo. He helped me overcome many problems I ran into during this project. </w:t>
      </w:r>
    </w:p>
    <w:p w14:paraId="70261CF6" w14:textId="77777777" w:rsidR="006C2BF4" w:rsidRDefault="006C2BF4" w:rsidP="005B1C28"/>
    <w:p w14:paraId="0B3553EA" w14:textId="3737DA6A" w:rsidR="006C2BF4" w:rsidRPr="00AE1F18" w:rsidRDefault="006C2BF4" w:rsidP="00AE1F18">
      <w:pPr>
        <w:pStyle w:val="Heading1"/>
        <w:rPr>
          <w:sz w:val="40"/>
          <w:szCs w:val="40"/>
        </w:rPr>
      </w:pPr>
      <w:bookmarkStart w:id="12" w:name="_Toc44117315"/>
      <w:r w:rsidRPr="00AE1F18">
        <w:rPr>
          <w:sz w:val="40"/>
          <w:szCs w:val="40"/>
        </w:rPr>
        <w:lastRenderedPageBreak/>
        <w:t>References:</w:t>
      </w:r>
      <w:bookmarkEnd w:id="12"/>
      <w:r w:rsidRPr="00AE1F18">
        <w:rPr>
          <w:sz w:val="40"/>
          <w:szCs w:val="40"/>
        </w:rPr>
        <w:t xml:space="preserve"> </w:t>
      </w:r>
    </w:p>
    <w:p w14:paraId="4B934EC5" w14:textId="77777777" w:rsidR="006C2BF4" w:rsidRPr="00BA31FF" w:rsidRDefault="006C2BF4" w:rsidP="005B1C28">
      <w:pPr>
        <w:rPr>
          <w:color w:val="000000" w:themeColor="text1"/>
        </w:rPr>
      </w:pPr>
    </w:p>
    <w:p w14:paraId="539AB4FD" w14:textId="77777777" w:rsidR="008B1E3B" w:rsidRDefault="008B1E3B" w:rsidP="00BA31FF">
      <w:pPr>
        <w:rPr>
          <w:color w:val="000000" w:themeColor="text1"/>
          <w:sz w:val="28"/>
          <w:szCs w:val="28"/>
          <w:shd w:val="clear" w:color="auto" w:fill="FFFFFF"/>
        </w:rPr>
      </w:pPr>
    </w:p>
    <w:p w14:paraId="1E4FCA10" w14:textId="77777777" w:rsidR="008B1E3B" w:rsidRDefault="008B1E3B" w:rsidP="008B1E3B">
      <w:pPr>
        <w:rPr>
          <w:sz w:val="28"/>
          <w:szCs w:val="28"/>
        </w:rPr>
      </w:pPr>
      <w:r>
        <w:rPr>
          <w:sz w:val="28"/>
          <w:szCs w:val="28"/>
        </w:rPr>
        <w:t xml:space="preserve">Black, F.; Jensen, M.; Scholes, M. “The Capital Asset Pricing Model: Some </w:t>
      </w:r>
    </w:p>
    <w:p w14:paraId="2DA859C2" w14:textId="7D2E34FB" w:rsidR="008B1E3B" w:rsidRPr="008B1E3B" w:rsidRDefault="008B1E3B" w:rsidP="008B1E3B">
      <w:pPr>
        <w:ind w:left="720"/>
        <w:rPr>
          <w:sz w:val="28"/>
          <w:szCs w:val="28"/>
        </w:rPr>
      </w:pPr>
      <w:r>
        <w:rPr>
          <w:sz w:val="28"/>
          <w:szCs w:val="28"/>
        </w:rPr>
        <w:t xml:space="preserve">Empirical Results.” In </w:t>
      </w:r>
      <w:r>
        <w:rPr>
          <w:i/>
          <w:iCs/>
          <w:sz w:val="28"/>
          <w:szCs w:val="28"/>
        </w:rPr>
        <w:t xml:space="preserve">Studies in the Theory of Capital Markets, </w:t>
      </w:r>
      <w:r>
        <w:rPr>
          <w:sz w:val="28"/>
          <w:szCs w:val="28"/>
        </w:rPr>
        <w:t xml:space="preserve">edited by Michael Jensen. New York: Praeger, 1972. </w:t>
      </w:r>
    </w:p>
    <w:p w14:paraId="3B0DDFCF" w14:textId="77777777" w:rsidR="008B1E3B" w:rsidRDefault="008B1E3B" w:rsidP="00BA31FF">
      <w:pPr>
        <w:rPr>
          <w:color w:val="000000" w:themeColor="text1"/>
          <w:sz w:val="28"/>
          <w:szCs w:val="28"/>
          <w:shd w:val="clear" w:color="auto" w:fill="FFFFFF"/>
        </w:rPr>
      </w:pPr>
    </w:p>
    <w:p w14:paraId="58FD8287" w14:textId="2E883960" w:rsidR="003A47AB" w:rsidRDefault="00325FC7" w:rsidP="00BA31FF">
      <w:pPr>
        <w:rPr>
          <w:color w:val="000000" w:themeColor="text1"/>
          <w:sz w:val="28"/>
          <w:szCs w:val="28"/>
          <w:shd w:val="clear" w:color="auto" w:fill="FFFFFF"/>
        </w:rPr>
      </w:pPr>
      <w:r w:rsidRPr="00BA31FF">
        <w:rPr>
          <w:color w:val="000000" w:themeColor="text1"/>
          <w:sz w:val="28"/>
          <w:szCs w:val="28"/>
          <w:shd w:val="clear" w:color="auto" w:fill="FFFFFF"/>
        </w:rPr>
        <w:t xml:space="preserve">Blitz, David and Vidojevic, Milan, The Characteristics of Factor Investing (July 2, </w:t>
      </w:r>
    </w:p>
    <w:p w14:paraId="361CD627" w14:textId="7099D7ED" w:rsidR="00325FC7" w:rsidRPr="00BA31FF" w:rsidRDefault="00325FC7" w:rsidP="003A47AB">
      <w:pPr>
        <w:ind w:firstLine="720"/>
        <w:rPr>
          <w:color w:val="000000" w:themeColor="text1"/>
          <w:sz w:val="28"/>
          <w:szCs w:val="28"/>
        </w:rPr>
      </w:pPr>
      <w:r w:rsidRPr="00BA31FF">
        <w:rPr>
          <w:color w:val="000000" w:themeColor="text1"/>
          <w:sz w:val="28"/>
          <w:szCs w:val="28"/>
          <w:shd w:val="clear" w:color="auto" w:fill="FFFFFF"/>
        </w:rPr>
        <w:t>2018). Available at</w:t>
      </w:r>
      <w:r w:rsidRPr="00BA31FF">
        <w:rPr>
          <w:color w:val="000000" w:themeColor="text1"/>
          <w:sz w:val="28"/>
          <w:szCs w:val="28"/>
          <w:shd w:val="clear" w:color="auto" w:fill="FFFFFF"/>
        </w:rPr>
        <w:t xml:space="preserve"> </w:t>
      </w:r>
      <w:r w:rsidRPr="00BA31FF">
        <w:rPr>
          <w:color w:val="000000" w:themeColor="text1"/>
          <w:sz w:val="28"/>
          <w:szCs w:val="28"/>
          <w:shd w:val="clear" w:color="auto" w:fill="FFFFFF"/>
        </w:rPr>
        <w:t>SSRN:</w:t>
      </w:r>
      <w:r w:rsidRPr="00BA31FF">
        <w:rPr>
          <w:rStyle w:val="apple-converted-space"/>
          <w:color w:val="000000" w:themeColor="text1"/>
          <w:sz w:val="28"/>
          <w:szCs w:val="28"/>
          <w:shd w:val="clear" w:color="auto" w:fill="FFFFFF"/>
        </w:rPr>
        <w:t> </w:t>
      </w:r>
      <w:hyperlink r:id="rId17" w:tgtFrame="_blank" w:history="1">
        <w:r w:rsidRPr="00BA31FF">
          <w:rPr>
            <w:rStyle w:val="Hyperlink"/>
            <w:color w:val="000000" w:themeColor="text1"/>
            <w:sz w:val="28"/>
            <w:szCs w:val="28"/>
            <w:u w:val="none"/>
          </w:rPr>
          <w:t>https://ssrn.com/abstract=3206798</w:t>
        </w:r>
      </w:hyperlink>
      <w:r w:rsidR="00BA31FF" w:rsidRPr="00BA31FF">
        <w:rPr>
          <w:color w:val="000000" w:themeColor="text1"/>
          <w:sz w:val="28"/>
          <w:szCs w:val="28"/>
        </w:rPr>
        <w:t>.</w:t>
      </w:r>
      <w:r w:rsidRPr="00BA31FF">
        <w:rPr>
          <w:rStyle w:val="apple-converted-space"/>
          <w:color w:val="000000" w:themeColor="text1"/>
          <w:sz w:val="28"/>
          <w:szCs w:val="28"/>
          <w:shd w:val="clear" w:color="auto" w:fill="FFFFFF"/>
        </w:rPr>
        <w:t> </w:t>
      </w:r>
      <w:r w:rsidRPr="00BA31FF">
        <w:rPr>
          <w:color w:val="000000" w:themeColor="text1"/>
          <w:sz w:val="28"/>
          <w:szCs w:val="28"/>
        </w:rPr>
        <w:t xml:space="preserve"> </w:t>
      </w:r>
    </w:p>
    <w:p w14:paraId="6A8D257C" w14:textId="01BD0539" w:rsidR="00BA31FF" w:rsidRDefault="00BA31FF" w:rsidP="00325FC7">
      <w:pPr>
        <w:rPr>
          <w:sz w:val="28"/>
          <w:szCs w:val="28"/>
        </w:rPr>
      </w:pPr>
    </w:p>
    <w:p w14:paraId="26C12430" w14:textId="77777777" w:rsidR="008B1E3B" w:rsidRDefault="008B1E3B" w:rsidP="008B1E3B">
      <w:pPr>
        <w:rPr>
          <w:color w:val="000000" w:themeColor="text1"/>
          <w:sz w:val="28"/>
          <w:szCs w:val="28"/>
        </w:rPr>
      </w:pPr>
      <w:r w:rsidRPr="008B1E3B">
        <w:rPr>
          <w:color w:val="000000" w:themeColor="text1"/>
          <w:sz w:val="28"/>
          <w:szCs w:val="28"/>
        </w:rPr>
        <w:t xml:space="preserve">Fama, E., French, K., Booth, D., &amp; Sinquefield, R. (1993). Differences in the risks </w:t>
      </w:r>
    </w:p>
    <w:p w14:paraId="47AE2583" w14:textId="2E1CED1C" w:rsidR="008B1E3B" w:rsidRPr="008B1E3B" w:rsidRDefault="008B1E3B" w:rsidP="008B1E3B">
      <w:pPr>
        <w:ind w:left="720"/>
        <w:rPr>
          <w:color w:val="000000" w:themeColor="text1"/>
          <w:sz w:val="28"/>
          <w:szCs w:val="28"/>
        </w:rPr>
      </w:pPr>
      <w:r w:rsidRPr="008B1E3B">
        <w:rPr>
          <w:color w:val="000000" w:themeColor="text1"/>
          <w:sz w:val="28"/>
          <w:szCs w:val="28"/>
        </w:rPr>
        <w:t xml:space="preserve">and returns of NYSE and NASD stocks. Financial Analysts Journal, 49(1), 37-41. </w:t>
      </w:r>
    </w:p>
    <w:p w14:paraId="1900FFB0" w14:textId="77777777" w:rsidR="008B1E3B" w:rsidRDefault="008B1E3B" w:rsidP="008B1E3B"/>
    <w:p w14:paraId="1D970D67" w14:textId="46E9F8F7" w:rsidR="008B1E3B" w:rsidRPr="008B1E3B" w:rsidRDefault="008B1E3B" w:rsidP="008B1E3B">
      <w:pPr>
        <w:rPr>
          <w:sz w:val="28"/>
          <w:szCs w:val="28"/>
        </w:rPr>
      </w:pPr>
      <w:r w:rsidRPr="008B1E3B">
        <w:rPr>
          <w:sz w:val="28"/>
          <w:szCs w:val="28"/>
        </w:rPr>
        <w:t xml:space="preserve">Fama, E., &amp; French, K. (1995). Size and book-to-market factors in earnings and </w:t>
      </w:r>
    </w:p>
    <w:p w14:paraId="4A74CC2A" w14:textId="0F8FA6FC" w:rsidR="008B1E3B" w:rsidRDefault="008B1E3B" w:rsidP="008B1E3B">
      <w:pPr>
        <w:ind w:firstLine="720"/>
        <w:rPr>
          <w:sz w:val="28"/>
          <w:szCs w:val="28"/>
        </w:rPr>
      </w:pPr>
      <w:r w:rsidRPr="008B1E3B">
        <w:rPr>
          <w:sz w:val="28"/>
          <w:szCs w:val="28"/>
        </w:rPr>
        <w:t xml:space="preserve">returns. Journal of Finance, 50(1), 131-155. </w:t>
      </w:r>
    </w:p>
    <w:p w14:paraId="1505DC67" w14:textId="1CE52081" w:rsidR="00D838E3" w:rsidRDefault="00D838E3" w:rsidP="008B1E3B">
      <w:pPr>
        <w:ind w:firstLine="720"/>
        <w:rPr>
          <w:sz w:val="28"/>
          <w:szCs w:val="28"/>
        </w:rPr>
      </w:pPr>
    </w:p>
    <w:p w14:paraId="639E06C1" w14:textId="40760B41" w:rsidR="00D838E3" w:rsidRPr="00D838E3" w:rsidRDefault="00D838E3" w:rsidP="00D838E3">
      <w:pPr>
        <w:rPr>
          <w:sz w:val="28"/>
          <w:szCs w:val="28"/>
        </w:rPr>
      </w:pPr>
      <w:r w:rsidRPr="00D838E3">
        <w:rPr>
          <w:sz w:val="28"/>
          <w:szCs w:val="28"/>
        </w:rPr>
        <w:t xml:space="preserve">Fama, E., &amp; French, K. (1996). Multifactor explanations of asset pricing </w:t>
      </w:r>
    </w:p>
    <w:p w14:paraId="5F25DF64" w14:textId="4F2F4605" w:rsidR="00D838E3" w:rsidRPr="00D838E3" w:rsidRDefault="00D838E3" w:rsidP="00D838E3">
      <w:pPr>
        <w:ind w:firstLine="720"/>
        <w:rPr>
          <w:sz w:val="28"/>
          <w:szCs w:val="28"/>
        </w:rPr>
      </w:pPr>
      <w:r w:rsidRPr="00D838E3">
        <w:rPr>
          <w:sz w:val="28"/>
          <w:szCs w:val="28"/>
        </w:rPr>
        <w:t xml:space="preserve">anomalies. Journal of Finance, 51(1), 55-84. </w:t>
      </w:r>
    </w:p>
    <w:p w14:paraId="19C92995" w14:textId="09E04987" w:rsidR="003A78DC" w:rsidRPr="003A78DC" w:rsidRDefault="003A78DC" w:rsidP="00D838E3">
      <w:pPr>
        <w:rPr>
          <w:sz w:val="28"/>
          <w:szCs w:val="28"/>
        </w:rPr>
      </w:pPr>
    </w:p>
    <w:p w14:paraId="40EE8F08" w14:textId="77777777" w:rsidR="003A78DC" w:rsidRDefault="003A78DC" w:rsidP="003A78DC">
      <w:pPr>
        <w:rPr>
          <w:sz w:val="28"/>
          <w:szCs w:val="28"/>
          <w:shd w:val="clear" w:color="auto" w:fill="FFFFFF"/>
        </w:rPr>
      </w:pPr>
      <w:r w:rsidRPr="003A78DC">
        <w:rPr>
          <w:sz w:val="28"/>
          <w:szCs w:val="28"/>
        </w:rPr>
        <w:t>Nartea, G.V.</w:t>
      </w:r>
      <w:r w:rsidRPr="003A78DC">
        <w:rPr>
          <w:sz w:val="28"/>
          <w:szCs w:val="28"/>
          <w:shd w:val="clear" w:color="auto" w:fill="FFFFFF"/>
        </w:rPr>
        <w:t>,</w:t>
      </w:r>
      <w:r w:rsidRPr="003A78DC">
        <w:rPr>
          <w:rStyle w:val="apple-converted-space"/>
          <w:sz w:val="28"/>
          <w:szCs w:val="28"/>
          <w:shd w:val="clear" w:color="auto" w:fill="FFFFFF"/>
        </w:rPr>
        <w:t> </w:t>
      </w:r>
      <w:r w:rsidRPr="003A78DC">
        <w:rPr>
          <w:sz w:val="28"/>
          <w:szCs w:val="28"/>
        </w:rPr>
        <w:t>Ward, B.D.</w:t>
      </w:r>
      <w:r w:rsidRPr="003A78DC">
        <w:rPr>
          <w:rStyle w:val="apple-converted-space"/>
          <w:sz w:val="28"/>
          <w:szCs w:val="28"/>
          <w:shd w:val="clear" w:color="auto" w:fill="FFFFFF"/>
        </w:rPr>
        <w:t> </w:t>
      </w:r>
      <w:r w:rsidRPr="003A78DC">
        <w:rPr>
          <w:sz w:val="28"/>
          <w:szCs w:val="28"/>
          <w:shd w:val="clear" w:color="auto" w:fill="FFFFFF"/>
        </w:rPr>
        <w:t>and</w:t>
      </w:r>
      <w:r w:rsidRPr="003A78DC">
        <w:rPr>
          <w:rStyle w:val="apple-converted-space"/>
          <w:sz w:val="28"/>
          <w:szCs w:val="28"/>
          <w:shd w:val="clear" w:color="auto" w:fill="FFFFFF"/>
        </w:rPr>
        <w:t> </w:t>
      </w:r>
      <w:r w:rsidRPr="003A78DC">
        <w:rPr>
          <w:sz w:val="28"/>
          <w:szCs w:val="28"/>
        </w:rPr>
        <w:t>Djajadikerta, H.G.</w:t>
      </w:r>
      <w:r w:rsidRPr="003A78DC">
        <w:rPr>
          <w:rStyle w:val="apple-converted-space"/>
          <w:sz w:val="28"/>
          <w:szCs w:val="28"/>
          <w:shd w:val="clear" w:color="auto" w:fill="FFFFFF"/>
        </w:rPr>
        <w:t> </w:t>
      </w:r>
      <w:r w:rsidRPr="003A78DC">
        <w:rPr>
          <w:sz w:val="28"/>
          <w:szCs w:val="28"/>
          <w:shd w:val="clear" w:color="auto" w:fill="FFFFFF"/>
        </w:rPr>
        <w:t xml:space="preserve">(2009), "Size, BM, and </w:t>
      </w:r>
    </w:p>
    <w:p w14:paraId="61DCDE31" w14:textId="4FEFE344" w:rsidR="003A78DC" w:rsidRPr="003A78DC" w:rsidRDefault="003A78DC" w:rsidP="003A78DC">
      <w:pPr>
        <w:ind w:left="720"/>
        <w:rPr>
          <w:sz w:val="28"/>
          <w:szCs w:val="28"/>
          <w:shd w:val="clear" w:color="auto" w:fill="FFFFFF"/>
        </w:rPr>
      </w:pPr>
      <w:r w:rsidRPr="003A78DC">
        <w:rPr>
          <w:sz w:val="28"/>
          <w:szCs w:val="28"/>
          <w:shd w:val="clear" w:color="auto" w:fill="FFFFFF"/>
        </w:rPr>
        <w:t>momentum effects and the robustness of the Fama‐French three‐factor model: Evidence from New Zealand",</w:t>
      </w:r>
      <w:r w:rsidRPr="003A78DC">
        <w:rPr>
          <w:rStyle w:val="apple-converted-space"/>
          <w:sz w:val="28"/>
          <w:szCs w:val="28"/>
          <w:shd w:val="clear" w:color="auto" w:fill="FFFFFF"/>
        </w:rPr>
        <w:t> </w:t>
      </w:r>
      <w:r w:rsidRPr="003A78DC">
        <w:rPr>
          <w:i/>
          <w:iCs/>
          <w:sz w:val="28"/>
          <w:szCs w:val="28"/>
        </w:rPr>
        <w:t>International Journal of Managerial Finance,</w:t>
      </w:r>
      <w:r w:rsidRPr="003A78DC">
        <w:rPr>
          <w:sz w:val="28"/>
          <w:szCs w:val="28"/>
          <w:shd w:val="clear" w:color="auto" w:fill="FFFFFF"/>
        </w:rPr>
        <w:t xml:space="preserve"> Vol. 5 No. 2, pp. 179-200.</w:t>
      </w:r>
    </w:p>
    <w:p w14:paraId="340BD44C" w14:textId="77777777" w:rsidR="003A78DC" w:rsidRDefault="003A78DC" w:rsidP="003A78DC">
      <w:pPr>
        <w:rPr>
          <w:sz w:val="28"/>
          <w:szCs w:val="28"/>
        </w:rPr>
      </w:pPr>
    </w:p>
    <w:p w14:paraId="19F98CB4" w14:textId="77777777" w:rsidR="003A78DC" w:rsidRPr="003A78DC" w:rsidRDefault="003A78DC" w:rsidP="003A78DC">
      <w:pPr>
        <w:rPr>
          <w:sz w:val="28"/>
          <w:szCs w:val="28"/>
        </w:rPr>
      </w:pPr>
      <w:r w:rsidRPr="003A78DC">
        <w:rPr>
          <w:sz w:val="28"/>
          <w:szCs w:val="28"/>
        </w:rPr>
        <w:t xml:space="preserve">Sharpe, W. (1964). Capital asset prices: A theory of market equilibrium under </w:t>
      </w:r>
    </w:p>
    <w:p w14:paraId="4B04466F" w14:textId="75EE0A54" w:rsidR="008B1E3B" w:rsidRDefault="003A78DC" w:rsidP="003A78DC">
      <w:pPr>
        <w:ind w:firstLine="720"/>
        <w:rPr>
          <w:sz w:val="28"/>
          <w:szCs w:val="28"/>
        </w:rPr>
      </w:pPr>
      <w:r w:rsidRPr="003A78DC">
        <w:rPr>
          <w:sz w:val="28"/>
          <w:szCs w:val="28"/>
        </w:rPr>
        <w:t xml:space="preserve">conditions of risk. Journal of Finance, 19(3), 425-442. </w:t>
      </w:r>
    </w:p>
    <w:p w14:paraId="480F313A" w14:textId="77777777" w:rsidR="003A78DC" w:rsidRDefault="003A78DC" w:rsidP="003A78DC">
      <w:pPr>
        <w:ind w:firstLine="720"/>
        <w:rPr>
          <w:sz w:val="28"/>
          <w:szCs w:val="28"/>
        </w:rPr>
      </w:pPr>
    </w:p>
    <w:p w14:paraId="20968BE9" w14:textId="4A823F23" w:rsidR="008B1E3B" w:rsidRPr="008B1E3B" w:rsidRDefault="008B1E3B" w:rsidP="008B1E3B">
      <w:pPr>
        <w:rPr>
          <w:color w:val="000000" w:themeColor="text1"/>
          <w:sz w:val="28"/>
          <w:szCs w:val="28"/>
          <w:shd w:val="clear" w:color="auto" w:fill="FFFFFF"/>
        </w:rPr>
      </w:pPr>
      <w:r w:rsidRPr="008B1E3B">
        <w:rPr>
          <w:color w:val="000000" w:themeColor="text1"/>
          <w:sz w:val="28"/>
          <w:szCs w:val="28"/>
          <w:shd w:val="clear" w:color="auto" w:fill="FFFFFF"/>
        </w:rPr>
        <w:t xml:space="preserve">Womack, Kent L. and Zhang, Ying, Understanding Risk and Return, the CAPM, </w:t>
      </w:r>
    </w:p>
    <w:p w14:paraId="0CE51BCA" w14:textId="04ADF4D7" w:rsidR="008B1E3B" w:rsidRPr="008B1E3B" w:rsidRDefault="008B1E3B" w:rsidP="008B1E3B">
      <w:pPr>
        <w:ind w:left="720"/>
        <w:rPr>
          <w:color w:val="000000" w:themeColor="text1"/>
          <w:sz w:val="28"/>
          <w:szCs w:val="28"/>
        </w:rPr>
      </w:pPr>
      <w:r w:rsidRPr="008B1E3B">
        <w:rPr>
          <w:color w:val="000000" w:themeColor="text1"/>
          <w:sz w:val="28"/>
          <w:szCs w:val="28"/>
          <w:shd w:val="clear" w:color="auto" w:fill="FFFFFF"/>
        </w:rPr>
        <w:t>and the Fama-French Three-Factor Model. Tuck Case No. 03-111. Available at SSRN:</w:t>
      </w:r>
      <w:r w:rsidRPr="008B1E3B">
        <w:rPr>
          <w:rStyle w:val="apple-converted-space"/>
          <w:color w:val="000000" w:themeColor="text1"/>
          <w:sz w:val="28"/>
          <w:szCs w:val="28"/>
          <w:shd w:val="clear" w:color="auto" w:fill="FFFFFF"/>
        </w:rPr>
        <w:t> </w:t>
      </w:r>
      <w:hyperlink r:id="rId18" w:tgtFrame="_blank" w:history="1">
        <w:r w:rsidRPr="008B1E3B">
          <w:rPr>
            <w:rStyle w:val="Hyperlink"/>
            <w:color w:val="000000" w:themeColor="text1"/>
            <w:sz w:val="28"/>
            <w:szCs w:val="28"/>
            <w:u w:val="none"/>
          </w:rPr>
          <w:t>https://ssrn.com/abstract=481881</w:t>
        </w:r>
      </w:hyperlink>
    </w:p>
    <w:p w14:paraId="0EAB71E2" w14:textId="623CA279" w:rsidR="002C22E0" w:rsidRDefault="002C22E0" w:rsidP="005B1C28"/>
    <w:p w14:paraId="4B31DEB6" w14:textId="5339D564" w:rsidR="002C22E0" w:rsidRDefault="002C22E0" w:rsidP="005B1C28"/>
    <w:p w14:paraId="6CBC3F08" w14:textId="0CCB10B8" w:rsidR="002C22E0" w:rsidRDefault="002C22E0" w:rsidP="005B1C28"/>
    <w:p w14:paraId="654D0B3A" w14:textId="57B4AC9A" w:rsidR="002C22E0" w:rsidRDefault="002C22E0" w:rsidP="005B1C28"/>
    <w:p w14:paraId="494E6570" w14:textId="5F965D31" w:rsidR="002C22E0" w:rsidRDefault="002C22E0" w:rsidP="005B1C28"/>
    <w:p w14:paraId="26820309" w14:textId="64BB28C3" w:rsidR="002C22E0" w:rsidRDefault="002C22E0" w:rsidP="005B1C28"/>
    <w:p w14:paraId="7B17BF64" w14:textId="59165783" w:rsidR="002C22E0" w:rsidRDefault="002C22E0" w:rsidP="005B1C28"/>
    <w:p w14:paraId="492823EA" w14:textId="23F6B45B" w:rsidR="002C22E0" w:rsidRDefault="002C22E0" w:rsidP="005B1C28"/>
    <w:p w14:paraId="7F3C1D4B" w14:textId="403CB511" w:rsidR="005B1C28" w:rsidRPr="005B1C28" w:rsidRDefault="005B1C28" w:rsidP="005B1C28"/>
    <w:p w14:paraId="73FB3074" w14:textId="1F59A99A" w:rsidR="005B1C28" w:rsidRPr="002C22E0" w:rsidRDefault="003A78DC" w:rsidP="002C22E0">
      <w:pPr>
        <w:pStyle w:val="Heading1"/>
        <w:rPr>
          <w:sz w:val="40"/>
          <w:szCs w:val="40"/>
        </w:rPr>
      </w:pPr>
      <w:r>
        <w:rPr>
          <w:sz w:val="40"/>
          <w:szCs w:val="40"/>
        </w:rPr>
        <w:lastRenderedPageBreak/>
        <w:t>GitHub Repository</w:t>
      </w:r>
      <w:r w:rsidR="008E0D2D" w:rsidRPr="002C22E0">
        <w:rPr>
          <w:sz w:val="40"/>
          <w:szCs w:val="40"/>
        </w:rPr>
        <w:t xml:space="preserve">: </w:t>
      </w:r>
    </w:p>
    <w:p w14:paraId="4878413D" w14:textId="64EED131" w:rsidR="005B1C28" w:rsidRDefault="005B1C28" w:rsidP="005B1C28"/>
    <w:p w14:paraId="0DC5DB87" w14:textId="7DB9E73E" w:rsidR="005B1C28" w:rsidRPr="00636B97" w:rsidRDefault="00636B97" w:rsidP="005B1C28">
      <w:pPr>
        <w:rPr>
          <w:sz w:val="28"/>
          <w:szCs w:val="28"/>
        </w:rPr>
      </w:pPr>
      <w:r w:rsidRPr="00636B97">
        <w:rPr>
          <w:sz w:val="28"/>
          <w:szCs w:val="28"/>
        </w:rPr>
        <w:t>https://github.com/rfinegan1/CAPM_Intl_Factor_Research_Project</w:t>
      </w:r>
    </w:p>
    <w:p w14:paraId="21538A6A" w14:textId="688C6C23" w:rsidR="005B1C28" w:rsidRPr="00636B97" w:rsidRDefault="005B1C28" w:rsidP="005B1C28">
      <w:pPr>
        <w:rPr>
          <w:sz w:val="28"/>
          <w:szCs w:val="28"/>
        </w:rPr>
      </w:pPr>
    </w:p>
    <w:p w14:paraId="012904D8" w14:textId="2FBB7DA5" w:rsidR="005B1C28" w:rsidRPr="005B1C28" w:rsidRDefault="005B1C28" w:rsidP="005B1C28">
      <w:bookmarkStart w:id="13" w:name="_GoBack"/>
      <w:bookmarkEnd w:id="13"/>
    </w:p>
    <w:p w14:paraId="5592455E" w14:textId="7CC29F5C" w:rsidR="005B1C28" w:rsidRPr="005B1C28" w:rsidRDefault="005B1C28" w:rsidP="005B1C28"/>
    <w:p w14:paraId="1A689542" w14:textId="266BBCC5" w:rsidR="005B1C28" w:rsidRPr="005B1C28" w:rsidRDefault="005B1C28" w:rsidP="005B1C28"/>
    <w:p w14:paraId="6A53C661" w14:textId="1F009255" w:rsidR="005B1C28" w:rsidRPr="005B1C28" w:rsidRDefault="005B1C28" w:rsidP="005B1C28"/>
    <w:p w14:paraId="16669E63" w14:textId="3895ABFF" w:rsidR="005B1C28" w:rsidRPr="005B1C28" w:rsidRDefault="005B1C28" w:rsidP="005B1C28"/>
    <w:p w14:paraId="4464E277" w14:textId="20DD1B67" w:rsidR="005B1C28" w:rsidRPr="005B1C28" w:rsidRDefault="005B1C28" w:rsidP="005B1C28"/>
    <w:p w14:paraId="509779B1" w14:textId="5ABDC8F0" w:rsidR="005B1C28" w:rsidRPr="005B1C28" w:rsidRDefault="005B1C28" w:rsidP="005B1C28"/>
    <w:p w14:paraId="33789107" w14:textId="06C35514" w:rsidR="005B1C28" w:rsidRPr="005B1C28" w:rsidRDefault="005B1C28" w:rsidP="005B1C28"/>
    <w:p w14:paraId="17934FDA" w14:textId="41DDEBC8" w:rsidR="005B1C28" w:rsidRPr="005B1C28" w:rsidRDefault="005B1C28" w:rsidP="005B1C28"/>
    <w:p w14:paraId="6AC2CE77" w14:textId="34D2E6FA" w:rsidR="005B1C28" w:rsidRPr="005B1C28" w:rsidRDefault="005B1C28" w:rsidP="005B1C28"/>
    <w:p w14:paraId="5E60655C" w14:textId="4BBE39DC" w:rsidR="005B1C28" w:rsidRPr="005B1C28" w:rsidRDefault="005B1C28" w:rsidP="005B1C28"/>
    <w:p w14:paraId="089ACFFB" w14:textId="6024FE55" w:rsidR="005B1C28" w:rsidRDefault="005B1C28" w:rsidP="005B1C28"/>
    <w:p w14:paraId="2788A176" w14:textId="36B5B55A" w:rsidR="007166A5" w:rsidRPr="007166A5" w:rsidRDefault="007166A5" w:rsidP="007166A5"/>
    <w:p w14:paraId="5C02C09A" w14:textId="4719766C" w:rsidR="007166A5" w:rsidRPr="007166A5" w:rsidRDefault="007166A5" w:rsidP="00CA33F8">
      <w:pPr>
        <w:pStyle w:val="Heading1"/>
      </w:pPr>
    </w:p>
    <w:p w14:paraId="54C89D23" w14:textId="73FB0327" w:rsidR="007166A5" w:rsidRPr="007166A5" w:rsidRDefault="007166A5" w:rsidP="007166A5"/>
    <w:p w14:paraId="71E7884A" w14:textId="5A64678E" w:rsidR="007166A5" w:rsidRPr="007166A5" w:rsidRDefault="007166A5" w:rsidP="007166A5"/>
    <w:p w14:paraId="58E5A959" w14:textId="5C621974" w:rsidR="007166A5" w:rsidRPr="007166A5" w:rsidRDefault="007166A5" w:rsidP="007166A5"/>
    <w:p w14:paraId="473AF140" w14:textId="3B461013" w:rsidR="007166A5" w:rsidRPr="007166A5" w:rsidRDefault="007166A5" w:rsidP="007166A5"/>
    <w:p w14:paraId="09E36AFE" w14:textId="748C4DB0" w:rsidR="007166A5" w:rsidRPr="007166A5" w:rsidRDefault="007166A5" w:rsidP="007166A5"/>
    <w:p w14:paraId="458D5AB7" w14:textId="5ADDE908" w:rsidR="007166A5" w:rsidRPr="007166A5" w:rsidRDefault="007166A5" w:rsidP="007166A5"/>
    <w:p w14:paraId="0E41CDD9" w14:textId="0D82AD91" w:rsidR="007166A5" w:rsidRPr="007166A5" w:rsidRDefault="007166A5" w:rsidP="007166A5"/>
    <w:p w14:paraId="69493BD6" w14:textId="3989685E" w:rsidR="007166A5" w:rsidRPr="007166A5" w:rsidRDefault="007166A5" w:rsidP="007166A5"/>
    <w:p w14:paraId="6775C001" w14:textId="77777777" w:rsidR="007166A5" w:rsidRPr="007166A5" w:rsidRDefault="007166A5" w:rsidP="007166A5"/>
    <w:sectPr w:rsidR="007166A5" w:rsidRPr="007166A5" w:rsidSect="00A77396">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22C73" w14:textId="77777777" w:rsidR="002660BD" w:rsidRDefault="002660BD" w:rsidP="00E23BA6">
      <w:r>
        <w:separator/>
      </w:r>
    </w:p>
  </w:endnote>
  <w:endnote w:type="continuationSeparator" w:id="0">
    <w:p w14:paraId="078B3D34" w14:textId="77777777" w:rsidR="002660BD" w:rsidRDefault="002660BD" w:rsidP="00E2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B0271" w14:textId="77777777" w:rsidR="002660BD" w:rsidRDefault="002660BD" w:rsidP="00E23BA6">
      <w:r>
        <w:separator/>
      </w:r>
    </w:p>
  </w:footnote>
  <w:footnote w:type="continuationSeparator" w:id="0">
    <w:p w14:paraId="724F323F" w14:textId="77777777" w:rsidR="002660BD" w:rsidRDefault="002660BD" w:rsidP="00E23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4994280"/>
      <w:docPartObj>
        <w:docPartGallery w:val="Page Numbers (Top of Page)"/>
        <w:docPartUnique/>
      </w:docPartObj>
    </w:sdtPr>
    <w:sdtContent>
      <w:p w14:paraId="14CE1994" w14:textId="4A9C4C9E" w:rsidR="00AE1F18" w:rsidRDefault="00AE1F18" w:rsidP="00444E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212775" w14:textId="77777777" w:rsidR="00AE1F18" w:rsidRDefault="00AE1F18" w:rsidP="00E23B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3669294"/>
      <w:docPartObj>
        <w:docPartGallery w:val="Page Numbers (Top of Page)"/>
        <w:docPartUnique/>
      </w:docPartObj>
    </w:sdtPr>
    <w:sdtContent>
      <w:p w14:paraId="3A4F9F0F" w14:textId="0AB3A5EA" w:rsidR="00AE1F18" w:rsidRDefault="00AE1F18" w:rsidP="00444E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A309CA" w14:textId="77777777" w:rsidR="00AE1F18" w:rsidRDefault="00AE1F18" w:rsidP="00E23BA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37"/>
    <w:rsid w:val="00012CEC"/>
    <w:rsid w:val="00040A18"/>
    <w:rsid w:val="000802E1"/>
    <w:rsid w:val="000A0EAA"/>
    <w:rsid w:val="000D7976"/>
    <w:rsid w:val="001021F6"/>
    <w:rsid w:val="00155B5A"/>
    <w:rsid w:val="00181A35"/>
    <w:rsid w:val="001C28A0"/>
    <w:rsid w:val="00216F1D"/>
    <w:rsid w:val="00241563"/>
    <w:rsid w:val="002660BD"/>
    <w:rsid w:val="002C22E0"/>
    <w:rsid w:val="00300EED"/>
    <w:rsid w:val="00301793"/>
    <w:rsid w:val="00307B78"/>
    <w:rsid w:val="00325FC7"/>
    <w:rsid w:val="00341A08"/>
    <w:rsid w:val="003923AE"/>
    <w:rsid w:val="003A47AB"/>
    <w:rsid w:val="003A78DC"/>
    <w:rsid w:val="003D33E9"/>
    <w:rsid w:val="004334B4"/>
    <w:rsid w:val="00444EDF"/>
    <w:rsid w:val="004B6522"/>
    <w:rsid w:val="00584E8B"/>
    <w:rsid w:val="00594B0D"/>
    <w:rsid w:val="005B1C28"/>
    <w:rsid w:val="005B31CE"/>
    <w:rsid w:val="00636B97"/>
    <w:rsid w:val="00640F67"/>
    <w:rsid w:val="0064332E"/>
    <w:rsid w:val="006A2EBD"/>
    <w:rsid w:val="006C0E77"/>
    <w:rsid w:val="006C2BF4"/>
    <w:rsid w:val="007166A5"/>
    <w:rsid w:val="007440CB"/>
    <w:rsid w:val="007774F2"/>
    <w:rsid w:val="007A1851"/>
    <w:rsid w:val="00831923"/>
    <w:rsid w:val="00856DE3"/>
    <w:rsid w:val="008B1E3B"/>
    <w:rsid w:val="008B6B43"/>
    <w:rsid w:val="008D67E3"/>
    <w:rsid w:val="008E0D2D"/>
    <w:rsid w:val="0096057F"/>
    <w:rsid w:val="00A05069"/>
    <w:rsid w:val="00A104FF"/>
    <w:rsid w:val="00A20473"/>
    <w:rsid w:val="00A46761"/>
    <w:rsid w:val="00A47E12"/>
    <w:rsid w:val="00A77396"/>
    <w:rsid w:val="00AE1F18"/>
    <w:rsid w:val="00AE72C8"/>
    <w:rsid w:val="00AF3CE8"/>
    <w:rsid w:val="00B0525B"/>
    <w:rsid w:val="00B83C30"/>
    <w:rsid w:val="00BA31FF"/>
    <w:rsid w:val="00BB2A38"/>
    <w:rsid w:val="00C17909"/>
    <w:rsid w:val="00C24237"/>
    <w:rsid w:val="00C42606"/>
    <w:rsid w:val="00C74338"/>
    <w:rsid w:val="00C75445"/>
    <w:rsid w:val="00CA33F8"/>
    <w:rsid w:val="00CF390B"/>
    <w:rsid w:val="00D774A0"/>
    <w:rsid w:val="00D838E3"/>
    <w:rsid w:val="00DC6A5D"/>
    <w:rsid w:val="00E23BA6"/>
    <w:rsid w:val="00E25ED1"/>
    <w:rsid w:val="00E30EA1"/>
    <w:rsid w:val="00E348EA"/>
    <w:rsid w:val="00E56686"/>
    <w:rsid w:val="00E7691E"/>
    <w:rsid w:val="00F00FA1"/>
    <w:rsid w:val="00F15335"/>
    <w:rsid w:val="00FB510A"/>
    <w:rsid w:val="00FC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D491"/>
  <w15:chartTrackingRefBased/>
  <w15:docId w15:val="{D141763D-EF2A-E448-9DCF-DAD0C6F3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525B"/>
    <w:rPr>
      <w:rFonts w:ascii="Times New Roman" w:eastAsia="Times New Roman" w:hAnsi="Times New Roman" w:cs="Times New Roman"/>
    </w:rPr>
  </w:style>
  <w:style w:type="paragraph" w:styleId="Heading1">
    <w:name w:val="heading 1"/>
    <w:basedOn w:val="Normal"/>
    <w:next w:val="Normal"/>
    <w:link w:val="Heading1Char"/>
    <w:uiPriority w:val="9"/>
    <w:qFormat/>
    <w:rsid w:val="00CA33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3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3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BA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23BA6"/>
  </w:style>
  <w:style w:type="paragraph" w:styleId="Footer">
    <w:name w:val="footer"/>
    <w:basedOn w:val="Normal"/>
    <w:link w:val="FooterChar"/>
    <w:uiPriority w:val="99"/>
    <w:unhideWhenUsed/>
    <w:rsid w:val="00E23BA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23BA6"/>
  </w:style>
  <w:style w:type="character" w:styleId="PageNumber">
    <w:name w:val="page number"/>
    <w:basedOn w:val="DefaultParagraphFont"/>
    <w:uiPriority w:val="99"/>
    <w:semiHidden/>
    <w:unhideWhenUsed/>
    <w:rsid w:val="00E23BA6"/>
  </w:style>
  <w:style w:type="character" w:styleId="PlaceholderText">
    <w:name w:val="Placeholder Text"/>
    <w:basedOn w:val="DefaultParagraphFont"/>
    <w:uiPriority w:val="99"/>
    <w:semiHidden/>
    <w:rsid w:val="00B0525B"/>
    <w:rPr>
      <w:color w:val="808080"/>
    </w:rPr>
  </w:style>
  <w:style w:type="character" w:customStyle="1" w:styleId="Heading1Char">
    <w:name w:val="Heading 1 Char"/>
    <w:basedOn w:val="DefaultParagraphFont"/>
    <w:link w:val="Heading1"/>
    <w:uiPriority w:val="9"/>
    <w:rsid w:val="00CA33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3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33F8"/>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A33F8"/>
    <w:pPr>
      <w:spacing w:before="480" w:line="276" w:lineRule="auto"/>
      <w:outlineLvl w:val="9"/>
    </w:pPr>
    <w:rPr>
      <w:b/>
      <w:bCs/>
      <w:sz w:val="28"/>
      <w:szCs w:val="28"/>
    </w:rPr>
  </w:style>
  <w:style w:type="paragraph" w:styleId="TOC1">
    <w:name w:val="toc 1"/>
    <w:basedOn w:val="Normal"/>
    <w:next w:val="Normal"/>
    <w:autoRedefine/>
    <w:uiPriority w:val="39"/>
    <w:unhideWhenUsed/>
    <w:rsid w:val="00CA33F8"/>
    <w:pPr>
      <w:spacing w:before="120"/>
    </w:pPr>
    <w:rPr>
      <w:rFonts w:asciiTheme="minorHAnsi" w:hAnsiTheme="minorHAnsi"/>
      <w:b/>
      <w:bCs/>
      <w:i/>
      <w:iCs/>
    </w:rPr>
  </w:style>
  <w:style w:type="character" w:styleId="Hyperlink">
    <w:name w:val="Hyperlink"/>
    <w:basedOn w:val="DefaultParagraphFont"/>
    <w:uiPriority w:val="99"/>
    <w:unhideWhenUsed/>
    <w:rsid w:val="00CA33F8"/>
    <w:rPr>
      <w:color w:val="0563C1" w:themeColor="hyperlink"/>
      <w:u w:val="single"/>
    </w:rPr>
  </w:style>
  <w:style w:type="paragraph" w:styleId="TOC2">
    <w:name w:val="toc 2"/>
    <w:basedOn w:val="Normal"/>
    <w:next w:val="Normal"/>
    <w:autoRedefine/>
    <w:uiPriority w:val="39"/>
    <w:unhideWhenUsed/>
    <w:rsid w:val="00CA33F8"/>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CA33F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A33F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A33F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A33F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A33F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A33F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A33F8"/>
    <w:pPr>
      <w:ind w:left="1920"/>
    </w:pPr>
    <w:rPr>
      <w:rFonts w:asciiTheme="minorHAnsi" w:hAnsiTheme="minorHAnsi"/>
      <w:sz w:val="20"/>
      <w:szCs w:val="20"/>
    </w:rPr>
  </w:style>
  <w:style w:type="character" w:customStyle="1" w:styleId="apple-converted-space">
    <w:name w:val="apple-converted-space"/>
    <w:basedOn w:val="DefaultParagraphFont"/>
    <w:rsid w:val="00325FC7"/>
  </w:style>
  <w:style w:type="paragraph" w:styleId="NormalWeb">
    <w:name w:val="Normal (Web)"/>
    <w:basedOn w:val="Normal"/>
    <w:uiPriority w:val="99"/>
    <w:semiHidden/>
    <w:unhideWhenUsed/>
    <w:rsid w:val="008B1E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75402">
      <w:bodyDiv w:val="1"/>
      <w:marLeft w:val="0"/>
      <w:marRight w:val="0"/>
      <w:marTop w:val="0"/>
      <w:marBottom w:val="0"/>
      <w:divBdr>
        <w:top w:val="none" w:sz="0" w:space="0" w:color="auto"/>
        <w:left w:val="none" w:sz="0" w:space="0" w:color="auto"/>
        <w:bottom w:val="none" w:sz="0" w:space="0" w:color="auto"/>
        <w:right w:val="none" w:sz="0" w:space="0" w:color="auto"/>
      </w:divBdr>
    </w:div>
    <w:div w:id="457377961">
      <w:bodyDiv w:val="1"/>
      <w:marLeft w:val="0"/>
      <w:marRight w:val="0"/>
      <w:marTop w:val="0"/>
      <w:marBottom w:val="0"/>
      <w:divBdr>
        <w:top w:val="none" w:sz="0" w:space="0" w:color="auto"/>
        <w:left w:val="none" w:sz="0" w:space="0" w:color="auto"/>
        <w:bottom w:val="none" w:sz="0" w:space="0" w:color="auto"/>
        <w:right w:val="none" w:sz="0" w:space="0" w:color="auto"/>
      </w:divBdr>
    </w:div>
    <w:div w:id="640812094">
      <w:bodyDiv w:val="1"/>
      <w:marLeft w:val="0"/>
      <w:marRight w:val="0"/>
      <w:marTop w:val="0"/>
      <w:marBottom w:val="0"/>
      <w:divBdr>
        <w:top w:val="none" w:sz="0" w:space="0" w:color="auto"/>
        <w:left w:val="none" w:sz="0" w:space="0" w:color="auto"/>
        <w:bottom w:val="none" w:sz="0" w:space="0" w:color="auto"/>
        <w:right w:val="none" w:sz="0" w:space="0" w:color="auto"/>
      </w:divBdr>
      <w:divsChild>
        <w:div w:id="636186039">
          <w:marLeft w:val="0"/>
          <w:marRight w:val="0"/>
          <w:marTop w:val="0"/>
          <w:marBottom w:val="0"/>
          <w:divBdr>
            <w:top w:val="none" w:sz="0" w:space="0" w:color="auto"/>
            <w:left w:val="none" w:sz="0" w:space="0" w:color="auto"/>
            <w:bottom w:val="none" w:sz="0" w:space="0" w:color="auto"/>
            <w:right w:val="none" w:sz="0" w:space="0" w:color="auto"/>
          </w:divBdr>
          <w:divsChild>
            <w:div w:id="724454032">
              <w:marLeft w:val="0"/>
              <w:marRight w:val="0"/>
              <w:marTop w:val="0"/>
              <w:marBottom w:val="0"/>
              <w:divBdr>
                <w:top w:val="none" w:sz="0" w:space="0" w:color="auto"/>
                <w:left w:val="none" w:sz="0" w:space="0" w:color="auto"/>
                <w:bottom w:val="none" w:sz="0" w:space="0" w:color="auto"/>
                <w:right w:val="none" w:sz="0" w:space="0" w:color="auto"/>
              </w:divBdr>
              <w:divsChild>
                <w:div w:id="1033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5291">
      <w:bodyDiv w:val="1"/>
      <w:marLeft w:val="0"/>
      <w:marRight w:val="0"/>
      <w:marTop w:val="0"/>
      <w:marBottom w:val="0"/>
      <w:divBdr>
        <w:top w:val="none" w:sz="0" w:space="0" w:color="auto"/>
        <w:left w:val="none" w:sz="0" w:space="0" w:color="auto"/>
        <w:bottom w:val="none" w:sz="0" w:space="0" w:color="auto"/>
        <w:right w:val="none" w:sz="0" w:space="0" w:color="auto"/>
      </w:divBdr>
      <w:divsChild>
        <w:div w:id="640354133">
          <w:marLeft w:val="0"/>
          <w:marRight w:val="0"/>
          <w:marTop w:val="0"/>
          <w:marBottom w:val="0"/>
          <w:divBdr>
            <w:top w:val="none" w:sz="0" w:space="0" w:color="auto"/>
            <w:left w:val="none" w:sz="0" w:space="0" w:color="auto"/>
            <w:bottom w:val="none" w:sz="0" w:space="0" w:color="auto"/>
            <w:right w:val="none" w:sz="0" w:space="0" w:color="auto"/>
          </w:divBdr>
          <w:divsChild>
            <w:div w:id="377554585">
              <w:marLeft w:val="0"/>
              <w:marRight w:val="0"/>
              <w:marTop w:val="0"/>
              <w:marBottom w:val="0"/>
              <w:divBdr>
                <w:top w:val="none" w:sz="0" w:space="0" w:color="auto"/>
                <w:left w:val="none" w:sz="0" w:space="0" w:color="auto"/>
                <w:bottom w:val="none" w:sz="0" w:space="0" w:color="auto"/>
                <w:right w:val="none" w:sz="0" w:space="0" w:color="auto"/>
              </w:divBdr>
              <w:divsChild>
                <w:div w:id="912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112868753">
          <w:marLeft w:val="0"/>
          <w:marRight w:val="0"/>
          <w:marTop w:val="0"/>
          <w:marBottom w:val="0"/>
          <w:divBdr>
            <w:top w:val="none" w:sz="0" w:space="0" w:color="auto"/>
            <w:left w:val="none" w:sz="0" w:space="0" w:color="auto"/>
            <w:bottom w:val="none" w:sz="0" w:space="0" w:color="auto"/>
            <w:right w:val="none" w:sz="0" w:space="0" w:color="auto"/>
          </w:divBdr>
          <w:divsChild>
            <w:div w:id="1694921674">
              <w:marLeft w:val="0"/>
              <w:marRight w:val="0"/>
              <w:marTop w:val="0"/>
              <w:marBottom w:val="0"/>
              <w:divBdr>
                <w:top w:val="none" w:sz="0" w:space="0" w:color="auto"/>
                <w:left w:val="none" w:sz="0" w:space="0" w:color="auto"/>
                <w:bottom w:val="none" w:sz="0" w:space="0" w:color="auto"/>
                <w:right w:val="none" w:sz="0" w:space="0" w:color="auto"/>
              </w:divBdr>
              <w:divsChild>
                <w:div w:id="16775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90817">
      <w:bodyDiv w:val="1"/>
      <w:marLeft w:val="0"/>
      <w:marRight w:val="0"/>
      <w:marTop w:val="0"/>
      <w:marBottom w:val="0"/>
      <w:divBdr>
        <w:top w:val="none" w:sz="0" w:space="0" w:color="auto"/>
        <w:left w:val="none" w:sz="0" w:space="0" w:color="auto"/>
        <w:bottom w:val="none" w:sz="0" w:space="0" w:color="auto"/>
        <w:right w:val="none" w:sz="0" w:space="0" w:color="auto"/>
      </w:divBdr>
    </w:div>
    <w:div w:id="1500193227">
      <w:bodyDiv w:val="1"/>
      <w:marLeft w:val="0"/>
      <w:marRight w:val="0"/>
      <w:marTop w:val="0"/>
      <w:marBottom w:val="0"/>
      <w:divBdr>
        <w:top w:val="none" w:sz="0" w:space="0" w:color="auto"/>
        <w:left w:val="none" w:sz="0" w:space="0" w:color="auto"/>
        <w:bottom w:val="none" w:sz="0" w:space="0" w:color="auto"/>
        <w:right w:val="none" w:sz="0" w:space="0" w:color="auto"/>
      </w:divBdr>
      <w:divsChild>
        <w:div w:id="1864174381">
          <w:marLeft w:val="0"/>
          <w:marRight w:val="0"/>
          <w:marTop w:val="0"/>
          <w:marBottom w:val="0"/>
          <w:divBdr>
            <w:top w:val="none" w:sz="0" w:space="0" w:color="auto"/>
            <w:left w:val="none" w:sz="0" w:space="0" w:color="auto"/>
            <w:bottom w:val="none" w:sz="0" w:space="0" w:color="auto"/>
            <w:right w:val="none" w:sz="0" w:space="0" w:color="auto"/>
          </w:divBdr>
          <w:divsChild>
            <w:div w:id="1675186748">
              <w:marLeft w:val="0"/>
              <w:marRight w:val="0"/>
              <w:marTop w:val="0"/>
              <w:marBottom w:val="0"/>
              <w:divBdr>
                <w:top w:val="none" w:sz="0" w:space="0" w:color="auto"/>
                <w:left w:val="none" w:sz="0" w:space="0" w:color="auto"/>
                <w:bottom w:val="none" w:sz="0" w:space="0" w:color="auto"/>
                <w:right w:val="none" w:sz="0" w:space="0" w:color="auto"/>
              </w:divBdr>
              <w:divsChild>
                <w:div w:id="5499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srn.com/abstract=48188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srn.com/abstract=320679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261B-8D6E-644C-A6D2-BD4D1CBD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15</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 Finegan</dc:creator>
  <cp:keywords/>
  <dc:description/>
  <cp:lastModifiedBy>Ryan P Finegan</cp:lastModifiedBy>
  <cp:revision>56</cp:revision>
  <dcterms:created xsi:type="dcterms:W3CDTF">2020-06-09T20:56:00Z</dcterms:created>
  <dcterms:modified xsi:type="dcterms:W3CDTF">2020-06-27T20:33:00Z</dcterms:modified>
</cp:coreProperties>
</file>