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Procedimiento de alta de pedido</w:t>
      </w:r>
    </w:p>
    <w:p>
      <w:r>
        <w:t>El comercial registra el pedido en el ERP y comprueba el riesgo del cliente.</w:t>
      </w:r>
    </w:p>
    <w:p>
      <w:pPr>
        <w:pStyle w:val="Heading2"/>
      </w:pPr>
      <w:r>
        <w:t>Condiciones de prepago</w:t>
      </w:r>
    </w:p>
    <w:p>
      <w:r>
        <w:t>Los clientes nuevos pagan por adelantado, sin excepciones.</w:t>
      </w:r>
    </w:p>
    <w:p>
      <w:pPr>
        <w:numPr>
          <w:ilvl w:val="0"/>
          <w:numId w:val="1"/>
        </w:numPr>
      </w:pPr>
      <w:r>
        <w:t>Verificar el CIF del cliente.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