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2026-03-25</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w:t>
      </w:r>
    </w:p>
    <w:bookmarkStart w:id="31" w:name="pre-registration-and-open-science"/>
    <w:p>
      <w:pPr>
        <w:pStyle w:val="Heading2"/>
      </w:pPr>
      <w:r>
        <w:t xml:space="preserve">Pre-registration and open science</w:t>
      </w:r>
    </w:p>
    <w:p>
      <w:pPr>
        <w:pStyle w:val="FirstParagraph"/>
      </w:pPr>
      <w:r>
        <w:t xml:space="preserve">For each experiment, the research question, hypotheses, experimental design, planned analysis, and exclusion criteria were preregistered. The preregistration, raw data, stimuli, data wrangling and analysis code as well as the evidence-accumulation models outputs are available on the Open Science Framework: Experiment 1 (</w:t>
      </w:r>
      <w:hyperlink r:id="rId27">
        <w:r>
          <w:rPr>
            <w:rStyle w:val="Hyperlink"/>
          </w:rPr>
          <w:t xml:space="preserve">https://osf.io/azyvu/overview</w:t>
        </w:r>
      </w:hyperlink>
      <w:r>
        <w:t xml:space="preserve">), Experiment 2 (</w:t>
      </w:r>
      <w:hyperlink r:id="rId28">
        <w:r>
          <w:rPr>
            <w:rStyle w:val="Hyperlink"/>
          </w:rPr>
          <w:t xml:space="preserve">https://osf.io/tu2eh/overview</w:t>
        </w:r>
      </w:hyperlink>
      <w:r>
        <w:t xml:space="preserve">), Experiment 3 (</w:t>
      </w:r>
      <w:hyperlink r:id="rId29">
        <w:r>
          <w:rPr>
            <w:rStyle w:val="Hyperlink"/>
          </w:rPr>
          <w:t xml:space="preserve">https://osf.io/ut78f/overview</w:t>
        </w:r>
      </w:hyperlink>
      <w:r>
        <w:t xml:space="preserve">) and Experiment 4 (</w:t>
      </w:r>
      <w:hyperlink r:id="rId30">
        <w:r>
          <w:rPr>
            <w:rStyle w:val="Hyperlink"/>
          </w:rPr>
          <w:t xml:space="preserve">https://osf.io/vj2aq/overview</w:t>
        </w:r>
      </w:hyperlink>
      <w:r>
        <w:t xml:space="preserve">).</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data-generated parameters were sufficiently well-recovered (See Supplementary Materials). 31 healthy participants took part in Experiment 1.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This experiment was accepted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 RT = response time; — = criterion not applicable for this experiment.</w:t>
            </w:r>
          </w:p>
          <w:tbl>
            <w:tblPr>
              <w:tblStyle w:val="Table"/>
              <w:tblW w:type="pct" w:w="4711"/>
              <w:tblLayout w:type="fixed"/>
              <w:tblLook w:firstRow="1" w:lastRow="0"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0</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(DeBruine, Lisa; Jones, Benedict (2017). Face Research Lab London Set. figshare. Data set.</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faces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 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 scale image of a face was shown on the screen. Participants were asked to choose if they had previously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Furthermore, Prolific offers the option to chose the approval rate of the participants willing to take part in the study. The approval rate is the percentage for which participants has been approved in previous experiment. A approval rate between 95% and 100% was established in our study to ensure data quality. 38 participants started the experiment. After reading the inform consent, 0 participants decided to not continue the experimental procedure and withdraw from the experiment. In the end, 35 participants completed the experiment and gave their informed consent. Following our preregistration exclusion criterion, 4 participants were excluded because their percentage of missed trials was higher lower than 25% and 1 was removed because the overall accuracy was lower than 55%. In the end, the data of 30 participants (20 men and 10 women) was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 This experiment was accepted by the ethics committee of the Federal Institute of Technology (ETH) Zurich.</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Based on our preregistration criterion, 3 participants were excluded from the data analysis: 1 of them had an overall recognition accuracy larger than 95% and 0 of them had a overall accuracy lower than 55% (chance at 50%).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 In the end, the data of 30 participants (13 men and 17 women) was retained for the analysis and the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 This experiment was accepted by the ethics committee of the Federal Institute of Technology Zurich (ETHZ), and all participant gave their informed consent to participate in the study.</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An approval rate between 95% and 100% was established in our study to ensure data quality. 58 participants started the experiment. After reading the inform consent, 12 participants decided to not continue the experimental procedure and withdraw from the experiment. 46 participants completed the experiment. Following our preregistration exclusion criterion, 1 participant was excluded because the percentage of missed trials was higher than 25% and 3 were removed because the overall accuracy was lower than 55%. Furthermore, 12 did not show a level of familiarity high enough with the presented faces in the first part of the experiment. In the end, the data of 30 participants (17 men and 13 women) was retained for further analysis and the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 This experiment was accepted by the ethics committee of the Federal Institute of Technology (ETH) Zurich.</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facilitate the categorization between</w:t>
      </w:r>
      <w:r>
        <w:t xml:space="preserve"> </w:t>
      </w:r>
      <w:r>
        <w:t xml:space="preserve">“famous”</w:t>
      </w:r>
      <w:r>
        <w:t xml:space="preserve"> </w:t>
      </w:r>
      <w:r>
        <w:t xml:space="preserve">and</w:t>
      </w:r>
      <w:r>
        <w:t xml:space="preserve"> </w:t>
      </w:r>
      <w:r>
        <w:t xml:space="preserve">“novel”</w:t>
      </w:r>
      <w:r>
        <w:t xml:space="preserve"> </w:t>
      </w:r>
      <w:r>
        <w:t xml:space="preserve">and affected the estimation of our parameters of interest. To avoid that decisions are based on visual features and not on familiarity, it was decided to completely change the face pictures data set for both conditions in Experiment 4. 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 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operative systems and these web browsers to ensure a good procedure. We received no complain from participants in regards to an inability to run the experiment on their own device because of technical issues.</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for each experiment separately with model specifications outlines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visulaised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0.2</w:t>
                  </w:r>
                </w:p>
              </w:tc>
              <w:tc>
                <w:tcPr/>
                <w:p>
                  <w:pPr>
                    <w:pStyle w:val="Compact"/>
                    <w:jc w:val="center"/>
                  </w:pPr>
                  <w:r>
                    <w:t xml:space="preserve">[0.061, 0.333]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0.12</w:t>
                  </w:r>
                </w:p>
              </w:tc>
              <w:tc>
                <w:tcPr/>
                <w:p>
                  <w:pPr>
                    <w:pStyle w:val="Compact"/>
                    <w:jc w:val="center"/>
                  </w:pPr>
                  <w:r>
                    <w:t xml:space="preserve">[-0.027, 0.256]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0.08</w:t>
                  </w:r>
                </w:p>
              </w:tc>
              <w:tc>
                <w:tcPr/>
                <w:p>
                  <w:pPr>
                    <w:pStyle w:val="Compact"/>
                    <w:jc w:val="center"/>
                  </w:pPr>
                  <w:r>
                    <w:t xml:space="preserve">[0.017, 0.148]</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0.51</w:t>
                  </w:r>
                </w:p>
              </w:tc>
              <w:tc>
                <w:tcPr/>
                <w:p>
                  <w:pPr>
                    <w:pStyle w:val="Compact"/>
                    <w:jc w:val="center"/>
                  </w:pPr>
                  <w:r>
                    <w:t xml:space="preserve">[0.402, 0.613]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0.35</w:t>
                  </w:r>
                </w:p>
              </w:tc>
              <w:tc>
                <w:tcPr/>
                <w:p>
                  <w:pPr>
                    <w:pStyle w:val="Compact"/>
                    <w:jc w:val="center"/>
                  </w:pPr>
                  <w:r>
                    <w:t xml:space="preserve">[0.242, 0.461]</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0.16</w:t>
                  </w:r>
                </w:p>
              </w:tc>
              <w:tc>
                <w:tcPr/>
                <w:p>
                  <w:pPr>
                    <w:pStyle w:val="Compact"/>
                    <w:jc w:val="center"/>
                  </w:pPr>
                  <w:r>
                    <w:t xml:space="preserve">[0.097, 0.215]</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0.8</w:t>
                  </w:r>
                </w:p>
              </w:tc>
              <w:tc>
                <w:tcPr/>
                <w:p>
                  <w:pPr>
                    <w:pStyle w:val="Compact"/>
                    <w:jc w:val="center"/>
                  </w:pPr>
                  <w:r>
                    <w:t xml:space="preserve">[0.713, 0.872]</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0.5</w:t>
                  </w:r>
                </w:p>
              </w:tc>
              <w:tc>
                <w:tcPr/>
                <w:p>
                  <w:pPr>
                    <w:pStyle w:val="Compact"/>
                    <w:jc w:val="center"/>
                  </w:pPr>
                  <w:r>
                    <w:t xml:space="preserve">[0.412, 0.573]</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0.3</w:t>
                  </w:r>
                </w:p>
              </w:tc>
              <w:tc>
                <w:tcPr/>
                <w:p>
                  <w:pPr>
                    <w:pStyle w:val="Compact"/>
                    <w:jc w:val="center"/>
                  </w:pPr>
                  <w:r>
                    <w:t xml:space="preserve">[0.248, 0.349]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[2.532, 2.977]</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-0.17</w:t>
                  </w:r>
                </w:p>
              </w:tc>
              <w:tc>
                <w:tcPr/>
                <w:p>
                  <w:pPr>
                    <w:pStyle w:val="Compact"/>
                    <w:jc w:val="center"/>
                  </w:pPr>
                  <w:r>
                    <w:t xml:space="preserve">[-0.371, 0.033]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[2.528, 3.328]</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2026-03-25T15:55:38Z</dcterms:created>
  <dcterms:modified xsi:type="dcterms:W3CDTF">2026-03-25T15:55:38Z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note">
    <vt:lpwstr>Author notes go here.</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date">
    <vt:lpwstr>2026-03-25</vt:lpwstr>
  </property>
  <property fmtid="{D5CDD505-2E9C-101B-9397-08002B2CF9AE}" pid="11" name="editor_options">
    <vt:lpwstr/>
  </property>
  <property fmtid="{D5CDD505-2E9C-101B-9397-08002B2CF9AE}" pid="12" name="func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running-head">
    <vt:lpwstr>Decision models of face memory</vt:lpwstr>
  </property>
  <property fmtid="{D5CDD505-2E9C-101B-9397-08002B2CF9AE}" pid="18" name="toc-title">
    <vt:lpwstr>Table of contents</vt:lpwstr>
  </property>
  <property fmtid="{D5CDD505-2E9C-101B-9397-08002B2CF9AE}" pid="19" name="wordcount">
    <vt:lpwstr>True</vt:lpwstr>
  </property>
</Properties>
</file>