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8.png" ContentType="image/png"/>
  <Override PartName="/word/media/rId9.png" ContentType="image/png"/>
  <Override PartName="/word/media/rId42.png" ContentType="image/png"/>
  <Override PartName="/word/media/rId70.png" ContentType="image/png"/>
  <Override PartName="/word/media/rId74.png" ContentType="image/png"/>
  <Override PartName="/word/media/rId93.png" ContentType="image/png"/>
  <Override PartName="/word/media/rId97.png" ContentType="image/png"/>
  <Override PartName="/word/media/rId79.png" ContentType="image/png"/>
  <Override PartName="/word/media/rId8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2026-08-10</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15"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w:t>
      </w:r>
      <w:r>
        <w:t xml:space="preserve"> </w:t>
      </w:r>
      <w:r>
        <w:t xml:space="preserve">The way that one might interact with a family member or friend is different to a stranger.</w:t>
      </w:r>
      <w:r>
        <w:t xml:space="preserve"> </w:t>
      </w:r>
      <w:r>
        <w:t xml:space="preserve">Moreover, for familiar individuals, we not only know what they look like, but we also have access to person knowledge, such as their traits, attitudes, name and professional status.</w:t>
      </w:r>
      <w:r>
        <w:t xml:space="preserve"> </w:t>
      </w:r>
      <w:r>
        <w:t xml:space="preserve">To date, most prior face recognition research has used manifest (observed) measures (i.e., response times and accuracy) to assess one’s ability to recognise faces.</w:t>
      </w:r>
      <w:r>
        <w:t xml:space="preserve"> </w:t>
      </w:r>
      <w:r>
        <w:t xml:space="preserve">As such, less is known about the latent computational processes that support face recognition</w:t>
      </w:r>
      <w:r>
        <w:t xml:space="preserve"> </w:t>
      </w:r>
      <w:r>
        <w:t xml:space="preserve">(Phillips &amp; White, 2025)</w:t>
      </w:r>
      <w:r>
        <w:t xml:space="preserve">.</w:t>
      </w:r>
      <w:r>
        <w:t xml:space="preserve"> </w:t>
      </w:r>
      <w:r>
        <w:t xml:space="preserve">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&amp; Rouder (1998)</w:t>
      </w:r>
      <w:r>
        <w:t xml:space="preserve">).</w:t>
      </w:r>
      <w:r>
        <w:t xml:space="preserve"> </w:t>
      </w:r>
      <w:r>
        <w:t xml:space="preserve">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&amp; Edmonds, 2009; Natu &amp; O’Toole, 2011)</w:t>
      </w:r>
      <w:r>
        <w:t xml:space="preserve">.</w:t>
      </w:r>
      <w:r>
        <w:t xml:space="preserve"> </w:t>
      </w:r>
      <w:r>
        <w:t xml:space="preserve">One influential cognitive model of face recognition proposed a division between structural encoding of facial features, and more elaborate processes associated with identity recognition and person information</w:t>
      </w:r>
      <w:r>
        <w:t xml:space="preserve"> </w:t>
      </w:r>
      <w:r>
        <w:t xml:space="preserve">(Bruce &amp; Young, 1986)</w:t>
      </w:r>
      <w:r>
        <w:t xml:space="preserve">.</w:t>
      </w:r>
      <w:r>
        <w:t xml:space="preserve"> </w:t>
      </w:r>
      <w:r>
        <w:t xml:space="preserve">Subsequent neuroscience research in humans and monkeys has enriched this model by relating different cognitive processes to different brain circuits</w:t>
      </w:r>
      <w:r>
        <w:t xml:space="preserve"> </w:t>
      </w:r>
      <w:r>
        <w:t xml:space="preserve">Gobbini &amp; Haxby (2006)</w:t>
      </w:r>
      <w:r>
        <w:t xml:space="preserve">.</w:t>
      </w:r>
      <w:r>
        <w:t xml:space="preserve"> </w:t>
      </w:r>
      <w:r>
        <w:t xml:space="preserve">The resulting model is a distributed neural network that incorporates two distinct systems: a core system and an extended system.</w:t>
      </w:r>
      <w:r>
        <w:t xml:space="preserve"> </w:t>
      </w:r>
      <w:r>
        <w:t xml:space="preserve">The core system is dedicated to structural coding of facial features.</w:t>
      </w:r>
      <w:r>
        <w:t xml:space="preserve"> </w:t>
      </w:r>
      <w:r>
        <w:t xml:space="preserve">In contrast, the extended system is involved in more elaborate processes, such as those related to person knowledge</w:t>
      </w:r>
      <w:r>
        <w:t xml:space="preserve"> </w:t>
      </w:r>
      <w:r>
        <w:t xml:space="preserve">(Duchaine &amp; Yovel, 2015; Gobbini &amp; Haxby, 2007; Haxby et al., 2000; Ishai, 2008; Kanwisher &amp; Barton, 2011)</w:t>
      </w:r>
      <w:r>
        <w:t xml:space="preserve">.</w:t>
      </w:r>
      <w:r>
        <w:t xml:space="preserve"> </w:t>
      </w:r>
      <w:r>
        <w:t xml:space="preserve">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&amp; Burton, 2018)</w:t>
      </w:r>
      <w:r>
        <w:t xml:space="preserve">.</w:t>
      </w:r>
      <w:r>
        <w:t xml:space="preserve"> </w:t>
      </w:r>
      <w:r>
        <w:t xml:space="preserve">Largely using manifest measures, such as response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&amp; Gobbini, 2018; Young &amp; Burton, 2018)</w:t>
      </w:r>
      <w:r>
        <w:t xml:space="preserve">.</w:t>
      </w:r>
      <w:r>
        <w:t xml:space="preserve"> </w:t>
      </w:r>
      <w:r>
        <w:t xml:space="preserve">It has been argued that person knowledge involves a qualitatively different and deeper level of processing than visual familiarity</w:t>
      </w:r>
      <w:r>
        <w:t xml:space="preserve"> </w:t>
      </w:r>
      <w:r>
        <w:t xml:space="preserve">(Schwartz &amp; Yovel, 2019)</w:t>
      </w:r>
      <w:r>
        <w:t xml:space="preserve">, which facilitates the accurate discrimination of familiar from unfamiliar faces</w:t>
      </w:r>
      <w:r>
        <w:t xml:space="preserve"> </w:t>
      </w:r>
      <w:r>
        <w:t xml:space="preserve">(Akan &amp; Benjamin, 2023, 2023; Bird et al., 2011; Klatzky &amp; Forrest, 1984; Schwaninger et al., 2002; Schwartz &amp; Yovel, 2016)</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&amp; O’Doherty, 2018; Cheong et al., 2017; Forstmann &amp; Turner, 2024; Hackel &amp; Amodio, 2018; Lockwood &amp; Klein-Flügge, 2021; Parker &amp; Ramsey, 2024; Phillips &amp; White, 2025)</w:t>
      </w:r>
      <w:r>
        <w:t xml:space="preserve">.</w:t>
      </w:r>
      <w:r>
        <w:t xml:space="preserve"> </w:t>
      </w:r>
      <w:r>
        <w:t xml:space="preserve">One benefit of adopting computational approaches is that relationships between parts of a system can be more explicitly specified</w:t>
      </w:r>
      <w:r>
        <w:t xml:space="preserve"> </w:t>
      </w:r>
      <w:r>
        <w:t xml:space="preserve">(Hintzman, 1991; Yarkoni, 2022)</w:t>
      </w:r>
      <w:r>
        <w:t xml:space="preserve">, which aids the development of theory</w:t>
      </w:r>
      <w:r>
        <w:t xml:space="preserve"> </w:t>
      </w:r>
      <w:r>
        <w:t xml:space="preserve">(Muthukrishna &amp; Henrich, 2019; Oberauer &amp; Lewandowsky, 2019; Proulx &amp; Morey, 2021)</w:t>
      </w:r>
      <w:r>
        <w:t xml:space="preserve">.</w:t>
      </w:r>
      <w:r>
        <w:t xml:space="preserve"> </w:t>
      </w:r>
      <w:r>
        <w:t xml:space="preserve">A second benefit is that latent (unobserved) parameters can be estimated, which can give rise to different interpretations of the cognitive processes involved in task performance</w:t>
      </w:r>
      <w:r>
        <w:t xml:space="preserve"> </w:t>
      </w:r>
      <w:r>
        <w:t xml:space="preserve">(Ratcliff et al., 2001)</w:t>
      </w:r>
      <w:r>
        <w:t xml:space="preserve">.</w:t>
      </w:r>
      <w:r>
        <w:t xml:space="preserve"> </w:t>
      </w:r>
      <w:r>
        <w:t xml:space="preserve">And at present, there is almost no understanding of the computational processes that support face recognition processes when familiarity is based on visual exposure compared to stored person knowledge</w:t>
      </w:r>
      <w:r>
        <w:t xml:space="preserve"> </w:t>
      </w:r>
      <w:r>
        <w:t xml:space="preserve">(Phillips &amp;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w:t>
      </w:r>
      <w:r>
        <w:t xml:space="preserve"> </w:t>
      </w:r>
      <w:r>
        <w:t xml:space="preserve">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&amp; Heathcote (2008)</w:t>
      </w:r>
      <w:r>
        <w:t xml:space="preserve">).</w:t>
      </w:r>
      <w:r>
        <w:t xml:space="preserve"> </w:t>
      </w:r>
      <w:r>
        <w:t xml:space="preserve">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w:t>
      </w:r>
      <w:r>
        <w:t xml:space="preserve"> </w:t>
      </w:r>
      <w:r>
        <w:t xml:space="preserve">These latent variables can then be mapped onto psychological constructs</w:t>
      </w:r>
      <w:r>
        <w:t xml:space="preserve"> </w:t>
      </w:r>
      <w:r>
        <w:t xml:space="preserve">(Myers et al., 2022)</w:t>
      </w:r>
      <w:r>
        <w:t xml:space="preserve">.</w:t>
      </w:r>
      <w:r>
        <w:t xml:space="preserve"> </w:t>
      </w:r>
      <w:r>
        <w:t xml:space="preserve">For example, drift rate is the rate at which evidence in favor of a decision accumulates over time, reflecting the signal-to-noise ratio provided by the stimulus.</w:t>
      </w:r>
      <w:r>
        <w:t xml:space="preserve"> </w:t>
      </w:r>
      <w:r>
        <w:t xml:space="preserve">Threshold represents the amount of accumulated evidence needed to trigger the decision, reflecting the response caution towards a specific response.</w:t>
      </w:r>
      <w:r>
        <w:t xml:space="preserve"> </w:t>
      </w:r>
      <w:r>
        <w:t xml:space="preserve">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w:t>
      </w:r>
      <w:r>
        <w:t xml:space="preserve"> </w:t>
      </w:r>
      <w:r>
        <w:t xml:space="preserve">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13"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13"/>
          <w:p/>
        </w:tc>
      </w:tr>
    </w:tbl>
    <w:p>
      <w:pPr>
        <w:pStyle w:val="BodyText"/>
      </w:pPr>
      <w:r>
        <w:t xml:space="preserve">In the present study, we used evidence accumulation modelling to ask new questions regarding the computational processes that support the recognition of familiar versus unfamiliar individuals.</w:t>
      </w:r>
      <w:r>
        <w:t xml:space="preserve"> </w:t>
      </w:r>
      <w:r>
        <w:t xml:space="preserve">More specifically, we address how different types of familiarity (visual feature familiarity versus visual feature familiarity plus person knowledge) impact the threshold (response caution) and drift rate (signal-to-noise ratio) parameters.</w:t>
      </w:r>
      <w:r>
        <w:t xml:space="preserve"> </w:t>
      </w:r>
      <w:r>
        <w:t xml:space="preserve">Based on prior work in experimental psychology</w:t>
      </w:r>
      <w:r>
        <w:t xml:space="preserve"> </w:t>
      </w:r>
      <w:r>
        <w:t xml:space="preserve">(Parker &amp; Ramsey, 2024; Ratcliff et al., 2016)</w:t>
      </w:r>
      <w:r>
        <w:t xml:space="preserve">, we chose to primarily focus on threshold and drift rate as our primary parameters of interest because we could easily and intuitively see how performance advantages could emerge based on familiarity.</w:t>
      </w:r>
      <w:r>
        <w:t xml:space="preserve"> </w:t>
      </w:r>
      <w:r>
        <w:t xml:space="preserve">For instance, based on conventional use of EAMs</w:t>
      </w:r>
      <w:r>
        <w:t xml:space="preserve"> </w:t>
      </w:r>
      <w:r>
        <w:t xml:space="preserve">(Myers et al.,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w:t>
      </w:r>
      <w:r>
        <w:t xml:space="preserve"> </w:t>
      </w:r>
      <w:r>
        <w:t xml:space="preserve">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w:t>
      </w:r>
      <w:r>
        <w:t xml:space="preserve"> </w:t>
      </w:r>
      <w:r>
        <w:t xml:space="preserve">For instance, we considered it plausible that novel compared to familiar stimuli could provide a benefit in some instances, by virtue of a pop-out or novelty detector</w:t>
      </w:r>
      <w:r>
        <w:t xml:space="preserve"> </w:t>
      </w:r>
      <w:r>
        <w:t xml:space="preserve">(Glanzer &amp; Adams, 1985; Kormi-Nouri et al., 2005; Schomaker &amp; Meeter, 2012; Tulving &amp; Kroll, 1995)</w:t>
      </w:r>
      <w:r>
        <w:t xml:space="preserve">.</w:t>
      </w:r>
      <w:r>
        <w:t xml:space="preserve"> </w:t>
      </w:r>
      <w:r>
        <w:t xml:space="preserve">Likewise, we also considered it plausible that familiar compared to novel stimuli could providing a benefit based on the many advantages reported for recognising personally familiar or famous individuals</w:t>
      </w:r>
      <w:r>
        <w:t xml:space="preserve"> </w:t>
      </w:r>
      <w:r>
        <w:t xml:space="preserve">(Ramon &amp; Gobbini, 2018; Young &amp; Burton, 2018)</w:t>
      </w:r>
      <w:r>
        <w:t xml:space="preserve">.</w:t>
      </w:r>
      <w:r>
        <w:t xml:space="preserve"> </w:t>
      </w:r>
      <w:r>
        <w:t xml:space="preserve">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14"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5</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14"/>
          <w:p/>
        </w:tc>
      </w:tr>
    </w:tbl>
    <w:bookmarkEnd w:id="15"/>
    <w:bookmarkStart w:id="69" w:name="method-and-materials"/>
    <w:p>
      <w:pPr>
        <w:pStyle w:val="Heading1"/>
      </w:pPr>
      <w:r>
        <w:t xml:space="preserve">Method and Materials</w:t>
      </w:r>
    </w:p>
    <w:bookmarkStart w:id="22"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w:t>
      </w:r>
      <w:r>
        <w:t xml:space="preserve"> </w:t>
      </w:r>
      <w:r>
        <w:t xml:space="preserve">(Simons et al., 2017)</w:t>
      </w:r>
      <w:r>
        <w:t xml:space="preserve">.</w:t>
      </w:r>
      <w:r>
        <w:t xml:space="preserve"> </w:t>
      </w:r>
      <w:r>
        <w:t xml:space="preserve">For each experiment, the research question, hypotheses, experimental design, planned analysis, and exclusion criteria were preregistered ((Experiment 1:</w:t>
      </w:r>
      <w:r>
        <w:t xml:space="preserve"> </w:t>
      </w:r>
      <w:hyperlink r:id="rId16">
        <w:r>
          <w:rPr>
            <w:rStyle w:val="Hyperlink"/>
          </w:rPr>
          <w:t xml:space="preserve">https://osf.io/azyvu/overview</w:t>
        </w:r>
      </w:hyperlink>
      <w:r>
        <w:t xml:space="preserve">); (Experiment 2:</w:t>
      </w:r>
      <w:r>
        <w:t xml:space="preserve"> </w:t>
      </w:r>
      <w:hyperlink r:id="rId17">
        <w:r>
          <w:rPr>
            <w:rStyle w:val="Hyperlink"/>
          </w:rPr>
          <w:t xml:space="preserve">https://osf.io/tu2eh/overview</w:t>
        </w:r>
      </w:hyperlink>
      <w:r>
        <w:t xml:space="preserve">); (Experiment 3:</w:t>
      </w:r>
      <w:r>
        <w:t xml:space="preserve"> </w:t>
      </w:r>
      <w:hyperlink r:id="rId18">
        <w:r>
          <w:rPr>
            <w:rStyle w:val="Hyperlink"/>
          </w:rPr>
          <w:t xml:space="preserve">https://osf.io/ut78f/overview</w:t>
        </w:r>
      </w:hyperlink>
      <w:r>
        <w:t xml:space="preserve">); (Experiment 4</w:t>
      </w:r>
      <w:r>
        <w:t xml:space="preserve"> </w:t>
      </w:r>
      <w:hyperlink r:id="rId19">
        <w:r>
          <w:rPr>
            <w:rStyle w:val="Hyperlink"/>
          </w:rPr>
          <w:t xml:space="preserve">https://osf.io/vj2aq/overview</w:t>
        </w:r>
      </w:hyperlink>
      <w:r>
        <w:t xml:space="preserve">) and (Experiment 5</w:t>
      </w:r>
      <w:r>
        <w:t xml:space="preserve"> </w:t>
      </w:r>
      <w:hyperlink r:id="rId20">
        <w:r>
          <w:rPr>
            <w:rStyle w:val="Hyperlink"/>
          </w:rPr>
          <w:t xml:space="preserve">https://osf.io/6tqxw/overview</w:t>
        </w:r>
      </w:hyperlink>
      <w:r>
        <w:t xml:space="preserve">).</w:t>
      </w:r>
      <w:r>
        <w:t xml:space="preserve"> </w:t>
      </w:r>
      <w:r>
        <w:t xml:space="preserve">The raw data and analysis code are available on GitHub (</w:t>
      </w:r>
      <w:hyperlink r:id="rId21">
        <w:r>
          <w:rPr>
            <w:rStyle w:val="Hyperlink"/>
          </w:rPr>
          <w:t xml:space="preserve">https://github.com/cbs-lab/face-familiarity-eam</w:t>
        </w:r>
      </w:hyperlink>
      <w:r>
        <w:t xml:space="preserve">).</w:t>
      </w:r>
    </w:p>
    <w:bookmarkEnd w:id="22"/>
    <w:bookmarkStart w:id="34" w:name="experiment-1"/>
    <w:p>
      <w:pPr>
        <w:pStyle w:val="Heading2"/>
      </w:pPr>
      <w:r>
        <w:t xml:space="preserve">Experiment 1</w:t>
      </w:r>
    </w:p>
    <w:bookmarkStart w:id="25" w:name="participants"/>
    <w:p>
      <w:pPr>
        <w:pStyle w:val="Heading3"/>
      </w:pPr>
      <w:r>
        <w:t xml:space="preserve">Participants</w:t>
      </w:r>
    </w:p>
    <w:p>
      <w:pPr>
        <w:pStyle w:val="FirstParagraph"/>
      </w:pPr>
      <w:r>
        <w:t xml:space="preserve">All participants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Sample size was determined in advance.</w:t>
      </w:r>
      <w:r>
        <w:t xml:space="preserve"> </w:t>
      </w:r>
      <w:r>
        <w:t xml:space="preserve">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w:t>
      </w:r>
      <w:r>
        <w:t xml:space="preserve"> </w:t>
      </w:r>
      <w:r>
        <w:t xml:space="preserve">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w:t>
      </w:r>
      <w:r>
        <w:t xml:space="preserve"> </w:t>
      </w:r>
      <w:r>
        <w:t xml:space="preserve">The parameters were sufficiently well-recovered to suggest the combination of data and design were a reasonable choice (See Supplementary Materials).</w:t>
      </w:r>
    </w:p>
    <w:p>
      <w:pPr>
        <w:pStyle w:val="BodyText"/>
      </w:pPr>
      <w:r>
        <w:t xml:space="preserve">31 healthy participants completed Experiment 1 (</w:t>
      </w:r>
      <w:hyperlink w:anchor="tbl-participants">
        <w:r>
          <w:rPr>
            <w:rStyle w:val="Hyperlink"/>
          </w:rPr>
          <w:t xml:space="preserve">Table 3</w:t>
        </w:r>
      </w:hyperlink>
      <w:r>
        <w:t xml:space="preserve">).</w:t>
      </w:r>
      <w:r>
        <w:t xml:space="preserve"> </w:t>
      </w:r>
      <w:r>
        <w:t xml:space="preserve">All participants reported normal or corrected-to-normal vision and received payment (20 CHF) for participating in the experiment.</w:t>
      </w:r>
      <w:r>
        <w:t xml:space="preserve"> </w:t>
      </w:r>
      <w:r>
        <w:t xml:space="preserve">Based on our preregistration, response times longer than 2.5 seconds were removed from the analysis.</w:t>
      </w:r>
      <w:r>
        <w:t xml:space="preserve"> </w:t>
      </w:r>
      <w:r>
        <w:t xml:space="preserve">However, this cutoff value led to the removal of 59% of the trials of one participant.</w:t>
      </w:r>
      <w:r>
        <w:t xml:space="preserve"> </w:t>
      </w:r>
      <w:r>
        <w:t xml:space="preserve">Given the recommendation of having a certain number of trials per condition per participant when using evidence-accumulation models</w:t>
      </w:r>
      <w:r>
        <w:t xml:space="preserve"> </w:t>
      </w:r>
      <w:r>
        <w:t xml:space="preserve">(Heathcote et al., 2019; Parker &amp; Ramsey, 2024)</w:t>
      </w:r>
      <w:r>
        <w:t xml:space="preserve">, this participant was excluded from the data analysis.</w:t>
      </w:r>
      <w:r>
        <w:t xml:space="preserve"> </w:t>
      </w:r>
      <w:r>
        <w:t xml:space="preserve">In the end, the data of 30 participants (11 men and 19 women) was retained for the analysis and the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w:t>
      </w:r>
      <w:r>
        <w:t xml:space="preserve"> </w:t>
      </w:r>
      <w:r>
        <w:t xml:space="preserve">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24" w:name="tbl-participants"/>
          <w:p>
            <w:pPr>
              <w:jc w:val="center"/>
            </w:pPr>
            <w:pPr>
              <w:jc w:val="left"/>
              <w:spacing w:before="200"/>
              <w:pStyle w:val="ImageCaption"/>
            </w:pPr>
            <w:r>
              <w:t xml:space="preserve">Table 3: Participant summary across experiments.</w:t>
            </w:r>
          </w:p>
          <w:tbl>
            <w:tblPr>
              <w:tblStyle w:val="Table"/>
              <w:tblW w:type="pct" w:w="4733"/>
              <w:tblLayout w:type="fixed"/>
              <w:tblLook w:firstRow="1" w:lastRow="1" w:firstColumn="0" w:lastColumn="0" w:noHBand="0" w:noVBand="0" w:val="0020"/>
            </w:tblPr>
            <w:tblGrid>
              <w:gridCol w:w="792"/>
              <w:gridCol w:w="528"/>
              <w:gridCol w:w="633"/>
              <w:gridCol w:w="844"/>
              <w:gridCol w:w="1161"/>
              <w:gridCol w:w="1320"/>
              <w:gridCol w:w="528"/>
              <w:gridCol w:w="475"/>
              <w:gridCol w:w="369"/>
              <w:gridCol w:w="844"/>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p>
                  <w:pPr>
                    <w:pStyle w:val="Compact"/>
                    <w:jc w:val="center"/>
                  </w:pPr>
                  <w:r>
                    <w:t xml:space="preserve">Experiment 5</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31</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37.4 (10.9)</w:t>
                  </w:r>
                </w:p>
              </w:tc>
            </w:tr>
            <w:tr>
              <w:tc>
                <w:tcPr>
                  <w:gridSpan w:val="10"/>
                </w:tcPr>
                <w:p>
                  <w:pPr>
                    <w:pStyle w:val="Compact"/>
                    <w:jc w:val="center"/>
                  </w:pPr>
                  <w:r>
                    <w:t xml:space="preserve">RT = response time; — = criterion not applicable for this experiment.</w:t>
                  </w:r>
                </w:p>
              </w:tc>
            </w:tr>
          </w:tbl>
          <w:bookmarkEnd w:id="24"/>
          <w:p/>
        </w:tc>
      </w:tr>
    </w:tbl>
    <w:bookmarkEnd w:id="25"/>
    <w:bookmarkStart w:id="27" w:name="stimuli"/>
    <w:p>
      <w:pPr>
        <w:pStyle w:val="Heading3"/>
      </w:pPr>
      <w:r>
        <w:t xml:space="preserve">Stimuli</w:t>
      </w:r>
    </w:p>
    <w:p>
      <w:pPr>
        <w:pStyle w:val="FirstParagraph"/>
      </w:pPr>
      <w:r>
        <w:t xml:space="preserve">The stimuli consisted of images selected from two different data sets of face images: the Face Research Lab London Set</w:t>
      </w:r>
      <w:r>
        <w:t xml:space="preserve"> </w:t>
      </w:r>
      <w:r>
        <w:t xml:space="preserve">(DeBruine &amp; Jones, 2017)</w:t>
      </w:r>
      <w:r>
        <w:t xml:space="preserve"> </w:t>
      </w:r>
      <w:r>
        <w:t xml:space="preserve">and the Color FERET Database (</w:t>
      </w:r>
      <w:hyperlink r:id="rId26">
        <w:r>
          <w:rPr>
            <w:rStyle w:val="Hyperlink"/>
          </w:rPr>
          <w:t xml:space="preserve">https://www.nist.gov/itl/products-and-services/color-feret-database</w:t>
        </w:r>
      </w:hyperlink>
      <w:r>
        <w:t xml:space="preserve">).</w:t>
      </w:r>
      <w:r>
        <w:t xml:space="preserve"> </w:t>
      </w:r>
      <w:r>
        <w:t xml:space="preserve">Each of these data sets is composed of images of different identities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to only keep the internal features of the face.</w:t>
      </w:r>
      <w:r>
        <w:t xml:space="preserve"> </w:t>
      </w:r>
      <w:r>
        <w:t xml:space="preserve">All of the images processing was realized using the free community-developed software GNU Image Manipulation Program (</w:t>
      </w:r>
      <w:r>
        <w:t xml:space="preserve">The GIMP Development Team (2025)</w:t>
      </w:r>
      <w:r>
        <w:t xml:space="preserve">).</w:t>
      </w:r>
      <w:r>
        <w:t xml:space="preserve"> </w:t>
      </w:r>
      <w:r>
        <w:t xml:space="preserve">After 4 pilot experiments, we removed 27 identities (21 from the Face Research Lab London Set and 6 from the Color FERET Database) due to the presence of identifiable features (i.e. skin marks, make-up…).</w:t>
      </w:r>
      <w:r>
        <w:t xml:space="preserve"> </w:t>
      </w:r>
      <w:r>
        <w:t xml:space="preserve">In total, the data set of face images used in Experiment 1 contained 756 images: one set of three colour face images and one set of three gray scaled face images for each of the 126 identities.</w:t>
      </w:r>
    </w:p>
    <w:bookmarkEnd w:id="27"/>
    <w:bookmarkStart w:id="28" w:name="material"/>
    <w:p>
      <w:pPr>
        <w:pStyle w:val="Heading3"/>
      </w:pPr>
      <w:r>
        <w:t xml:space="preserve">Material</w:t>
      </w:r>
    </w:p>
    <w:p>
      <w:pPr>
        <w:pStyle w:val="FirstParagraph"/>
      </w:pPr>
      <w:r>
        <w:t xml:space="preserve">Stimuli were presented on the screen of a MacBook Pro (Apple M2 Pro, macOS 13 Ventura) and the experiment was run on Psychopy Coder (version: 2022.5,</w:t>
      </w:r>
      <w:r>
        <w:t xml:space="preserve"> </w:t>
      </w:r>
      <w:r>
        <w:t xml:space="preserve">Peirce et al. (2019)</w:t>
      </w:r>
      <w:r>
        <w:t xml:space="preserve">).</w:t>
      </w:r>
    </w:p>
    <w:bookmarkEnd w:id="28"/>
    <w:bookmarkStart w:id="3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w:t>
      </w:r>
      <w:r>
        <w:t xml:space="preserve"> </w:t>
      </w:r>
      <w:r>
        <w:t xml:space="preserve">In the familiarization part, the face of 30 unknown identities were presented on the screen and participants were told to memorize the identity of the faces.</w:t>
      </w:r>
      <w:r>
        <w:t xml:space="preserve"> </w:t>
      </w:r>
      <w:r>
        <w:t xml:space="preserve">One familiarization trial consisted of the presentation of 6 face images, one after the other, depicting the same identity but varying in viewing points (3/4 left view, frontal view and 3/4 right view) and the colorimetry (colour image, gray scale image).</w:t>
      </w:r>
      <w:r>
        <w:t xml:space="preserve"> </w:t>
      </w:r>
      <w:r>
        <w:t xml:space="preserve">The variability of the face presentation (viewing points and colorimetry) was used to avoid that participants memorized the</w:t>
      </w:r>
      <w:r>
        <w:t xml:space="preserve"> </w:t>
      </w:r>
      <w:r>
        <w:t xml:space="preserve">“picture”</w:t>
      </w:r>
      <w:r>
        <w:t xml:space="preserve"> </w:t>
      </w:r>
      <w:r>
        <w:t xml:space="preserve">of the face instead of the</w:t>
      </w:r>
      <w:r>
        <w:t xml:space="preserve"> </w:t>
      </w:r>
      <w:r>
        <w:t xml:space="preserve">“identity”</w:t>
      </w:r>
      <w:r>
        <w:t xml:space="preserve"> </w:t>
      </w:r>
      <w:r>
        <w:t xml:space="preserve">of the face.</w:t>
      </w:r>
      <w:r>
        <w:t xml:space="preserve"> </w:t>
      </w:r>
      <w:r>
        <w:t xml:space="preserve">The duration of each image presentation was 0.75 second.</w:t>
      </w:r>
      <w:r>
        <w:t xml:space="preserve"> </w:t>
      </w:r>
      <w:r>
        <w:t xml:space="preserve">Each participant underwent 30 familiarization trials.</w:t>
      </w:r>
      <w:r>
        <w:t xml:space="preserve"> </w:t>
      </w:r>
      <w:r>
        <w:t xml:space="preserve">During the familiarization, we introduced catch trials to ensure participants attention.</w:t>
      </w:r>
      <w:r>
        <w:t xml:space="preserve"> </w:t>
      </w:r>
      <w:r>
        <w:t xml:space="preserve">After some familiarization trials, a gray-scale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gray-scale image of a face was shown on the screen.</w:t>
      </w:r>
      <w:r>
        <w:t xml:space="preserve"> </w:t>
      </w:r>
      <w:r>
        <w:t xml:space="preserve">Participants were asked to choose if they had previously seen this face in the familiarization part or not.</w:t>
      </w:r>
      <w:r>
        <w:t xml:space="preserve"> </w:t>
      </w:r>
      <w:r>
        <w:t xml:space="preserve">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32" w:name="fig-proc-exp1"/>
          <w:p>
            <w:pPr>
              <w:pStyle w:val="Compact"/>
              <w:jc w:val="center"/>
            </w:pPr>
            <w:r>
              <w:drawing>
                <wp:inline>
                  <wp:extent cx="5334000" cy="3000375"/>
                  <wp:effectExtent b="0" l="0" r="0" t="0"/>
                  <wp:docPr descr="" title="" id="30" name="Picture"/>
                  <a:graphic>
                    <a:graphicData uri="http://schemas.openxmlformats.org/drawingml/2006/picture">
                      <pic:pic>
                        <pic:nvPicPr>
                          <pic:cNvPr descr="figures/Experimental_procedure_exp1.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3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33"/>
    <w:bookmarkEnd w:id="34"/>
    <w:bookmarkStart w:id="40" w:name="experiment-2"/>
    <w:p>
      <w:pPr>
        <w:pStyle w:val="Heading2"/>
      </w:pPr>
      <w:r>
        <w:t xml:space="preserve">Experiment 2</w:t>
      </w:r>
    </w:p>
    <w:bookmarkStart w:id="36" w:name="participants-1"/>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35 participants completed Experiment 2.</w:t>
      </w:r>
      <w:r>
        <w:t xml:space="preserve"> </w:t>
      </w:r>
      <w:r>
        <w:t xml:space="preserve">Following our preregistered exclusion criterion, 4 participants were excluded because their percentage of missed trials was higher than 25% and 1 was removed because the overall accuracy was lower than 55%.</w:t>
      </w:r>
      <w:r>
        <w:t xml:space="preserve"> </w:t>
      </w:r>
      <w:r>
        <w:t xml:space="preserve">In the end, data from 30 participants (20 men and 10 women) were retained for the analysis and the LBA modeling.</w:t>
      </w:r>
      <w:r>
        <w:t xml:space="preserve"> </w:t>
      </w:r>
      <w:r>
        <w:t xml:space="preserve">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w:t>
      </w:r>
      <w:r>
        <w:t xml:space="preserve"> </w:t>
      </w:r>
      <w:r>
        <w:t xml:space="preserve">Following Prolific payment principles, each participant received 9£ for the completion of the study.</w:t>
      </w:r>
    </w:p>
    <w:bookmarkEnd w:id="36"/>
    <w:bookmarkStart w:id="3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37"/>
    <w:bookmarkStart w:id="38" w:name="material-1"/>
    <w:p>
      <w:pPr>
        <w:pStyle w:val="Heading3"/>
      </w:pPr>
      <w:r>
        <w:t xml:space="preserve">Material</w:t>
      </w:r>
    </w:p>
    <w:p>
      <w:pPr>
        <w:pStyle w:val="FirstParagraph"/>
      </w:pPr>
      <w:r>
        <w:t xml:space="preserve">Given the online nature of this experiment, participants were asked to complete the study using a desktop computer.</w:t>
      </w:r>
      <w:r>
        <w:t xml:space="preserve"> </w:t>
      </w:r>
      <w:r>
        <w:t xml:space="preserve">The experimental procedure has been tested on three different operative systems (PC, Macintosh and Linux), as well as on three different web browsers (Google Chrome, Safari and Firefox).</w:t>
      </w:r>
      <w:r>
        <w:t xml:space="preserve"> </w:t>
      </w:r>
      <w:r>
        <w:t xml:space="preserve">Participants were asked to specifically used these operating systems and web browsers to ensure a consistent procedure and participant experience.</w:t>
      </w:r>
    </w:p>
    <w:bookmarkEnd w:id="38"/>
    <w:bookmarkStart w:id="3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w:t>
      </w:r>
      <w:r>
        <w:t xml:space="preserve"> </w:t>
      </w:r>
      <w:r>
        <w:t xml:space="preserve">A response time window was added in the recognition part of the experiment.</w:t>
      </w:r>
      <w:r>
        <w:t xml:space="preserve"> </w:t>
      </w:r>
      <w:r>
        <w:t xml:space="preserve">Instead of removing trials with a response time higher than 2.5 seconds after data collection, we decided to implement a response time window of 2 seconds for each recognition trial.</w:t>
      </w:r>
      <w:r>
        <w:t xml:space="preserve"> </w:t>
      </w:r>
      <w:r>
        <w:t xml:space="preserve">In Experiment 1, 13.796% of the trials were longer than 2 seconds.</w:t>
      </w:r>
      <w:r>
        <w:t xml:space="preserve"> </w:t>
      </w:r>
      <w:r>
        <w:t xml:space="preserve">We expected participants to quickly get accustomed to the response time limit and that the average percentage of missed trials will be similar or lower than in Experiment 1.</w:t>
      </w:r>
      <w:r>
        <w:t xml:space="preserve"> </w:t>
      </w:r>
      <w:r>
        <w:t xml:space="preserve">Response time [s] and accuracy were collected after each recognition trial.</w:t>
      </w:r>
    </w:p>
    <w:bookmarkEnd w:id="39"/>
    <w:bookmarkEnd w:id="40"/>
    <w:bookmarkStart w:id="56" w:name="experiment-3"/>
    <w:p>
      <w:pPr>
        <w:pStyle w:val="Heading2"/>
      </w:pPr>
      <w:r>
        <w:t xml:space="preserve">Experiment 3</w:t>
      </w:r>
    </w:p>
    <w:bookmarkStart w:id="41" w:name="participants-2"/>
    <w:p>
      <w:pPr>
        <w:pStyle w:val="Heading3"/>
      </w:pPr>
      <w:r>
        <w:t xml:space="preserve">Participants</w:t>
      </w:r>
    </w:p>
    <w:p>
      <w:pPr>
        <w:pStyle w:val="FirstParagraph"/>
      </w:pPr>
      <w:r>
        <w:t xml:space="preserve">All participant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40 healthy participants completed Experiment 3.</w:t>
      </w:r>
      <w:r>
        <w:t xml:space="preserve"> </w:t>
      </w:r>
      <w:r>
        <w:t xml:space="preserve">We deviated from our preregistration in one way.</w:t>
      </w:r>
      <w:r>
        <w:t xml:space="preserve"> </w:t>
      </w:r>
      <w:r>
        <w:t xml:space="preserve">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w:t>
      </w:r>
      <w:r>
        <w:t xml:space="preserve"> </w:t>
      </w:r>
      <w:r>
        <w:t xml:space="preserve">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w:t>
      </w:r>
      <w:r>
        <w:t xml:space="preserve"> </w:t>
      </w:r>
      <w:r>
        <w:t xml:space="preserve">In the end, the data of 30 participants (13 men and 17 women) were retained for further analysis and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w:t>
      </w:r>
      <w:r>
        <w:t xml:space="preserve"> </w:t>
      </w:r>
      <w:r>
        <w:t xml:space="preserve">All participants reported normal or corrected-to-normal vision and received payment (25 CHF) for participating in the experiment.</w:t>
      </w:r>
    </w:p>
    <w:bookmarkEnd w:id="41"/>
    <w:bookmarkStart w:id="46" w:name="stimuli-2"/>
    <w:p>
      <w:pPr>
        <w:pStyle w:val="Heading3"/>
      </w:pPr>
      <w:r>
        <w:t xml:space="preserve">Stimuli</w:t>
      </w:r>
    </w:p>
    <w:p>
      <w:pPr>
        <w:pStyle w:val="FirstParagraph"/>
      </w:pPr>
      <w:r>
        <w:t xml:space="preserve">Two types of pictures were used for this experiment to create our within-subject stimuli conditions.</w:t>
      </w:r>
      <w:r>
        <w:t xml:space="preserve"> </w:t>
      </w:r>
      <w:r>
        <w:t xml:space="preserve">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w:t>
      </w:r>
      <w:r>
        <w:t xml:space="preserve"> </w:t>
      </w:r>
      <w:r>
        <w:t xml:space="preserve">Pictures depicting celebrities (</w:t>
      </w:r>
      <w:r>
        <w:t xml:space="preserve">“Famous”</w:t>
      </w:r>
      <w:r>
        <w:t xml:space="preserve"> </w:t>
      </w:r>
      <w:r>
        <w:t xml:space="preserve">condition) were taken from the internet.</w:t>
      </w:r>
      <w:r>
        <w:t xml:space="preserve"> </w:t>
      </w:r>
      <w:r>
        <w:t xml:space="preserve">For each of the 60 preselected celebrities, 3 pictures depicting them from a similar angle to the</w:t>
      </w:r>
      <w:r>
        <w:t xml:space="preserve"> </w:t>
      </w:r>
      <w:r>
        <w:t xml:space="preserve">“Novel”</w:t>
      </w:r>
      <w:r>
        <w:t xml:space="preserve"> </w:t>
      </w:r>
      <w:r>
        <w:t xml:space="preserve">faces were chosen (3/4 left view, frontal view and 3/4 right vie).</w:t>
      </w:r>
      <w:r>
        <w:t xml:space="preserve"> </w:t>
      </w:r>
      <w:r>
        <w:t xml:space="preserve">Moreover, 60 more pictures (one for each of the celebrities) was only used for the first part of the experiment.</w:t>
      </w:r>
      <w:r>
        <w:t xml:space="preserve"> </w:t>
      </w:r>
      <w:r>
        <w:t xml:space="preserve">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w:t>
      </w:r>
      <w:r>
        <w:t xml:space="preserve"> </w:t>
      </w:r>
      <w:r>
        <w:t xml:space="preserve">Background was removed from the picture and replace by the same background used in the</w:t>
      </w:r>
      <w:r>
        <w:t xml:space="preserve"> </w:t>
      </w:r>
      <w:r>
        <w:t xml:space="preserve">“Novel”</w:t>
      </w:r>
      <w:r>
        <w:t xml:space="preserve"> </w:t>
      </w:r>
      <w:r>
        <w:t xml:space="preserve">images.</w:t>
      </w:r>
      <w:r>
        <w:t xml:space="preserve"> </w:t>
      </w:r>
      <w:r>
        <w:t xml:space="preserve">The same gray scale filter used for the</w:t>
      </w:r>
      <w:r>
        <w:t xml:space="preserve"> </w:t>
      </w:r>
      <w:r>
        <w:t xml:space="preserve">“Novel”</w:t>
      </w:r>
      <w:r>
        <w:t xml:space="preserve"> </w:t>
      </w:r>
      <w:r>
        <w:t xml:space="preserve">faces was applied to the celebrities images used during the recognition part.</w:t>
      </w:r>
      <w:r>
        <w:t xml:space="preserve"> </w:t>
      </w:r>
      <w:r>
        <w:t xml:space="preserve">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w:t>
      </w:r>
      <w:r>
        <w:t xml:space="preserve"> </w:t>
      </w:r>
      <w:r>
        <w:t xml:space="preserve">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w:t>
      </w:r>
      <w:r>
        <w:t xml:space="preserve"> </w:t>
      </w:r>
      <w:r>
        <w:t xml:space="preserve">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w:t>
      </w:r>
      <w:r>
        <w:t xml:space="preserve"> </w:t>
      </w:r>
      <w:r>
        <w:t xml:space="preserve">The addition of a grey mask on top the face images decreased the overall accuracy of the recognition part during pilot work to a percentage of correct answer suited for the application of evidence-accumulation modeling.</w:t>
      </w:r>
    </w:p>
    <w:tbl>
      <w:tblPr>
        <w:tblStyle w:val="Table"/>
        <w:tblW w:type="pct" w:w="5000"/>
        <w:tblLayout w:type="fixed"/>
        <w:tblLook w:firstRow="0" w:lastRow="0" w:firstColumn="0" w:lastColumn="0" w:noHBand="0" w:noVBand="0" w:val="0000"/>
      </w:tblPr>
      <w:tblGrid>
        <w:gridCol w:w="7920"/>
      </w:tblGrid>
      <w:tr>
        <w:tc>
          <w:tcPr/>
          <w:bookmarkStart w:id="45" w:name="fig-mask-exp3"/>
          <w:p>
            <w:pPr>
              <w:pStyle w:val="Compact"/>
              <w:jc w:val="center"/>
            </w:pPr>
            <w:r>
              <w:drawing>
                <wp:inline>
                  <wp:extent cx="5334000" cy="3002844"/>
                  <wp:effectExtent b="0" l="0" r="0" t="0"/>
                  <wp:docPr descr="" title="" id="43" name="Picture"/>
                  <a:graphic>
                    <a:graphicData uri="http://schemas.openxmlformats.org/drawingml/2006/picture">
                      <pic:pic>
                        <pic:nvPicPr>
                          <pic:cNvPr descr="figures/Mask_exp3.png" id="44" name="Picture"/>
                          <pic:cNvPicPr>
                            <a:picLocks noChangeArrowheads="1" noChangeAspect="1"/>
                          </pic:cNvPicPr>
                        </pic:nvPicPr>
                        <pic:blipFill>
                          <a:blip r:embed="rId4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4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46"/>
    <w:bookmarkStart w:id="47" w:name="material-2"/>
    <w:p>
      <w:pPr>
        <w:pStyle w:val="Heading3"/>
      </w:pPr>
      <w:r>
        <w:t xml:space="preserve">Material</w:t>
      </w:r>
    </w:p>
    <w:p>
      <w:pPr>
        <w:pStyle w:val="FirstParagraph"/>
      </w:pPr>
      <w:r>
        <w:t xml:space="preserve">Stimuli were presented on the screen of a MacBook Pro (Apple M2 Pro, macOS 14 Sonoma).</w:t>
      </w:r>
      <w:r>
        <w:t xml:space="preserve"> </w:t>
      </w:r>
      <w:r>
        <w:t xml:space="preserve">The experiment was run on Psychopy Coder (version: 2022.5,</w:t>
      </w:r>
      <w:r>
        <w:t xml:space="preserve"> </w:t>
      </w:r>
      <w:r>
        <w:t xml:space="preserve">Peirce et al. (2019)</w:t>
      </w:r>
      <w:r>
        <w:t xml:space="preserve">) and the code used for the experimental procedure is available on OSF (</w:t>
      </w:r>
      <w:hyperlink r:id="rId18">
        <w:r>
          <w:rPr>
            <w:rStyle w:val="Hyperlink"/>
          </w:rPr>
          <w:t xml:space="preserve">https://osf.io/ut78f/overview</w:t>
        </w:r>
      </w:hyperlink>
      <w:r>
        <w:t xml:space="preserve">).</w:t>
      </w:r>
    </w:p>
    <w:bookmarkEnd w:id="47"/>
    <w:bookmarkStart w:id="5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w:t>
      </w:r>
      <w:r>
        <w:t xml:space="preserve"> </w:t>
      </w:r>
      <w:r>
        <w:t xml:space="preserve">During the rating part, participants were presented pictures of 60 celebrities.</w:t>
      </w:r>
      <w:r>
        <w:t xml:space="preserve"> </w:t>
      </w:r>
      <w:r>
        <w:t xml:space="preserve">They were asked to rate these celebrities on two different features: how familiar the celebrity was to them (from 0: Highly unfamiliar to 10: Highly familiar) and how positive or negative were their feelings towards the celebrity (from 0:Highly negative to 10: Highly positive).</w:t>
      </w:r>
      <w:r>
        <w:t xml:space="preserve"> </w:t>
      </w:r>
      <w:r>
        <w:t xml:space="preserve">After the two rating scales, participants were asked to choose the correct name of the same identity from four different naming options.</w:t>
      </w:r>
      <w:r>
        <w:t xml:space="preserve"> </w:t>
      </w:r>
      <w:r>
        <w:t xml:space="preserve">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w:t>
      </w:r>
      <w:r>
        <w:t xml:space="preserve"> </w:t>
      </w:r>
      <w:r>
        <w:t xml:space="preserve">Thus, the set of</w:t>
      </w:r>
      <w:r>
        <w:t xml:space="preserve"> </w:t>
      </w:r>
      <w:r>
        <w:t xml:space="preserve">“Famous”</w:t>
      </w:r>
      <w:r>
        <w:t xml:space="preserve"> </w:t>
      </w:r>
      <w:r>
        <w:t xml:space="preserve">faces used in the recognition part was individualized for each participant.</w:t>
      </w:r>
      <w:r>
        <w:t xml:space="preserve"> </w:t>
      </w: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famous identities trials and the other half were new, previously unseen identities trials.</w:t>
      </w:r>
      <w:r>
        <w:t xml:space="preserve"> </w:t>
      </w:r>
      <w:r>
        <w:t xml:space="preserve">At each trial, a gray scale image of a face was shown on the screen.</w:t>
      </w:r>
      <w:r>
        <w:t xml:space="preserve"> </w:t>
      </w:r>
      <w:r>
        <w:t xml:space="preserve">Participants were asked to choose if they recognize the face (and not the picture)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Based on pilot work, task difficulty was increased by adding a response time window of 0.9 second during each recognition trial.</w:t>
      </w:r>
      <w:r>
        <w:t xml:space="preserve"> </w:t>
      </w:r>
      <w:r>
        <w:t xml:space="preserve">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51" w:name="fig-proc-exp3"/>
          <w:p>
            <w:pPr>
              <w:pStyle w:val="Compact"/>
              <w:jc w:val="center"/>
            </w:pPr>
            <w:r>
              <w:drawing>
                <wp:inline>
                  <wp:extent cx="5334000" cy="3000375"/>
                  <wp:effectExtent b="0" l="0" r="0" t="0"/>
                  <wp:docPr descr="" title="" id="49" name="Picture"/>
                  <a:graphic>
                    <a:graphicData uri="http://schemas.openxmlformats.org/drawingml/2006/picture">
                      <pic:pic>
                        <pic:nvPicPr>
                          <pic:cNvPr descr="figures/Experimental_procedure_exp3.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5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52">
        <w:r>
          <w:rPr>
            <w:rStyle w:val="Hyperlink"/>
            <w:i/>
            <w:iCs/>
          </w:rPr>
          <w:t xml:space="preserve">https://creativecommons.org/licenses/by-sa/4.0</w:t>
        </w:r>
      </w:hyperlink>
      <w:r>
        <w:rPr>
          <w:i/>
          <w:iCs/>
        </w:rPr>
        <w:t xml:space="preserve">, via Wikimedia Commons,</w:t>
      </w:r>
      <w:r>
        <w:rPr>
          <w:i/>
          <w:iCs/>
        </w:rPr>
        <w:t xml:space="preserve"> </w:t>
      </w:r>
      <w:hyperlink r:id="rId5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54"/>
    <w:bookmarkStart w:id="55" w:name="issues-with-response-times-collection"/>
    <w:p>
      <w:pPr>
        <w:pStyle w:val="Heading3"/>
      </w:pPr>
      <w:r>
        <w:t xml:space="preserve">Issues with response times collection</w:t>
      </w:r>
    </w:p>
    <w:p>
      <w:pPr>
        <w:pStyle w:val="FirstParagraph"/>
      </w:pPr>
      <w:r>
        <w:t xml:space="preserve">During data analysis, we observed that the distribution of the response times for Experiment 3 looked did not look positively skewed (right skewed).</w:t>
      </w:r>
      <w:r>
        <w:t xml:space="preserve"> </w:t>
      </w:r>
      <w:r>
        <w:t xml:space="preserve">After investigation of the code used to run the experiment, we noticed that there was a coding error, which resulted in this abnormal response times distribution.</w:t>
      </w:r>
      <w:r>
        <w:t xml:space="preserve"> </w:t>
      </w:r>
      <w:r>
        <w:t xml:space="preserve">We decided to not run further data analysis (LBA model) for this experiment because evidence-accumulation models expect the response times distribution to be right skewed.</w:t>
      </w:r>
      <w:r>
        <w:t xml:space="preserve"> </w:t>
      </w:r>
      <w:r>
        <w:t xml:space="preserve">Instead, we decided to replicate Experiment 4, in which the same face familiarity levels (novel vs famous) were manipulated.</w:t>
      </w:r>
    </w:p>
    <w:bookmarkEnd w:id="55"/>
    <w:bookmarkEnd w:id="56"/>
    <w:bookmarkStart w:id="63" w:name="experiment-4-and-experiment-5"/>
    <w:p>
      <w:pPr>
        <w:pStyle w:val="Heading2"/>
      </w:pPr>
      <w:r>
        <w:t xml:space="preserve">Experiment 4 and Experiment 5</w:t>
      </w:r>
    </w:p>
    <w:bookmarkStart w:id="57" w:name="participants-3"/>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 using the same criteria as Experiment 2.</w:t>
      </w:r>
    </w:p>
    <w:p>
      <w:pPr>
        <w:pStyle w:val="BodyText"/>
      </w:pPr>
      <w:r>
        <w:t xml:space="preserve">For Experiment 4, 46 participants completed the experiment.</w:t>
      </w:r>
      <w:r>
        <w:t xml:space="preserve"> </w:t>
      </w:r>
      <w:r>
        <w:t xml:space="preserve">Following our preregistered exclusion criterion, 12 did not show a sufficiently high level of familiarity with the famous faces.</w:t>
      </w:r>
      <w:r>
        <w:t xml:space="preserve"> </w:t>
      </w:r>
      <w:r>
        <w:t xml:space="preserve">In addition, 1 participant was excluded because the percentage of missed trials was higher than 25% and 3 were removed because the overall accuracy was lower than 55% or higher than 95%.</w:t>
      </w:r>
      <w:r>
        <w:t xml:space="preserve"> </w:t>
      </w:r>
      <w:r>
        <w:t xml:space="preserve">In the end, the data of 30 participants (17 men and 13 women) were retained for further analysis and LBA modeling.</w:t>
      </w:r>
      <w:r>
        <w:t xml:space="preserve"> </w:t>
      </w:r>
      <w:r>
        <w:t xml:space="preserve">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w:t>
      </w:r>
      <w:r>
        <w:t xml:space="preserve"> </w:t>
      </w:r>
      <w:r>
        <w:t xml:space="preserve">Following Prolific payment principles, each participant received 9£ for the completion of the study.</w:t>
      </w:r>
    </w:p>
    <w:p>
      <w:pPr>
        <w:pStyle w:val="BodyText"/>
      </w:pPr>
      <w:r>
        <w:t xml:space="preserve">46 participants completed Experiment 5.</w:t>
      </w:r>
      <w:r>
        <w:t xml:space="preserve"> </w:t>
      </w:r>
      <w:r>
        <w:t xml:space="preserve">12 did not show a sufficiently high level of familiarity with the famous faces and 3 were removed because the overall accuracy was lower than 55% or higher than 95%.</w:t>
      </w:r>
      <w:r>
        <w:t xml:space="preserve"> </w:t>
      </w:r>
      <w:r>
        <w:t xml:space="preserve">In the end, the data of 31 participants (14 men and 17 women) were retained for further analysis and LBA modeling.</w:t>
      </w:r>
      <w:r>
        <w:t xml:space="preserve"> </w:t>
      </w:r>
      <w:r>
        <w:t xml:space="preserve">Ages ranged from 18 to 59 (</w:t>
      </w:r>
      <m:oMath>
        <m:sSub>
          <m:e>
            <m:r>
              <m:t>M</m:t>
            </m:r>
          </m:e>
          <m:sub>
            <m:r>
              <m:t>a</m:t>
            </m:r>
            <m:r>
              <m:t>g</m:t>
            </m:r>
            <m:r>
              <m:t>e</m:t>
            </m:r>
          </m:sub>
        </m:sSub>
        <m:r>
          <m:rPr>
            <m:sty m:val="p"/>
          </m:rPr>
          <m:t>=</m:t>
        </m:r>
      </m:oMath>
      <w:r>
        <w:t xml:space="preserve"> </w:t>
      </w:r>
      <w:r>
        <w:t xml:space="preserve">37.4,</w:t>
      </w:r>
      <w:r>
        <w:t xml:space="preserve"> </w:t>
      </w:r>
      <m:oMath>
        <m:r>
          <m:t>S</m:t>
        </m:r>
        <m:sSub>
          <m:e>
            <m:r>
              <m:t>D</m:t>
            </m:r>
          </m:e>
          <m:sub>
            <m:r>
              <m:t>a</m:t>
            </m:r>
            <m:r>
              <m:t>g</m:t>
            </m:r>
            <m:r>
              <m:t>e</m:t>
            </m:r>
          </m:sub>
        </m:sSub>
        <m:r>
          <m:rPr>
            <m:sty m:val="p"/>
          </m:rPr>
          <m:t>=</m:t>
        </m:r>
      </m:oMath>
      <w:r>
        <w:t xml:space="preserve"> </w:t>
      </w:r>
      <w:r>
        <w:t xml:space="preserve">10.9).</w:t>
      </w:r>
      <w:r>
        <w:t xml:space="preserve"> </w:t>
      </w:r>
      <w:r>
        <w:t xml:space="preserve">Following Prolific payment principles, each participant received 9£ for the completion of the study.</w:t>
      </w:r>
    </w:p>
    <w:bookmarkEnd w:id="57"/>
    <w:bookmarkStart w:id="60" w:name="stimuli-3"/>
    <w:p>
      <w:pPr>
        <w:pStyle w:val="Heading3"/>
      </w:pPr>
      <w:r>
        <w:t xml:space="preserve">Stimuli</w:t>
      </w:r>
    </w:p>
    <w:p>
      <w:pPr>
        <w:pStyle w:val="FirstParagraph"/>
      </w:pPr>
      <w:r>
        <w:t xml:space="preserve">Initially, we planned to use the exact same stimuli as the one used in Experiment 3.</w:t>
      </w:r>
      <w:r>
        <w:t xml:space="preserve"> </w:t>
      </w:r>
      <w:r>
        <w:t xml:space="preserve">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w:t>
      </w:r>
      <w:r>
        <w:t xml:space="preserve"> </w:t>
      </w:r>
      <w:r>
        <w:t xml:space="preserve">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w:t>
      </w:r>
      <w:r>
        <w:t xml:space="preserve"> </w:t>
      </w:r>
      <w:r>
        <w:t xml:space="preserve">To avoid that decisions are based on visual features and not on familiarity, we changed the face pictures data set for both conditions in Experiment 4 and Experiment 5.</w:t>
      </w:r>
    </w:p>
    <w:p>
      <w:pPr>
        <w:pStyle w:val="BodyText"/>
      </w:pPr>
      <w:r>
        <w:t xml:space="preserve">For the</w:t>
      </w:r>
      <w:r>
        <w:t xml:space="preserve"> </w:t>
      </w:r>
      <w:r>
        <w:t xml:space="preserve">“Famous”</w:t>
      </w:r>
      <w:r>
        <w:t xml:space="preserve"> </w:t>
      </w:r>
      <w:r>
        <w:t xml:space="preserve">condition, faces were all taken from</w:t>
      </w:r>
      <w:r>
        <w:t xml:space="preserve"> </w:t>
      </w:r>
      <w:hyperlink r:id="rId58">
        <w:r>
          <w:rPr>
            <w:rStyle w:val="Hyperlink"/>
          </w:rPr>
          <w:t xml:space="preserve">https:://commons.wikimedia.org</w:t>
        </w:r>
      </w:hyperlink>
      <w:r>
        <w:t xml:space="preserve">.</w:t>
      </w:r>
      <w:r>
        <w:t xml:space="preserve"> </w:t>
      </w:r>
      <w:r>
        <w:t xml:space="preserve">For each of the famous identities (30 men, 30 women), four pictures were selected: one for the rating part of the experiment and three were used in the recognition part.</w:t>
      </w:r>
      <w:r>
        <w:t xml:space="preserve"> </w:t>
      </w:r>
      <w:r>
        <w:t xml:space="preserve">The list of the attributions as well as the URL links to all the pictures can be found on OSF (</w:t>
      </w:r>
      <w:hyperlink r:id="rId59">
        <w:r>
          <w:rPr>
            <w:rStyle w:val="Hyperlink"/>
          </w:rPr>
          <w:t xml:space="preserve">https://osf.io/65bt2/overview</w:t>
        </w:r>
      </w:hyperlink>
      <w:r>
        <w:t xml:space="preserve">).</w:t>
      </w:r>
      <w:r>
        <w:t xml:space="preserve"> </w:t>
      </w:r>
      <w:r>
        <w:t xml:space="preserve">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et al., 2013)</w:t>
      </w:r>
      <w:r>
        <w:t xml:space="preserve">.</w:t>
      </w:r>
      <w:r>
        <w:t xml:space="preserve"> </w:t>
      </w:r>
      <w:r>
        <w:t xml:space="preserve">These pictures depict faces in a natural environment, similar to the selected images of the celebrities.</w:t>
      </w:r>
      <w:r>
        <w:t xml:space="preserve"> </w:t>
      </w:r>
      <w:r>
        <w:t xml:space="preserve">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for both novel and famous faces.</w:t>
      </w:r>
      <w:r>
        <w:t xml:space="preserve"> </w:t>
      </w:r>
      <w:r>
        <w:t xml:space="preserve">The original viewing point, luminosity angle, brightness and background of the picture were not manipulated.</w:t>
      </w:r>
      <w:r>
        <w:t xml:space="preserve"> </w:t>
      </w:r>
      <w:r>
        <w:t xml:space="preserve">The rationale behind this decision was to avoid adding modifications to the original image that might facilitate the categorization between the stimuli conditions.</w:t>
      </w:r>
      <w:r>
        <w:t xml:space="preserve"> </w:t>
      </w:r>
      <w:r>
        <w:t xml:space="preserve">The only low level visual feature that we standardized across all the images was the resolution.</w:t>
      </w:r>
      <w:r>
        <w:t xml:space="preserve"> </w:t>
      </w:r>
      <w:r>
        <w:t xml:space="preserve">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0"/>
    <w:bookmarkStart w:id="61"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1"/>
    <w:bookmarkStart w:id="62"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w:t>
      </w:r>
      <w:r>
        <w:t xml:space="preserve"> </w:t>
      </w:r>
      <w:r>
        <w:t xml:space="preserve">The only modification added to the recognition part was the increase of the response time window from 0.9s to 1.1s.</w:t>
      </w:r>
    </w:p>
    <w:bookmarkEnd w:id="62"/>
    <w:bookmarkEnd w:id="63"/>
    <w:bookmarkStart w:id="68" w:name="evidence-accumulation-modeling"/>
    <w:p>
      <w:pPr>
        <w:pStyle w:val="Heading2"/>
      </w:pPr>
      <w:r>
        <w:t xml:space="preserve">Evidence accumulation modeling</w:t>
      </w:r>
    </w:p>
    <w:bookmarkStart w:id="65"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w:t>
      </w:r>
      <w:r>
        <w:t xml:space="preserve"> </w:t>
      </w:r>
      <w:r>
        <w:t xml:space="preserve">LBA models have one accumulator for each response option, with potentially different parameter values.</w:t>
      </w:r>
      <w:r>
        <w:t xml:space="preserve"> </w:t>
      </w:r>
      <w:r>
        <w:t xml:space="preserve">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w:t>
      </w:r>
      <w:r>
        <w:t xml:space="preserve"> </w:t>
      </w:r>
      <w:r>
        <w:t xml:space="preserve">For Experiment 4 and 5,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w:t>
      </w:r>
      <w:r>
        <w:t xml:space="preserve"> </w:t>
      </w:r>
      <w:r>
        <w:t xml:space="preserve">More specifically, for Experiment 1 and 2, threshold was allowed to vary by participants’ response (Learned/Novel) whereas mean drift rate was allowed to vary by the stimulus condition (Learned/Novel) and the match between the accumulator and the stimulus (TRUE/FALSE).</w:t>
      </w:r>
      <w:r>
        <w:t xml:space="preserve"> </w:t>
      </w:r>
      <w:r>
        <w:t xml:space="preserve">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w:t>
      </w:r>
      <w:r>
        <w:t xml:space="preserve"> </w:t>
      </w:r>
      <w:r>
        <w:t xml:space="preserve">The difference between the TRUE and FALSE accumulator represents the quality of the information processing about a decision</w:t>
      </w:r>
      <w:r>
        <w:t xml:space="preserve"> </w:t>
      </w:r>
      <w:r>
        <w:t xml:space="preserve">(Lewandowsky &amp; Oberauer, 2018)</w:t>
      </w:r>
      <w:r>
        <w:t xml:space="preserve">.</w:t>
      </w:r>
      <w:r>
        <w:t xml:space="preserve"> </w:t>
      </w:r>
      <w:r>
        <w:t xml:space="preserve">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4 and 5).</w:t>
      </w:r>
      <w:r>
        <w:t xml:space="preserve"> </w:t>
      </w:r>
      <w:r>
        <w:t xml:space="preserve">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w:t>
      </w:r>
      <w:r>
        <w:t xml:space="preserve"> </w:t>
      </w:r>
      <w:r>
        <w:t xml:space="preserve">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64"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6"/>
              <w:tblLayout w:type="fixed"/>
              <w:tblLook w:firstRow="1" w:lastRow="1" w:firstColumn="0" w:lastColumn="0" w:noHBand="0" w:noVBand="0" w:val="0020"/>
            </w:tblPr>
            <w:tblGrid>
              <w:gridCol w:w="2221"/>
              <w:gridCol w:w="1255"/>
              <w:gridCol w:w="1159"/>
              <w:gridCol w:w="1062"/>
              <w:gridCol w:w="1062"/>
              <w:gridCol w:w="77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pPr>
                    <w:pStyle w:val="Compact"/>
                    <w:jc w:val="center"/>
                  </w:pPr>
                  <w:r>
                    <w:t xml:space="preserve">1</w:t>
                  </w: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no</w:t>
                  </w:r>
                </w:p>
              </w:tc>
              <w:tc>
                <w:tcPr/>
                <w:p/>
              </w:tc>
            </w:tr>
            <w:tr>
              <w:tc>
                <w:tcPr/>
                <w:p>
                  <w:pPr>
                    <w:pStyle w:val="Compact"/>
                    <w:jc w:val="center"/>
                  </w:pPr>
                  <w:r>
                    <w:t xml:space="preserve">SD Non-decision time</w:t>
                  </w:r>
                </w:p>
              </w:tc>
              <w:tc>
                <w:tcPr/>
                <w:p>
                  <w:pPr>
                    <w:pStyle w:val="Compact"/>
                    <w:jc w:val="center"/>
                  </w:pPr>
                  <w:r>
                    <w:t xml:space="preserve">st_0</w:t>
                  </w:r>
                </w:p>
              </w:tc>
              <w:tc>
                <w:tcPr/>
                <w:p/>
              </w:tc>
              <w:tc>
                <w:tcPr/>
                <w:p/>
              </w:tc>
              <w:tc>
                <w:tcPr/>
                <w:p/>
              </w:tc>
              <w:tc>
                <w:tcPr/>
                <w:p>
                  <w:pPr>
                    <w:pStyle w:val="Compact"/>
                    <w:jc w:val="center"/>
                  </w:pPr>
                  <w:r>
                    <w:t xml:space="preserve">0</w:t>
                  </w: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64"/>
          <w:p/>
        </w:tc>
      </w:tr>
    </w:tbl>
    <w:bookmarkEnd w:id="65"/>
    <w:bookmarkStart w:id="66" w:name="model-estimation"/>
    <w:p>
      <w:pPr>
        <w:pStyle w:val="Heading3"/>
      </w:pPr>
      <w:r>
        <w:t xml:space="preserve">Model estimation</w:t>
      </w:r>
    </w:p>
    <w:p>
      <w:pPr>
        <w:pStyle w:val="FirstParagraph"/>
      </w:pPr>
      <w:r>
        <w:t xml:space="preserve">We carried out a Bayesian model estimation using the EMC2 R package.</w:t>
      </w:r>
      <w:r>
        <w:t xml:space="preserve"> </w:t>
      </w:r>
      <w:r>
        <w:t xml:space="preserve">Details about the priors of each model are provided in supplementary materials and the code required to run the analyses is available on OSF.</w:t>
      </w:r>
      <w:r>
        <w:t xml:space="preserve"> </w:t>
      </w:r>
      <w:r>
        <w:t xml:space="preserve">Priors were chosen to be weakly-informative meaning that they have little influence on the estimation.</w:t>
      </w:r>
      <w:r>
        <w:t xml:space="preserve"> </w:t>
      </w:r>
      <w:r>
        <w:t xml:space="preserve">The parameter were estimated through two sampling steps.</w:t>
      </w:r>
      <w:r>
        <w:t xml:space="preserve"> </w:t>
      </w:r>
      <w:r>
        <w:t xml:space="preserve">First, a separate estimation of the fixed effects for each participants was conducted.</w:t>
      </w:r>
      <w:r>
        <w:t xml:space="preserve"> </w:t>
      </w:r>
      <w:r>
        <w:t xml:space="preserve">These estimations were used as the starting point for the full hierarchical model.</w:t>
      </w:r>
      <w:r>
        <w:t xml:space="preserve"> </w:t>
      </w:r>
      <w:r>
        <w:t xml:space="preserve">Chains convergence diagnostics, as well as priors distributions and predictive checks can be found in Supplementary Materials.</w:t>
      </w:r>
    </w:p>
    <w:bookmarkEnd w:id="66"/>
    <w:bookmarkStart w:id="67"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w:t>
      </w:r>
      <w:r>
        <w:t xml:space="preserve"> </w:t>
      </w:r>
      <w:r>
        <w:t xml:space="preserve">The evidence-accumulation modelling analyses of the distributions of response times for the correct and wrong answers were realized using the EMC2 R package</w:t>
      </w:r>
      <w:r>
        <w:t xml:space="preserve"> </w:t>
      </w:r>
      <w:r>
        <w:t xml:space="preserve">(Stevenson et al., 2025)</w:t>
      </w:r>
      <w:r>
        <w:t xml:space="preserve">.</w:t>
      </w:r>
      <w:r>
        <w:t xml:space="preserve"> </w:t>
      </w:r>
      <w:r>
        <w:t xml:space="preserve">In order to make inference about the magnitude of familiarity effects, differences in parameter estimates across conditions were compared.</w:t>
      </w:r>
      <w:r>
        <w:t xml:space="preserve"> </w:t>
      </w:r>
      <w:r>
        <w:t xml:space="preserve">Our inferences are based on the median and 95% quantile interval of the posterior distributions and the difference contrasts between the conditions of interest.</w:t>
      </w:r>
    </w:p>
    <w:bookmarkEnd w:id="67"/>
    <w:bookmarkEnd w:id="68"/>
    <w:bookmarkEnd w:id="69"/>
    <w:bookmarkStart w:id="109" w:name="results"/>
    <w:p>
      <w:pPr>
        <w:pStyle w:val="Heading1"/>
      </w:pPr>
      <w:r>
        <w:t xml:space="preserve">Results</w:t>
      </w:r>
    </w:p>
    <w:p>
      <w:pPr>
        <w:pStyle w:val="FirstParagraph"/>
      </w:pPr>
      <w:r>
        <w:t xml:space="preserve">First, we show raw data plots and descriptive statistics when reaction time and accuracy are analyses separately.</w:t>
      </w:r>
      <w:r>
        <w:t xml:space="preserve"> </w:t>
      </w:r>
      <w:r>
        <w:t xml:space="preserve">Second, results from the LBA modeling will be presented.</w:t>
      </w:r>
    </w:p>
    <w:bookmarkStart w:id="83" w:name="Xda3fa86d3e338028af1d354bb4a3c0db69b02ec"/>
    <w:p>
      <w:pPr>
        <w:pStyle w:val="Heading2"/>
      </w:pPr>
      <w:r>
        <w:t xml:space="preserve">Raw data plots and descriptive statistics</w:t>
      </w:r>
    </w:p>
    <w:bookmarkStart w:id="78"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3" w:name="fig-acc-rt-1"/>
                <w:p>
                  <w:pPr>
                    <w:pStyle w:val="Compact"/>
                    <w:jc w:val="center"/>
                    <w:jc w:val="left"/>
                  </w:pPr>
                  <w:r>
                    <w:drawing>
                      <wp:inline>
                        <wp:extent cx="5334000" cy="3048000"/>
                        <wp:effectExtent b="0" l="0" r="0" t="0"/>
                        <wp:docPr descr="" title="" id="71" name="Picture"/>
                        <a:graphic>
                          <a:graphicData uri="http://schemas.openxmlformats.org/drawingml/2006/picture">
                            <pic:pic>
                              <pic:nvPicPr>
                                <pic:cNvPr descr="manuscript_files/figure-docx/fig-acc-rt-1.png" id="72" name="Picture"/>
                                <pic:cNvPicPr>
                                  <a:picLocks noChangeArrowheads="1" noChangeAspect="1"/>
                                </pic:cNvPicPr>
                              </pic:nvPicPr>
                              <pic:blipFill>
                                <a:blip r:embed="rId70"/>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7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7" w:name="fig-acc-rt-2"/>
                <w:p>
                  <w:pPr>
                    <w:pStyle w:val="Compact"/>
                    <w:jc w:val="center"/>
                    <w:jc w:val="left"/>
                  </w:pPr>
                  <w:r>
                    <w:drawing>
                      <wp:inline>
                        <wp:extent cx="5334000" cy="3048000"/>
                        <wp:effectExtent b="0" l="0" r="0" t="0"/>
                        <wp:docPr descr="" title="" id="75" name="Picture"/>
                        <a:graphic>
                          <a:graphicData uri="http://schemas.openxmlformats.org/drawingml/2006/picture">
                            <pic:pic>
                              <pic:nvPicPr>
                                <pic:cNvPr descr="manuscript_files/figure-docx/fig-acc-rt-2.png" id="76" name="Picture"/>
                                <pic:cNvPicPr>
                                  <a:picLocks noChangeArrowheads="1" noChangeAspect="1"/>
                                </pic:cNvPicPr>
                              </pic:nvPicPr>
                              <pic:blipFill>
                                <a:blip r:embed="rId74"/>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77"/>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78"/>
    <w:tbl>
      <w:tblPr>
        <w:tblStyle w:val="Table"/>
        <w:tblW w:type="pct" w:w="5000"/>
        <w:tblLayout w:type="fixed"/>
        <w:tblLook w:firstRow="0" w:lastRow="0" w:firstColumn="0" w:lastColumn="0" w:noHBand="0" w:noVBand="0" w:val="0000"/>
      </w:tblPr>
      <w:tblGrid>
        <w:gridCol w:w="7920"/>
      </w:tblGrid>
      <w:tr>
        <w:tc>
          <w:tcPr/>
          <w:bookmarkStart w:id="82" w:name="fig-rt-density"/>
          <w:p>
            <w:pPr>
              <w:pStyle w:val="Compact"/>
              <w:jc w:val="center"/>
            </w:pPr>
            <w:r>
              <w:drawing>
                <wp:inline>
                  <wp:extent cx="5334000" cy="3048000"/>
                  <wp:effectExtent b="0" l="0" r="0" t="0"/>
                  <wp:docPr descr="" title="" id="80" name="Picture"/>
                  <a:graphic>
                    <a:graphicData uri="http://schemas.openxmlformats.org/drawingml/2006/picture">
                      <pic:pic>
                        <pic:nvPicPr>
                          <pic:cNvPr descr="manuscript_files/figure-docx/fig-rt-density-1.png" id="81" name="Picture"/>
                          <pic:cNvPicPr>
                            <a:picLocks noChangeArrowheads="1" noChangeAspect="1"/>
                          </pic:cNvPicPr>
                        </pic:nvPicPr>
                        <pic:blipFill>
                          <a:blip r:embed="rId7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82"/>
        </w:tc>
      </w:tr>
    </w:tbl>
    <w:bookmarkEnd w:id="83"/>
    <w:bookmarkStart w:id="108"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03"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w:t>
      </w:r>
      <w:r>
        <w:t xml:space="preserve"> </w:t>
      </w:r>
      <w:r>
        <w:t xml:space="preserve">Inspection of the posterior distributions of the effect of face familiarity on the threshold parameter shows that while the threshold for Novel faces is greater that the one for Learned faces.</w:t>
      </w:r>
    </w:p>
    <w:bookmarkStart w:id="92"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threshold-all-1"/>
                <w:p>
                  <w:pPr>
                    <w:pStyle w:val="Compact"/>
                    <w:jc w:val="center"/>
                    <w:jc w:val="left"/>
                  </w:pPr>
                  <w:r>
                    <w:drawing>
                      <wp:inline>
                        <wp:extent cx="2971800" cy="4245428"/>
                        <wp:effectExtent b="0" l="0" r="0" t="0"/>
                        <wp:docPr descr="" title="" id="85" name="Picture"/>
                        <a:graphic>
                          <a:graphicData uri="http://schemas.openxmlformats.org/drawingml/2006/picture">
                            <pic:pic>
                              <pic:nvPicPr>
                                <pic:cNvPr descr="manuscript_files/figure-docx/fig-threshold-all-1.png" id="86" name="Picture"/>
                                <pic:cNvPicPr>
                                  <a:picLocks noChangeArrowheads="1" noChangeAspect="1"/>
                                </pic:cNvPicPr>
                              </pic:nvPicPr>
                              <pic:blipFill>
                                <a:blip r:embed="rId84"/>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87"/>
              </w:tc>
            </w:tr>
          </w:tbl>
          <w:p/>
        </w:tc>
        <w:tc>
          <w:tcPr/>
          <w:tbl>
            <w:tblPr>
              <w:tblStyle w:val="Table"/>
              <w:tblW w:type="pct" w:w="4900"/>
              <w:tblLayout w:type="fixed"/>
              <w:tblLook w:firstRow="0" w:lastRow="0" w:firstColumn="0" w:lastColumn="0" w:noHBand="0" w:noVBand="0" w:val="0000"/>
            </w:tblPr>
            <w:tblGrid>
              <w:gridCol w:w="7761"/>
            </w:tblGrid>
            <w:tr>
              <w:tc>
                <w:tcPr/>
                <w:bookmarkStart w:id="91" w:name="fig-threshold-all-2"/>
                <w:p>
                  <w:pPr>
                    <w:pStyle w:val="Compact"/>
                    <w:jc w:val="center"/>
                    <w:jc w:val="left"/>
                  </w:pPr>
                  <w:r>
                    <w:drawing>
                      <wp:inline>
                        <wp:extent cx="2971800" cy="4245428"/>
                        <wp:effectExtent b="0" l="0" r="0" t="0"/>
                        <wp:docPr descr="" title="" id="89" name="Picture"/>
                        <a:graphic>
                          <a:graphicData uri="http://schemas.openxmlformats.org/drawingml/2006/picture">
                            <pic:pic>
                              <pic:nvPicPr>
                                <pic:cNvPr descr="manuscript_files/figure-docx/fig-threshold-all-2.png" id="90" name="Picture"/>
                                <pic:cNvPicPr>
                                  <a:picLocks noChangeArrowheads="1" noChangeAspect="1"/>
                                </pic:cNvPicPr>
                              </pic:nvPicPr>
                              <pic:blipFill>
                                <a:blip r:embed="rId88"/>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1"/>
              </w:tc>
            </w:tr>
          </w:tbl>
          <w:p/>
        </w:tc>
      </w:tr>
    </w:tbl>
    <w:p>
      <w:pPr>
        <w:pStyle w:val="BodyText"/>
      </w:pPr>
      <w:pPr>
        <w:spacing w:before="200"/>
        <w:pStyle w:val="ImageCaption"/>
      </w:pPr>
      <w:r>
        <w:t xml:space="preserve">Figure 7: Threshold estimates across experiments</w:t>
      </w:r>
    </w:p>
    <w:bookmarkEnd w:id="92"/>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w:t>
      </w:r>
      <w:r>
        <w:t xml:space="preserve"> </w:t>
      </w:r>
      <w:r>
        <w:t xml:space="preserve">To estimate the familiarity effect, we then subtracted the drift rate difference on learned trials from novel trials.</w:t>
      </w:r>
      <w:r>
        <w:t xml:space="preserve"> </w:t>
      </w:r>
      <w:r>
        <w:t xml:space="preserve">Inspection of the posterior distribution shows that there is a novelty effect in drift rate difference in Experiment 1.</w:t>
      </w:r>
      <w:r>
        <w:t xml:space="preserve"> </w:t>
      </w:r>
      <w:r>
        <w:t xml:space="preserve">The quality of the evidence accumulation was greater for Novel faces compared to Learned faces.</w:t>
      </w:r>
    </w:p>
    <w:bookmarkStart w:id="101"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6" w:name="fig-drift-all-1"/>
                <w:p>
                  <w:pPr>
                    <w:pStyle w:val="Compact"/>
                    <w:jc w:val="center"/>
                    <w:jc w:val="left"/>
                  </w:pPr>
                  <w:r>
                    <w:drawing>
                      <wp:inline>
                        <wp:extent cx="2971800" cy="4245428"/>
                        <wp:effectExtent b="0" l="0" r="0" t="0"/>
                        <wp:docPr descr="" title="" id="94" name="Picture"/>
                        <a:graphic>
                          <a:graphicData uri="http://schemas.openxmlformats.org/drawingml/2006/picture">
                            <pic:pic>
                              <pic:nvPicPr>
                                <pic:cNvPr descr="manuscript_files/figure-docx/fig-drift-all-1.png" id="95" name="Picture"/>
                                <pic:cNvPicPr>
                                  <a:picLocks noChangeArrowheads="1" noChangeAspect="1"/>
                                </pic:cNvPicPr>
                              </pic:nvPicPr>
                              <pic:blipFill>
                                <a:blip r:embed="rId93"/>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96"/>
              </w:tc>
            </w:tr>
          </w:tbl>
          <w:p/>
        </w:tc>
        <w:tc>
          <w:tcPr/>
          <w:tbl>
            <w:tblPr>
              <w:tblStyle w:val="Table"/>
              <w:tblW w:type="pct" w:w="4900"/>
              <w:tblLayout w:type="fixed"/>
              <w:tblLook w:firstRow="0" w:lastRow="0" w:firstColumn="0" w:lastColumn="0" w:noHBand="0" w:noVBand="0" w:val="0000"/>
            </w:tblPr>
            <w:tblGrid>
              <w:gridCol w:w="7761"/>
            </w:tblGrid>
            <w:tr>
              <w:tc>
                <w:tcPr/>
                <w:bookmarkStart w:id="100" w:name="fig-drift-all-2"/>
                <w:p>
                  <w:pPr>
                    <w:pStyle w:val="Compact"/>
                    <w:jc w:val="center"/>
                    <w:jc w:val="left"/>
                  </w:pPr>
                  <w:r>
                    <w:drawing>
                      <wp:inline>
                        <wp:extent cx="2971800" cy="4245428"/>
                        <wp:effectExtent b="0" l="0" r="0" t="0"/>
                        <wp:docPr descr="" title="" id="98" name="Picture"/>
                        <a:graphic>
                          <a:graphicData uri="http://schemas.openxmlformats.org/drawingml/2006/picture">
                            <pic:pic>
                              <pic:nvPicPr>
                                <pic:cNvPr descr="manuscript_files/figure-docx/fig-drift-all-2.png" id="99" name="Picture"/>
                                <pic:cNvPicPr>
                                  <a:picLocks noChangeArrowheads="1" noChangeAspect="1"/>
                                </pic:cNvPicPr>
                              </pic:nvPicPr>
                              <pic:blipFill>
                                <a:blip r:embed="rId97"/>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0"/>
              </w:tc>
            </w:tr>
          </w:tbl>
          <w:p/>
        </w:tc>
      </w:tr>
    </w:tbl>
    <w:p>
      <w:pPr>
        <w:pStyle w:val="BodyText"/>
      </w:pPr>
      <w:pPr>
        <w:spacing w:before="200"/>
        <w:pStyle w:val="ImageCaption"/>
      </w:pPr>
      <w:r>
        <w:t xml:space="preserve">Figure 8: Drift rate estimates across experiments</w:t>
      </w:r>
    </w:p>
    <w:bookmarkEnd w:id="101"/>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Experiment 5</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2.29</w:t>
                  </w:r>
                </w:p>
              </w:tc>
              <w:tc>
                <w:tcPr/>
                <w:p>
                  <w:pPr>
                    <w:pStyle w:val="Compact"/>
                    <w:jc w:val="center"/>
                  </w:pPr>
                  <w:r>
                    <w:t xml:space="preserve">[2.135, 2.45]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1.72</w:t>
                  </w:r>
                </w:p>
              </w:tc>
              <w:tc>
                <w:tcPr/>
                <w:p>
                  <w:pPr>
                    <w:pStyle w:val="Compact"/>
                    <w:jc w:val="center"/>
                  </w:pPr>
                  <w:r>
                    <w:t xml:space="preserve">[1.594, 1.841]</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0.58</w:t>
                  </w:r>
                </w:p>
              </w:tc>
              <w:tc>
                <w:tcPr/>
                <w:p>
                  <w:pPr>
                    <w:pStyle w:val="Compact"/>
                    <w:jc w:val="center"/>
                  </w:pPr>
                  <w:r>
                    <w:t xml:space="preserve">[0.479, 0.679]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2.16</w:t>
                  </w:r>
                </w:p>
              </w:tc>
              <w:tc>
                <w:tcPr/>
                <w:p>
                  <w:pPr>
                    <w:pStyle w:val="Compact"/>
                    <w:jc w:val="center"/>
                  </w:pPr>
                  <w:r>
                    <w:t xml:space="preserve">[1.983, 2.34]</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-0.05</w:t>
                  </w:r>
                </w:p>
              </w:tc>
              <w:tc>
                <w:tcPr/>
                <w:p>
                  <w:pPr>
                    <w:pStyle w:val="Compact"/>
                    <w:jc w:val="center"/>
                  </w:pPr>
                  <w:r>
                    <w:t xml:space="preserve">[-0.227, 0.113]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2.21</w:t>
                  </w:r>
                </w:p>
              </w:tc>
              <w:tc>
                <w:tcPr/>
                <w:p>
                  <w:pPr>
                    <w:pStyle w:val="Compact"/>
                    <w:jc w:val="center"/>
                  </w:pPr>
                  <w:r>
                    <w:t xml:space="preserve">[1.888, 2.546]</w:t>
                  </w:r>
                </w:p>
              </w:tc>
            </w:tr>
            <w:tr>
              <w:tc>
                <w:tcPr>
                  <w:gridSpan w:val="4"/>
                </w:tcPr>
                <w:p>
                  <w:pPr>
                    <w:pStyle w:val="Compact"/>
                    <w:jc w:val="center"/>
                  </w:pPr>
                  <w:r>
                    <w:t xml:space="preserve">QI = quantile interval.</w:t>
                  </w:r>
                </w:p>
              </w:tc>
            </w:tr>
          </w:tbl>
          <w:bookmarkEnd w:id="102"/>
          <w:p/>
        </w:tc>
      </w:tr>
    </w:tbl>
    <w:bookmarkEnd w:id="103"/>
    <w:bookmarkStart w:id="104"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w:t>
      </w:r>
      <w:r>
        <w:t xml:space="preserve"> </w:t>
      </w:r>
      <w:r>
        <w:t xml:space="preserve">The quality of the evidence accumulation was greater for Novel faces compared to Learned faces.</w:t>
      </w:r>
    </w:p>
    <w:bookmarkEnd w:id="104"/>
    <w:bookmarkStart w:id="105"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05"/>
    <w:bookmarkStart w:id="106" w:name="experiment-4"/>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w:t>
      </w:r>
      <w:r>
        <w:t xml:space="preserve"> </w:t>
      </w:r>
      <w:r>
        <w:t xml:space="preserve">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w:t>
      </w:r>
      <w:r>
        <w:t xml:space="preserve"> </w:t>
      </w:r>
      <w:r>
        <w:t xml:space="preserve">The quality of the evidence accumulation was greater for Novel faces compared to Famous faces.</w:t>
      </w:r>
    </w:p>
    <w:bookmarkEnd w:id="106"/>
    <w:bookmarkStart w:id="107" w:name="experiment-5"/>
    <w:p>
      <w:pPr>
        <w:pStyle w:val="Heading3"/>
      </w:pPr>
      <w:r>
        <w:t xml:space="preserve">Experiment 5</w:t>
      </w:r>
    </w:p>
    <w:p>
      <w:pPr>
        <w:pStyle w:val="FirstParagraph"/>
      </w:pPr>
      <w:r>
        <w:rPr>
          <w:i/>
          <w:iCs/>
        </w:rPr>
        <w:t xml:space="preserve">Threshold:</w:t>
      </w:r>
      <w:r>
        <w:t xml:space="preserve"> </w:t>
      </w:r>
      <w:r>
        <w:t xml:space="preserve">Inspection of the posterior distribution shows that there is an effect of familiarity on the threshold parameter which mirrors the results from Experiment 4.</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Experiment 2 and Experiment 4.</w:t>
      </w:r>
      <w:r>
        <w:t xml:space="preserve"> </w:t>
      </w:r>
      <w:r>
        <w:t xml:space="preserve">The quality of the evidence accumulation was greater for Novel faces compared to Famous faces.</w:t>
      </w:r>
    </w:p>
    <w:bookmarkEnd w:id="107"/>
    <w:bookmarkEnd w:id="108"/>
    <w:bookmarkEnd w:id="109"/>
    <w:bookmarkStart w:id="114"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w:t>
      </w:r>
      <w:r>
        <w:t xml:space="preserve"> </w:t>
      </w:r>
      <w:r>
        <w:t xml:space="preserve">By fitting linear ballistic accumulator models to recognition data across a series of experiments, we show that familiarity primarily affects the quality of evidence accumulation, with a secondary and smaller effect on response caution.</w:t>
      </w:r>
      <w:r>
        <w:t xml:space="preserve"> </w:t>
      </w:r>
      <w:r>
        <w:t xml:space="preserve">This computational signature — a novelty advantage in drift rate, accompanied by a modest novelty advantage in threshold — replicates across visual familiarity (Experiments 1 and 2), and visual familiarity and person knowledge (Experiment 4 and 5).</w:t>
      </w:r>
      <w:r>
        <w:t xml:space="preserve"> </w:t>
      </w:r>
      <w:r>
        <w:t xml:space="preserve">These findings move beyond manifest measures of accuracy and response time to characterise the decision-level mechanisms that underpin familiar face recognition</w:t>
      </w:r>
      <w:r>
        <w:t xml:space="preserve"> </w:t>
      </w:r>
      <w:r>
        <w:t xml:space="preserve">(Phillips &amp; White, 2025)</w:t>
      </w:r>
      <w:r>
        <w:t xml:space="preserve">.</w:t>
      </w:r>
    </w:p>
    <w:bookmarkStart w:id="110"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w:t>
      </w:r>
      <w:r>
        <w:t xml:space="preserve"> </w:t>
      </w:r>
      <w:r>
        <w:t xml:space="preserve">Across Experiments 1 and 2, the novelty advantage in drift rate was substantially larger than the novelty advantage in threshold.</w:t>
      </w:r>
      <w:r>
        <w:t xml:space="preserve"> </w:t>
      </w:r>
      <w:r>
        <w:t xml:space="preserve">This dissociation matters because the two parameters reflect qualitatively different aspects of the decision process.</w:t>
      </w:r>
      <w:r>
        <w:t xml:space="preserve"> </w:t>
      </w:r>
      <w:r>
        <w:t xml:space="preserve">Drift rate indexes the quality of evidence accumulation — how cleanly and rapidly perceptual and cognitive systems extract decision-relevant information from a face.</w:t>
      </w:r>
      <w:r>
        <w:t xml:space="preserve"> </w:t>
      </w:r>
      <w:r>
        <w:t xml:space="preserve">Threshold indexes how much accumulated evidence is required before a decision is triggered.</w:t>
      </w:r>
      <w:r>
        <w:t xml:space="preserve"> </w:t>
      </w:r>
      <w:r>
        <w:t xml:space="preserve">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&amp; Young, 1986)</w:t>
      </w:r>
      <w:r>
        <w:t xml:space="preserve">, visual familiarity modulates the quality of structural encoding and feature matching within the core face processing system</w:t>
      </w:r>
      <w:r>
        <w:t xml:space="preserve"> </w:t>
      </w:r>
      <w:r>
        <w:t xml:space="preserve">(Bruce &amp; Young, 1986; Gobbini &amp; Haxby, 2006)</w:t>
      </w:r>
      <w:r>
        <w:t xml:space="preserve">, thus generating a stronger perceptual signal that feeds into the decision process.</w:t>
      </w:r>
      <w:r>
        <w:t xml:space="preserve"> </w:t>
      </w:r>
      <w:r>
        <w:t xml:space="preserve">One interpretation of the pattern of results obtained here could be that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et al., 2022; Lubow &amp; Kaplan, 1997)</w:t>
      </w:r>
      <w:r>
        <w:t xml:space="preserve">.</w:t>
      </w:r>
      <w:r>
        <w:t xml:space="preserve"> </w:t>
      </w:r>
      <w:r>
        <w:t xml:space="preserve">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w:t>
      </w:r>
      <w:r>
        <w:t xml:space="preserve"> </w:t>
      </w:r>
      <w:r>
        <w:t xml:space="preserve">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w:t>
      </w:r>
      <w:r>
        <w:t xml:space="preserve"> </w:t>
      </w:r>
      <w:r>
        <w:t xml:space="preserve">(Glanzer &amp; Adams, 1985; Stretch &amp; Wixted, 1998)</w:t>
      </w:r>
      <w:r>
        <w:t xml:space="preserve">: participants are more willing to endorse familiarity than to endorse novelty, requiring more evidence before committing to a rejection.</w:t>
      </w:r>
      <w:r>
        <w:t xml:space="preserve"> </w:t>
      </w:r>
      <w:r>
        <w:t xml:space="preserve">Because the drift rate advantage is substantially larger, the net behavioural outcome remains a novel face advantage in speed and accuracy — the signal quality benefit outweighs the response caution cost.</w:t>
      </w:r>
    </w:p>
    <w:bookmarkEnd w:id="110"/>
    <w:bookmarkStart w:id="111"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(Duchaine &amp; Yovel, 2015; Gobbini &amp; Haxby, 2007)</w:t>
      </w:r>
      <w:r>
        <w:t xml:space="preserve">.</w:t>
      </w:r>
      <w:r>
        <w:t xml:space="preserve"> </w:t>
      </w:r>
      <w:r>
        <w:t xml:space="preserve">Experiment 4 and 5 showed a pattern broadly consistent with Experiments 1 and 2: novel faces produced higher drift rates and slightly higher response caution than famous faces.</w:t>
      </w:r>
      <w:r>
        <w:t xml:space="preserve"> </w:t>
      </w:r>
      <w:r>
        <w:t xml:space="preserve">This raises the possibility that the computational signature of novelty generalises beyond visual familiarity to person knowledge contexts.</w:t>
      </w:r>
      <w:r>
        <w:t xml:space="preserve"> </w:t>
      </w:r>
      <w:r>
        <w:t xml:space="preserve">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w:t>
      </w:r>
      <w:r>
        <w:t xml:space="preserve"> </w:t>
      </w:r>
      <w:r>
        <w:t xml:space="preserve">More generally, our findings underscore that although the study of true familiarity - where person knowledge is available - is more akin to our real-world experiences of interacting with familiar people, it is inherently more difficult to study with tight experimental control</w:t>
      </w:r>
      <w:r>
        <w:t xml:space="preserve"> </w:t>
      </w:r>
      <w:r>
        <w:t xml:space="preserve">(Burton, 2024)</w:t>
      </w:r>
      <w:r>
        <w:t xml:space="preserve">.</w:t>
      </w:r>
    </w:p>
    <w:bookmarkEnd w:id="111"/>
    <w:bookmarkStart w:id="112" w:name="limitations"/>
    <w:p>
      <w:pPr>
        <w:pStyle w:val="Heading2"/>
      </w:pPr>
      <w:r>
        <w:t xml:space="preserve">Limitations</w:t>
      </w:r>
    </w:p>
    <w:p>
      <w:pPr>
        <w:pStyle w:val="FirstParagraph"/>
      </w:pPr>
      <w:r>
        <w:t xml:space="preserve">A novelty advantage in drift rate is in conceptual agreement with studies that reported a better perception ability for novel faces than for visually familiar faces</w:t>
      </w:r>
      <w:r>
        <w:t xml:space="preserve"> </w:t>
      </w:r>
      <w:r>
        <w:t xml:space="preserve">(Bindemann et al., 2014; Read &amp; Hammersley, 1990)</w:t>
      </w:r>
      <w:r>
        <w:t xml:space="preserve">, whist being in apparent tension with prior work reporting better recognition performance for famous or personally familiar faces</w:t>
      </w:r>
      <w:r>
        <w:t xml:space="preserve"> </w:t>
      </w:r>
      <w:r>
        <w:t xml:space="preserve">(Hancock et al., 2000; Jenkins &amp; Burton, 2011; Klatzky &amp; Forrest, 1984)</w:t>
      </w:r>
      <w:r>
        <w:t xml:space="preserve">.</w:t>
      </w:r>
      <w:r>
        <w:t xml:space="preserve"> </w:t>
      </w:r>
      <w:r>
        <w:t xml:space="preserve">We suggest two factors may contribute to this discrepancy.</w:t>
      </w:r>
      <w:r>
        <w:t xml:space="preserve"> </w:t>
      </w:r>
      <w:r>
        <w:t xml:space="preserve">First, prior studies used manifest measures that conflate signal quality with response bias, which makes interpretation more difficult</w:t>
      </w:r>
      <w:r>
        <w:t xml:space="preserve"> </w:t>
      </w:r>
      <w:r>
        <w:t xml:space="preserve">(Wagenmakers et al., 2007)</w:t>
      </w:r>
      <w:r>
        <w:t xml:space="preserve">.</w:t>
      </w:r>
      <w:r>
        <w:t xml:space="preserve"> </w:t>
      </w:r>
      <w:r>
        <w:t xml:space="preserve">Second, novel faces may benefit from a processing advantage specific to the task structure (old/new detection task): a correct novel response requires only the absence of a recognition signal, whereas a correct famous response requires the presence of one.</w:t>
      </w:r>
      <w:r>
        <w:t xml:space="preserve"> </w:t>
      </w:r>
      <w:r>
        <w:t xml:space="preserve">However, using this design also has benefits as it allows comparison to numerous previous works that did use an old/new recognition task with faces or other stimuli to study visual recognition.</w:t>
      </w:r>
      <w:r>
        <w:t xml:space="preserve"> </w:t>
      </w:r>
      <w:r>
        <w:t xml:space="preserve">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&amp; Gula, 2020; Lerche et al., 2017; Wagenmakers et al., 2007)</w:t>
      </w:r>
      <w:r>
        <w:t xml:space="preserve">.</w:t>
      </w:r>
      <w:r>
        <w:t xml:space="preserve"> </w:t>
      </w:r>
      <w:r>
        <w:t xml:space="preserve">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w:t>
      </w:r>
      <w:r>
        <w:t xml:space="preserve"> </w:t>
      </w:r>
      <w:r>
        <w:t xml:space="preserve">Practical considerations were also incorporated, including the challenge of finding face stimuli with standardized low-level visual features that includes a large number of identities.</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p>
    <w:bookmarkEnd w:id="112"/>
    <w:bookmarkStart w:id="113" w:name="future-directions"/>
    <w:p>
      <w:pPr>
        <w:pStyle w:val="Heading2"/>
      </w:pPr>
      <w:r>
        <w:t xml:space="preserve">Future directions</w:t>
      </w:r>
    </w:p>
    <w:p>
      <w:pPr>
        <w:pStyle w:val="FirstParagraph"/>
      </w:pPr>
      <w:r>
        <w:t xml:space="preserve">We can think of several relevant future directions in addition to the ones already mentioned.</w:t>
      </w:r>
      <w:r>
        <w:t xml:space="preserve"> </w:t>
      </w:r>
      <w:r>
        <w:t xml:space="preserve">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&amp; Gobbini, 2018)</w:t>
      </w:r>
      <w:r>
        <w:t xml:space="preserve">.</w:t>
      </w:r>
      <w:r>
        <w:t xml:space="preserve"> </w:t>
      </w:r>
      <w:r>
        <w:t xml:space="preserve">Second, to more directly link together computational processes and neural architectures, future research might use a joint-modelling approach</w:t>
      </w:r>
      <w:r>
        <w:t xml:space="preserve"> </w:t>
      </w:r>
      <w:r>
        <w:t xml:space="preserve">(Palestro et al., 2018; Vo et al., 2024)</w:t>
      </w:r>
      <w:r>
        <w:t xml:space="preserve">.</w:t>
      </w:r>
      <w:r>
        <w:t xml:space="preserve"> </w:t>
      </w:r>
      <w:r>
        <w:t xml:space="preserve">Joint-modelling integrates different sources of data (e.g. behavioural and neuroimaging data) to estimate the relationship between responses in particular brain regions, such as core and extended face networks, and latent computational parameters.</w:t>
      </w:r>
      <w:r>
        <w:t xml:space="preserve"> </w:t>
      </w:r>
      <w:r>
        <w:t xml:space="preserve">Third, individual differences in face recognition ability represent a natural and important extension.</w:t>
      </w:r>
      <w:r>
        <w:t xml:space="preserve"> </w:t>
      </w:r>
      <w:r>
        <w:t xml:space="preserve">Super-recognisers and individuals with developmental prosopagnosia differ dramatically in recognition performance</w:t>
      </w:r>
      <w:r>
        <w:t xml:space="preserve"> </w:t>
      </w:r>
      <w:r>
        <w:t xml:space="preserve">(Dobel et al., 2007; Duchaine &amp; Nakayama, 2006; Russell et al., 2009)</w:t>
      </w:r>
      <w:r>
        <w:t xml:space="preserve">, and drift rate — as the primary carrier of familiarity effects here — may be the parameter that most cleanly differentiates these groups.</w:t>
      </w:r>
      <w:r>
        <w:t xml:space="preserve"> </w:t>
      </w:r>
      <w:r>
        <w:t xml:space="preserve">Fourth, testing the domain-specificity of these effects would be valuable to determine whether the effects of visual familiarity apply to other categories of visual stimuli, such as objects or scenes.</w:t>
      </w:r>
    </w:p>
    <w:p>
      <w:r>
        <w:br w:type="page"/>
      </w:r>
    </w:p>
    <w:bookmarkEnd w:id="113"/>
    <w:bookmarkEnd w:id="114"/>
    <w:bookmarkStart w:id="119" w:name="disclosures"/>
    <w:p>
      <w:pPr>
        <w:pStyle w:val="Heading1"/>
      </w:pPr>
      <w:r>
        <w:t xml:space="preserve">Disclosures</w:t>
      </w:r>
    </w:p>
    <w:bookmarkStart w:id="115" w:name="data-and-code-availability"/>
    <w:p>
      <w:pPr>
        <w:pStyle w:val="Heading2"/>
      </w:pPr>
      <w:r>
        <w:t xml:space="preserve">Data and code availability</w:t>
      </w:r>
    </w:p>
    <w:p>
      <w:pPr>
        <w:pStyle w:val="FirstParagraph"/>
      </w:pPr>
      <w:r>
        <w:t xml:space="preserve">All materials are available on GitHub (link) and the OSF (link).</w:t>
      </w:r>
    </w:p>
    <w:bookmarkEnd w:id="115"/>
    <w:bookmarkStart w:id="117" w:name="author-contributions"/>
    <w:p>
      <w:pPr>
        <w:pStyle w:val="Heading2"/>
      </w:pPr>
      <w:r>
        <w:t xml:space="preserve">Author contributions</w:t>
      </w:r>
    </w:p>
    <w:p>
      <w:pPr>
        <w:pStyle w:val="FirstParagraph"/>
      </w:pPr>
      <w:hyperlink r:id="rId116">
        <w:r>
          <w:rPr>
            <w:rStyle w:val="Hyperlink"/>
          </w:rPr>
          <w:t xml:space="preserve">CRediT</w:t>
        </w:r>
      </w:hyperlink>
      <w:r>
        <w:t xml:space="preserve"> </w:t>
      </w:r>
      <w:r>
        <w:t xml:space="preserve">author statement:</w:t>
      </w:r>
    </w:p>
    <w:p>
      <w:pPr>
        <w:pStyle w:val="BodyText"/>
      </w:pPr>
      <w:r>
        <w:t xml:space="preserve">Conceptualization: RF, PD, RR</w:t>
      </w:r>
      <w:r>
        <w:br/>
      </w:r>
      <w:r>
        <w:t xml:space="preserve">Methodology: RF, RR</w:t>
      </w:r>
      <w:r>
        <w:br/>
      </w:r>
      <w:r>
        <w:t xml:space="preserve">Software: RF, RR</w:t>
      </w:r>
      <w:r>
        <w:br/>
      </w:r>
      <w:r>
        <w:t xml:space="preserve">Validation: RF, RR</w:t>
      </w:r>
      <w:r>
        <w:br/>
      </w:r>
      <w:r>
        <w:t xml:space="preserve">Formal analysis: RF, RR</w:t>
      </w:r>
      <w:r>
        <w:br/>
      </w:r>
      <w:r>
        <w:t xml:space="preserve">Investigation: RF</w:t>
      </w:r>
      <w:r>
        <w:br/>
      </w:r>
      <w:r>
        <w:t xml:space="preserve">Data Curation: RF, RR</w:t>
      </w:r>
      <w:r>
        <w:br/>
      </w:r>
      <w:r>
        <w:t xml:space="preserve">Writing - Original Draft: RF</w:t>
      </w:r>
      <w:r>
        <w:br/>
      </w:r>
      <w:r>
        <w:t xml:space="preserve">Writing - Review &amp; Editing: RF, PD, RR</w:t>
      </w:r>
      <w:r>
        <w:br/>
      </w:r>
      <w:r>
        <w:t xml:space="preserve">Visualisation: RF, RR</w:t>
      </w:r>
      <w:r>
        <w:br/>
      </w:r>
      <w:r>
        <w:t xml:space="preserve">Supervision: RR</w:t>
      </w:r>
      <w:r>
        <w:br/>
      </w:r>
      <w:r>
        <w:t xml:space="preserve">Project Administration: RF, RR</w:t>
      </w:r>
    </w:p>
    <w:bookmarkEnd w:id="117"/>
    <w:bookmarkStart w:id="118" w:name="competing-interests"/>
    <w:p>
      <w:pPr>
        <w:pStyle w:val="Heading2"/>
      </w:pPr>
      <w:r>
        <w:t xml:space="preserve">Competing interests</w:t>
      </w:r>
    </w:p>
    <w:p>
      <w:pPr>
        <w:pStyle w:val="FirstParagraph"/>
      </w:pPr>
      <w:r>
        <w:t xml:space="preserve">The authors declare no competing interests.</w:t>
      </w:r>
    </w:p>
    <w:p>
      <w:r>
        <w:br w:type="page"/>
      </w:r>
    </w:p>
    <w:bookmarkEnd w:id="118"/>
    <w:bookmarkEnd w:id="119"/>
    <w:bookmarkStart w:id="261" w:name="references"/>
    <w:p>
      <w:pPr>
        <w:pStyle w:val="Heading1"/>
      </w:pPr>
      <w:r>
        <w:t xml:space="preserve">References</w:t>
      </w:r>
    </w:p>
    <w:bookmarkStart w:id="260" w:name="refs"/>
    <w:bookmarkStart w:id="121" w:name="ref-akanHaventSeenYou2023"/>
    <w:p>
      <w:pPr>
        <w:pStyle w:val="Bibliography"/>
      </w:pPr>
      <w:r>
        <w:t xml:space="preserve">Akan, M., &amp; Benjamin, A. S. (2023). Haven’t i seen you before? Conceptual but not perceptual prior familiarity enhances face recognition memory.</w:t>
      </w:r>
      <w:r>
        <w:t xml:space="preserve"> </w:t>
      </w:r>
      <w:r>
        <w:rPr>
          <w:i/>
          <w:iCs/>
        </w:rPr>
        <w:t xml:space="preserve">Journal of Memory and Language</w:t>
      </w:r>
      <w:r>
        <w:t xml:space="preserve">,</w:t>
      </w:r>
      <w:r>
        <w:t xml:space="preserve"> </w:t>
      </w:r>
      <w:r>
        <w:rPr>
          <w:i/>
          <w:iCs/>
        </w:rPr>
        <w:t xml:space="preserve">131</w:t>
      </w:r>
      <w:r>
        <w:t xml:space="preserve">, 104433.</w:t>
      </w:r>
      <w:r>
        <w:t xml:space="preserve"> </w:t>
      </w:r>
      <w:hyperlink r:id="rId120">
        <w:r>
          <w:rPr>
            <w:rStyle w:val="Hyperlink"/>
          </w:rPr>
          <w:t xml:space="preserve">https://doi.org/10.1016/j.jml.2023.104433</w:t>
        </w:r>
      </w:hyperlink>
    </w:p>
    <w:bookmarkEnd w:id="121"/>
    <w:bookmarkStart w:id="123" w:name="X85896da987693e22ebec463e62bb7d48d4e914f"/>
    <w:p>
      <w:pPr>
        <w:pStyle w:val="Bibliography"/>
      </w:pPr>
      <w:r>
        <w:t xml:space="preserve">Alexandrowicz, R. W., &amp; Gula, B. (2020). Comparing eight parameter estimation methods for the ratcliff diffusion model using free software.</w:t>
      </w:r>
      <w:r>
        <w:t xml:space="preserve"> </w:t>
      </w:r>
      <w:r>
        <w:rPr>
          <w:i/>
          <w:iCs/>
        </w:rPr>
        <w:t xml:space="preserve">Frontiers in Psychology</w:t>
      </w:r>
      <w:r>
        <w:t xml:space="preserve">,</w:t>
      </w:r>
      <w:r>
        <w:t xml:space="preserve"> </w:t>
      </w:r>
      <w:r>
        <w:rPr>
          <w:i/>
          <w:iCs/>
        </w:rPr>
        <w:t xml:space="preserve">11</w:t>
      </w:r>
      <w:r>
        <w:t xml:space="preserve">, 484737.</w:t>
      </w:r>
      <w:r>
        <w:t xml:space="preserve"> </w:t>
      </w:r>
      <w:hyperlink r:id="rId122">
        <w:r>
          <w:rPr>
            <w:rStyle w:val="Hyperlink"/>
          </w:rPr>
          <w:t xml:space="preserve">https://doi.org/10.3389/fpsyg.2020.484737</w:t>
        </w:r>
      </w:hyperlink>
    </w:p>
    <w:bookmarkEnd w:id="123"/>
    <w:bookmarkStart w:id="125" w:name="X903f2de1db21121d516235683c0127697a14bc3"/>
    <w:p>
      <w:pPr>
        <w:pStyle w:val="Bibliography"/>
      </w:pPr>
      <w:r>
        <w:t xml:space="preserve">Bainbridge, W. A., Isola, P., &amp; Oliva, A. (2013). The intrinsic memorability of face photographs.</w:t>
      </w:r>
      <w:r>
        <w:t xml:space="preserve"> </w:t>
      </w:r>
      <w:r>
        <w:rPr>
          <w:i/>
          <w:iCs/>
        </w:rPr>
        <w:t xml:space="preserve">Journal of Experimental Psychology: General</w:t>
      </w:r>
      <w:r>
        <w:t xml:space="preserve">,</w:t>
      </w:r>
      <w:r>
        <w:t xml:space="preserve"> </w:t>
      </w:r>
      <w:r>
        <w:rPr>
          <w:i/>
          <w:iCs/>
        </w:rPr>
        <w:t xml:space="preserve">142</w:t>
      </w:r>
      <w:r>
        <w:t xml:space="preserve">(4), 1323–1334.</w:t>
      </w:r>
      <w:r>
        <w:t xml:space="preserve"> </w:t>
      </w:r>
      <w:hyperlink r:id="rId124">
        <w:r>
          <w:rPr>
            <w:rStyle w:val="Hyperlink"/>
          </w:rPr>
          <w:t xml:space="preserve">https://doi.org/10.1037/a0033872</w:t>
        </w:r>
      </w:hyperlink>
    </w:p>
    <w:bookmarkEnd w:id="125"/>
    <w:bookmarkStart w:id="127" w:name="ref-bindemannPerceivedAbilityActual2014"/>
    <w:p>
      <w:pPr>
        <w:pStyle w:val="Bibliography"/>
      </w:pPr>
      <w:r>
        <w:t xml:space="preserve">Bindemann, M., Attard, J., &amp; Johnston, R. A. (2014). Perceived ability and actual recognition accuracy for unfamiliar and famous faces.</w:t>
      </w:r>
      <w:r>
        <w:t xml:space="preserve"> </w:t>
      </w:r>
      <w:r>
        <w:rPr>
          <w:i/>
          <w:iCs/>
        </w:rPr>
        <w:t xml:space="preserve">Cogent Psychology</w:t>
      </w:r>
      <w:r>
        <w:t xml:space="preserve">,</w:t>
      </w:r>
      <w:r>
        <w:t xml:space="preserve"> </w:t>
      </w:r>
      <w:r>
        <w:rPr>
          <w:i/>
          <w:iCs/>
        </w:rPr>
        <w:t xml:space="preserve">1</w:t>
      </w:r>
      <w:r>
        <w:t xml:space="preserve">(1), 986903.</w:t>
      </w:r>
      <w:r>
        <w:t xml:space="preserve"> </w:t>
      </w:r>
      <w:hyperlink r:id="rId126">
        <w:r>
          <w:rPr>
            <w:rStyle w:val="Hyperlink"/>
          </w:rPr>
          <w:t xml:space="preserve">https://doi.org/10.1080/23311908.2014.986903</w:t>
        </w:r>
      </w:hyperlink>
    </w:p>
    <w:bookmarkEnd w:id="127"/>
    <w:bookmarkStart w:id="129" w:name="X3769983facdfecf2c0b0ebfe44d7246b82b628c"/>
    <w:p>
      <w:pPr>
        <w:pStyle w:val="Bibliography"/>
      </w:pPr>
      <w:r>
        <w:t xml:space="preserve">Bird, C. M., Davies, R. A., Ward, J., &amp; Burgess, N. (2011). Effects of pre-experimental knowledge on recognition memory.</w:t>
      </w:r>
      <w:r>
        <w:t xml:space="preserve"> </w:t>
      </w:r>
      <w:r>
        <w:rPr>
          <w:i/>
          <w:iCs/>
        </w:rPr>
        <w:t xml:space="preserve">Learning &amp; Memory</w:t>
      </w:r>
      <w:r>
        <w:t xml:space="preserve">,</w:t>
      </w:r>
      <w:r>
        <w:t xml:space="preserve"> </w:t>
      </w:r>
      <w:r>
        <w:rPr>
          <w:i/>
          <w:iCs/>
        </w:rPr>
        <w:t xml:space="preserve">18</w:t>
      </w:r>
      <w:r>
        <w:t xml:space="preserve">(1), 11–14.</w:t>
      </w:r>
      <w:r>
        <w:t xml:space="preserve"> </w:t>
      </w:r>
      <w:hyperlink r:id="rId128">
        <w:r>
          <w:rPr>
            <w:rStyle w:val="Hyperlink"/>
          </w:rPr>
          <w:t xml:space="preserve">https://doi.org/10.1101/lm.1952111</w:t>
        </w:r>
      </w:hyperlink>
    </w:p>
    <w:bookmarkEnd w:id="129"/>
    <w:bookmarkStart w:id="131" w:name="ref-boagExpertGuidePlanning2025"/>
    <w:p>
      <w:pPr>
        <w:pStyle w:val="Bibliography"/>
      </w:pPr>
      <w:r>
        <w:t xml:space="preserve">Boag, R. J., Innes, R. J., Stevenson, N., Bahg, G., Busemeyer, J. R., Cox, G. E., Donkin, C., Frank, M. J., Hawkins, G. E., Heathcote, A., &amp; al., et</w:t>
      </w:r>
      <w:r>
        <w:t xml:space="preserve">. (2025). An expert guide to planning experimental tasks for evidence-accumulation modeling.</w:t>
      </w:r>
      <w:r>
        <w:t xml:space="preserve"> </w:t>
      </w:r>
      <w:r>
        <w:rPr>
          <w:i/>
          <w:iCs/>
        </w:rPr>
        <w:t xml:space="preserve">Advances in Methods and Practices in Psychological Science</w:t>
      </w:r>
      <w:r>
        <w:t xml:space="preserve">,</w:t>
      </w:r>
      <w:r>
        <w:t xml:space="preserve"> </w:t>
      </w:r>
      <w:r>
        <w:rPr>
          <w:i/>
          <w:iCs/>
        </w:rPr>
        <w:t xml:space="preserve">8</w:t>
      </w:r>
      <w:r>
        <w:t xml:space="preserve">(2), 25152459251336127.</w:t>
      </w:r>
      <w:r>
        <w:t xml:space="preserve"> </w:t>
      </w:r>
      <w:hyperlink r:id="rId130">
        <w:r>
          <w:rPr>
            <w:rStyle w:val="Hyperlink"/>
          </w:rPr>
          <w:t xml:space="preserve">https://doi.org/10.1177/25152459251336127</w:t>
        </w:r>
      </w:hyperlink>
    </w:p>
    <w:bookmarkEnd w:id="131"/>
    <w:bookmarkStart w:id="133" w:name="ref-brownSimplestCompleteModel2008"/>
    <w:p>
      <w:pPr>
        <w:pStyle w:val="Bibliography"/>
      </w:pPr>
      <w:r>
        <w:t xml:space="preserve">Brown, S. D., &amp; Heathcote, A. (2008). The simplest complete model of choice response time: Linear 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132">
        <w:r>
          <w:rPr>
            <w:rStyle w:val="Hyperlink"/>
          </w:rPr>
          <w:t xml:space="preserve">https://doi.org/10.1016/j.cogpsych.2007.12.002</w:t>
        </w:r>
      </w:hyperlink>
    </w:p>
    <w:bookmarkEnd w:id="133"/>
    <w:bookmarkStart w:id="135" w:name="Xad7bc845786705da78d095681c6c92ab13a31b0"/>
    <w:p>
      <w:pPr>
        <w:pStyle w:val="Bibliography"/>
      </w:pPr>
      <w:r>
        <w:t xml:space="preserve">Bruce, V., &amp; Young, A. (1986). Understanding face recognition.</w:t>
      </w:r>
      <w:r>
        <w:t xml:space="preserve"> </w:t>
      </w:r>
      <w:r>
        <w:rPr>
          <w:i/>
          <w:iCs/>
        </w:rPr>
        <w:t xml:space="preserve">British Journal of Psychology</w:t>
      </w:r>
      <w:r>
        <w:t xml:space="preserve">,</w:t>
      </w:r>
      <w:r>
        <w:t xml:space="preserve"> </w:t>
      </w:r>
      <w:r>
        <w:rPr>
          <w:i/>
          <w:iCs/>
        </w:rPr>
        <w:t xml:space="preserve">77</w:t>
      </w:r>
      <w:r>
        <w:t xml:space="preserve">(3), 305–327.</w:t>
      </w:r>
      <w:r>
        <w:t xml:space="preserve"> </w:t>
      </w:r>
      <w:hyperlink r:id="rId134">
        <w:r>
          <w:rPr>
            <w:rStyle w:val="Hyperlink"/>
          </w:rPr>
          <w:t xml:space="preserve">https://doi.org/10.1111/j.2044-8295.1986.tb02199.x</w:t>
        </w:r>
      </w:hyperlink>
    </w:p>
    <w:bookmarkEnd w:id="135"/>
    <w:bookmarkStart w:id="137"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36">
        <w:r>
          <w:rPr>
            <w:rStyle w:val="Hyperlink"/>
          </w:rPr>
          <w:t xml:space="preserve">https://doi.org/10.18637/jss.v080.i01</w:t>
        </w:r>
      </w:hyperlink>
    </w:p>
    <w:bookmarkEnd w:id="137"/>
    <w:bookmarkStart w:id="139" w:name="ref-burtonFacePerception2024"/>
    <w:p>
      <w:pPr>
        <w:pStyle w:val="Bibliography"/>
      </w:pPr>
      <w:r>
        <w:t xml:space="preserve">Burton, A. M. (2024). Face perception. In</w:t>
      </w:r>
      <w:r>
        <w:t xml:space="preserve"> </w:t>
      </w:r>
      <w:r>
        <w:rPr>
          <w:i/>
          <w:iCs/>
        </w:rPr>
        <w:t xml:space="preserve">Open encyclopedia of cognitive science</w:t>
      </w:r>
      <w:r>
        <w:t xml:space="preserve"> </w:t>
      </w:r>
      <w:r>
        <w:t xml:space="preserve">(1st ed.). MIT Press.</w:t>
      </w:r>
      <w:r>
        <w:t xml:space="preserve"> </w:t>
      </w:r>
      <w:hyperlink r:id="rId138">
        <w:r>
          <w:rPr>
            <w:rStyle w:val="Hyperlink"/>
          </w:rPr>
          <w:t xml:space="preserve">https://doi.org/10.21428/e2759450.57de91a4</w:t>
        </w:r>
      </w:hyperlink>
    </w:p>
    <w:bookmarkEnd w:id="139"/>
    <w:bookmarkStart w:id="141" w:name="X5d5236b79a13db78dc3046cef9bcbf8ee58462f"/>
    <w:p>
      <w:pPr>
        <w:pStyle w:val="Bibliography"/>
      </w:pPr>
      <w:r>
        <w:t xml:space="preserve">Charpentier, C. J., &amp; O’Doherty, J. P. (2018). The application of computational models to social neuroscience: Promises and pitfalls.</w:t>
      </w:r>
      <w:r>
        <w:t xml:space="preserve"> </w:t>
      </w:r>
      <w:r>
        <w:rPr>
          <w:i/>
          <w:iCs/>
        </w:rPr>
        <w:t xml:space="preserve">Social Neuroscience</w:t>
      </w:r>
      <w:r>
        <w:t xml:space="preserve">,</w:t>
      </w:r>
      <w:r>
        <w:t xml:space="preserve"> </w:t>
      </w:r>
      <w:r>
        <w:rPr>
          <w:i/>
          <w:iCs/>
        </w:rPr>
        <w:t xml:space="preserve">13</w:t>
      </w:r>
      <w:r>
        <w:t xml:space="preserve">(6), 637–647.</w:t>
      </w:r>
      <w:r>
        <w:t xml:space="preserve"> </w:t>
      </w:r>
      <w:hyperlink r:id="rId140">
        <w:r>
          <w:rPr>
            <w:rStyle w:val="Hyperlink"/>
          </w:rPr>
          <w:t xml:space="preserve">https://doi.org/10.1080/17470919.2018.1518834</w:t>
        </w:r>
      </w:hyperlink>
    </w:p>
    <w:bookmarkEnd w:id="141"/>
    <w:bookmarkStart w:id="142" w:name="ref-cheongComputationalModelsSocial2017"/>
    <w:p>
      <w:pPr>
        <w:pStyle w:val="Bibliography"/>
      </w:pPr>
      <w:r>
        <w:t xml:space="preserve">Cheong, J. H., Jolly, E., Sul, S., &amp; Chang, L. J. (2017). Computational models in social neuroscience.</w:t>
      </w:r>
      <w:r>
        <w:t xml:space="preserve"> </w:t>
      </w:r>
      <w:r>
        <w:rPr>
          <w:i/>
          <w:iCs/>
        </w:rPr>
        <w:t xml:space="preserve">Computational Models of Brain and Behavior</w:t>
      </w:r>
      <w:r>
        <w:t xml:space="preserve">, 229–244.</w:t>
      </w:r>
    </w:p>
    <w:bookmarkEnd w:id="142"/>
    <w:bookmarkStart w:id="144" w:name="ref-debruinefacelab2017"/>
    <w:p>
      <w:pPr>
        <w:pStyle w:val="Bibliography"/>
      </w:pPr>
      <w:r>
        <w:t xml:space="preserve">DeBruine, L., &amp; Jones, B. (2017).</w:t>
      </w:r>
      <w:r>
        <w:t xml:space="preserve"> </w:t>
      </w:r>
      <w:r>
        <w:rPr>
          <w:i/>
          <w:iCs/>
        </w:rPr>
        <w:t xml:space="preserve">Face research lab london set</w:t>
      </w:r>
      <w:r>
        <w:t xml:space="preserve"> </w:t>
      </w:r>
      <w:r>
        <w:t xml:space="preserve">(Version 5) [Dataset]. figshare.</w:t>
      </w:r>
      <w:r>
        <w:t xml:space="preserve"> </w:t>
      </w:r>
      <w:hyperlink r:id="rId143">
        <w:r>
          <w:rPr>
            <w:rStyle w:val="Hyperlink"/>
          </w:rPr>
          <w:t xml:space="preserve">https://doi.org/10.6084/m9.figshare.5047666.v5</w:t>
        </w:r>
      </w:hyperlink>
    </w:p>
    <w:bookmarkEnd w:id="144"/>
    <w:bookmarkStart w:id="146" w:name="ref-dobelProsopagnosiaApparentCause2007"/>
    <w:p>
      <w:pPr>
        <w:pStyle w:val="Bibliography"/>
      </w:pPr>
      <w:r>
        <w:t xml:space="preserve">Dobel, C., Bolte, J., Aicher, M., &amp; Schweinberger, S. (2007). Prosopagnosia without apparent cause: Overview and diagnosis of six cases.</w:t>
      </w:r>
      <w:r>
        <w:t xml:space="preserve"> </w:t>
      </w:r>
      <w:r>
        <w:rPr>
          <w:i/>
          <w:iCs/>
        </w:rPr>
        <w:t xml:space="preserve">Cortex</w:t>
      </w:r>
      <w:r>
        <w:t xml:space="preserve">,</w:t>
      </w:r>
      <w:r>
        <w:t xml:space="preserve"> </w:t>
      </w:r>
      <w:r>
        <w:rPr>
          <w:i/>
          <w:iCs/>
        </w:rPr>
        <w:t xml:space="preserve">43</w:t>
      </w:r>
      <w:r>
        <w:t xml:space="preserve">(6), 718–733.</w:t>
      </w:r>
      <w:r>
        <w:t xml:space="preserve"> </w:t>
      </w:r>
      <w:hyperlink r:id="rId145">
        <w:r>
          <w:rPr>
            <w:rStyle w:val="Hyperlink"/>
          </w:rPr>
          <w:t xml:space="preserve">https://doi.org/10.1016/S0010-9452(08)70501-X</w:t>
        </w:r>
      </w:hyperlink>
    </w:p>
    <w:bookmarkEnd w:id="146"/>
    <w:bookmarkStart w:id="148" w:name="ref-donkinGettingMoreAccuracy2009"/>
    <w:p>
      <w:pPr>
        <w:pStyle w:val="Bibliography"/>
      </w:pPr>
      <w:r>
        <w:t xml:space="preserve">Donkin, C., Averell, L., Brown, S., &amp; Heathcote, A. (2009). Getting more from accuracy and response time data: Methods 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147">
        <w:r>
          <w:rPr>
            <w:rStyle w:val="Hyperlink"/>
          </w:rPr>
          <w:t xml:space="preserve">https://doi.org/10.3758/BRM.41.4.1095</w:t>
        </w:r>
      </w:hyperlink>
    </w:p>
    <w:bookmarkEnd w:id="148"/>
    <w:bookmarkStart w:id="150" w:name="ref-duchaineCambridgeFaceMemory2006"/>
    <w:p>
      <w:pPr>
        <w:pStyle w:val="Bibliography"/>
      </w:pPr>
      <w:r>
        <w:t xml:space="preserve">Duchaine, B., &amp; Nakayama, K. (2006). 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w:t>
      </w:r>
      <w:r>
        <w:t xml:space="preserve"> </w:t>
      </w:r>
      <w:r>
        <w:rPr>
          <w:i/>
          <w:iCs/>
        </w:rPr>
        <w:t xml:space="preserve">44</w:t>
      </w:r>
      <w:r>
        <w:t xml:space="preserve">(4), 576–585.</w:t>
      </w:r>
      <w:r>
        <w:t xml:space="preserve"> </w:t>
      </w:r>
      <w:hyperlink r:id="rId149">
        <w:r>
          <w:rPr>
            <w:rStyle w:val="Hyperlink"/>
          </w:rPr>
          <w:t xml:space="preserve">https://doi.org/10.1016/j.neuropsychologia.2005.07.001</w:t>
        </w:r>
      </w:hyperlink>
    </w:p>
    <w:bookmarkEnd w:id="150"/>
    <w:bookmarkStart w:id="152" w:name="ref-duchaineRevisedNeuralFramework2015"/>
    <w:p>
      <w:pPr>
        <w:pStyle w:val="Bibliography"/>
      </w:pPr>
      <w:r>
        <w:t xml:space="preserve">Duchaine, B., &amp; Yovel, G. (2015). A revised neural framework for face processing.</w:t>
      </w:r>
      <w:r>
        <w:t xml:space="preserve"> </w:t>
      </w:r>
      <w:r>
        <w:rPr>
          <w:i/>
          <w:iCs/>
        </w:rPr>
        <w:t xml:space="preserve">Annual Review of Vision Science</w:t>
      </w:r>
      <w:r>
        <w:t xml:space="preserve">,</w:t>
      </w:r>
      <w:r>
        <w:t xml:space="preserve"> </w:t>
      </w:r>
      <w:r>
        <w:rPr>
          <w:i/>
          <w:iCs/>
        </w:rPr>
        <w:t xml:space="preserve">1</w:t>
      </w:r>
      <w:r>
        <w:t xml:space="preserve">(1), 393–416.</w:t>
      </w:r>
      <w:r>
        <w:t xml:space="preserve"> </w:t>
      </w:r>
      <w:hyperlink r:id="rId151">
        <w:r>
          <w:rPr>
            <w:rStyle w:val="Hyperlink"/>
          </w:rPr>
          <w:t xml:space="preserve">https://doi.org/10.1146/annurev-vision-082114-035518</w:t>
        </w:r>
      </w:hyperlink>
    </w:p>
    <w:bookmarkEnd w:id="152"/>
    <w:bookmarkStart w:id="154" w:name="X3b31e59ab487851a9e5cc8241cb5e19f2391a24"/>
    <w:p>
      <w:pPr>
        <w:pStyle w:val="Bibliography"/>
      </w:pPr>
      <w:r>
        <w:t xml:space="preserve">Forstmann, B. U., &amp; Turner, B. M. (Eds.). (2024).</w:t>
      </w:r>
      <w:r>
        <w:t xml:space="preserve"> </w:t>
      </w:r>
      <w:r>
        <w:rPr>
          <w:i/>
          <w:iCs/>
        </w:rPr>
        <w:t xml:space="preserve">An introduction to model-based cognitive neuroscience</w:t>
      </w:r>
      <w:r>
        <w:t xml:space="preserve">. Springer International Publishing.</w:t>
      </w:r>
      <w:r>
        <w:t xml:space="preserve"> </w:t>
      </w:r>
      <w:hyperlink r:id="rId153">
        <w:r>
          <w:rPr>
            <w:rStyle w:val="Hyperlink"/>
          </w:rPr>
          <w:t xml:space="preserve">https://doi.org/10.1007/978-3-031-45271-0</w:t>
        </w:r>
      </w:hyperlink>
    </w:p>
    <w:bookmarkEnd w:id="154"/>
    <w:bookmarkStart w:id="156" w:name="ref-glanzerMirrorEffectRecognition1985"/>
    <w:p>
      <w:pPr>
        <w:pStyle w:val="Bibliography"/>
      </w:pPr>
      <w:r>
        <w:t xml:space="preserve">Glanzer, M., &amp; Adams, J. K. (1985). The mirror effect in recognition memory.</w:t>
      </w:r>
      <w:r>
        <w:t xml:space="preserve"> </w:t>
      </w:r>
      <w:r>
        <w:rPr>
          <w:i/>
          <w:iCs/>
        </w:rPr>
        <w:t xml:space="preserve">Memory &amp; Cognition</w:t>
      </w:r>
      <w:r>
        <w:t xml:space="preserve">,</w:t>
      </w:r>
      <w:r>
        <w:t xml:space="preserve"> </w:t>
      </w:r>
      <w:r>
        <w:rPr>
          <w:i/>
          <w:iCs/>
        </w:rPr>
        <w:t xml:space="preserve">13</w:t>
      </w:r>
      <w:r>
        <w:t xml:space="preserve">(1), 8–20.</w:t>
      </w:r>
      <w:r>
        <w:t xml:space="preserve"> </w:t>
      </w:r>
      <w:hyperlink r:id="rId155">
        <w:r>
          <w:rPr>
            <w:rStyle w:val="Hyperlink"/>
          </w:rPr>
          <w:t xml:space="preserve">https://doi.org/10.3758/BF03198438</w:t>
        </w:r>
      </w:hyperlink>
    </w:p>
    <w:bookmarkEnd w:id="156"/>
    <w:bookmarkStart w:id="158" w:name="ref-gobbiniNeuralResponseVisual2006"/>
    <w:p>
      <w:pPr>
        <w:pStyle w:val="Bibliography"/>
      </w:pPr>
      <w:r>
        <w:t xml:space="preserve">Gobbini, M. I., &amp; Haxby, J. V. (2006). Neural response to the visual familiarity of faces.</w:t>
      </w:r>
      <w:r>
        <w:t xml:space="preserve"> </w:t>
      </w:r>
      <w:r>
        <w:rPr>
          <w:i/>
          <w:iCs/>
        </w:rPr>
        <w:t xml:space="preserve">Brain Research Bulletin</w:t>
      </w:r>
      <w:r>
        <w:t xml:space="preserve">,</w:t>
      </w:r>
      <w:r>
        <w:t xml:space="preserve"> </w:t>
      </w:r>
      <w:r>
        <w:rPr>
          <w:i/>
          <w:iCs/>
        </w:rPr>
        <w:t xml:space="preserve">71</w:t>
      </w:r>
      <w:r>
        <w:t xml:space="preserve">(1-3), 76–82.</w:t>
      </w:r>
      <w:r>
        <w:t xml:space="preserve"> </w:t>
      </w:r>
      <w:hyperlink r:id="rId157">
        <w:r>
          <w:rPr>
            <w:rStyle w:val="Hyperlink"/>
          </w:rPr>
          <w:t xml:space="preserve">https://doi.org/10.1016/j.brainresbull.2006.08.003</w:t>
        </w:r>
      </w:hyperlink>
    </w:p>
    <w:bookmarkEnd w:id="158"/>
    <w:bookmarkStart w:id="160" w:name="ref-gobbiniNeuralSystemsRecognition2007"/>
    <w:p>
      <w:pPr>
        <w:pStyle w:val="Bibliography"/>
      </w:pPr>
      <w:r>
        <w:t xml:space="preserve">Gobbini, M. I., &amp; Haxby, J. V. (2007). Neural systems for recognition of familiar faces.</w:t>
      </w:r>
      <w:r>
        <w:t xml:space="preserve"> </w:t>
      </w:r>
      <w:r>
        <w:rPr>
          <w:i/>
          <w:iCs/>
        </w:rPr>
        <w:t xml:space="preserve">Neuropsychologia</w:t>
      </w:r>
      <w:r>
        <w:t xml:space="preserve">,</w:t>
      </w:r>
      <w:r>
        <w:t xml:space="preserve"> </w:t>
      </w:r>
      <w:r>
        <w:rPr>
          <w:i/>
          <w:iCs/>
        </w:rPr>
        <w:t xml:space="preserve">45</w:t>
      </w:r>
      <w:r>
        <w:t xml:space="preserve">(1), 32–41.</w:t>
      </w:r>
      <w:r>
        <w:t xml:space="preserve"> </w:t>
      </w:r>
      <w:hyperlink r:id="rId159">
        <w:r>
          <w:rPr>
            <w:rStyle w:val="Hyperlink"/>
          </w:rPr>
          <w:t xml:space="preserve">https://doi.org/10.1016/j.neuropsychologia.2006.04.015</w:t>
        </w:r>
      </w:hyperlink>
    </w:p>
    <w:bookmarkEnd w:id="160"/>
    <w:bookmarkStart w:id="162" w:name="X3f170a77adcf62bec6f99bf8aeb046adf3094d6"/>
    <w:p>
      <w:pPr>
        <w:pStyle w:val="Bibliography"/>
      </w:pPr>
      <w:r>
        <w:t xml:space="preserve">Hackel, L. M., &amp; Amodio, D. M. (2018). Computational neuroscience approaches to social cognition.</w:t>
      </w:r>
      <w:r>
        <w:t xml:space="preserve"> </w:t>
      </w:r>
      <w:r>
        <w:rPr>
          <w:i/>
          <w:iCs/>
        </w:rPr>
        <w:t xml:space="preserve">Current Opinion in Psychology, Social Neuroscience</w:t>
      </w:r>
      <w:r>
        <w:t xml:space="preserve">,</w:t>
      </w:r>
      <w:r>
        <w:t xml:space="preserve"> </w:t>
      </w:r>
      <w:r>
        <w:rPr>
          <w:i/>
          <w:iCs/>
        </w:rPr>
        <w:t xml:space="preserve">24</w:t>
      </w:r>
      <w:r>
        <w:t xml:space="preserve">, 92–97.</w:t>
      </w:r>
      <w:r>
        <w:t xml:space="preserve"> </w:t>
      </w:r>
      <w:hyperlink r:id="rId161">
        <w:r>
          <w:rPr>
            <w:rStyle w:val="Hyperlink"/>
          </w:rPr>
          <w:t xml:space="preserve">https://doi.org/10.1016/j.copsyc.2018.09.001</w:t>
        </w:r>
      </w:hyperlink>
    </w:p>
    <w:bookmarkEnd w:id="162"/>
    <w:bookmarkStart w:id="164" w:name="X69e29b07ce704c831aa1edd3cf8b3888c71aa4c"/>
    <w:p>
      <w:pPr>
        <w:pStyle w:val="Bibliography"/>
      </w:pPr>
      <w:r>
        <w:t xml:space="preserve">Hancock, P. J. B., Bruce, V., &amp; Burton, A. M. (2000). Recognition of unfamiliar faces.</w:t>
      </w:r>
      <w:r>
        <w:t xml:space="preserve"> </w:t>
      </w:r>
      <w:r>
        <w:rPr>
          <w:i/>
          <w:iCs/>
        </w:rPr>
        <w:t xml:space="preserve">Trends in Cognitive Sciences</w:t>
      </w:r>
      <w:r>
        <w:t xml:space="preserve">,</w:t>
      </w:r>
      <w:r>
        <w:t xml:space="preserve"> </w:t>
      </w:r>
      <w:r>
        <w:rPr>
          <w:i/>
          <w:iCs/>
        </w:rPr>
        <w:t xml:space="preserve">4</w:t>
      </w:r>
      <w:r>
        <w:t xml:space="preserve">(9), 330–337.</w:t>
      </w:r>
      <w:r>
        <w:t xml:space="preserve"> </w:t>
      </w:r>
      <w:hyperlink r:id="rId163">
        <w:r>
          <w:rPr>
            <w:rStyle w:val="Hyperlink"/>
          </w:rPr>
          <w:t xml:space="preserve">https://doi.org/10.1016/S1364-6613(00)01519-9</w:t>
        </w:r>
      </w:hyperlink>
    </w:p>
    <w:bookmarkEnd w:id="164"/>
    <w:bookmarkStart w:id="166" w:name="ref-haxbyDistributedHumanNeural2000"/>
    <w:p>
      <w:pPr>
        <w:pStyle w:val="Bibliography"/>
      </w:pPr>
      <w:r>
        <w:t xml:space="preserve">Haxby, J. V., Hoffman, E. A., &amp; Gobbini, M. I. (2000). The distributed human neural system for face perception.</w:t>
      </w:r>
      <w:r>
        <w:t xml:space="preserve"> </w:t>
      </w:r>
      <w:r>
        <w:rPr>
          <w:i/>
          <w:iCs/>
        </w:rPr>
        <w:t xml:space="preserve">Trends in Cognitive Sciences</w:t>
      </w:r>
      <w:r>
        <w:t xml:space="preserve">,</w:t>
      </w:r>
      <w:r>
        <w:t xml:space="preserve"> </w:t>
      </w:r>
      <w:r>
        <w:rPr>
          <w:i/>
          <w:iCs/>
        </w:rPr>
        <w:t xml:space="preserve">4</w:t>
      </w:r>
      <w:r>
        <w:t xml:space="preserve">(6), 223–233.</w:t>
      </w:r>
      <w:r>
        <w:t xml:space="preserve"> </w:t>
      </w:r>
      <w:hyperlink r:id="rId165">
        <w:r>
          <w:rPr>
            <w:rStyle w:val="Hyperlink"/>
          </w:rPr>
          <w:t xml:space="preserve">https://doi.org/10.1016/S1364-6613(00)01482-0</w:t>
        </w:r>
      </w:hyperlink>
    </w:p>
    <w:bookmarkEnd w:id="166"/>
    <w:bookmarkStart w:id="168" w:name="ref-heathcoteDynamicModelsChoice2019"/>
    <w:p>
      <w:pPr>
        <w:pStyle w:val="Bibliography"/>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167">
        <w:r>
          <w:rPr>
            <w:rStyle w:val="Hyperlink"/>
          </w:rPr>
          <w:t xml:space="preserve">https://doi.org/10.3758/s13428-018-1067-y</w:t>
        </w:r>
      </w:hyperlink>
    </w:p>
    <w:bookmarkEnd w:id="168"/>
    <w:bookmarkStart w:id="169" w:name="ref-hintzmanWhyAreFormal1991"/>
    <w:p>
      <w:pPr>
        <w:pStyle w:val="Bibliography"/>
      </w:pPr>
      <w:r>
        <w:t xml:space="preserve">Hintzman, D. L. (1991). Why are formal models useful in psychology? In</w:t>
      </w:r>
      <w:r>
        <w:t xml:space="preserve"> </w:t>
      </w:r>
      <w:r>
        <w:rPr>
          <w:i/>
          <w:iCs/>
        </w:rPr>
        <w:t xml:space="preserve">Relating theory and data: Essays on human memory in honor of bennet b. murdock</w:t>
      </w:r>
      <w:r>
        <w:t xml:space="preserve"> </w:t>
      </w:r>
      <w:r>
        <w:t xml:space="preserve">(pp. 39–56). Lawrence Erlbaum Associates, Inc.</w:t>
      </w:r>
    </w:p>
    <w:bookmarkEnd w:id="169"/>
    <w:bookmarkStart w:id="171" w:name="Xfa52b3ddb822705b7e657498a882a925f97b168"/>
    <w:p>
      <w:pPr>
        <w:pStyle w:val="Bibliography"/>
      </w:pPr>
      <w:r>
        <w:t xml:space="preserve">Ida Gobbini, M., Leibenluft, E., Santiago, N., &amp; Haxby, J. V. (2004). Social and emotional attachment in the neural representation of faces.</w:t>
      </w:r>
      <w:r>
        <w:t xml:space="preserve"> </w:t>
      </w:r>
      <w:r>
        <w:rPr>
          <w:i/>
          <w:iCs/>
        </w:rPr>
        <w:t xml:space="preserve">NeuroImage</w:t>
      </w:r>
      <w:r>
        <w:t xml:space="preserve">,</w:t>
      </w:r>
      <w:r>
        <w:t xml:space="preserve"> </w:t>
      </w:r>
      <w:r>
        <w:rPr>
          <w:i/>
          <w:iCs/>
        </w:rPr>
        <w:t xml:space="preserve">22</w:t>
      </w:r>
      <w:r>
        <w:t xml:space="preserve">(4), 1628–1635.</w:t>
      </w:r>
      <w:r>
        <w:t xml:space="preserve"> </w:t>
      </w:r>
      <w:hyperlink r:id="rId170">
        <w:r>
          <w:rPr>
            <w:rStyle w:val="Hyperlink"/>
          </w:rPr>
          <w:t xml:space="preserve">https://doi.org/10.1016/j.neuroimage.2004.03.049</w:t>
        </w:r>
      </w:hyperlink>
    </w:p>
    <w:bookmarkEnd w:id="171"/>
    <w:bookmarkStart w:id="173" w:name="ref-ishaiLetsFaceIt2008"/>
    <w:p>
      <w:pPr>
        <w:pStyle w:val="Bibliography"/>
      </w:pPr>
      <w:r>
        <w:t xml:space="preserve">Ishai, A. (2008). Let’s face it: It’s a cortical network.</w:t>
      </w:r>
      <w:r>
        <w:t xml:space="preserve"> </w:t>
      </w:r>
      <w:r>
        <w:rPr>
          <w:i/>
          <w:iCs/>
        </w:rPr>
        <w:t xml:space="preserve">NeuroImage</w:t>
      </w:r>
      <w:r>
        <w:t xml:space="preserve">,</w:t>
      </w:r>
      <w:r>
        <w:t xml:space="preserve"> </w:t>
      </w:r>
      <w:r>
        <w:rPr>
          <w:i/>
          <w:iCs/>
        </w:rPr>
        <w:t xml:space="preserve">40</w:t>
      </w:r>
      <w:r>
        <w:t xml:space="preserve">(2), 415–419.</w:t>
      </w:r>
      <w:r>
        <w:t xml:space="preserve"> </w:t>
      </w:r>
      <w:hyperlink r:id="rId172">
        <w:r>
          <w:rPr>
            <w:rStyle w:val="Hyperlink"/>
          </w:rPr>
          <w:t xml:space="preserve">https://doi.org/10.1016/j.neuroimage.2007.10.040</w:t>
        </w:r>
      </w:hyperlink>
    </w:p>
    <w:bookmarkEnd w:id="173"/>
    <w:bookmarkStart w:id="175" w:name="ref-jenkins2011"/>
    <w:p>
      <w:pPr>
        <w:pStyle w:val="Bibliography"/>
      </w:pPr>
      <w:r>
        <w:t xml:space="preserve">Jenkins, R., &amp; Burton, A. M. (2011). Stable face representations.</w:t>
      </w:r>
      <w:r>
        <w:t xml:space="preserve"> </w:t>
      </w:r>
      <w:r>
        <w:rPr>
          <w:i/>
          <w:iCs/>
        </w:rPr>
        <w:t xml:space="preserve">Philosophical Transactions of the Royal Society B: Biological Sciences</w:t>
      </w:r>
      <w:r>
        <w:t xml:space="preserve">,</w:t>
      </w:r>
      <w:r>
        <w:t xml:space="preserve"> </w:t>
      </w:r>
      <w:r>
        <w:rPr>
          <w:i/>
          <w:iCs/>
        </w:rPr>
        <w:t xml:space="preserve">366</w:t>
      </w:r>
      <w:r>
        <w:t xml:space="preserve">(1571), 1671–1683.</w:t>
      </w:r>
      <w:r>
        <w:t xml:space="preserve"> </w:t>
      </w:r>
      <w:hyperlink r:id="rId174">
        <w:r>
          <w:rPr>
            <w:rStyle w:val="Hyperlink"/>
          </w:rPr>
          <w:t xml:space="preserve">https://doi.org/10.1098/rstb.2010.0379</w:t>
        </w:r>
      </w:hyperlink>
    </w:p>
    <w:bookmarkEnd w:id="175"/>
    <w:bookmarkStart w:id="177" w:name="ref-johnstonFamiliarUnfamiliarFace2009"/>
    <w:p>
      <w:pPr>
        <w:pStyle w:val="Bibliography"/>
      </w:pPr>
      <w:r>
        <w:t xml:space="preserve">Johnston, R. A., &amp; Edmonds, A. J. (2009). Familiar and unfamiliar face recognition: A review.</w:t>
      </w:r>
      <w:r>
        <w:t xml:space="preserve"> </w:t>
      </w:r>
      <w:r>
        <w:rPr>
          <w:i/>
          <w:iCs/>
        </w:rPr>
        <w:t xml:space="preserve">Memory</w:t>
      </w:r>
      <w:r>
        <w:t xml:space="preserve">,</w:t>
      </w:r>
      <w:r>
        <w:t xml:space="preserve"> </w:t>
      </w:r>
      <w:r>
        <w:rPr>
          <w:i/>
          <w:iCs/>
        </w:rPr>
        <w:t xml:space="preserve">17</w:t>
      </w:r>
      <w:r>
        <w:t xml:space="preserve">(5), 577–596.</w:t>
      </w:r>
      <w:r>
        <w:t xml:space="preserve"> </w:t>
      </w:r>
      <w:hyperlink r:id="rId176">
        <w:r>
          <w:rPr>
            <w:rStyle w:val="Hyperlink"/>
          </w:rPr>
          <w:t xml:space="preserve">https://doi.org/10.1080/09658210902976969</w:t>
        </w:r>
      </w:hyperlink>
    </w:p>
    <w:bookmarkEnd w:id="177"/>
    <w:bookmarkStart w:id="179" w:name="ref-johnstonAttentionCaptureNovel1990"/>
    <w:p>
      <w:pPr>
        <w:pStyle w:val="Bibliography"/>
      </w:pPr>
      <w:r>
        <w:t xml:space="preserve">Johnston, W. A., Hawley, K. J., Plewe, S. H., Elliott, J. M. G., &amp; DeWitt, M. J. (1990). Attention capture by novel stimuli.</w:t>
      </w:r>
      <w:r>
        <w:t xml:space="preserve"> </w:t>
      </w:r>
      <w:r>
        <w:rPr>
          <w:i/>
          <w:iCs/>
        </w:rPr>
        <w:t xml:space="preserve">Journal of Experimental Psychology: General</w:t>
      </w:r>
      <w:r>
        <w:t xml:space="preserve">,</w:t>
      </w:r>
      <w:r>
        <w:t xml:space="preserve"> </w:t>
      </w:r>
      <w:r>
        <w:rPr>
          <w:i/>
          <w:iCs/>
        </w:rPr>
        <w:t xml:space="preserve">119</w:t>
      </w:r>
      <w:r>
        <w:t xml:space="preserve">(4), 397–411.</w:t>
      </w:r>
      <w:r>
        <w:t xml:space="preserve"> </w:t>
      </w:r>
      <w:hyperlink r:id="rId178">
        <w:r>
          <w:rPr>
            <w:rStyle w:val="Hyperlink"/>
          </w:rPr>
          <w:t xml:space="preserve">https://doi.org/10.1037/0096-3445.119.4.397</w:t>
        </w:r>
      </w:hyperlink>
    </w:p>
    <w:bookmarkEnd w:id="179"/>
    <w:bookmarkStart w:id="181" w:name="X4b04494fe2515e18845820011bae7cceada381e"/>
    <w:p>
      <w:pPr>
        <w:pStyle w:val="Bibliography"/>
      </w:pPr>
      <w:r>
        <w:t xml:space="preserve">Kanwisher, N., &amp; Barton, J. J. S. (2011). 111 the functional architecture of the face system: Integrating evidence from fMRI and patient studies. In A. J. Calder, G. Rhodes, M. H. Johnson, &amp; J. V. Haxby (Eds.),</w:t>
      </w:r>
      <w:r>
        <w:t xml:space="preserve"> </w:t>
      </w:r>
      <w:r>
        <w:rPr>
          <w:i/>
          <w:iCs/>
        </w:rPr>
        <w:t xml:space="preserve">Oxford handbook of face perception</w:t>
      </w:r>
      <w:r>
        <w:t xml:space="preserve"> </w:t>
      </w:r>
      <w:r>
        <w:t xml:space="preserve">(p. 0). Oxford University Press.</w:t>
      </w:r>
      <w:r>
        <w:t xml:space="preserve"> </w:t>
      </w:r>
      <w:hyperlink r:id="rId180">
        <w:r>
          <w:rPr>
            <w:rStyle w:val="Hyperlink"/>
          </w:rPr>
          <w:t xml:space="preserve">https://doi.org/10.1093/oxfordhb/9780199559053.013.0007</w:t>
        </w:r>
      </w:hyperlink>
    </w:p>
    <w:bookmarkEnd w:id="181"/>
    <w:bookmarkStart w:id="183" w:name="X70b7e0c20febb60c6d08875d72be93198b7d64a"/>
    <w:p>
      <w:pPr>
        <w:pStyle w:val="Bibliography"/>
      </w:pPr>
      <w:r>
        <w:t xml:space="preserve">Klatzky, R. L., &amp; Forrest, F. H. (1984). Recognizing familiar and unfamiliar faces.</w:t>
      </w:r>
      <w:r>
        <w:t xml:space="preserve"> </w:t>
      </w:r>
      <w:r>
        <w:rPr>
          <w:i/>
          <w:iCs/>
        </w:rPr>
        <w:t xml:space="preserve">Memory &amp; Cognition</w:t>
      </w:r>
      <w:r>
        <w:t xml:space="preserve">,</w:t>
      </w:r>
      <w:r>
        <w:t xml:space="preserve"> </w:t>
      </w:r>
      <w:r>
        <w:rPr>
          <w:i/>
          <w:iCs/>
        </w:rPr>
        <w:t xml:space="preserve">12</w:t>
      </w:r>
      <w:r>
        <w:t xml:space="preserve">(1), 60–70.</w:t>
      </w:r>
      <w:r>
        <w:t xml:space="preserve"> </w:t>
      </w:r>
      <w:hyperlink r:id="rId182">
        <w:r>
          <w:rPr>
            <w:rStyle w:val="Hyperlink"/>
          </w:rPr>
          <w:t xml:space="preserve">https://doi.org/10.3758/BF03196998</w:t>
        </w:r>
      </w:hyperlink>
    </w:p>
    <w:bookmarkEnd w:id="183"/>
    <w:bookmarkStart w:id="185" w:name="ref-kormi-nouriNoveltyEffectSupport2005"/>
    <w:p>
      <w:pPr>
        <w:pStyle w:val="Bibliography"/>
      </w:pPr>
      <w:r>
        <w:t xml:space="preserve">Kormi-Nouri, R., Nilsson, L.-G., &amp; Ohta, N. (2005). The novelty effect: Support for the novelty-encoding hypothesis.</w:t>
      </w:r>
      <w:r>
        <w:t xml:space="preserve"> </w:t>
      </w:r>
      <w:r>
        <w:rPr>
          <w:i/>
          <w:iCs/>
        </w:rPr>
        <w:t xml:space="preserve">Scandinavian Journal of Psychology</w:t>
      </w:r>
      <w:r>
        <w:t xml:space="preserve">,</w:t>
      </w:r>
      <w:r>
        <w:t xml:space="preserve"> </w:t>
      </w:r>
      <w:r>
        <w:rPr>
          <w:i/>
          <w:iCs/>
        </w:rPr>
        <w:t xml:space="preserve">46</w:t>
      </w:r>
      <w:r>
        <w:t xml:space="preserve">(2), 133–143.</w:t>
      </w:r>
      <w:r>
        <w:t xml:space="preserve"> </w:t>
      </w:r>
      <w:hyperlink r:id="rId184">
        <w:r>
          <w:rPr>
            <w:rStyle w:val="Hyperlink"/>
          </w:rPr>
          <w:t xml:space="preserve">https://doi.org/10.1111/j.1467-9450.2005.00443.x</w:t>
        </w:r>
      </w:hyperlink>
    </w:p>
    <w:bookmarkEnd w:id="185"/>
    <w:bookmarkStart w:id="187" w:name="ref-landiFastLinkFace2021"/>
    <w:p>
      <w:pPr>
        <w:pStyle w:val="Bibliography"/>
      </w:pPr>
      <w:r>
        <w:t xml:space="preserve">Landi, S. M., Viswanathan, P., Serene, S., &amp; Freiwald, W. A. (2021). A fast link between face perception and memory in the temporal pole.</w:t>
      </w:r>
      <w:r>
        <w:t xml:space="preserve"> </w:t>
      </w:r>
      <w:r>
        <w:rPr>
          <w:i/>
          <w:iCs/>
        </w:rPr>
        <w:t xml:space="preserve">Science</w:t>
      </w:r>
      <w:r>
        <w:t xml:space="preserve">,</w:t>
      </w:r>
      <w:r>
        <w:t xml:space="preserve"> </w:t>
      </w:r>
      <w:r>
        <w:rPr>
          <w:i/>
          <w:iCs/>
        </w:rPr>
        <w:t xml:space="preserve">373</w:t>
      </w:r>
      <w:r>
        <w:t xml:space="preserve">(6554), 581–585.</w:t>
      </w:r>
      <w:r>
        <w:t xml:space="preserve"> </w:t>
      </w:r>
      <w:hyperlink r:id="rId186">
        <w:r>
          <w:rPr>
            <w:rStyle w:val="Hyperlink"/>
          </w:rPr>
          <w:t xml:space="preserve">https://doi.org/10.1126/science.abi6671</w:t>
        </w:r>
      </w:hyperlink>
    </w:p>
    <w:bookmarkEnd w:id="187"/>
    <w:bookmarkStart w:id="189" w:name="X2d40e1fbd58e72e9f31b44eaf301e5307d132a8"/>
    <w:p>
      <w:pPr>
        <w:pStyle w:val="Bibliography"/>
      </w:pPr>
      <w:r>
        <w:t xml:space="preserve">Leibenluft, E., Gobbini, M. I., Harrison, T., &amp; Haxby, J. V. (2004). Mothers’ neural activation in response to pictures of their children and other children.</w:t>
      </w:r>
      <w:r>
        <w:t xml:space="preserve"> </w:t>
      </w:r>
      <w:r>
        <w:rPr>
          <w:i/>
          <w:iCs/>
        </w:rPr>
        <w:t xml:space="preserve">Biological Psychiatry</w:t>
      </w:r>
      <w:r>
        <w:t xml:space="preserve">,</w:t>
      </w:r>
      <w:r>
        <w:t xml:space="preserve"> </w:t>
      </w:r>
      <w:r>
        <w:rPr>
          <w:i/>
          <w:iCs/>
        </w:rPr>
        <w:t xml:space="preserve">56</w:t>
      </w:r>
      <w:r>
        <w:t xml:space="preserve">(4), 225–232.</w:t>
      </w:r>
      <w:r>
        <w:t xml:space="preserve"> </w:t>
      </w:r>
      <w:hyperlink r:id="rId188">
        <w:r>
          <w:rPr>
            <w:rStyle w:val="Hyperlink"/>
          </w:rPr>
          <w:t xml:space="preserve">https://doi.org/10.1016/j.biopsych.2004.05.017</w:t>
        </w:r>
      </w:hyperlink>
    </w:p>
    <w:bookmarkEnd w:id="189"/>
    <w:bookmarkStart w:id="191" w:name="ref-lercheHowManyTrials2017"/>
    <w:p>
      <w:pPr>
        <w:pStyle w:val="Bibliography"/>
      </w:pPr>
      <w:r>
        <w:t xml:space="preserve">Lerche, V., Voss, A., &amp; Nagler, M. (2017). How many trials are required for parameter estimation in diffusion modeling? A comparison of different optimization criteria.</w:t>
      </w:r>
      <w:r>
        <w:t xml:space="preserve"> </w:t>
      </w:r>
      <w:r>
        <w:rPr>
          <w:i/>
          <w:iCs/>
        </w:rPr>
        <w:t xml:space="preserve">Behavior Research Methods</w:t>
      </w:r>
      <w:r>
        <w:t xml:space="preserve">,</w:t>
      </w:r>
      <w:r>
        <w:t xml:space="preserve"> </w:t>
      </w:r>
      <w:r>
        <w:rPr>
          <w:i/>
          <w:iCs/>
        </w:rPr>
        <w:t xml:space="preserve">49</w:t>
      </w:r>
      <w:r>
        <w:t xml:space="preserve">(2), 513–537.</w:t>
      </w:r>
      <w:r>
        <w:t xml:space="preserve"> </w:t>
      </w:r>
      <w:hyperlink r:id="rId190">
        <w:r>
          <w:rPr>
            <w:rStyle w:val="Hyperlink"/>
          </w:rPr>
          <w:t xml:space="preserve">https://doi.org/10.3758/s13428-016-0740-2</w:t>
        </w:r>
      </w:hyperlink>
    </w:p>
    <w:bookmarkEnd w:id="191"/>
    <w:bookmarkStart w:id="193" w:name="ref-lev-ariEcologicalViewSelective2022"/>
    <w:p>
      <w:pPr>
        <w:pStyle w:val="Bibliography"/>
      </w:pPr>
      <w:r>
        <w:t xml:space="preserve">Lev-Ari, T., Beeri, H., &amp; Gutfreund, Y. (2022). The ecological view of selective attention.</w:t>
      </w:r>
      <w:r>
        <w:t xml:space="preserve"> </w:t>
      </w:r>
      <w:r>
        <w:rPr>
          <w:i/>
          <w:iCs/>
        </w:rPr>
        <w:t xml:space="preserve">Frontiers in Integrative Neuroscience</w:t>
      </w:r>
      <w:r>
        <w:t xml:space="preserve">,</w:t>
      </w:r>
      <w:r>
        <w:t xml:space="preserve"> </w:t>
      </w:r>
      <w:r>
        <w:rPr>
          <w:i/>
          <w:iCs/>
        </w:rPr>
        <w:t xml:space="preserve">16</w:t>
      </w:r>
      <w:r>
        <w:t xml:space="preserve">, 856207.</w:t>
      </w:r>
      <w:r>
        <w:t xml:space="preserve"> </w:t>
      </w:r>
      <w:hyperlink r:id="rId192">
        <w:r>
          <w:rPr>
            <w:rStyle w:val="Hyperlink"/>
          </w:rPr>
          <w:t xml:space="preserve">https://doi.org/10.3389/fnint.2022.856207</w:t>
        </w:r>
      </w:hyperlink>
    </w:p>
    <w:bookmarkEnd w:id="193"/>
    <w:bookmarkStart w:id="195" w:name="X12c33f143e416783d128dfd0c531a85b18ff1d9"/>
    <w:p>
      <w:pPr>
        <w:pStyle w:val="Bibliography"/>
      </w:pPr>
      <w:r>
        <w:t xml:space="preserve">Lewandowsky, S., &amp; Oberauer, K. (2018). Computational modeling in cognition and cognitive neuroscience. In J. T. Wixted (Ed.),</w:t>
      </w:r>
      <w:r>
        <w:t xml:space="preserve"> </w:t>
      </w:r>
      <w:r>
        <w:rPr>
          <w:i/>
          <w:iCs/>
        </w:rPr>
        <w:t xml:space="preserve">Stevens’ handbook of experimental psychology and cognitive neuroscience</w:t>
      </w:r>
      <w:r>
        <w:t xml:space="preserve"> </w:t>
      </w:r>
      <w:r>
        <w:t xml:space="preserve">(1st ed., pp. 1–35). Wiley.</w:t>
      </w:r>
      <w:r>
        <w:t xml:space="preserve"> </w:t>
      </w:r>
      <w:hyperlink r:id="rId194">
        <w:r>
          <w:rPr>
            <w:rStyle w:val="Hyperlink"/>
          </w:rPr>
          <w:t xml:space="preserve">https://doi.org/10.1002/9781119170174.epcn501</w:t>
        </w:r>
      </w:hyperlink>
    </w:p>
    <w:bookmarkEnd w:id="195"/>
    <w:bookmarkStart w:id="197" w:name="X15ee1cdeb559b21c03a6dd839fbc1e8397a9b4c"/>
    <w:p>
      <w:pPr>
        <w:pStyle w:val="Bibliography"/>
      </w:pPr>
      <w:r>
        <w:t xml:space="preserve">Lockwood, P. L., &amp; Klein-Flügge, M. C. (2021). Computational modelling of social cognition and behaviour</w:t>
      </w:r>
      <w:r>
        <w:t xml:space="preserve">a reinforcement learning primer.</w:t>
      </w:r>
      <w:r>
        <w:t xml:space="preserve"> </w:t>
      </w:r>
      <w:r>
        <w:rPr>
          <w:i/>
          <w:iCs/>
        </w:rPr>
        <w:t xml:space="preserve">Social Cognitive and Affective Neuroscience</w:t>
      </w:r>
      <w:r>
        <w:t xml:space="preserve">,</w:t>
      </w:r>
      <w:r>
        <w:t xml:space="preserve"> </w:t>
      </w:r>
      <w:r>
        <w:rPr>
          <w:i/>
          <w:iCs/>
        </w:rPr>
        <w:t xml:space="preserve">16</w:t>
      </w:r>
      <w:r>
        <w:t xml:space="preserve">(8), 761–771.</w:t>
      </w:r>
      <w:r>
        <w:t xml:space="preserve"> </w:t>
      </w:r>
      <w:hyperlink r:id="rId196">
        <w:r>
          <w:rPr>
            <w:rStyle w:val="Hyperlink"/>
          </w:rPr>
          <w:t xml:space="preserve">https://doi.org/10.1093/scan/nsaa040</w:t>
        </w:r>
      </w:hyperlink>
    </w:p>
    <w:bookmarkEnd w:id="197"/>
    <w:bookmarkStart w:id="199" w:name="ref-lubowVisualSearchFunction1997"/>
    <w:p>
      <w:pPr>
        <w:pStyle w:val="Bibliography"/>
      </w:pPr>
      <w:r>
        <w:t xml:space="preserve">Lubow, R. E., &amp; Kaplan, O. (1997). Visual search as a function of type of prior experience with target and distractor.</w:t>
      </w:r>
      <w:r>
        <w:t xml:space="preserve"> </w:t>
      </w:r>
      <w:r>
        <w:rPr>
          <w:i/>
          <w:iCs/>
        </w:rPr>
        <w:t xml:space="preserve">Journal of Experimental Psychology: Human Perception and Performance</w:t>
      </w:r>
      <w:r>
        <w:t xml:space="preserve">,</w:t>
      </w:r>
      <w:r>
        <w:t xml:space="preserve"> </w:t>
      </w:r>
      <w:r>
        <w:rPr>
          <w:i/>
          <w:iCs/>
        </w:rPr>
        <w:t xml:space="preserve">23</w:t>
      </w:r>
      <w:r>
        <w:t xml:space="preserve">(1), 14–24.</w:t>
      </w:r>
      <w:r>
        <w:t xml:space="preserve"> </w:t>
      </w:r>
      <w:hyperlink r:id="rId198">
        <w:r>
          <w:rPr>
            <w:rStyle w:val="Hyperlink"/>
          </w:rPr>
          <w:t xml:space="preserve">https://doi.org/10.1037/0096-1523.23.1.14</w:t>
        </w:r>
      </w:hyperlink>
    </w:p>
    <w:bookmarkEnd w:id="199"/>
    <w:bookmarkStart w:id="201" w:name="Xfecf777840125aebc84cf7d8100782c92e2aaf8"/>
    <w:p>
      <w:pPr>
        <w:pStyle w:val="Bibliography"/>
      </w:pPr>
      <w:r>
        <w:t xml:space="preserve">Lüken, M., Heathcote, A., Haaf, J. M., &amp; Matzke, D. (2025). 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w:t>
      </w:r>
      <w:r>
        <w:t xml:space="preserve"> </w:t>
      </w:r>
      <w:r>
        <w:rPr>
          <w:i/>
          <w:iCs/>
        </w:rPr>
        <w:t xml:space="preserve">32</w:t>
      </w:r>
      <w:r>
        <w:t xml:space="preserve">(3), 1411–1424.</w:t>
      </w:r>
      <w:r>
        <w:t xml:space="preserve"> </w:t>
      </w:r>
      <w:hyperlink r:id="rId200">
        <w:r>
          <w:rPr>
            <w:rStyle w:val="Hyperlink"/>
          </w:rPr>
          <w:t xml:space="preserve">https://doi.org/10.3758/s13423-024-02621-1</w:t>
        </w:r>
      </w:hyperlink>
    </w:p>
    <w:bookmarkEnd w:id="201"/>
    <w:bookmarkStart w:id="203" w:name="ref-muthukrishnaProblemTheory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w:t>
      </w:r>
      <w:r>
        <w:t xml:space="preserve">(3), 221–229.</w:t>
      </w:r>
      <w:r>
        <w:t xml:space="preserve"> </w:t>
      </w:r>
      <w:hyperlink r:id="rId202">
        <w:r>
          <w:rPr>
            <w:rStyle w:val="Hyperlink"/>
          </w:rPr>
          <w:t xml:space="preserve">https://doi.org/10.1038/s41562-018-0522-1</w:t>
        </w:r>
      </w:hyperlink>
    </w:p>
    <w:bookmarkEnd w:id="203"/>
    <w:bookmarkStart w:id="205" w:name="ref-myersPracticalIntroductionUsing2022"/>
    <w:p>
      <w:pPr>
        <w:pStyle w:val="Bibliography"/>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1039172.</w:t>
      </w:r>
      <w:r>
        <w:t xml:space="preserve"> </w:t>
      </w:r>
      <w:hyperlink r:id="rId204">
        <w:r>
          <w:rPr>
            <w:rStyle w:val="Hyperlink"/>
          </w:rPr>
          <w:t xml:space="preserve">https://doi.org/10.3389/fpsyg.2022.1039172</w:t>
        </w:r>
      </w:hyperlink>
    </w:p>
    <w:bookmarkEnd w:id="205"/>
    <w:bookmarkStart w:id="207" w:name="ref-natuNeuralProcessingFamiliar2011"/>
    <w:p>
      <w:pPr>
        <w:pStyle w:val="Bibliography"/>
      </w:pPr>
      <w:r>
        <w:t xml:space="preserve">Natu, V., &amp; O’Toole, A. J. (2011). The neural processing of familiar and unfamiliar faces: A review and synopsis.</w:t>
      </w:r>
      <w:r>
        <w:t xml:space="preserve"> </w:t>
      </w:r>
      <w:r>
        <w:rPr>
          <w:i/>
          <w:iCs/>
        </w:rPr>
        <w:t xml:space="preserve">British Journal of Psychology</w:t>
      </w:r>
      <w:r>
        <w:t xml:space="preserve">,</w:t>
      </w:r>
      <w:r>
        <w:t xml:space="preserve"> </w:t>
      </w:r>
      <w:r>
        <w:rPr>
          <w:i/>
          <w:iCs/>
        </w:rPr>
        <w:t xml:space="preserve">102</w:t>
      </w:r>
      <w:r>
        <w:t xml:space="preserve">(4), 726–747.</w:t>
      </w:r>
      <w:r>
        <w:t xml:space="preserve"> </w:t>
      </w:r>
      <w:hyperlink r:id="rId206">
        <w:r>
          <w:rPr>
            <w:rStyle w:val="Hyperlink"/>
          </w:rPr>
          <w:t xml:space="preserve">https://doi.org/10.1111/j.2044-8295.2011.02053.x</w:t>
        </w:r>
      </w:hyperlink>
    </w:p>
    <w:bookmarkEnd w:id="207"/>
    <w:bookmarkStart w:id="209" w:name="ref-oberauerAddressingTheoryCrisis2019"/>
    <w:p>
      <w:pPr>
        <w:pStyle w:val="Bibliography"/>
      </w:pPr>
      <w:r>
        <w:t xml:space="preserve">Oberauer, K., &amp; Lewandowsky, S. (2019). Addressing the theory crisis in psychology.</w:t>
      </w:r>
      <w:r>
        <w:t xml:space="preserve"> </w:t>
      </w:r>
      <w:r>
        <w:rPr>
          <w:i/>
          <w:iCs/>
        </w:rPr>
        <w:t xml:space="preserve">Psychonomic Bulletin &amp; Review</w:t>
      </w:r>
      <w:r>
        <w:t xml:space="preserve">,</w:t>
      </w:r>
      <w:r>
        <w:t xml:space="preserve"> </w:t>
      </w:r>
      <w:r>
        <w:rPr>
          <w:i/>
          <w:iCs/>
        </w:rPr>
        <w:t xml:space="preserve">26</w:t>
      </w:r>
      <w:r>
        <w:t xml:space="preserve">(5), 1596–1618.</w:t>
      </w:r>
      <w:r>
        <w:t xml:space="preserve"> </w:t>
      </w:r>
      <w:hyperlink r:id="rId208">
        <w:r>
          <w:rPr>
            <w:rStyle w:val="Hyperlink"/>
          </w:rPr>
          <w:t xml:space="preserve">https://doi.org/10.3758/s13423-019-01645-2</w:t>
        </w:r>
      </w:hyperlink>
    </w:p>
    <w:bookmarkEnd w:id="209"/>
    <w:bookmarkStart w:id="211" w:name="ref-palestroTutorialJointModels2018"/>
    <w:p>
      <w:pPr>
        <w:pStyle w:val="Bibliography"/>
      </w:pPr>
      <w:r>
        <w:t xml:space="preserve">Palestro, J. J., Bahg, G., Sederberg, P. B., Lu, Z.-L., Steyvers, M., &amp; Turner, B. M. (2018). A tutorial on joint models of neural and behavioral measures of cognition.</w:t>
      </w:r>
      <w:r>
        <w:t xml:space="preserve"> </w:t>
      </w:r>
      <w:r>
        <w:rPr>
          <w:i/>
          <w:iCs/>
        </w:rPr>
        <w:t xml:space="preserve">Journal of Mathematical Psychology</w:t>
      </w:r>
      <w:r>
        <w:t xml:space="preserve">,</w:t>
      </w:r>
      <w:r>
        <w:t xml:space="preserve"> </w:t>
      </w:r>
      <w:r>
        <w:rPr>
          <w:i/>
          <w:iCs/>
        </w:rPr>
        <w:t xml:space="preserve">84</w:t>
      </w:r>
      <w:r>
        <w:t xml:space="preserve">, 20–48.</w:t>
      </w:r>
      <w:r>
        <w:t xml:space="preserve"> </w:t>
      </w:r>
      <w:hyperlink r:id="rId210">
        <w:r>
          <w:rPr>
            <w:rStyle w:val="Hyperlink"/>
          </w:rPr>
          <w:t xml:space="preserve">https://doi.org/10.1016/j.jmp.2018.03.003</w:t>
        </w:r>
      </w:hyperlink>
    </w:p>
    <w:bookmarkEnd w:id="211"/>
    <w:bookmarkStart w:id="213" w:name="ref-parker2024"/>
    <w:p>
      <w:pPr>
        <w:pStyle w:val="Bibliography"/>
      </w:pPr>
      <w:r>
        <w:t xml:space="preserve">Parker, S., &amp; Ramsey, R. (2024).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639–655.</w:t>
      </w:r>
      <w:r>
        <w:t xml:space="preserve"> </w:t>
      </w:r>
      <w:hyperlink r:id="rId212">
        <w:r>
          <w:rPr>
            <w:rStyle w:val="Hyperlink"/>
          </w:rPr>
          <w:t xml:space="preserve">https://doi.org/10.1177/17470218231176950</w:t>
        </w:r>
      </w:hyperlink>
    </w:p>
    <w:bookmarkEnd w:id="213"/>
    <w:bookmarkStart w:id="215" w:name="Xbbc100c68483f96c48b8662a8ebad22a1578ea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14">
        <w:r>
          <w:rPr>
            <w:rStyle w:val="Hyperlink"/>
          </w:rPr>
          <w:t xml:space="preserve">https://doi.org/10.3758/s13428-018-01193-y</w:t>
        </w:r>
      </w:hyperlink>
    </w:p>
    <w:bookmarkEnd w:id="215"/>
    <w:bookmarkStart w:id="217" w:name="ref-phillipsStateModellingFace2025"/>
    <w:p>
      <w:pPr>
        <w:pStyle w:val="Bibliography"/>
      </w:pPr>
      <w:r>
        <w:t xml:space="preserve">Phillips, P. J., &amp; White, D. (2025). The state of modelling face processing in humans with deep learning.</w:t>
      </w:r>
      <w:r>
        <w:t xml:space="preserve"> </w:t>
      </w:r>
      <w:r>
        <w:rPr>
          <w:i/>
          <w:iCs/>
        </w:rPr>
        <w:t xml:space="preserve">British Journal of Psychology</w:t>
      </w:r>
      <w:r>
        <w:t xml:space="preserve">, bjop.12794.</w:t>
      </w:r>
      <w:r>
        <w:t xml:space="preserve"> </w:t>
      </w:r>
      <w:hyperlink r:id="rId216">
        <w:r>
          <w:rPr>
            <w:rStyle w:val="Hyperlink"/>
          </w:rPr>
          <w:t xml:space="preserve">https://doi.org/10.1111/bjop.12794</w:t>
        </w:r>
      </w:hyperlink>
    </w:p>
    <w:bookmarkEnd w:id="217"/>
    <w:bookmarkStart w:id="219" w:name="ref-proulxStatisticalRitualTheory2021"/>
    <w:p>
      <w:pPr>
        <w:pStyle w:val="Bibliography"/>
      </w:pPr>
      <w:r>
        <w:t xml:space="preserve">Proulx, T., &amp; Morey, R. D. (2021). Beyond statistical ritual: Theory in psychological science.</w:t>
      </w:r>
      <w:r>
        <w:t xml:space="preserve"> </w:t>
      </w:r>
      <w:r>
        <w:rPr>
          <w:i/>
          <w:iCs/>
        </w:rPr>
        <w:t xml:space="preserve">Perspectives on Psychological Science</w:t>
      </w:r>
      <w:r>
        <w:t xml:space="preserve">,</w:t>
      </w:r>
      <w:r>
        <w:t xml:space="preserve"> </w:t>
      </w:r>
      <w:r>
        <w:rPr>
          <w:i/>
          <w:iCs/>
        </w:rPr>
        <w:t xml:space="preserve">16</w:t>
      </w:r>
      <w:r>
        <w:t xml:space="preserve">(4), 671–681.</w:t>
      </w:r>
      <w:r>
        <w:t xml:space="preserve"> </w:t>
      </w:r>
      <w:hyperlink r:id="rId218">
        <w:r>
          <w:rPr>
            <w:rStyle w:val="Hyperlink"/>
          </w:rPr>
          <w:t xml:space="preserve">https://doi.org/10.1177/17456916211017098</w:t>
        </w:r>
      </w:hyperlink>
    </w:p>
    <w:bookmarkEnd w:id="219"/>
    <w:bookmarkStart w:id="221" w:name="ref-ramonFamiliarityMattersReview2018"/>
    <w:p>
      <w:pPr>
        <w:pStyle w:val="Bibliography"/>
      </w:pPr>
      <w:r>
        <w:t xml:space="preserve">Ramon, M., &amp; Gobbini, M. I. (2018). Familiarity matters: A review on prioritized processing of personally familiar faces.</w:t>
      </w:r>
      <w:r>
        <w:t xml:space="preserve"> </w:t>
      </w:r>
      <w:r>
        <w:rPr>
          <w:i/>
          <w:iCs/>
        </w:rPr>
        <w:t xml:space="preserve">Visual Cognition</w:t>
      </w:r>
      <w:r>
        <w:t xml:space="preserve">,</w:t>
      </w:r>
      <w:r>
        <w:t xml:space="preserve"> </w:t>
      </w:r>
      <w:r>
        <w:rPr>
          <w:i/>
          <w:iCs/>
        </w:rPr>
        <w:t xml:space="preserve">26</w:t>
      </w:r>
      <w:r>
        <w:t xml:space="preserve">(3), 179–195.</w:t>
      </w:r>
      <w:r>
        <w:t xml:space="preserve"> </w:t>
      </w:r>
      <w:hyperlink r:id="rId220">
        <w:r>
          <w:rPr>
            <w:rStyle w:val="Hyperlink"/>
          </w:rPr>
          <w:t xml:space="preserve">https://doi.org/10.1080/13506285.2017.1405134</w:t>
        </w:r>
      </w:hyperlink>
    </w:p>
    <w:bookmarkEnd w:id="221"/>
    <w:bookmarkStart w:id="223" w:name="ref-rapcsakFaceRecognition2019"/>
    <w:p>
      <w:pPr>
        <w:pStyle w:val="Bibliography"/>
      </w:pPr>
      <w:r>
        <w:t xml:space="preserve">Rapcsak, S. Z. (2019). Face recognition.</w:t>
      </w:r>
      <w:r>
        <w:t xml:space="preserve"> </w:t>
      </w:r>
      <w:r>
        <w:rPr>
          <w:i/>
          <w:iCs/>
        </w:rPr>
        <w:t xml:space="preserve">Current Neurology and Neuroscience Reports</w:t>
      </w:r>
      <w:r>
        <w:t xml:space="preserve">,</w:t>
      </w:r>
      <w:r>
        <w:t xml:space="preserve"> </w:t>
      </w:r>
      <w:r>
        <w:rPr>
          <w:i/>
          <w:iCs/>
        </w:rPr>
        <w:t xml:space="preserve">19</w:t>
      </w:r>
      <w:r>
        <w:t xml:space="preserve">(7), 41.</w:t>
      </w:r>
      <w:r>
        <w:t xml:space="preserve"> </w:t>
      </w:r>
      <w:hyperlink r:id="rId222">
        <w:r>
          <w:rPr>
            <w:rStyle w:val="Hyperlink"/>
          </w:rPr>
          <w:t xml:space="preserve">https://doi.org/10.1007/s11910-019-0960-9</w:t>
        </w:r>
      </w:hyperlink>
    </w:p>
    <w:bookmarkEnd w:id="223"/>
    <w:bookmarkStart w:id="225" w:name="ref-ratcliffModelingResponseTimes1998"/>
    <w:p>
      <w:pPr>
        <w:pStyle w:val="Bibliography"/>
      </w:pPr>
      <w:r>
        <w:t xml:space="preserve">Ratcliff, R., &amp; Rouder, J. N. (1998). Modeling response times for two-choice decisions.</w:t>
      </w:r>
      <w:r>
        <w:t xml:space="preserve"> </w:t>
      </w:r>
      <w:r>
        <w:rPr>
          <w:i/>
          <w:iCs/>
        </w:rPr>
        <w:t xml:space="preserve">Psychological Science</w:t>
      </w:r>
      <w:r>
        <w:t xml:space="preserve">,</w:t>
      </w:r>
      <w:r>
        <w:t xml:space="preserve"> </w:t>
      </w:r>
      <w:r>
        <w:rPr>
          <w:i/>
          <w:iCs/>
        </w:rPr>
        <w:t xml:space="preserve">9</w:t>
      </w:r>
      <w:r>
        <w:t xml:space="preserve">(5), 347–356.</w:t>
      </w:r>
      <w:r>
        <w:t xml:space="preserve"> </w:t>
      </w:r>
      <w:hyperlink r:id="rId224">
        <w:r>
          <w:rPr>
            <w:rStyle w:val="Hyperlink"/>
          </w:rPr>
          <w:t xml:space="preserve">https://doi.org/10.1111/1467-9280.00067</w:t>
        </w:r>
      </w:hyperlink>
    </w:p>
    <w:bookmarkEnd w:id="225"/>
    <w:bookmarkStart w:id="227" w:name="ref-ratcliffDiffusionDecisionModel2016"/>
    <w:p>
      <w:pPr>
        <w:pStyle w:val="Bibliography"/>
      </w:pPr>
      <w:r>
        <w:t xml:space="preserve">Ratcliff, R., Smith, P. L., Brown, S. D., &amp; McKoon, G. (2016). Diffusion decision model: Current issues and history.</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226">
        <w:r>
          <w:rPr>
            <w:rStyle w:val="Hyperlink"/>
          </w:rPr>
          <w:t xml:space="preserve">https://doi.org/10.1016/j.tics.2016.01.007</w:t>
        </w:r>
      </w:hyperlink>
    </w:p>
    <w:bookmarkEnd w:id="227"/>
    <w:bookmarkStart w:id="229" w:name="ref-ratcliffEffectsAgingReaction2001"/>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28">
        <w:r>
          <w:rPr>
            <w:rStyle w:val="Hyperlink"/>
          </w:rPr>
          <w:t xml:space="preserve">https://doi.org/10.1037/0882-7974.16.2.323</w:t>
        </w:r>
      </w:hyperlink>
    </w:p>
    <w:bookmarkEnd w:id="229"/>
    <w:bookmarkStart w:id="231" w:name="ref-readChangingPhotosFaces1990"/>
    <w:p>
      <w:pPr>
        <w:pStyle w:val="Bibliography"/>
      </w:pPr>
      <w:r>
        <w:t xml:space="preserve">Read, J., &amp; Hammersley, R. (1990). 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w:t>
      </w:r>
      <w:r>
        <w:t xml:space="preserve"> </w:t>
      </w:r>
      <w:r>
        <w:rPr>
          <w:i/>
          <w:iCs/>
        </w:rPr>
        <w:t xml:space="preserve">16</w:t>
      </w:r>
      <w:r>
        <w:t xml:space="preserve">, 870–882.</w:t>
      </w:r>
      <w:r>
        <w:t xml:space="preserve"> </w:t>
      </w:r>
      <w:hyperlink r:id="rId230">
        <w:r>
          <w:rPr>
            <w:rStyle w:val="Hyperlink"/>
          </w:rPr>
          <w:t xml:space="preserve">https://doi.org/10.1037/0278-7393.16.5.870</w:t>
        </w:r>
      </w:hyperlink>
    </w:p>
    <w:bookmarkEnd w:id="231"/>
    <w:bookmarkStart w:id="233" w:name="X7cdc7ff1decf24b7d9aabf7adb4c3eb2dafa3dd"/>
    <w:p>
      <w:pPr>
        <w:pStyle w:val="Bibliography"/>
      </w:pPr>
      <w:r>
        <w:t xml:space="preserve">Russell, R., Duchaine, B., &amp; Nakayama, K. (2009). Super-recognizers: People with extraordinary face recognition ability.</w:t>
      </w:r>
      <w:r>
        <w:t xml:space="preserve"> </w:t>
      </w:r>
      <w:r>
        <w:rPr>
          <w:i/>
          <w:iCs/>
        </w:rPr>
        <w:t xml:space="preserve">Psychonomic Bulletin &amp; Review</w:t>
      </w:r>
      <w:r>
        <w:t xml:space="preserve">,</w:t>
      </w:r>
      <w:r>
        <w:t xml:space="preserve"> </w:t>
      </w:r>
      <w:r>
        <w:rPr>
          <w:i/>
          <w:iCs/>
        </w:rPr>
        <w:t xml:space="preserve">16</w:t>
      </w:r>
      <w:r>
        <w:t xml:space="preserve">(2), 252–257.</w:t>
      </w:r>
      <w:r>
        <w:t xml:space="preserve"> </w:t>
      </w:r>
      <w:hyperlink r:id="rId232">
        <w:r>
          <w:rPr>
            <w:rStyle w:val="Hyperlink"/>
          </w:rPr>
          <w:t xml:space="preserve">https://doi.org/10.3758/PBR.16.2.252</w:t>
        </w:r>
      </w:hyperlink>
    </w:p>
    <w:bookmarkEnd w:id="233"/>
    <w:bookmarkStart w:id="235" w:name="ref-schomakerNoveltyEnhancesVisual2012"/>
    <w:p>
      <w:pPr>
        <w:pStyle w:val="Bibliography"/>
      </w:pPr>
      <w:r>
        <w:t xml:space="preserve">Schomaker, J., &amp; Meeter, M. (2012). Novelty enhances visual perception.</w:t>
      </w:r>
      <w:r>
        <w:t xml:space="preserve"> </w:t>
      </w:r>
      <w:r>
        <w:rPr>
          <w:i/>
          <w:iCs/>
        </w:rPr>
        <w:t xml:space="preserve">PLOS ONE</w:t>
      </w:r>
      <w:r>
        <w:t xml:space="preserve">,</w:t>
      </w:r>
      <w:r>
        <w:t xml:space="preserve"> </w:t>
      </w:r>
      <w:r>
        <w:rPr>
          <w:i/>
          <w:iCs/>
        </w:rPr>
        <w:t xml:space="preserve">7</w:t>
      </w:r>
      <w:r>
        <w:t xml:space="preserve">(12), e50599.</w:t>
      </w:r>
      <w:r>
        <w:t xml:space="preserve"> </w:t>
      </w:r>
      <w:hyperlink r:id="rId234">
        <w:r>
          <w:rPr>
            <w:rStyle w:val="Hyperlink"/>
          </w:rPr>
          <w:t xml:space="preserve">https://doi.org/10.1371/journal.pone.0050599</w:t>
        </w:r>
      </w:hyperlink>
    </w:p>
    <w:bookmarkEnd w:id="235"/>
    <w:bookmarkStart w:id="237" w:name="Xe75dc92e832917d7b0a8bd8823c927a72b52b4e"/>
    <w:p>
      <w:pPr>
        <w:pStyle w:val="Bibliography"/>
      </w:pPr>
      <w:r>
        <w:t xml:space="preserve">Schwaninger, A., Lobmaier, J. S., &amp; Collishaw, S. M. (2002). Role of featural and configural information in familiar and unfamiliar face recognition. In H. H. Bülthoff, C. Wallraven, S.-W. Lee, &amp; T. A. Poggio (Eds.),</w:t>
      </w:r>
      <w:r>
        <w:t xml:space="preserve"> </w:t>
      </w:r>
      <w:r>
        <w:rPr>
          <w:i/>
          <w:iCs/>
        </w:rPr>
        <w:t xml:space="preserve">Biologically motivated computer vision</w:t>
      </w:r>
      <w:r>
        <w:t xml:space="preserve"> </w:t>
      </w:r>
      <w:r>
        <w:t xml:space="preserve">(Vol. 2525, pp. 643–650). Springer Berlin Heidelberg.</w:t>
      </w:r>
      <w:r>
        <w:t xml:space="preserve"> </w:t>
      </w:r>
      <w:hyperlink r:id="rId236">
        <w:r>
          <w:rPr>
            <w:rStyle w:val="Hyperlink"/>
          </w:rPr>
          <w:t xml:space="preserve">http://link.springer.com/10.1007/3-540-36181-2_64</w:t>
        </w:r>
      </w:hyperlink>
    </w:p>
    <w:bookmarkEnd w:id="237"/>
    <w:bookmarkStart w:id="239" w:name="X8169f5a5c52f9b2ab1fb6721aa82db700e1697d"/>
    <w:p>
      <w:pPr>
        <w:pStyle w:val="Bibliography"/>
      </w:pPr>
      <w:r>
        <w:t xml:space="preserve">Schwartz, L., &amp; Yovel, G. (2016). The roles of perceptual and conceptual information in face recognition.</w:t>
      </w:r>
      <w:r>
        <w:t xml:space="preserve"> </w:t>
      </w:r>
      <w:r>
        <w:rPr>
          <w:i/>
          <w:iCs/>
        </w:rPr>
        <w:t xml:space="preserve">Journal of Experimental Psychology: General</w:t>
      </w:r>
      <w:r>
        <w:t xml:space="preserve">,</w:t>
      </w:r>
      <w:r>
        <w:t xml:space="preserve"> </w:t>
      </w:r>
      <w:r>
        <w:rPr>
          <w:i/>
          <w:iCs/>
        </w:rPr>
        <w:t xml:space="preserve">145</w:t>
      </w:r>
      <w:r>
        <w:t xml:space="preserve">(11), 1493–1511.</w:t>
      </w:r>
      <w:r>
        <w:t xml:space="preserve"> </w:t>
      </w:r>
      <w:hyperlink r:id="rId238">
        <w:r>
          <w:rPr>
            <w:rStyle w:val="Hyperlink"/>
          </w:rPr>
          <w:t xml:space="preserve">https://doi.org/10.1037/xge0000220</w:t>
        </w:r>
      </w:hyperlink>
    </w:p>
    <w:bookmarkEnd w:id="239"/>
    <w:bookmarkStart w:id="241" w:name="X0d6618003d28a1539898287bbc575a0d4356d23"/>
    <w:p>
      <w:pPr>
        <w:pStyle w:val="Bibliography"/>
      </w:pPr>
      <w:r>
        <w:t xml:space="preserve">Schwartz, L., &amp; Yovel, G. (2019). Independent contribution of perceptual experience and social cognition to face recognition.</w:t>
      </w:r>
      <w:r>
        <w:t xml:space="preserve"> </w:t>
      </w:r>
      <w:r>
        <w:rPr>
          <w:i/>
          <w:iCs/>
        </w:rPr>
        <w:t xml:space="preserve">Cognition</w:t>
      </w:r>
      <w:r>
        <w:t xml:space="preserve">,</w:t>
      </w:r>
      <w:r>
        <w:t xml:space="preserve"> </w:t>
      </w:r>
      <w:r>
        <w:rPr>
          <w:i/>
          <w:iCs/>
        </w:rPr>
        <w:t xml:space="preserve">183</w:t>
      </w:r>
      <w:r>
        <w:t xml:space="preserve">, 131–138.</w:t>
      </w:r>
      <w:r>
        <w:t xml:space="preserve"> </w:t>
      </w:r>
      <w:hyperlink r:id="rId240">
        <w:r>
          <w:rPr>
            <w:rStyle w:val="Hyperlink"/>
          </w:rPr>
          <w:t xml:space="preserve">https://doi.org/10.1016/j.cognition.2018.11.003</w:t>
        </w:r>
      </w:hyperlink>
    </w:p>
    <w:bookmarkEnd w:id="241"/>
    <w:bookmarkStart w:id="243" w:name="ref-simonsConstraintsGeneralityCOG2017"/>
    <w:p>
      <w:pPr>
        <w:pStyle w:val="Bibliography"/>
      </w:pPr>
      <w:r>
        <w:t xml:space="preserve">Simons, D., Shoda, Y., &amp; Lindsay, D. (2017). Constraints on generality (COG): A proposed addition to all empirical papers.</w:t>
      </w:r>
      <w:r>
        <w:t xml:space="preserve"> </w:t>
      </w:r>
      <w:r>
        <w:rPr>
          <w:i/>
          <w:iCs/>
        </w:rPr>
        <w:t xml:space="preserve">Perspectives on Psychological Science</w:t>
      </w:r>
      <w:r>
        <w:t xml:space="preserve">,</w:t>
      </w:r>
      <w:r>
        <w:t xml:space="preserve"> </w:t>
      </w:r>
      <w:r>
        <w:rPr>
          <w:i/>
          <w:iCs/>
        </w:rPr>
        <w:t xml:space="preserve">12</w:t>
      </w:r>
      <w:r>
        <w:t xml:space="preserve">, 174569161770863.</w:t>
      </w:r>
      <w:r>
        <w:t xml:space="preserve"> </w:t>
      </w:r>
      <w:hyperlink r:id="rId242">
        <w:r>
          <w:rPr>
            <w:rStyle w:val="Hyperlink"/>
          </w:rPr>
          <w:t xml:space="preserve">https://doi.org/10.1177/1745691617708630</w:t>
        </w:r>
      </w:hyperlink>
    </w:p>
    <w:bookmarkEnd w:id="243"/>
    <w:bookmarkStart w:id="245" w:name="ref-EMC2"/>
    <w:p>
      <w:pPr>
        <w:pStyle w:val="Bibliography"/>
      </w:pPr>
      <w:r>
        <w:t xml:space="preserve">Stevenson, N., Donzallaz, M., &amp; Heathcote, A. (2025).</w:t>
      </w:r>
      <w:r>
        <w:t xml:space="preserve"> </w:t>
      </w:r>
      <w:r>
        <w:rPr>
          <w:i/>
          <w:iCs/>
        </w:rPr>
        <w:t xml:space="preserve">EMC2: Bayesian hierarchical analysis of cognitive models of choice</w:t>
      </w:r>
      <w:r>
        <w:t xml:space="preserve">.</w:t>
      </w:r>
      <w:r>
        <w:t xml:space="preserve"> </w:t>
      </w:r>
      <w:hyperlink r:id="rId244">
        <w:r>
          <w:rPr>
            <w:rStyle w:val="Hyperlink"/>
          </w:rPr>
          <w:t xml:space="preserve">https://CRAN.R-project.org/package=EMC2</w:t>
        </w:r>
      </w:hyperlink>
    </w:p>
    <w:bookmarkEnd w:id="245"/>
    <w:bookmarkStart w:id="247" w:name="X3d982727b7a79a11cc851a942e1c51621303d34"/>
    <w:p>
      <w:pPr>
        <w:pStyle w:val="Bibliography"/>
      </w:pPr>
      <w:r>
        <w:t xml:space="preserve">Stretch, V., &amp; Wixted, J. T. (1998). On the difference between strength-based and frequency-based mirror effects in recognition memory.</w:t>
      </w:r>
      <w:r>
        <w:t xml:space="preserve"> </w:t>
      </w:r>
      <w:r>
        <w:rPr>
          <w:i/>
          <w:iCs/>
        </w:rPr>
        <w:t xml:space="preserve">Journal of Experimental Psychology: Learning, Memory, and Cognition</w:t>
      </w:r>
      <w:r>
        <w:t xml:space="preserve">,</w:t>
      </w:r>
      <w:r>
        <w:t xml:space="preserve"> </w:t>
      </w:r>
      <w:r>
        <w:rPr>
          <w:i/>
          <w:iCs/>
        </w:rPr>
        <w:t xml:space="preserve">24</w:t>
      </w:r>
      <w:r>
        <w:t xml:space="preserve">(6), 1379–1396.</w:t>
      </w:r>
      <w:r>
        <w:t xml:space="preserve"> </w:t>
      </w:r>
      <w:hyperlink r:id="rId246">
        <w:r>
          <w:rPr>
            <w:rStyle w:val="Hyperlink"/>
          </w:rPr>
          <w:t xml:space="preserve">https://doi.org/10.1037/0278-7393.24.6.1379</w:t>
        </w:r>
      </w:hyperlink>
    </w:p>
    <w:bookmarkEnd w:id="247"/>
    <w:bookmarkStart w:id="249" w:name="ref-GIMP"/>
    <w:p>
      <w:pPr>
        <w:pStyle w:val="Bibliography"/>
      </w:pPr>
      <w:r>
        <w:t xml:space="preserve">The GIMP Development Team. (2025).</w:t>
      </w:r>
      <w:r>
        <w:t xml:space="preserve"> </w:t>
      </w:r>
      <w:r>
        <w:rPr>
          <w:i/>
          <w:iCs/>
        </w:rPr>
        <w:t xml:space="preserve">GNU image manipulation program (GIMP), version 3.0.6. Community, free software (license GPLv3)</w:t>
      </w:r>
      <w:r>
        <w:t xml:space="preserve"> </w:t>
      </w:r>
      <w:r>
        <w:t xml:space="preserve">[Computer software].</w:t>
      </w:r>
      <w:r>
        <w:t xml:space="preserve"> </w:t>
      </w:r>
      <w:hyperlink r:id="rId248">
        <w:r>
          <w:rPr>
            <w:rStyle w:val="Hyperlink"/>
          </w:rPr>
          <w:t xml:space="preserve">https://gimp.org/</w:t>
        </w:r>
      </w:hyperlink>
    </w:p>
    <w:bookmarkEnd w:id="249"/>
    <w:bookmarkStart w:id="251" w:name="ref-tulvingNoveltyAssessmentBrain1995"/>
    <w:p>
      <w:pPr>
        <w:pStyle w:val="Bibliography"/>
      </w:pPr>
      <w:r>
        <w:t xml:space="preserve">Tulving, E., &amp; Kroll, N. (1995). Novelty assessment in the brain and long-term memory encoding.</w:t>
      </w:r>
      <w:r>
        <w:t xml:space="preserve"> </w:t>
      </w:r>
      <w:r>
        <w:rPr>
          <w:i/>
          <w:iCs/>
        </w:rPr>
        <w:t xml:space="preserve">Psychonomic Bulletin &amp; Review</w:t>
      </w:r>
      <w:r>
        <w:t xml:space="preserve">,</w:t>
      </w:r>
      <w:r>
        <w:t xml:space="preserve"> </w:t>
      </w:r>
      <w:r>
        <w:rPr>
          <w:i/>
          <w:iCs/>
        </w:rPr>
        <w:t xml:space="preserve">2</w:t>
      </w:r>
      <w:r>
        <w:t xml:space="preserve">(3), 387–390.</w:t>
      </w:r>
      <w:r>
        <w:t xml:space="preserve"> </w:t>
      </w:r>
      <w:hyperlink r:id="rId250">
        <w:r>
          <w:rPr>
            <w:rStyle w:val="Hyperlink"/>
          </w:rPr>
          <w:t xml:space="preserve">https://doi.org/10.3758/BF03210977</w:t>
        </w:r>
      </w:hyperlink>
    </w:p>
    <w:bookmarkEnd w:id="251"/>
    <w:bookmarkStart w:id="253" w:name="ref-voDeepLatentVariable2024"/>
    <w:p>
      <w:pPr>
        <w:pStyle w:val="Bibliography"/>
      </w:pPr>
      <w:r>
        <w:t xml:space="preserve">Vo, K., Sun, Q. J., Nunez, M. D., Vandekerckhove, J., &amp; Srinivasan, R. (2024). Deep latent variable joint cognitive modeling of neural signals and human behavior.</w:t>
      </w:r>
      <w:r>
        <w:t xml:space="preserve"> </w:t>
      </w:r>
      <w:r>
        <w:rPr>
          <w:i/>
          <w:iCs/>
        </w:rPr>
        <w:t xml:space="preserve">NeuroImage</w:t>
      </w:r>
      <w:r>
        <w:t xml:space="preserve">, 120559.</w:t>
      </w:r>
      <w:r>
        <w:t xml:space="preserve"> </w:t>
      </w:r>
      <w:hyperlink r:id="rId252">
        <w:r>
          <w:rPr>
            <w:rStyle w:val="Hyperlink"/>
          </w:rPr>
          <w:t xml:space="preserve">https://doi.org/10.1016/j.neuroimage.2024.120559</w:t>
        </w:r>
      </w:hyperlink>
    </w:p>
    <w:bookmarkEnd w:id="253"/>
    <w:bookmarkStart w:id="255" w:name="X8ee45e5be2bbd8590a48be764294600478f647e"/>
    <w:p>
      <w:pPr>
        <w:pStyle w:val="Bibliography"/>
      </w:pPr>
      <w:r>
        <w:t xml:space="preserve">Wagenmakers, E.-J., Van Der Maas, H. L. J., &amp; Grasman, R. P. P. P. (2007). An EZ-diffusion 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254">
        <w:r>
          <w:rPr>
            <w:rStyle w:val="Hyperlink"/>
          </w:rPr>
          <w:t xml:space="preserve">https://doi.org/10.3758/BF03194023</w:t>
        </w:r>
      </w:hyperlink>
    </w:p>
    <w:bookmarkEnd w:id="255"/>
    <w:bookmarkStart w:id="257"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56">
        <w:r>
          <w:rPr>
            <w:rStyle w:val="Hyperlink"/>
          </w:rPr>
          <w:t xml:space="preserve">https://doi.org/10.1017/S0140525X20001685</w:t>
        </w:r>
      </w:hyperlink>
    </w:p>
    <w:bookmarkEnd w:id="257"/>
    <w:bookmarkStart w:id="259" w:name="ref-youngAreWeFace2018"/>
    <w:p>
      <w:pPr>
        <w:pStyle w:val="Bibliography"/>
      </w:pPr>
      <w:r>
        <w:t xml:space="preserve">Young, A. W., &amp; Burton, A. M. (2018). Are we face experts?</w:t>
      </w:r>
      <w:r>
        <w:t xml:space="preserve"> </w:t>
      </w:r>
      <w:r>
        <w:rPr>
          <w:i/>
          <w:iCs/>
        </w:rPr>
        <w:t xml:space="preserve">Trends in Cognitive Sciences</w:t>
      </w:r>
      <w:r>
        <w:t xml:space="preserve">,</w:t>
      </w:r>
      <w:r>
        <w:t xml:space="preserve"> </w:t>
      </w:r>
      <w:r>
        <w:rPr>
          <w:i/>
          <w:iCs/>
        </w:rPr>
        <w:t xml:space="preserve">22</w:t>
      </w:r>
      <w:r>
        <w:t xml:space="preserve">(2), 100–110.</w:t>
      </w:r>
      <w:r>
        <w:t xml:space="preserve"> </w:t>
      </w:r>
      <w:hyperlink r:id="rId258">
        <w:r>
          <w:rPr>
            <w:rStyle w:val="Hyperlink"/>
          </w:rPr>
          <w:t xml:space="preserve">https://doi.org/10.1016/j.tics.2017.11.007</w:t>
        </w:r>
      </w:hyperlink>
    </w:p>
    <w:bookmarkEnd w:id="259"/>
    <w:bookmarkEnd w:id="260"/>
    <w:bookmarkEnd w:id="2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2026-08-10T08:59:10Z</dcterms:created>
  <dcterms:modified xsi:type="dcterms:W3CDTF">2026-08-10T08:59:10Z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2026-08-10</vt:lpwstr>
  </property>
  <property fmtid="{D5CDD505-2E9C-101B-9397-08002B2CF9AE}" pid="11" name="editor">
    <vt:lpwstr/>
  </property>
  <property fmtid="{D5CDD505-2E9C-101B-9397-08002B2CF9AE}" pid="12" name="editor_options">
    <vt:lpwstr/>
  </property>
  <property fmtid="{D5CDD505-2E9C-101B-9397-08002B2CF9AE}" pid="13" name="engines">
    <vt:lpwstr/>
  </property>
  <property fmtid="{D5CDD505-2E9C-101B-9397-08002B2CF9AE}" pid="14" name="func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running-head">
    <vt:lpwstr>Decision models of face memory</vt:lpwstr>
  </property>
  <property fmtid="{D5CDD505-2E9C-101B-9397-08002B2CF9AE}" pid="21" name="toc-title">
    <vt:lpwstr>Table of contents</vt:lpwstr>
  </property>
  <property fmtid="{D5CDD505-2E9C-101B-9397-08002B2CF9AE}" pid="22" name="wordcount">
    <vt:lpwstr>True</vt:lpwstr>
  </property>
</Properties>
</file>