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2026-04-08</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bookmarkStart w:id="31"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 For each experiment, the research question, hypotheses, experimental design, planned analysis, and exclusion criteria were preregistered (Experiment 1:</w:t>
      </w:r>
      <w:r>
        <w:t xml:space="preserve"> </w:t>
      </w:r>
      <w:hyperlink r:id="rId27">
        <w:r>
          <w:rPr>
            <w:rStyle w:val="Hyperlink"/>
          </w:rPr>
          <w:t xml:space="preserve">https://osf.io/azyvu/overview</w:t>
        </w:r>
      </w:hyperlink>
      <w:r>
        <w:t xml:space="preserve">); Experiment 2:</w:t>
      </w:r>
      <w:r>
        <w:t xml:space="preserve"> </w:t>
      </w:r>
      <w:hyperlink r:id="rId28">
        <w:r>
          <w:rPr>
            <w:rStyle w:val="Hyperlink"/>
          </w:rPr>
          <w:t xml:space="preserve">https://osf.io/tu2eh/overview</w:t>
        </w:r>
      </w:hyperlink>
      <w:r>
        <w:t xml:space="preserve">; Experiment 3:</w:t>
      </w:r>
      <w:r>
        <w:t xml:space="preserve"> </w:t>
      </w:r>
      <w:hyperlink r:id="rId29">
        <w:r>
          <w:rPr>
            <w:rStyle w:val="Hyperlink"/>
          </w:rPr>
          <w:t xml:space="preserve">https://osf.io/ut78f/overview</w:t>
        </w:r>
      </w:hyperlink>
      <w:r>
        <w:t xml:space="preserve">; Experiment 4</w:t>
      </w:r>
      <w:r>
        <w:t xml:space="preserve"> </w:t>
      </w:r>
      <w:hyperlink r:id="rId30">
        <w:r>
          <w:rPr>
            <w:rStyle w:val="Hyperlink"/>
          </w:rPr>
          <w:t xml:space="preserve">https://osf.io/vj2aq/overview</w:t>
        </w:r>
      </w:hyperlink>
      <w:r>
        <w:t xml:space="preserve">. The raw data, experimental materials, and analysis code are available on GitHub (link) or the Open Science Framework (link).</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arameters were sufficiently well-recovered to suggest the combination of data and design were a reasonable choice (See Supplementary Materials).</w:t>
      </w:r>
    </w:p>
    <w:p>
      <w:pPr>
        <w:pStyle w:val="BodyText"/>
      </w:pPr>
      <w:r>
        <w:t xml:space="preserve">31 healthy participants took part in Experiment 1 (</w:t>
      </w:r>
      <w:hyperlink w:anchor="tbl-participants">
        <w:r>
          <w:rPr>
            <w:rStyle w:val="Hyperlink"/>
          </w:rPr>
          <w:t xml:space="preserve">Table 3</w:t>
        </w:r>
      </w:hyperlink>
      <w:r>
        <w:t xml:space="preserve">).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w:t>
            </w:r>
          </w:p>
          <w:tbl>
            <w:tblPr>
              <w:tblStyle w:val="Table"/>
              <w:tblW w:type="pct" w:w="4711"/>
              <w:tblLayout w:type="fixed"/>
              <w:tblLook w:firstRow="1" w:lastRow="1"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0</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gridSpan w:val="12"/>
                </w:tcPr>
                <w:p>
                  <w:pPr>
                    <w:pStyle w:val="Compact"/>
                    <w:jc w:val="center"/>
                  </w:pPr>
                  <w:r>
                    <w:t xml:space="preserve">RT = response time; — = criterion not applicable for this experiment.</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(REF : DeBruine, Lisa; Jones, Benedict (2017):</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gray-scale image of a face was shown on the screen. Participants were asked to choose if they had previously seen this face in the familiarization part or not. 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Participants had to be located in the United Kingdom or in the United States, be aged between 18-65 years old, with normal or corrected-to-normal vision and speak fluent English. Furthermore, Prolific offers the option to chose the approval rate of the participants willing to take part in the study. The approval rate is the percentage for which participants has been approved in previous experiment. An approval rating between 95% and 100% was chosen in our study to try to ensure high data quality. 38 participants started the experiment and nobody withdrew. Following our preregistered exclusion criterion, 4 participants were excluded because their percentage of missed trials was higher than 25% and 1 was removed because the overall accuracy was lower than 55%. In the end, data from 30 participants (20 men and 10 women) were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 In the end, the data of 30 participants (13 men and 17 women) were retained for further analysis and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using the same criteria as Experiment 2. 58 participants started the experiment and after reading the information and consent form 12 participants withdrew from the experiment. Thus 46 participants completed the experiment. Following our preregistered exclusion criterion, 12 did not show a sufficiently high level of familiarity with the famous faces. In addition, 1 participant was excluded because the percentage of missed trials was higher than 25% and 3 were removed because the overall accuracy was lower than 55% or higher than 95%. In the end, the data of 30 participants (17 men and 13 women) were retained for further analysis and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 To avoid that decisions are based on visual features and not on familiarity, we changed the face pictures data set for both conditions in Experiment 4.</w:t>
      </w:r>
    </w:p>
    <w:p>
      <w:pPr>
        <w:pStyle w:val="BodyText"/>
      </w:pPr>
      <w:r>
        <w:t xml:space="preserve">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p>
      <w:pPr>
        <w:pStyle w:val="BodyText"/>
      </w:pPr>
      <w:r>
        <w:t xml:space="preserve">Priors here.</w:t>
      </w:r>
      <w:r>
        <w:t xml:space="preserve"> </w:t>
      </w:r>
      <w:r>
        <w:t xml:space="preserve">Model checking here.</w:t>
      </w:r>
      <w:r>
        <w:t xml:space="preserve"> </w:t>
      </w:r>
      <w:r>
        <w:t xml:space="preserve">Refer to plots in Supps.</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p>
      <w:pPr>
        <w:pStyle w:val="BodyText"/>
      </w:pPr>
      <w:r>
        <w:t xml:space="preserve">We can elaborate here on inferential criteria… RR can do this.</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2026-04-08T11:19:24Z</dcterms:created>
  <dcterms:modified xsi:type="dcterms:W3CDTF">2026-04-08T11:19:24Z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2026-04-08</vt:lpwstr>
  </property>
  <property fmtid="{D5CDD505-2E9C-101B-9397-08002B2CF9AE}" pid="10" name="editor_options">
    <vt:lpwstr/>
  </property>
  <property fmtid="{D5CDD505-2E9C-101B-9397-08002B2CF9AE}" pid="11" name="func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unning-head">
    <vt:lpwstr>Decision models of face memory</vt:lpwstr>
  </property>
  <property fmtid="{D5CDD505-2E9C-101B-9397-08002B2CF9AE}" pid="17" name="toc-title">
    <vt:lpwstr>Table of contents</vt:lpwstr>
  </property>
  <property fmtid="{D5CDD505-2E9C-101B-9397-08002B2CF9AE}" pid="18" name="wordcount">
    <vt:lpwstr>True</vt:lpwstr>
  </property>
</Properties>
</file>