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8.png" ContentType="image/png"/>
  <Override PartName="/word/media/rId20.png" ContentType="image/png"/>
  <Override PartName="/word/media/rId52.png" ContentType="image/png"/>
  <Override PartName="/word/media/rId78.png" ContentType="image/png"/>
  <Override PartName="/word/media/rId82.png" ContentType="image/png"/>
  <Override PartName="/word/media/rId101.png" ContentType="image/png"/>
  <Override PartName="/word/media/rId105.png" ContentType="image/png"/>
  <Override PartName="/word/media/rId87.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2026-03-25</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26"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 The way that one might interact with a family member or friend is different to a stranger. Moreover, for familiar individuals, we not only know what they look like, but we also have access to person knowledge, such as their traits, attitudes, name and professional status. To date, most prior face recognition research has used manifest (observed) measures (i.e., response times and accuracy) to assess one’s ability to recognise faces. As such, less is known about the latent computational processes that support face recognition</w:t>
      </w:r>
      <w:r>
        <w:t xml:space="preserve"> </w:t>
      </w:r>
      <w:r>
        <w:t xml:space="preserve">(Phillips and White 2025)</w:t>
      </w:r>
      <w:r>
        <w:t xml:space="preserve">. 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and Rouder (1998)</w:t>
      </w:r>
      <w:r>
        <w:t xml:space="preserve">). 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and Edmonds 2009; Natu and O’Toole 2011)</w:t>
      </w:r>
      <w:r>
        <w:t xml:space="preserve">. One influential cognitive model of face recognition proposed a division between structural encoding of facial features, and more elaborate processes associated with identity recognition and person information</w:t>
      </w:r>
      <w:r>
        <w:t xml:space="preserve"> </w:t>
      </w:r>
      <w:r>
        <w:t xml:space="preserve">(Bruce and Young 1986)</w:t>
      </w:r>
      <w:r>
        <w:t xml:space="preserve">. Subsequent neuroscience research in humans and monkeys has enriched this model by relating different cognitive processes to different brain circuits</w:t>
      </w:r>
      <w:r>
        <w:t xml:space="preserve"> </w:t>
      </w:r>
      <w:r>
        <w:t xml:space="preserve">Gobbini and Haxby (2006)</w:t>
      </w:r>
      <w:r>
        <w:t xml:space="preserve">. The resulting model is a distributed neural network that incorporates two distinct systems: a core system and an extended system. The core system is dedicated to structural coding of facial features and spans fusiform gryi, as well as occipital and posterior temporal cortices. In contrast, the extended system is involved in more elaborate processes, such as those related to person knowledge, and is mediated by a broader network of brains areas spanning anterior temporal and frontal cortices</w:t>
      </w:r>
      <w:r>
        <w:t xml:space="preserve"> </w:t>
      </w:r>
      <w:r>
        <w:t xml:space="preserve">(Duchaine and Yovel 2015; Gobbini and Haxby 2007; Haxby, Hoffman, and Gobbini 2000; Ishai 2008; Kanwisher and Barton 2011)</w:t>
      </w:r>
      <w:r>
        <w:t xml:space="preserve">. 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and Burton 2018)</w:t>
      </w:r>
      <w:r>
        <w:t xml:space="preserve">. Largely using manifest measures, such as reaction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and Gobbini 2018; Young and Burton 2018)</w:t>
      </w:r>
      <w:r>
        <w:t xml:space="preserve">. It has been argued that person knowledge involves a qualitatively different and deeper level of processing than visual familiarity</w:t>
      </w:r>
      <w:r>
        <w:t xml:space="preserve"> </w:t>
      </w:r>
      <w:r>
        <w:t xml:space="preserve">(Schwartz and Yovel 2019)</w:t>
      </w:r>
      <w:r>
        <w:t xml:space="preserve">, which facilitates the accurate discrimination of familiar from unfamiliar faces</w:t>
      </w:r>
      <w:r>
        <w:t xml:space="preserve"> </w:t>
      </w:r>
      <w:r>
        <w:t xml:space="preserve">(Akan and Benjamin 2023, 2023; Schwartz and Yovel 2016; Bird et al. 2011; Klatzky and Forrest 1984; Schwaninger, Lobmaier, and Collishaw 2002)</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and O’Doherty 2018; Forstmann and Turner 2024; Hackel and Amodio 2018; Lockwood and Klein-Flügge 2021; Parker and Ramsey 2024; Phillips and White 2025)</w:t>
      </w:r>
      <w:r>
        <w:t xml:space="preserve"> </w:t>
      </w:r>
      <w:r>
        <w:t xml:space="preserve">(Cheong et al., 2017). One benefit of adopting computational approaches is that relationships between parts of a system can be more explicitly specified</w:t>
      </w:r>
      <w:r>
        <w:t xml:space="preserve"> </w:t>
      </w:r>
      <w:r>
        <w:t xml:space="preserve">(Yarkoni 2022)</w:t>
      </w:r>
      <w:r>
        <w:t xml:space="preserve"> </w:t>
      </w:r>
      <w:r>
        <w:t xml:space="preserve">(Hintzman, 1991), which aids the development of theory</w:t>
      </w:r>
      <w:r>
        <w:t xml:space="preserve"> </w:t>
      </w:r>
      <w:r>
        <w:t xml:space="preserve">(Muthukrishna and Henrich 2019; Oberauer and Lewandowsky 2019; Proulx and Morey 2021)</w:t>
      </w:r>
      <w:r>
        <w:t xml:space="preserve">. A second benefit is that latent (unobserved) parameters can be estimated, which can give rise to different interpretations of the cognitive processes involved in task performance</w:t>
      </w:r>
      <w:r>
        <w:t xml:space="preserve"> </w:t>
      </w:r>
      <w:r>
        <w:t xml:space="preserve">(Ratcliff, Thapar, and McKoon 2001)</w:t>
      </w:r>
      <w:r>
        <w:t xml:space="preserve">. And at present, there is almost no understanding of the computational processes that support face recognition processes when familiarity is based on visual exposure compared to stored person knowledge</w:t>
      </w:r>
      <w:r>
        <w:t xml:space="preserve"> </w:t>
      </w:r>
      <w:r>
        <w:t xml:space="preserve">(Phillips and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 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and Heathcote (2008)</w:t>
      </w:r>
      <w:r>
        <w:t xml:space="preserve">). 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 These latent variables can then be mapped onto psychological constructs</w:t>
      </w:r>
      <w:r>
        <w:t xml:space="preserve"> </w:t>
      </w:r>
      <w:r>
        <w:t xml:space="preserve">(Myers, Interian, and Moustafa 2022)</w:t>
      </w:r>
      <w:r>
        <w:t xml:space="preserve">. For example, drift rate is the rate at which evidence in favor of a decision accumulates over time, reflecting the signal-to-noise ratio provided by the stimulus. Threshold represents the amount of accumulated evidence needed to trigger the decision, reflecting the response caution towards a specific response. 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 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23" w:name="fig-LBA"/>
          <w:p>
            <w:pPr>
              <w:pStyle w:val="Compact"/>
              <w:jc w:val="center"/>
            </w:pPr>
            <w:r>
              <w:drawing>
                <wp:inline>
                  <wp:extent cx="4800600" cy="2057060"/>
                  <wp:effectExtent b="0" l="0" r="0" t="0"/>
                  <wp:docPr descr="" title="" id="21" name="Picture"/>
                  <a:graphic>
                    <a:graphicData uri="http://schemas.openxmlformats.org/drawingml/2006/picture">
                      <pic:pic>
                        <pic:nvPicPr>
                          <pic:cNvPr descr="figures/LBA_schematique.png" id="22" name="Picture"/>
                          <pic:cNvPicPr>
                            <a:picLocks noChangeArrowheads="1" noChangeAspect="1"/>
                          </pic:cNvPicPr>
                        </pic:nvPicPr>
                        <pic:blipFill>
                          <a:blip r:embed="rId20"/>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23"/>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24"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24"/>
          <w:p/>
        </w:tc>
      </w:tr>
    </w:tbl>
    <w:p>
      <w:pPr>
        <w:pStyle w:val="BodyText"/>
      </w:pPr>
      <w:r>
        <w:t xml:space="preserve">In the present study, we used evidence accumulation modelling to ask new questions regarding the computational processes that support the recognition of familiar versus unfamiliar individuals. More specifically, we address how different types of familiarity (visual feature familiarity versus visual feature familiarity plus person knowledge) impact the threshold (response caution) and drift rate (signal-to-noise ratio) parameters. Based on prior work in experimental psychology</w:t>
      </w:r>
      <w:r>
        <w:t xml:space="preserve"> </w:t>
      </w:r>
      <w:r>
        <w:t xml:space="preserve">(Parker and Ramsey 2024; Ratcliff et al. 2016)</w:t>
      </w:r>
      <w:r>
        <w:t xml:space="preserve">, we chose to primarily focus on threshold and drift rate as our primary parameters of interest because we could easily and intuitively see how performance advantages could emerge based on familiarity. For instance, based on conventional use of EAMs</w:t>
      </w:r>
      <w:r>
        <w:t xml:space="preserve"> </w:t>
      </w:r>
      <w:r>
        <w:t xml:space="preserve">(Myers, Interian, and Moustafa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 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 For instance, we considered it plausible that novel compared to familiar stimuli could provide a benefit in some instances, by virtue of a pop-out or novelty detector</w:t>
      </w:r>
      <w:r>
        <w:t xml:space="preserve"> </w:t>
      </w:r>
      <w:r>
        <w:t xml:space="preserve">(Glanzer and Adams 1985; Kormi-Nouri, Nilsson, and Ohta 2005; Schomaker and Meeter 2012; Tulving and Kroll 1995)</w:t>
      </w:r>
      <w:r>
        <w:t xml:space="preserve">. Likewise, we also considered it plausible that familiar compared to novel stimuli could providing a benefit based on the many advantages reported for recognising personally familiar or famous individuals</w:t>
      </w:r>
      <w:r>
        <w:t xml:space="preserve"> </w:t>
      </w:r>
      <w:r>
        <w:t xml:space="preserve">(Ramon and Gobbini 2018; Young and Burton 2018)</w:t>
      </w:r>
      <w:r>
        <w:t xml:space="preserve">. 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25"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25"/>
          <w:p/>
        </w:tc>
      </w:tr>
    </w:tbl>
    <w:bookmarkEnd w:id="26"/>
    <w:bookmarkStart w:id="77" w:name="method-and-materials"/>
    <w:p>
      <w:pPr>
        <w:pStyle w:val="Heading1"/>
      </w:pPr>
      <w:r>
        <w:t xml:space="preserve">Method and Materials</w:t>
      </w:r>
    </w:p>
    <w:p>
      <w:pPr>
        <w:pStyle w:val="FirstParagraph"/>
      </w:pPr>
      <w:r>
        <w:t xml:space="preserve">We report how we determined our sample size, all data exclusions (if any), all manipulations, and all measures in the four experiments</w:t>
      </w:r>
      <w:r>
        <w:t xml:space="preserve"> </w:t>
      </w:r>
      <w:r>
        <w:t xml:space="preserve">(Simons, Shoda, and Lindsay 2017)</w:t>
      </w:r>
      <w:r>
        <w:t xml:space="preserve">.</w:t>
      </w:r>
    </w:p>
    <w:bookmarkStart w:id="31" w:name="pre-registration-and-open-science"/>
    <w:p>
      <w:pPr>
        <w:pStyle w:val="Heading2"/>
      </w:pPr>
      <w:r>
        <w:t xml:space="preserve">Pre-registration and open science</w:t>
      </w:r>
    </w:p>
    <w:p>
      <w:pPr>
        <w:pStyle w:val="FirstParagraph"/>
      </w:pPr>
      <w:r>
        <w:t xml:space="preserve">For each experiment, the research question, hypotheses, experimental design, planned analysis, and exclusion criteria were preregistered. The preregistration, raw data, stimuli, data wrangling and analysis code as well as the evidence-accumulation models outputs are available on the Open Science Framework: Experiment 1 (</w:t>
      </w:r>
      <w:hyperlink r:id="rId27">
        <w:r>
          <w:rPr>
            <w:rStyle w:val="Hyperlink"/>
          </w:rPr>
          <w:t xml:space="preserve">https://osf.io/azyvu/overview</w:t>
        </w:r>
      </w:hyperlink>
      <w:r>
        <w:t xml:space="preserve">), Experiment 2 (</w:t>
      </w:r>
      <w:hyperlink r:id="rId28">
        <w:r>
          <w:rPr>
            <w:rStyle w:val="Hyperlink"/>
          </w:rPr>
          <w:t xml:space="preserve">https://osf.io/tu2eh/overview</w:t>
        </w:r>
      </w:hyperlink>
      <w:r>
        <w:t xml:space="preserve">), Experiment 3 (</w:t>
      </w:r>
      <w:hyperlink r:id="rId29">
        <w:r>
          <w:rPr>
            <w:rStyle w:val="Hyperlink"/>
          </w:rPr>
          <w:t xml:space="preserve">https://osf.io/ut78f/overview</w:t>
        </w:r>
      </w:hyperlink>
      <w:r>
        <w:t xml:space="preserve">) and Experiment 4 (</w:t>
      </w:r>
      <w:hyperlink r:id="rId30">
        <w:r>
          <w:rPr>
            <w:rStyle w:val="Hyperlink"/>
          </w:rPr>
          <w:t xml:space="preserve">https://osf.io/vj2aq/overview</w:t>
        </w:r>
      </w:hyperlink>
      <w:r>
        <w:t xml:space="preserve">).</w:t>
      </w:r>
    </w:p>
    <w:bookmarkEnd w:id="31"/>
    <w:bookmarkStart w:id="44" w:name="experiment-1"/>
    <w:p>
      <w:pPr>
        <w:pStyle w:val="Heading2"/>
      </w:pPr>
      <w:r>
        <w:t xml:space="preserve">Experiment 1</w:t>
      </w:r>
    </w:p>
    <w:bookmarkStart w:id="34" w:name="participants"/>
    <w:p>
      <w:pPr>
        <w:pStyle w:val="Heading3"/>
      </w:pPr>
      <w:r>
        <w:t xml:space="preserve">Participants</w:t>
      </w:r>
    </w:p>
    <w:p>
      <w:pPr>
        <w:pStyle w:val="FirstParagraph"/>
      </w:pPr>
      <w:r>
        <w:t xml:space="preserve">All participants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Sample size was determined in advance. 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 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 The data-generated parameters were sufficiently well-recovered (See Supplementary Materials). 31 healthy participants took part in Experiment 1. All participants reported normal or corrected-to-normal vision and received payment (20 CHF) for participating in the experiment. Based on our preregistration, response times longer than 2.5 seconds were removed from the analysis. However, this cutoff value led to the the removal of 59% of the trials of one participant. Given the recommendation of having a certain number of trials per condition per participant when using evidence-accumulation models</w:t>
      </w:r>
      <w:r>
        <w:t xml:space="preserve"> </w:t>
      </w:r>
      <w:r>
        <w:t xml:space="preserve">(Heathcote et al. 2019; Parker and Ramsey 2024)</w:t>
      </w:r>
      <w:r>
        <w:t xml:space="preserve">, this participant was excluded from the data analysis. In the end, the data of 30 participants (11 men and 19 women) was retained for the analysis and the LBA modeling. 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 This experiment was accepted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33" w:name="tbl-participants"/>
          <w:p>
            <w:pPr>
              <w:jc w:val="center"/>
            </w:pPr>
            <w:pPr>
              <w:jc w:val="left"/>
              <w:spacing w:before="200"/>
              <w:pStyle w:val="ImageCaption"/>
            </w:pPr>
            <w:r>
              <w:t xml:space="preserve">Table 3: Participant summary across experiments. RT = response time; — = criterion not applicable for this experiment.</w:t>
            </w:r>
          </w:p>
          <w:tbl>
            <w:tblPr>
              <w:tblStyle w:val="Table"/>
              <w:tblW w:type="pct" w:w="4711"/>
              <w:tblLayout w:type="fixed"/>
              <w:tblLook w:firstRow="1" w:lastRow="0" w:firstColumn="0" w:lastColumn="0" w:noHBand="0" w:noVBand="0" w:val="0020"/>
            </w:tblPr>
            <w:tblGrid>
              <w:gridCol w:w="686"/>
              <w:gridCol w:w="457"/>
              <w:gridCol w:w="457"/>
              <w:gridCol w:w="503"/>
              <w:gridCol w:w="549"/>
              <w:gridCol w:w="732"/>
              <w:gridCol w:w="1007"/>
              <w:gridCol w:w="1144"/>
              <w:gridCol w:w="457"/>
              <w:gridCol w:w="412"/>
              <w:gridCol w:w="320"/>
              <w:gridCol w:w="732"/>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Started</w:t>
                  </w:r>
                </w:p>
              </w:tc>
              <w:tc>
                <w:tcPr/>
                <w:p>
                  <w:pPr>
                    <w:pStyle w:val="Compact"/>
                    <w:jc w:val="center"/>
                  </w:pPr>
                  <w:r>
                    <w:t xml:space="preserve">Withdrew</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0</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38</w:t>
                  </w:r>
                </w:p>
              </w:tc>
              <w:tc>
                <w:tcPr/>
                <w:p>
                  <w:pPr>
                    <w:pStyle w:val="Compact"/>
                    <w:jc w:val="center"/>
                  </w:pPr>
                  <w:r>
                    <w:t xml:space="preserve">0</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58</w:t>
                  </w:r>
                </w:p>
              </w:tc>
              <w:tc>
                <w:tcPr/>
                <w:p>
                  <w:pPr>
                    <w:pStyle w:val="Compact"/>
                    <w:jc w:val="center"/>
                  </w:pPr>
                  <w:r>
                    <w:t xml:space="preserve">12</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bl>
          <w:bookmarkEnd w:id="33"/>
          <w:p/>
        </w:tc>
      </w:tr>
    </w:tbl>
    <w:bookmarkEnd w:id="34"/>
    <w:bookmarkStart w:id="37" w:name="stimuli"/>
    <w:p>
      <w:pPr>
        <w:pStyle w:val="Heading3"/>
      </w:pPr>
      <w:r>
        <w:t xml:space="preserve">Stimuli</w:t>
      </w:r>
    </w:p>
    <w:p>
      <w:pPr>
        <w:pStyle w:val="FirstParagraph"/>
      </w:pPr>
      <w:r>
        <w:t xml:space="preserve">The stimuli consisted of images selected from two different data sets of face images: the Face Research Lab London Set (DeBruine, Lisa; Jones, Benedict (2017). Face Research Lab London Set. figshare. Data set.</w:t>
      </w:r>
      <w:r>
        <w:t xml:space="preserve"> </w:t>
      </w:r>
      <w:hyperlink r:id="rId35">
        <w:r>
          <w:rPr>
            <w:rStyle w:val="Hyperlink"/>
          </w:rPr>
          <w:t xml:space="preserve">https://doi.org/10.6084/m9.figshare.5047666.v5</w:t>
        </w:r>
      </w:hyperlink>
      <w:r>
        <w:t xml:space="preserve">) and the Color FERET Database (</w:t>
      </w:r>
      <w:hyperlink r:id="rId36">
        <w:r>
          <w:rPr>
            <w:rStyle w:val="Hyperlink"/>
          </w:rPr>
          <w:t xml:space="preserve">https://www.nist.gov/itl/products-and-services/color-feret-database</w:t>
        </w:r>
      </w:hyperlink>
      <w:r>
        <w:t xml:space="preserve">). Each of these data sets is composed of images of different identities faces taken from different angle points. 102 identities were selected from the Face Research Lab London Set and 51 from the Color FERET Database. For each selected identity, three pictures of the face at three different view points (3/4 left view, frontal view and 3/4 right view) were cropped to only keep the internal features of the face. All of the images processing was realized using the free community-developed software GNU Image Manipulation Program (</w:t>
      </w:r>
      <w:r>
        <w:t xml:space="preserve">The GIMP Development Team (2025)</w:t>
      </w:r>
      <w:r>
        <w:t xml:space="preserve">). After 4 pilots experiments, we removed 27 identities (21 from the Face Research Lab London Set and 6 from the Color FERET Database) due to to the presence of identifiable features (i.e. skin marks, make-up…). In total, the data set of face images used in Experiment 1 contained 756 images: one set of three colorful face images and one set of three gray scaled face images for each of the 126 identities.</w:t>
      </w:r>
    </w:p>
    <w:bookmarkEnd w:id="37"/>
    <w:bookmarkStart w:id="38" w:name="material"/>
    <w:p>
      <w:pPr>
        <w:pStyle w:val="Heading3"/>
      </w:pPr>
      <w:r>
        <w:t xml:space="preserve">Material</w:t>
      </w:r>
    </w:p>
    <w:p>
      <w:pPr>
        <w:pStyle w:val="FirstParagraph"/>
      </w:pPr>
      <w:r>
        <w:t xml:space="preserve">Stimuli were presented on the screen of a MacBook Pro (Apple M2 Pro, macOS 13 Ventura). The experiment was run on Psychopy Coder (version: 2022.5,</w:t>
      </w:r>
      <w:r>
        <w:t xml:space="preserve"> </w:t>
      </w:r>
      <w:r>
        <w:t xml:space="preserve">Peirce et al. (2019)</w:t>
      </w:r>
      <w:r>
        <w:t xml:space="preserve">) and the code used for the experimental procedure is available on OSF (</w:t>
      </w:r>
      <w:hyperlink r:id="rId27">
        <w:r>
          <w:rPr>
            <w:rStyle w:val="Hyperlink"/>
          </w:rPr>
          <w:t xml:space="preserve">https://osf.io/azyvu/overview</w:t>
        </w:r>
      </w:hyperlink>
      <w:r>
        <w:t xml:space="preserve">).</w:t>
      </w:r>
    </w:p>
    <w:bookmarkEnd w:id="38"/>
    <w:bookmarkStart w:id="4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 In the familiarization part, the face of 30 unknown identities were presented on the screen and participants were told to memorize the identity of the faces. One familiarization trial consisted of the presentation of 6 face images, one after the other, depicting the same identity but varying in viewing points (3/4 left view, frontal view and 3/4 right view) and the colorimetry (colorful image, gray scale image). The duration of each image presentation was 0.75 second. Each participant underwent 30 familiarization trials. During the familiarization, we introduced catch trials to ensure participants attention. After some familiarization trials, a gray scale image of a person’s face was presented on the screen. 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 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 Each block was separated from another by a short break. Half of the trials were learned identities trials and the other half were new, previously unseen identities trials. In each trial, a gray scale image of a face was shown on the screen. Participants were asked to choose if they had previously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Participants were asked to respond as quickly and accurately as possible. It is important to note that participants never saw two pictures of the same learned identity in the same block and never saw the same picture (3/4 left view, frontal view, or 3/4 right view) of a learned identity during the entire recognition part. Furthermore, each novel identity was only presented once in the entire recognition part. 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42" w:name="fig-proc-exp1"/>
          <w:p>
            <w:pPr>
              <w:pStyle w:val="Compact"/>
              <w:jc w:val="center"/>
            </w:pPr>
            <w:r>
              <w:drawing>
                <wp:inline>
                  <wp:extent cx="5334000" cy="3000375"/>
                  <wp:effectExtent b="0" l="0" r="0" t="0"/>
                  <wp:docPr descr="" title="" id="40" name="Picture"/>
                  <a:graphic>
                    <a:graphicData uri="http://schemas.openxmlformats.org/drawingml/2006/picture">
                      <pic:pic>
                        <pic:nvPicPr>
                          <pic:cNvPr descr="figures/Experimental_procedure_exp1.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4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43"/>
    <w:bookmarkEnd w:id="44"/>
    <w:bookmarkStart w:id="50" w:name="experiment-2"/>
    <w:p>
      <w:pPr>
        <w:pStyle w:val="Heading2"/>
      </w:pPr>
      <w:r>
        <w:t xml:space="preserve">Experiment 2</w:t>
      </w:r>
    </w:p>
    <w:bookmarkStart w:id="46" w:name="participants-1"/>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Furthermore, Prolific offers the option to chose the approval rate of the participants willing to take part in the study. The approval rate is the percentage for which participants has been approved in previous experiment. A approval rate between 95% and 100% was established in our study to ensure data quality. 38 participants started the experiment. After reading the inform consent, 0 participants decided to not continue the experimental procedure and withdraw from the experiment. In the end, 35 participants completed the experiment and gave their informed consent. Following our preregistration exclusion criterion, 4 participants were excluded because their percentage of missed trials was higher lower than 25% and 1 was removed because the overall accuracy was lower than 55%. In the end, the data of 30 participants (20 men and 10 women) was retained for the analysis and the LBA modeling. 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 Following Prolific payment principles, each participant received 9£ for the completion of the study. This experiment was accepted by the ethics committee of the Federal Institute of Technology (ETH) Zurich.</w:t>
      </w:r>
    </w:p>
    <w:bookmarkEnd w:id="46"/>
    <w:bookmarkStart w:id="4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47"/>
    <w:bookmarkStart w:id="48" w:name="material-1"/>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operating systems and web browsers to ensure a consistent procedure and participant experience.</w:t>
      </w:r>
    </w:p>
    <w:bookmarkEnd w:id="48"/>
    <w:bookmarkStart w:id="4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 A response time window was added in the recognition part of the experiment. Instead of removing trials with a response time higher than 2.5 seconds after data collection, we decided to implement a response time window of 2 seconds for each recognition trial. In Experiment 1, 13.796% of the trials were longer than 2 seconds. We expected participants to quickly get accustomed to the response time limit and that the average percentage of missed trials will be similar or lower than in Experiment 1. Response time [s] and accuracy were collected after each recognition trial.</w:t>
      </w:r>
    </w:p>
    <w:bookmarkEnd w:id="49"/>
    <w:bookmarkEnd w:id="50"/>
    <w:bookmarkStart w:id="65" w:name="experiment-3"/>
    <w:p>
      <w:pPr>
        <w:pStyle w:val="Heading2"/>
      </w:pPr>
      <w:r>
        <w:t xml:space="preserve">Experiment 3</w:t>
      </w:r>
    </w:p>
    <w:bookmarkStart w:id="51" w:name="participants-2"/>
    <w:p>
      <w:pPr>
        <w:pStyle w:val="Heading3"/>
      </w:pPr>
      <w:r>
        <w:t xml:space="preserve">Participants</w:t>
      </w:r>
    </w:p>
    <w:p>
      <w:pPr>
        <w:pStyle w:val="FirstParagraph"/>
      </w:pPr>
      <w:r>
        <w:t xml:space="preserve">All participant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40 healthy participants took part in Experiment 3. Based on our preregistration criterion, 3 participants were excluded from the data analysis: 1 of them had an overall recognition accuracy larger than 95% and 0 of them had a overall accuracy lower than 55% (chance at 50%). We deviated from our preregistration in one way. 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 This scenario did not occur during the pilot experiments we conducted and thus was not part of our preregistration. In the end, the data of 30 participants (13 men and 17 women) was retained for the analysis and the LBA modeling. 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 All participants reported normal or corrected-to-normal vision and received payment (25 CHF) for participating in the experiment. This experiment was accepted by the ethics committee of the Federal Institute of Technology Zurich (ETHZ), and all participant gave their informed consent to participate in the study.</w:t>
      </w:r>
    </w:p>
    <w:bookmarkEnd w:id="51"/>
    <w:bookmarkStart w:id="56" w:name="stimuli-2"/>
    <w:p>
      <w:pPr>
        <w:pStyle w:val="Heading3"/>
      </w:pPr>
      <w:r>
        <w:t xml:space="preserve">Stimuli</w:t>
      </w:r>
    </w:p>
    <w:p>
      <w:pPr>
        <w:pStyle w:val="FirstParagraph"/>
      </w:pPr>
      <w:r>
        <w:t xml:space="preserve">Two types of pictures were used for this experiment to create our within-subject stimuli conditions. 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 Pictures depicting celebrities (</w:t>
      </w:r>
      <w:r>
        <w:t xml:space="preserve">“Famous”</w:t>
      </w:r>
      <w:r>
        <w:t xml:space="preserve"> </w:t>
      </w:r>
      <w:r>
        <w:t xml:space="preserve">condition) were taken from the internet. For each of the 60 preselected celebrities, 3 pictures depicting them from a similar angle to the</w:t>
      </w:r>
      <w:r>
        <w:t xml:space="preserve"> </w:t>
      </w:r>
      <w:r>
        <w:t xml:space="preserve">“Novel”</w:t>
      </w:r>
      <w:r>
        <w:t xml:space="preserve"> </w:t>
      </w:r>
      <w:r>
        <w:t xml:space="preserve">faces were chosen (3/4 left view, frontal view and 3/4 right vie). Moreover, 60 more pictures (one for each of the celebrities) was only used for the first part of the experiment. 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 Background was removed from the picture and replace by the same background used in the</w:t>
      </w:r>
      <w:r>
        <w:t xml:space="preserve"> </w:t>
      </w:r>
      <w:r>
        <w:t xml:space="preserve">“Novel”</w:t>
      </w:r>
      <w:r>
        <w:t xml:space="preserve"> </w:t>
      </w:r>
      <w:r>
        <w:t xml:space="preserve">images. The same gray scale filter used for the</w:t>
      </w:r>
      <w:r>
        <w:t xml:space="preserve"> </w:t>
      </w:r>
      <w:r>
        <w:t xml:space="preserve">“Novel”</w:t>
      </w:r>
      <w:r>
        <w:t xml:space="preserve"> </w:t>
      </w:r>
      <w:r>
        <w:t xml:space="preserve">faces was applied to the celebrities images used during the recognition part. 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 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 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 The addition of a grey mask on top the face images decreased the overall accuracy of the recognition part during pilot work to a percentage of correct answer suited for the application of evidence-accumulation modeling. Without this addition, the overall accuracy would be too extreme.</w:t>
      </w:r>
    </w:p>
    <w:tbl>
      <w:tblPr>
        <w:tblStyle w:val="Table"/>
        <w:tblW w:type="pct" w:w="5000"/>
        <w:tblLayout w:type="fixed"/>
        <w:tblLook w:firstRow="0" w:lastRow="0" w:firstColumn="0" w:lastColumn="0" w:noHBand="0" w:noVBand="0" w:val="0000"/>
      </w:tblPr>
      <w:tblGrid>
        <w:gridCol w:w="7920"/>
      </w:tblGrid>
      <w:tr>
        <w:tc>
          <w:tcPr/>
          <w:bookmarkStart w:id="55" w:name="fig-mask-exp3"/>
          <w:p>
            <w:pPr>
              <w:pStyle w:val="Compact"/>
              <w:jc w:val="center"/>
            </w:pPr>
            <w:r>
              <w:drawing>
                <wp:inline>
                  <wp:extent cx="5334000" cy="3002844"/>
                  <wp:effectExtent b="0" l="0" r="0" t="0"/>
                  <wp:docPr descr="" title="" id="53" name="Picture"/>
                  <a:graphic>
                    <a:graphicData uri="http://schemas.openxmlformats.org/drawingml/2006/picture">
                      <pic:pic>
                        <pic:nvPicPr>
                          <pic:cNvPr descr="figures/Mask_exp3.png" id="54" name="Picture"/>
                          <pic:cNvPicPr>
                            <a:picLocks noChangeArrowheads="1" noChangeAspect="1"/>
                          </pic:cNvPicPr>
                        </pic:nvPicPr>
                        <pic:blipFill>
                          <a:blip r:embed="rId5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5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56"/>
    <w:bookmarkStart w:id="57" w:name="material-2"/>
    <w:p>
      <w:pPr>
        <w:pStyle w:val="Heading3"/>
      </w:pPr>
      <w:r>
        <w:t xml:space="preserve">Material</w:t>
      </w:r>
    </w:p>
    <w:p>
      <w:pPr>
        <w:pStyle w:val="FirstParagraph"/>
      </w:pPr>
      <w:r>
        <w:t xml:space="preserve">Stimuli were presented on the screen of a MacBook Pro (Apple M2 Pro, macOS 14 Sonoma). The experiment was run on Psychopy Coder (version: 2022.5,</w:t>
      </w:r>
      <w:r>
        <w:t xml:space="preserve"> </w:t>
      </w:r>
      <w:r>
        <w:t xml:space="preserve">Peirce et al. (2019)</w:t>
      </w:r>
      <w:r>
        <w:t xml:space="preserve">) and the code used for the experimental procedure is available on OSF (</w:t>
      </w:r>
      <w:hyperlink r:id="rId29">
        <w:r>
          <w:rPr>
            <w:rStyle w:val="Hyperlink"/>
          </w:rPr>
          <w:t xml:space="preserve">https://osf.io/ut78f/overview</w:t>
        </w:r>
      </w:hyperlink>
      <w:r>
        <w:t xml:space="preserve">).</w:t>
      </w:r>
    </w:p>
    <w:bookmarkEnd w:id="57"/>
    <w:bookmarkStart w:id="6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 During the rating part, participants were presented pictures of 60 celebrities. They were asked to rate these celebrities on two different features: how familiar the celebrity was to them (from 0: Highly unfamiliar to 10: Highly familiar) and how positive or negative were their feelings towards the celebrity (from 0:Highly negative to 10: Highly positive). After the two rating scales, participants were asked to choose the correct name of the same identity from four different naming options. 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 In the recognition part, participants completed three blocks of 90 recognition trials. Each block was separated from another by a short break. Half of the trials were famous identities trials and the other half were new, previously unseen identities trials. At each trial, a gray scale image of a face was shown on the screen. Participants were asked to choose if they recognize the face (and not the picture)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Based on pilot work, task difficulty was increased by adding a response time window of 0.9 second during each recognition trial. 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61" w:name="fig-proc-exp3"/>
          <w:p>
            <w:pPr>
              <w:pStyle w:val="Compact"/>
              <w:jc w:val="center"/>
            </w:pPr>
            <w:r>
              <w:drawing>
                <wp:inline>
                  <wp:extent cx="5334000" cy="3000375"/>
                  <wp:effectExtent b="0" l="0" r="0" t="0"/>
                  <wp:docPr descr="" title="" id="59" name="Picture"/>
                  <a:graphic>
                    <a:graphicData uri="http://schemas.openxmlformats.org/drawingml/2006/picture">
                      <pic:pic>
                        <pic:nvPicPr>
                          <pic:cNvPr descr="figures/Experimental_procedure_exp3.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6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62">
        <w:r>
          <w:rPr>
            <w:rStyle w:val="Hyperlink"/>
            <w:i/>
            <w:iCs/>
          </w:rPr>
          <w:t xml:space="preserve">https://creativecommons.org/licenses/by-sa/4.0</w:t>
        </w:r>
      </w:hyperlink>
      <w:r>
        <w:rPr>
          <w:i/>
          <w:iCs/>
        </w:rPr>
        <w:t xml:space="preserve">, via Wikimedia Commons,</w:t>
      </w:r>
      <w:r>
        <w:rPr>
          <w:i/>
          <w:iCs/>
        </w:rPr>
        <w:t xml:space="preserve"> </w:t>
      </w:r>
      <w:hyperlink r:id="rId6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64"/>
    <w:bookmarkEnd w:id="65"/>
    <w:bookmarkStart w:id="71" w:name="experiment-4"/>
    <w:p>
      <w:pPr>
        <w:pStyle w:val="Heading2"/>
      </w:pPr>
      <w:r>
        <w:t xml:space="preserve">Experiment 4</w:t>
      </w:r>
    </w:p>
    <w:bookmarkStart w:id="66" w:name="participants-3"/>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An approval rate between 95% and 100% was established in our study to ensure data quality. 58 participants started the experiment. After reading the inform consent, 12 participants decided to not continue the experimental procedure and withdraw from the experiment. 46 participants completed the experiment. Following our preregistration exclusion criterion, 1 participant was excluded because the percentage of missed trials was higher than 25% and 3 were removed because the overall accuracy was lower than 55%. Furthermore, 12 did not show a level of familiarity high enough with the presented faces in the first part of the experiment. In the end, the data of 30 participants (17 men and 13 women) was retained for further analysis and the LBA modeling. 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 Following Prolific payment principles, each participant received 9£ for the completion of the study. This experiment was accepted by the ethics committee of the Federal Institute of Technology (ETH) Zurich.</w:t>
      </w:r>
    </w:p>
    <w:bookmarkEnd w:id="66"/>
    <w:bookmarkStart w:id="68" w:name="stimuli-3"/>
    <w:p>
      <w:pPr>
        <w:pStyle w:val="Heading3"/>
      </w:pPr>
      <w:r>
        <w:t xml:space="preserve">Stimuli</w:t>
      </w:r>
    </w:p>
    <w:p>
      <w:pPr>
        <w:pStyle w:val="FirstParagraph"/>
      </w:pPr>
      <w:r>
        <w:t xml:space="preserve">Initially, we planned to use the exact same stimuli as the one used in Experiment 3. 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 These differences might have facilitate the categorization between</w:t>
      </w:r>
      <w:r>
        <w:t xml:space="preserve"> </w:t>
      </w:r>
      <w:r>
        <w:t xml:space="preserve">“famous”</w:t>
      </w:r>
      <w:r>
        <w:t xml:space="preserve"> </w:t>
      </w:r>
      <w:r>
        <w:t xml:space="preserve">and</w:t>
      </w:r>
      <w:r>
        <w:t xml:space="preserve"> </w:t>
      </w:r>
      <w:r>
        <w:t xml:space="preserve">“novel”</w:t>
      </w:r>
      <w:r>
        <w:t xml:space="preserve"> </w:t>
      </w:r>
      <w:r>
        <w:t xml:space="preserve">and affected the estimation of our parameters of interest. To avoid that decisions are based on visual features and not on familiarity, it was decided to completely change the face pictures data set for both conditions in Experiment 4. For the</w:t>
      </w:r>
      <w:r>
        <w:t xml:space="preserve"> </w:t>
      </w:r>
      <w:r>
        <w:t xml:space="preserve">“Famous”</w:t>
      </w:r>
      <w:r>
        <w:t xml:space="preserve"> </w:t>
      </w:r>
      <w:r>
        <w:t xml:space="preserve">condition, faces were all taken from</w:t>
      </w:r>
      <w:r>
        <w:t xml:space="preserve"> </w:t>
      </w:r>
      <w:hyperlink r:id="rId67">
        <w:r>
          <w:rPr>
            <w:rStyle w:val="Hyperlink"/>
          </w:rPr>
          <w:t xml:space="preserve">https:://commons.wikimedia.org</w:t>
        </w:r>
      </w:hyperlink>
      <w:r>
        <w:t xml:space="preserve">. For each of the famous identities (30 men, 30 women), four pictures were selected: one for the rating part of the experiment and three were used in the recognition part. The list of the attributions as well as the URL links to all the pictures can be found in the Supplementary Materials. 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Isola, and Oliva 2013)</w:t>
      </w:r>
      <w:r>
        <w:t xml:space="preserve">. These pictures depict faces in a natural environment, similar to the selected images of the celebrities. 103 faces were selected from this database and used in the recognition part of the experiment. To avoid recognition based on low visual features, we decided to not standardize the brightness and luminosity angle of the entire picture dataset. The rationale behind this decision was to avoid adding modifications to the original image that might facilitate the categorization between the stimuli conditions. The only low level visual feature that we standardized across all the images was the resolution. 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8"/>
    <w:bookmarkStart w:id="69" w:name="material-3"/>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operative systems and these web browsers to ensure a good procedure. We received no complain from participants in regards to an inability to run the experiment on their own device because of technical issues.</w:t>
      </w:r>
    </w:p>
    <w:bookmarkEnd w:id="69"/>
    <w:bookmarkStart w:id="70"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 The only modification added to the recognition part was the increase of the response time window from 0.9s to 1.1s.</w:t>
      </w:r>
    </w:p>
    <w:bookmarkEnd w:id="70"/>
    <w:bookmarkEnd w:id="71"/>
    <w:bookmarkStart w:id="76" w:name="evidence-accumulation-modeling"/>
    <w:p>
      <w:pPr>
        <w:pStyle w:val="Heading2"/>
      </w:pPr>
      <w:r>
        <w:t xml:space="preserve">Evidence accumulation modeling</w:t>
      </w:r>
    </w:p>
    <w:bookmarkStart w:id="73" w:name="model-specification"/>
    <w:p>
      <w:pPr>
        <w:pStyle w:val="Heading3"/>
      </w:pPr>
      <w:r>
        <w:t xml:space="preserve">Model specification</w:t>
      </w:r>
    </w:p>
    <w:p>
      <w:pPr>
        <w:pStyle w:val="FirstParagraph"/>
      </w:pPr>
      <w:r>
        <w:t xml:space="preserve">A hierarchical LBA model was fit to the data for each experiment separately with model specifications outlines in our preregistrations (</w:t>
      </w:r>
      <w:hyperlink w:anchor="tbl-model-formula">
        <w:r>
          <w:rPr>
            <w:rStyle w:val="Hyperlink"/>
          </w:rPr>
          <w:t xml:space="preserve">Table 4</w:t>
        </w:r>
      </w:hyperlink>
      <w:r>
        <w:t xml:space="preserve">). LBA models have one accumulator for each response option, with potentially different parameter values. 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 For Experiment 3 and 4,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 More specifically, for Experiment 1 and 2, threshold was allowed to vary by participants’ response (Learned/Novel) whereas mean drift rate was allowed to vary by the stimulus condition (Learned/Novel) and the match between the accumulator and the stimulus (TRUE/FALSE). 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 The difference between the TRUE and FALSE accumulator represents the quality of the information processing about a decision</w:t>
      </w:r>
      <w:r>
        <w:t xml:space="preserve"> </w:t>
      </w:r>
      <w:r>
        <w:t xml:space="preserve">(Lewandowsky and Oberauer 2018)</w:t>
      </w:r>
      <w:r>
        <w:t xml:space="preserve">. 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3 and 4). 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 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72"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72"/>
          <w:p/>
        </w:tc>
      </w:tr>
    </w:tbl>
    <w:bookmarkEnd w:id="73"/>
    <w:bookmarkStart w:id="74" w:name="model-estimation"/>
    <w:p>
      <w:pPr>
        <w:pStyle w:val="Heading3"/>
      </w:pPr>
      <w:r>
        <w:t xml:space="preserve">Model estimation</w:t>
      </w:r>
    </w:p>
    <w:p>
      <w:pPr>
        <w:pStyle w:val="FirstParagraph"/>
      </w:pPr>
      <w:r>
        <w:t xml:space="preserve">We carried out a Bayesian model estimation using the EMC2 R package. Details about the priors of each model are provided in supplementary materials and the code required to run the analyses is available on OSF. Priors were chosen to be weakly-informative meaning that they have little influence on the estimation. The parameter were estimated through two sampling steps. First, a separate estimation of the fixed effects for each participants was conducted. These estimations were used as the starting point for the full hierarchical model.</w:t>
      </w:r>
    </w:p>
    <w:bookmarkEnd w:id="74"/>
    <w:bookmarkStart w:id="75"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 The evidence-accumulation modelling analyses of the distributions of response times for the correct and wrong answers were realized using the EMC2 R package</w:t>
      </w:r>
      <w:r>
        <w:t xml:space="preserve"> </w:t>
      </w:r>
      <w:r>
        <w:t xml:space="preserve">(Stevenson, Donzallaz, and Heathcote 2025)</w:t>
      </w:r>
      <w:r>
        <w:t xml:space="preserve">. In order to make inference about the magnitude of familiarity effects, differences in parameter estimates across conditions were compared. To summarize the distribution of parameters of interest, we report the median of the posterior distribution together with 95% quantile interval of the posterior distribution in square brackets in the following section.</w:t>
      </w:r>
    </w:p>
    <w:bookmarkEnd w:id="75"/>
    <w:bookmarkEnd w:id="76"/>
    <w:bookmarkEnd w:id="77"/>
    <w:bookmarkStart w:id="116" w:name="results"/>
    <w:p>
      <w:pPr>
        <w:pStyle w:val="Heading1"/>
      </w:pPr>
      <w:r>
        <w:t xml:space="preserve">Results</w:t>
      </w:r>
    </w:p>
    <w:p>
      <w:pPr>
        <w:pStyle w:val="FirstParagraph"/>
      </w:pPr>
      <w:r>
        <w:t xml:space="preserve">First, we show raw data plots and descriptive statistics when reaction time and accuracy are analyses separately. Second, results from the LBA modeling will be presented.</w:t>
      </w:r>
    </w:p>
    <w:bookmarkStart w:id="91" w:name="Xda3fa86d3e338028af1d354bb4a3c0db69b02ec"/>
    <w:p>
      <w:pPr>
        <w:pStyle w:val="Heading2"/>
      </w:pPr>
      <w:r>
        <w:t xml:space="preserve">Raw data plots and descriptive statistics</w:t>
      </w:r>
    </w:p>
    <w:bookmarkStart w:id="86"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1" w:name="fig-acc-rt-1"/>
                <w:p>
                  <w:pPr>
                    <w:pStyle w:val="Compact"/>
                    <w:jc w:val="center"/>
                    <w:jc w:val="left"/>
                  </w:pPr>
                  <w:r>
                    <w:drawing>
                      <wp:inline>
                        <wp:extent cx="5334000" cy="3048000"/>
                        <wp:effectExtent b="0" l="0" r="0" t="0"/>
                        <wp:docPr descr="" title="" id="79" name="Picture"/>
                        <a:graphic>
                          <a:graphicData uri="http://schemas.openxmlformats.org/drawingml/2006/picture">
                            <pic:pic>
                              <pic:nvPicPr>
                                <pic:cNvPr descr="manuscript_files/figure-docx/fig-acc-rt-1.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5" w:name="fig-acc-rt-2"/>
                <w:p>
                  <w:pPr>
                    <w:pStyle w:val="Compact"/>
                    <w:jc w:val="center"/>
                    <w:jc w:val="left"/>
                  </w:pPr>
                  <w:r>
                    <w:drawing>
                      <wp:inline>
                        <wp:extent cx="5334000" cy="3048000"/>
                        <wp:effectExtent b="0" l="0" r="0" t="0"/>
                        <wp:docPr descr="" title="" id="83" name="Picture"/>
                        <a:graphic>
                          <a:graphicData uri="http://schemas.openxmlformats.org/drawingml/2006/picture">
                            <pic:pic>
                              <pic:nvPicPr>
                                <pic:cNvPr descr="manuscript_files/figure-docx/fig-acc-rt-2.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85"/>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86"/>
    <w:tbl>
      <w:tblPr>
        <w:tblStyle w:val="Table"/>
        <w:tblW w:type="pct" w:w="5000"/>
        <w:tblLayout w:type="fixed"/>
        <w:tblLook w:firstRow="0" w:lastRow="0" w:firstColumn="0" w:lastColumn="0" w:noHBand="0" w:noVBand="0" w:val="0000"/>
      </w:tblPr>
      <w:tblGrid>
        <w:gridCol w:w="7920"/>
      </w:tblGrid>
      <w:tr>
        <w:tc>
          <w:tcPr/>
          <w:bookmarkStart w:id="90" w:name="fig-rt-density"/>
          <w:p>
            <w:pPr>
              <w:pStyle w:val="Compact"/>
              <w:jc w:val="center"/>
            </w:pPr>
            <w:r>
              <w:drawing>
                <wp:inline>
                  <wp:extent cx="5334000" cy="3048000"/>
                  <wp:effectExtent b="0" l="0" r="0" t="0"/>
                  <wp:docPr descr="" title="" id="88" name="Picture"/>
                  <a:graphic>
                    <a:graphicData uri="http://schemas.openxmlformats.org/drawingml/2006/picture">
                      <pic:pic>
                        <pic:nvPicPr>
                          <pic:cNvPr descr="manuscript_files/figure-docx/fig-rt-density-1.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90"/>
        </w:tc>
      </w:tr>
    </w:tbl>
    <w:bookmarkEnd w:id="91"/>
    <w:bookmarkStart w:id="115"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visulaised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11"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 Inspection of the posterior distributions of the effect of face familiarity on the threshold parameter shows that while the threshold for Novel faces is greater that the one for Learned faces.</w:t>
      </w:r>
    </w:p>
    <w:bookmarkStart w:id="100"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5" w:name="fig-threshold-all-1"/>
                <w:p>
                  <w:pPr>
                    <w:pStyle w:val="Compact"/>
                    <w:jc w:val="center"/>
                    <w:jc w:val="left"/>
                  </w:pPr>
                  <w:r>
                    <w:drawing>
                      <wp:inline>
                        <wp:extent cx="2971800" cy="4245428"/>
                        <wp:effectExtent b="0" l="0" r="0" t="0"/>
                        <wp:docPr descr="" title="" id="93" name="Picture"/>
                        <a:graphic>
                          <a:graphicData uri="http://schemas.openxmlformats.org/drawingml/2006/picture">
                            <pic:pic>
                              <pic:nvPicPr>
                                <pic:cNvPr descr="manuscript_files/figure-docx/fig-threshold-all-1.png" id="94" name="Picture"/>
                                <pic:cNvPicPr>
                                  <a:picLocks noChangeArrowheads="1" noChangeAspect="1"/>
                                </pic:cNvPicPr>
                              </pic:nvPicPr>
                              <pic:blipFill>
                                <a:blip r:embed="rId92"/>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95"/>
              </w:tc>
            </w:tr>
          </w:tbl>
          <w:p/>
        </w:tc>
        <w:tc>
          <w:tcPr/>
          <w:tbl>
            <w:tblPr>
              <w:tblStyle w:val="Table"/>
              <w:tblW w:type="pct" w:w="4900"/>
              <w:tblLayout w:type="fixed"/>
              <w:tblLook w:firstRow="0" w:lastRow="0" w:firstColumn="0" w:lastColumn="0" w:noHBand="0" w:noVBand="0" w:val="0000"/>
            </w:tblPr>
            <w:tblGrid>
              <w:gridCol w:w="7761"/>
            </w:tblGrid>
            <w:tr>
              <w:tc>
                <w:tcPr/>
                <w:bookmarkStart w:id="99" w:name="fig-threshold-all-2"/>
                <w:p>
                  <w:pPr>
                    <w:pStyle w:val="Compact"/>
                    <w:jc w:val="center"/>
                    <w:jc w:val="left"/>
                  </w:pPr>
                  <w:r>
                    <w:drawing>
                      <wp:inline>
                        <wp:extent cx="2971800" cy="4245428"/>
                        <wp:effectExtent b="0" l="0" r="0" t="0"/>
                        <wp:docPr descr="" title="" id="97" name="Picture"/>
                        <a:graphic>
                          <a:graphicData uri="http://schemas.openxmlformats.org/drawingml/2006/picture">
                            <pic:pic>
                              <pic:nvPicPr>
                                <pic:cNvPr descr="manuscript_files/figure-docx/fig-threshold-all-2.png" id="98" name="Picture"/>
                                <pic:cNvPicPr>
                                  <a:picLocks noChangeArrowheads="1" noChangeAspect="1"/>
                                </pic:cNvPicPr>
                              </pic:nvPicPr>
                              <pic:blipFill>
                                <a:blip r:embed="rId96"/>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9"/>
              </w:tc>
            </w:tr>
          </w:tbl>
          <w:p/>
        </w:tc>
      </w:tr>
    </w:tbl>
    <w:p>
      <w:pPr>
        <w:pStyle w:val="BodyText"/>
      </w:pPr>
      <w:pPr>
        <w:spacing w:before="200"/>
        <w:pStyle w:val="ImageCaption"/>
      </w:pPr>
      <w:r>
        <w:t xml:space="preserve">Figure 7: Threshold estimates across experiments</w:t>
      </w:r>
    </w:p>
    <w:bookmarkEnd w:id="100"/>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 To estimate the familiarity effect, we then subtracted the drift rate difference on learned trials from novel trials. Inspection of the posterior distribution shows that there is a novelty effect in drift rate difference in Experiment 1. The quality of the evidence accumulation was greater for Novel faces compared to Learned faces.</w:t>
      </w:r>
    </w:p>
    <w:bookmarkStart w:id="109"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4" w:name="fig-drift-all-1"/>
                <w:p>
                  <w:pPr>
                    <w:pStyle w:val="Compact"/>
                    <w:jc w:val="center"/>
                    <w:jc w:val="left"/>
                  </w:pPr>
                  <w:r>
                    <w:drawing>
                      <wp:inline>
                        <wp:extent cx="2971800" cy="4245428"/>
                        <wp:effectExtent b="0" l="0" r="0" t="0"/>
                        <wp:docPr descr="" title="" id="102" name="Picture"/>
                        <a:graphic>
                          <a:graphicData uri="http://schemas.openxmlformats.org/drawingml/2006/picture">
                            <pic:pic>
                              <pic:nvPicPr>
                                <pic:cNvPr descr="manuscript_files/figure-docx/fig-drift-all-1.png" id="103" name="Picture"/>
                                <pic:cNvPicPr>
                                  <a:picLocks noChangeArrowheads="1" noChangeAspect="1"/>
                                </pic:cNvPicPr>
                              </pic:nvPicPr>
                              <pic:blipFill>
                                <a:blip r:embed="rId101"/>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104"/>
              </w:tc>
            </w:tr>
          </w:tbl>
          <w:p/>
        </w:tc>
        <w:tc>
          <w:tcPr/>
          <w:tbl>
            <w:tblPr>
              <w:tblStyle w:val="Table"/>
              <w:tblW w:type="pct" w:w="4900"/>
              <w:tblLayout w:type="fixed"/>
              <w:tblLook w:firstRow="0" w:lastRow="0" w:firstColumn="0" w:lastColumn="0" w:noHBand="0" w:noVBand="0" w:val="0000"/>
            </w:tblPr>
            <w:tblGrid>
              <w:gridCol w:w="7761"/>
            </w:tblGrid>
            <w:tr>
              <w:tc>
                <w:tcPr/>
                <w:bookmarkStart w:id="108" w:name="fig-drift-all-2"/>
                <w:p>
                  <w:pPr>
                    <w:pStyle w:val="Compact"/>
                    <w:jc w:val="center"/>
                    <w:jc w:val="left"/>
                  </w:pPr>
                  <w:r>
                    <w:drawing>
                      <wp:inline>
                        <wp:extent cx="2971800" cy="4245428"/>
                        <wp:effectExtent b="0" l="0" r="0" t="0"/>
                        <wp:docPr descr="" title="" id="106" name="Picture"/>
                        <a:graphic>
                          <a:graphicData uri="http://schemas.openxmlformats.org/drawingml/2006/picture">
                            <pic:pic>
                              <pic:nvPicPr>
                                <pic:cNvPr descr="manuscript_files/figure-docx/fig-drift-all-2.png" id="107" name="Picture"/>
                                <pic:cNvPicPr>
                                  <a:picLocks noChangeArrowheads="1" noChangeAspect="1"/>
                                </pic:cNvPicPr>
                              </pic:nvPicPr>
                              <pic:blipFill>
                                <a:blip r:embed="rId105"/>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8"/>
              </w:tc>
            </w:tr>
          </w:tbl>
          <w:p/>
        </w:tc>
      </w:tr>
    </w:tbl>
    <w:p>
      <w:pPr>
        <w:pStyle w:val="BodyText"/>
      </w:pPr>
      <w:pPr>
        <w:spacing w:before="200"/>
        <w:pStyle w:val="ImageCaption"/>
      </w:pPr>
      <w:r>
        <w:t xml:space="preserve">Figure 8: Drift rate estimates across experiments</w:t>
      </w:r>
    </w:p>
    <w:bookmarkEnd w:id="10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0.2</w:t>
                  </w:r>
                </w:p>
              </w:tc>
              <w:tc>
                <w:tcPr/>
                <w:p>
                  <w:pPr>
                    <w:pStyle w:val="Compact"/>
                    <w:jc w:val="center"/>
                  </w:pPr>
                  <w:r>
                    <w:t xml:space="preserve">[0.061, 0.333]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0.12</w:t>
                  </w:r>
                </w:p>
              </w:tc>
              <w:tc>
                <w:tcPr/>
                <w:p>
                  <w:pPr>
                    <w:pStyle w:val="Compact"/>
                    <w:jc w:val="center"/>
                  </w:pPr>
                  <w:r>
                    <w:t xml:space="preserve">[-0.027, 0.256]</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0.08</w:t>
                  </w:r>
                </w:p>
              </w:tc>
              <w:tc>
                <w:tcPr/>
                <w:p>
                  <w:pPr>
                    <w:pStyle w:val="Compact"/>
                    <w:jc w:val="center"/>
                  </w:pPr>
                  <w:r>
                    <w:t xml:space="preserve">[0.017, 0.148]</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0.51</w:t>
                  </w:r>
                </w:p>
              </w:tc>
              <w:tc>
                <w:tcPr/>
                <w:p>
                  <w:pPr>
                    <w:pStyle w:val="Compact"/>
                    <w:jc w:val="center"/>
                  </w:pPr>
                  <w:r>
                    <w:t xml:space="preserve">[0.402, 0.613]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0.35</w:t>
                  </w:r>
                </w:p>
              </w:tc>
              <w:tc>
                <w:tcPr/>
                <w:p>
                  <w:pPr>
                    <w:pStyle w:val="Compact"/>
                    <w:jc w:val="center"/>
                  </w:pPr>
                  <w:r>
                    <w:t xml:space="preserve">[0.242, 0.461]</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0.16</w:t>
                  </w:r>
                </w:p>
              </w:tc>
              <w:tc>
                <w:tcPr/>
                <w:p>
                  <w:pPr>
                    <w:pStyle w:val="Compact"/>
                    <w:jc w:val="center"/>
                  </w:pPr>
                  <w:r>
                    <w:t xml:space="preserve">[0.097, 0.215]</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0.8</w:t>
                  </w:r>
                </w:p>
              </w:tc>
              <w:tc>
                <w:tcPr/>
                <w:p>
                  <w:pPr>
                    <w:pStyle w:val="Compact"/>
                    <w:jc w:val="center"/>
                  </w:pPr>
                  <w:r>
                    <w:t xml:space="preserve">[0.713, 0.872]</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0.5</w:t>
                  </w:r>
                </w:p>
              </w:tc>
              <w:tc>
                <w:tcPr/>
                <w:p>
                  <w:pPr>
                    <w:pStyle w:val="Compact"/>
                    <w:jc w:val="center"/>
                  </w:pPr>
                  <w:r>
                    <w:t xml:space="preserve">[0.412, 0.573]</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0.3</w:t>
                  </w:r>
                </w:p>
              </w:tc>
              <w:tc>
                <w:tcPr/>
                <w:p>
                  <w:pPr>
                    <w:pStyle w:val="Compact"/>
                    <w:jc w:val="center"/>
                  </w:pPr>
                  <w:r>
                    <w:t xml:space="preserve">[0.248, 0.349]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[2.532, 2.977]</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-0.17</w:t>
                  </w:r>
                </w:p>
              </w:tc>
              <w:tc>
                <w:tcPr/>
                <w:p>
                  <w:pPr>
                    <w:pStyle w:val="Compact"/>
                    <w:jc w:val="center"/>
                  </w:pPr>
                  <w:r>
                    <w:t xml:space="preserve">[-0.371, 0.033]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[2.528, 3.328]</w:t>
                  </w:r>
                </w:p>
              </w:tc>
            </w:tr>
            <w:tr>
              <w:tc>
                <w:tcPr>
                  <w:gridSpan w:val="4"/>
                </w:tcPr>
                <w:p>
                  <w:pPr>
                    <w:pStyle w:val="Compact"/>
                    <w:jc w:val="center"/>
                  </w:pPr>
                  <w:r>
                    <w:t xml:space="preserve">QI = quantile interval.</w:t>
                  </w:r>
                </w:p>
              </w:tc>
            </w:tr>
          </w:tbl>
          <w:bookmarkEnd w:id="110"/>
          <w:p/>
        </w:tc>
      </w:tr>
    </w:tbl>
    <w:bookmarkEnd w:id="111"/>
    <w:bookmarkStart w:id="112"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 The quality of the evidence accumulation was greater for Novel faces compared to Learned faces.</w:t>
      </w:r>
    </w:p>
    <w:bookmarkEnd w:id="112"/>
    <w:bookmarkStart w:id="113"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13"/>
    <w:bookmarkStart w:id="114" w:name="experiment-4-1"/>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 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 The quality of the evidence accumulation was greater for Novel faces compared to Learned faces.</w:t>
      </w:r>
    </w:p>
    <w:bookmarkEnd w:id="114"/>
    <w:bookmarkEnd w:id="115"/>
    <w:bookmarkEnd w:id="116"/>
    <w:bookmarkStart w:id="121"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 By fitting linear ballistic accumulator models to recognition data across a series of experiments, we show that familiarity primarily affects the quality of evidence accumulation, with a secondary and smaller effect on response caution. This computational signature — a novelty advantage in drift rate, accompanied by a modest novelty advantage in threshold — replicates across visual familiarity (Experiments 1 and 2) and, tentatively, visual familiarity and person knowledge (Experiment 4). These findings move beyond manifest measures of accuracy and response time to characterise the decision-level mechanisms that underpin familiar face recognition</w:t>
      </w:r>
      <w:r>
        <w:t xml:space="preserve"> </w:t>
      </w:r>
      <w:r>
        <w:t xml:space="preserve">(Phillips and White 2025)</w:t>
      </w:r>
      <w:r>
        <w:t xml:space="preserve">.</w:t>
      </w:r>
    </w:p>
    <w:bookmarkStart w:id="117"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 Across Experiments 1 and 2, the novelty advantage in drift rate was substantially larger than the novelty advantage in threshold. This dissociation matters because the two parameters reflect qualitatively different aspects of the decision process. Drift rate indexes the quality of evidence accumulation — how cleanly and rapidly perceptual and cognitive systems extract decision-relevant information from a face. Threshold indexes how much accumulated evidence is required before a decision is triggered. 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and Young 1986)</w:t>
      </w:r>
      <w:r>
        <w:t xml:space="preserve">, visual familiarity modulates the quality of structural encoding and feature matching within the core face processing system</w:t>
      </w:r>
      <w:r>
        <w:t xml:space="preserve"> </w:t>
      </w:r>
      <w:r>
        <w:t xml:space="preserve">(Bruce and Young 1986; Gobbini and Haxby 2006)</w:t>
      </w:r>
      <w:r>
        <w:t xml:space="preserve">, thus generating a stronger perceptual signal that feeds into the decision process.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Beeri, and Gutfreund 2022; Lubow and Kaplan 1997)</w:t>
      </w:r>
      <w:r>
        <w:t xml:space="preserve">. 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 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 [ CITE glanzerMirrorEffectRecognition1985; stretchWixtedWhyPositive1998]: participants are more willing to endorse familiarity than to endorse novelty, requiring more evidence before committing to a rejection. Because the drift rate advantage is substantially larger, the net behavioural outcome remains a novel face advantage in speed and accuracy — the signal quality benefit outweighs the response caution cost.</w:t>
      </w:r>
    </w:p>
    <w:bookmarkEnd w:id="117"/>
    <w:bookmarkStart w:id="118"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(Gobbini and Haxby 2007; Duchaine and Yovel 2015)</w:t>
      </w:r>
      <w:r>
        <w:t xml:space="preserve">. However, our conclusions here must remain tentative since we only have evidence from a single experiment (Experiment 4) due to technical issues in data collection during Experiment 3. Experiment 4 showed a pattern broadly consistent with Experiments 1 and 2: novel faces produced higher drift rates and slightly higher response caution than famous faces. This raises the possibility that the computational signature of novelty generalises beyond visual familiarity to person knowledge contexts. 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 More generally, our findings underscore that although the study of true familiarity - where person knowledge is available - is more akin to our real-world experiences of interacting with familiar people, it is inherently more difficult to study with tight experimental control (REF Burton, 2024 Encyclopedia chapter).</w:t>
      </w:r>
    </w:p>
    <w:bookmarkEnd w:id="118"/>
    <w:bookmarkStart w:id="119" w:name="limitations"/>
    <w:p>
      <w:pPr>
        <w:pStyle w:val="Heading2"/>
      </w:pPr>
      <w:r>
        <w:t xml:space="preserve">Limitations</w:t>
      </w:r>
    </w:p>
    <w:p>
      <w:pPr>
        <w:pStyle w:val="FirstParagraph"/>
      </w:pPr>
      <w:r>
        <w:t xml:space="preserve">A novelty advantage in drift rate is in conceptual agreement with studies that reported a better recognition ability for novel faces than for visually familiar faces</w:t>
      </w:r>
      <w:r>
        <w:t xml:space="preserve"> </w:t>
      </w:r>
      <w:r>
        <w:t xml:space="preserve">(Bindemann, Attard, and Johnston 2014; Read and Hammersley 1990)</w:t>
      </w:r>
      <w:r>
        <w:t xml:space="preserve">, whist being in apparent tension with prior work reporting better recognition performance for famous or personally familiar faces</w:t>
      </w:r>
      <w:r>
        <w:t xml:space="preserve"> </w:t>
      </w:r>
      <w:r>
        <w:t xml:space="preserve">(Hancock, Bruce, and Burton 2000; Jenkins and Burton 2011; Klatzky and Forrest 1984)</w:t>
      </w:r>
      <w:r>
        <w:t xml:space="preserve">. We suggest two factors may contribute to this discrepancy. First, prior studies used manifest measures that conflate signal quality with response bias, which makes interpretation more difficult</w:t>
      </w:r>
      <w:r>
        <w:t xml:space="preserve"> </w:t>
      </w:r>
      <w:r>
        <w:t xml:space="preserve">(Wagenmakers, Van Der Maas, and Grasman 2007)</w:t>
      </w:r>
      <w:r>
        <w:t xml:space="preserve">. Second, the yes/no recognition task used here creates an inherent asymmetry: a correct novel response requires only the absence of a recognition signal, whereas a correct famous response requires the presence of one. Novel faces may therefore benefit from a processing advantage that is specific to this task structure, and which would not generalise to tasks requiring positive identification of unfamiliar faces. 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and Gula 2020; Lerche, Voss, and Nagler 2017; Wagenmakers, Van Der Maas, and Grasman 2007)</w:t>
      </w:r>
      <w:r>
        <w:t xml:space="preserve">. 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 Practical considerations were also incorporated, including the challenge of finding face stimuli with standardized low-level visual features that includes a large number of identities. Nonetheless, adding more trials per condition (e.g., 200 per condition; REF Boag et al 2025) would have increased the robustness of our parameter estimates.</w:t>
      </w:r>
    </w:p>
    <w:bookmarkEnd w:id="119"/>
    <w:bookmarkStart w:id="120" w:name="future-directions"/>
    <w:p>
      <w:pPr>
        <w:pStyle w:val="Heading2"/>
      </w:pPr>
      <w:r>
        <w:t xml:space="preserve">Future directions</w:t>
      </w:r>
    </w:p>
    <w:p>
      <w:pPr>
        <w:pStyle w:val="FirstParagraph"/>
      </w:pPr>
      <w:r>
        <w:t xml:space="preserve">We can think of several relevant future directions in addition to the ones already mentioned. 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and Gobbini 2018)</w:t>
      </w:r>
      <w:r>
        <w:t xml:space="preserve">. Second, to more directly link together computational processes and neural architectures, future research might use a joint-modelling approach</w:t>
      </w:r>
      <w:r>
        <w:t xml:space="preserve"> </w:t>
      </w:r>
      <w:r>
        <w:t xml:space="preserve">(Palestro et al. 2018; Vo et al. 2024)</w:t>
      </w:r>
      <w:r>
        <w:t xml:space="preserve">. Joint-modelling integrates different sources of data (e.g. behavioural and neuroimaging data) to estimate the relationship between responses in particular brain regions, such as core and extended face networks, and latent computational parameters. Third, individual differences in face recognition ability represent a natural and important extension. Super-recognisers and individuals with developmental prosopagnosia differ dramatically in recognition performance [CITE duchaine2006 or similar??], and drift rate — as the primary carrier of familiarity effects here — may be the parameter that most cleanly differentiates these groups. Fourth, testing the domain-specificity of these effects would be valuable to determine whether the effects of visual familiarity apply to other categories of visual stimuli, such as objects or scenes.</w:t>
      </w:r>
    </w:p>
    <w:p>
      <w:r>
        <w:br w:type="page"/>
      </w:r>
    </w:p>
    <w:bookmarkEnd w:id="120"/>
    <w:bookmarkEnd w:id="121"/>
    <w:bookmarkStart w:id="126" w:name="disclosures"/>
    <w:p>
      <w:pPr>
        <w:pStyle w:val="Heading1"/>
      </w:pPr>
      <w:r>
        <w:t xml:space="preserve">Disclosures</w:t>
      </w:r>
    </w:p>
    <w:bookmarkStart w:id="122" w:name="data-and-code-availability"/>
    <w:p>
      <w:pPr>
        <w:pStyle w:val="Heading2"/>
      </w:pPr>
      <w:r>
        <w:t xml:space="preserve">Data and code availability</w:t>
      </w:r>
    </w:p>
    <w:p>
      <w:pPr>
        <w:pStyle w:val="FirstParagraph"/>
      </w:pPr>
      <w:r>
        <w:t xml:space="preserve">All materials are available on GitHub (link) and the OSF (link).</w:t>
      </w:r>
    </w:p>
    <w:bookmarkEnd w:id="122"/>
    <w:bookmarkStart w:id="124" w:name="author-contributions"/>
    <w:p>
      <w:pPr>
        <w:pStyle w:val="Heading2"/>
      </w:pPr>
      <w:r>
        <w:t xml:space="preserve">Author contributions</w:t>
      </w:r>
    </w:p>
    <w:p>
      <w:pPr>
        <w:pStyle w:val="FirstParagraph"/>
      </w:pPr>
      <w:hyperlink r:id="rId123">
        <w:r>
          <w:rPr>
            <w:rStyle w:val="Hyperlink"/>
          </w:rPr>
          <w:t xml:space="preserve">CRediT</w:t>
        </w:r>
      </w:hyperlink>
      <w:r>
        <w:t xml:space="preserve"> </w:t>
      </w:r>
      <w:r>
        <w:t xml:space="preserve">author statement:</w:t>
      </w:r>
    </w:p>
    <w:p>
      <w:pPr>
        <w:pStyle w:val="BodyText"/>
      </w:pPr>
      <w:r>
        <w:t xml:space="preserve">Conceptualization: RF, PD, RR</w:t>
      </w:r>
      <w:r>
        <w:br/>
      </w:r>
      <w:r>
        <w:t xml:space="preserve">Methodology: RF, RR</w:t>
      </w:r>
      <w:r>
        <w:br/>
      </w:r>
      <w:r>
        <w:t xml:space="preserve">Software: RF, RR</w:t>
      </w:r>
      <w:r>
        <w:br/>
      </w:r>
      <w:r>
        <w:t xml:space="preserve">Validation: RF, RR</w:t>
      </w:r>
      <w:r>
        <w:br/>
      </w:r>
      <w:r>
        <w:t xml:space="preserve">Formal analysis: RF, RR</w:t>
      </w:r>
      <w:r>
        <w:br/>
      </w:r>
      <w:r>
        <w:t xml:space="preserve">Investigation: RF</w:t>
      </w:r>
      <w:r>
        <w:br/>
      </w:r>
      <w:r>
        <w:t xml:space="preserve">Data Curation: RF, RR</w:t>
      </w:r>
      <w:r>
        <w:br/>
      </w:r>
      <w:r>
        <w:t xml:space="preserve">Writing - Original Draft: RF</w:t>
      </w:r>
      <w:r>
        <w:br/>
      </w:r>
      <w:r>
        <w:t xml:space="preserve">Writing - Review &amp; Editing: RF, PD, RR</w:t>
      </w:r>
      <w:r>
        <w:br/>
      </w:r>
      <w:r>
        <w:t xml:space="preserve">Visualisation: RF, RR</w:t>
      </w:r>
      <w:r>
        <w:br/>
      </w:r>
      <w:r>
        <w:t xml:space="preserve">Supervision: RR</w:t>
      </w:r>
      <w:r>
        <w:br/>
      </w:r>
      <w:r>
        <w:t xml:space="preserve">Project Administration: RF, RR</w:t>
      </w:r>
    </w:p>
    <w:bookmarkEnd w:id="124"/>
    <w:bookmarkStart w:id="125" w:name="competing-interests"/>
    <w:p>
      <w:pPr>
        <w:pStyle w:val="Heading2"/>
      </w:pPr>
      <w:r>
        <w:t xml:space="preserve">Competing interests</w:t>
      </w:r>
    </w:p>
    <w:p>
      <w:pPr>
        <w:pStyle w:val="FirstParagraph"/>
      </w:pPr>
      <w:r>
        <w:t xml:space="preserve">The authors declare no competing interests.</w:t>
      </w:r>
    </w:p>
    <w:p>
      <w:r>
        <w:br w:type="page"/>
      </w:r>
    </w:p>
    <w:bookmarkEnd w:id="125"/>
    <w:bookmarkEnd w:id="126"/>
    <w:bookmarkStart w:id="252" w:name="references"/>
    <w:p>
      <w:pPr>
        <w:pStyle w:val="Heading1"/>
      </w:pPr>
      <w:r>
        <w:t xml:space="preserve">References</w:t>
      </w:r>
    </w:p>
    <w:bookmarkStart w:id="251" w:name="refs"/>
    <w:bookmarkStart w:id="128" w:name="ref-akanHaventSeenYou2023"/>
    <w:p>
      <w:pPr>
        <w:pStyle w:val="Bibliography"/>
      </w:pPr>
      <w:r>
        <w:t xml:space="preserve">Akan, Melisa, and Aaron S. Benjamin. 2023.</w:t>
      </w:r>
      <w:r>
        <w:t xml:space="preserve"> </w:t>
      </w:r>
      <w:r>
        <w:t xml:space="preserve">“Haven’t i Seen You Before? Conceptual but Not Perceptual Prior Familiarity Enhances Face Recognition Memory.”</w:t>
      </w:r>
      <w:r>
        <w:t xml:space="preserve"> </w:t>
      </w:r>
      <w:r>
        <w:rPr>
          <w:i/>
          <w:iCs/>
        </w:rPr>
        <w:t xml:space="preserve">Journal of Memory and Language</w:t>
      </w:r>
      <w:r>
        <w:t xml:space="preserve"> </w:t>
      </w:r>
      <w:r>
        <w:t xml:space="preserve">131 (August): 104433.</w:t>
      </w:r>
      <w:r>
        <w:t xml:space="preserve"> </w:t>
      </w:r>
      <w:hyperlink r:id="rId127">
        <w:r>
          <w:rPr>
            <w:rStyle w:val="Hyperlink"/>
          </w:rPr>
          <w:t xml:space="preserve">https://doi.org/10.1016/j.jml.2023.104433</w:t>
        </w:r>
      </w:hyperlink>
      <w:r>
        <w:t xml:space="preserve">.</w:t>
      </w:r>
    </w:p>
    <w:bookmarkEnd w:id="128"/>
    <w:bookmarkStart w:id="130"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(September): 484737.</w:t>
      </w:r>
      <w:r>
        <w:t xml:space="preserve"> </w:t>
      </w:r>
      <w:hyperlink r:id="rId129">
        <w:r>
          <w:rPr>
            <w:rStyle w:val="Hyperlink"/>
          </w:rPr>
          <w:t xml:space="preserve">https://doi.org/10.3389/fpsyg.2020.484737</w:t>
        </w:r>
      </w:hyperlink>
      <w:r>
        <w:t xml:space="preserve">.</w:t>
      </w:r>
    </w:p>
    <w:bookmarkEnd w:id="130"/>
    <w:bookmarkStart w:id="132" w:name="X903f2de1db21121d516235683c0127697a14bc3"/>
    <w:p>
      <w:pPr>
        <w:pStyle w:val="Bibliography"/>
      </w:pPr>
      <w:r>
        <w:t xml:space="preserve">Bainbridge, Wilma A., Phillip Isola, and Aude Oliva. 2013.</w:t>
      </w:r>
      <w:r>
        <w:t xml:space="preserve"> </w:t>
      </w:r>
      <w:r>
        <w:t xml:space="preserve">“The Intrinsic Memorability of Face Photographs.”</w:t>
      </w:r>
      <w:r>
        <w:t xml:space="preserve"> </w:t>
      </w:r>
      <w:r>
        <w:rPr>
          <w:i/>
          <w:iCs/>
        </w:rPr>
        <w:t xml:space="preserve">Journal of Experimental Psychology: General</w:t>
      </w:r>
      <w:r>
        <w:t xml:space="preserve"> </w:t>
      </w:r>
      <w:r>
        <w:t xml:space="preserve">142 (4): 1323–34.</w:t>
      </w:r>
      <w:r>
        <w:t xml:space="preserve"> </w:t>
      </w:r>
      <w:hyperlink r:id="rId131">
        <w:r>
          <w:rPr>
            <w:rStyle w:val="Hyperlink"/>
          </w:rPr>
          <w:t xml:space="preserve">https://doi.org/10.1037/a0033872</w:t>
        </w:r>
      </w:hyperlink>
      <w:r>
        <w:t xml:space="preserve">.</w:t>
      </w:r>
    </w:p>
    <w:bookmarkEnd w:id="132"/>
    <w:bookmarkStart w:id="134" w:name="ref-bindemannPerceivedAbilityActual2014"/>
    <w:p>
      <w:pPr>
        <w:pStyle w:val="Bibliography"/>
      </w:pPr>
      <w:r>
        <w:t xml:space="preserve">Bindemann, Markus, Janice Attard, and Robert A. Johnston. 2014.</w:t>
      </w:r>
      <w:r>
        <w:t xml:space="preserve"> </w:t>
      </w:r>
      <w:r>
        <w:t xml:space="preserve">“Perceived Ability and Actual Recognition Accuracy for Unfamiliar and Famous Faces.”</w:t>
      </w:r>
      <w:r>
        <w:t xml:space="preserve"> </w:t>
      </w:r>
      <w:r>
        <w:t xml:space="preserve">Edited by Peter Walla.</w:t>
      </w:r>
      <w:r>
        <w:t xml:space="preserve"> </w:t>
      </w:r>
      <w:r>
        <w:rPr>
          <w:i/>
          <w:iCs/>
        </w:rPr>
        <w:t xml:space="preserve">Cogent Psychology</w:t>
      </w:r>
      <w:r>
        <w:t xml:space="preserve"> </w:t>
      </w:r>
      <w:r>
        <w:t xml:space="preserve">1 (1): 986903.</w:t>
      </w:r>
      <w:r>
        <w:t xml:space="preserve"> </w:t>
      </w:r>
      <w:hyperlink r:id="rId133">
        <w:r>
          <w:rPr>
            <w:rStyle w:val="Hyperlink"/>
          </w:rPr>
          <w:t xml:space="preserve">https://doi.org/10.1080/23311908.2014.986903</w:t>
        </w:r>
      </w:hyperlink>
      <w:r>
        <w:t xml:space="preserve">.</w:t>
      </w:r>
    </w:p>
    <w:bookmarkEnd w:id="134"/>
    <w:bookmarkStart w:id="136" w:name="X3769983facdfecf2c0b0ebfe44d7246b82b628c"/>
    <w:p>
      <w:pPr>
        <w:pStyle w:val="Bibliography"/>
      </w:pPr>
      <w:r>
        <w:t xml:space="preserve">Bird, Chris M., Rachel A. Davies, Jamie Ward, and Neil Burgess. 2011.</w:t>
      </w:r>
      <w:r>
        <w:t xml:space="preserve"> </w:t>
      </w:r>
      <w:r>
        <w:t xml:space="preserve">“Effects of Pre-Experimental Knowledge on Recognition Memory.”</w:t>
      </w:r>
      <w:r>
        <w:t xml:space="preserve"> </w:t>
      </w:r>
      <w:r>
        <w:rPr>
          <w:i/>
          <w:iCs/>
        </w:rPr>
        <w:t xml:space="preserve">Learning &amp; Memory</w:t>
      </w:r>
      <w:r>
        <w:t xml:space="preserve"> </w:t>
      </w:r>
      <w:r>
        <w:t xml:space="preserve">18 (1): 11–14.</w:t>
      </w:r>
      <w:r>
        <w:t xml:space="preserve"> </w:t>
      </w:r>
      <w:hyperlink r:id="rId135">
        <w:r>
          <w:rPr>
            <w:rStyle w:val="Hyperlink"/>
          </w:rPr>
          <w:t xml:space="preserve">https://doi.org/10.1101/lm.1952111</w:t>
        </w:r>
      </w:hyperlink>
      <w:r>
        <w:t xml:space="preserve">.</w:t>
      </w:r>
    </w:p>
    <w:bookmarkEnd w:id="136"/>
    <w:bookmarkStart w:id="138"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37">
        <w:r>
          <w:rPr>
            <w:rStyle w:val="Hyperlink"/>
          </w:rPr>
          <w:t xml:space="preserve">https://doi.org/10.1016/j.cogpsych.2007.12.002</w:t>
        </w:r>
      </w:hyperlink>
      <w:r>
        <w:t xml:space="preserve">.</w:t>
      </w:r>
    </w:p>
    <w:bookmarkEnd w:id="138"/>
    <w:bookmarkStart w:id="140" w:name="Xad7bc845786705da78d095681c6c92ab13a31b0"/>
    <w:p>
      <w:pPr>
        <w:pStyle w:val="Bibliography"/>
      </w:pPr>
      <w:r>
        <w:t xml:space="preserve">Bruce, Vicki, and Andy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39">
        <w:r>
          <w:rPr>
            <w:rStyle w:val="Hyperlink"/>
          </w:rPr>
          <w:t xml:space="preserve">https://doi.org/10.1111/j.2044-8295.1986.tb02199.x</w:t>
        </w:r>
      </w:hyperlink>
      <w:r>
        <w:t xml:space="preserve">.</w:t>
      </w:r>
    </w:p>
    <w:bookmarkEnd w:id="140"/>
    <w:bookmarkStart w:id="142" w:name="ref-brms"/>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t xml:space="preserve">80.</w:t>
      </w:r>
      <w:r>
        <w:t xml:space="preserve"> </w:t>
      </w:r>
      <w:hyperlink r:id="rId141">
        <w:r>
          <w:rPr>
            <w:rStyle w:val="Hyperlink"/>
          </w:rPr>
          <w:t xml:space="preserve">https://doi.org/10.18637/jss.v080.i01</w:t>
        </w:r>
      </w:hyperlink>
      <w:r>
        <w:t xml:space="preserve">.</w:t>
      </w:r>
    </w:p>
    <w:bookmarkEnd w:id="142"/>
    <w:bookmarkStart w:id="144" w:name="X5d5236b79a13db78dc3046cef9bcbf8ee58462f"/>
    <w:p>
      <w:pPr>
        <w:pStyle w:val="Bibliography"/>
      </w:pPr>
      <w:r>
        <w:t xml:space="preserve">Charpentier, Caroline J., and John P. O’Doherty. 2018.</w:t>
      </w:r>
      <w:r>
        <w:t xml:space="preserve"> </w:t>
      </w:r>
      <w:r>
        <w:t xml:space="preserve">“The Application of Computational Models to Social Neuroscience: Promises and Pitfalls.”</w:t>
      </w:r>
      <w:r>
        <w:t xml:space="preserve"> </w:t>
      </w:r>
      <w:r>
        <w:rPr>
          <w:i/>
          <w:iCs/>
        </w:rPr>
        <w:t xml:space="preserve">Social Neuroscience</w:t>
      </w:r>
      <w:r>
        <w:t xml:space="preserve"> </w:t>
      </w:r>
      <w:r>
        <w:t xml:space="preserve">13 (6): 637–47.</w:t>
      </w:r>
      <w:r>
        <w:t xml:space="preserve"> </w:t>
      </w:r>
      <w:hyperlink r:id="rId143">
        <w:r>
          <w:rPr>
            <w:rStyle w:val="Hyperlink"/>
          </w:rPr>
          <w:t xml:space="preserve">https://doi.org/10.1080/17470919.2018.1518834</w:t>
        </w:r>
      </w:hyperlink>
      <w:r>
        <w:t xml:space="preserve">.</w:t>
      </w:r>
    </w:p>
    <w:bookmarkEnd w:id="144"/>
    <w:bookmarkStart w:id="146"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1095–1110.</w:t>
      </w:r>
      <w:r>
        <w:t xml:space="preserve"> </w:t>
      </w:r>
      <w:hyperlink r:id="rId145">
        <w:r>
          <w:rPr>
            <w:rStyle w:val="Hyperlink"/>
          </w:rPr>
          <w:t xml:space="preserve">https://doi.org/10.3758/BRM.41.4.1095</w:t>
        </w:r>
      </w:hyperlink>
      <w:r>
        <w:t xml:space="preserve">.</w:t>
      </w:r>
    </w:p>
    <w:bookmarkEnd w:id="146"/>
    <w:bookmarkStart w:id="148" w:name="ref-duchaineRevisedNeuralFramework2015"/>
    <w:p>
      <w:pPr>
        <w:pStyle w:val="Bibliography"/>
      </w:pPr>
      <w:r>
        <w:t xml:space="preserve">Duchaine, Brad, and Galit Yovel. 2015.</w:t>
      </w:r>
      <w:r>
        <w:t xml:space="preserve"> </w:t>
      </w:r>
      <w:r>
        <w:t xml:space="preserve">“A Revised Neural Framework for Face Processing.”</w:t>
      </w:r>
      <w:r>
        <w:t xml:space="preserve"> </w:t>
      </w:r>
      <w:r>
        <w:rPr>
          <w:i/>
          <w:iCs/>
        </w:rPr>
        <w:t xml:space="preserve">Annual Review of Vision Science</w:t>
      </w:r>
      <w:r>
        <w:t xml:space="preserve"> </w:t>
      </w:r>
      <w:r>
        <w:t xml:space="preserve">1 (1): 393–416.</w:t>
      </w:r>
      <w:r>
        <w:t xml:space="preserve"> </w:t>
      </w:r>
      <w:hyperlink r:id="rId147">
        <w:r>
          <w:rPr>
            <w:rStyle w:val="Hyperlink"/>
          </w:rPr>
          <w:t xml:space="preserve">https://doi.org/10.1146/annurev-vision-082114-035518</w:t>
        </w:r>
      </w:hyperlink>
      <w:r>
        <w:t xml:space="preserve">.</w:t>
      </w:r>
    </w:p>
    <w:bookmarkEnd w:id="148"/>
    <w:bookmarkStart w:id="150" w:name="X3b31e59ab487851a9e5cc8241cb5e19f2391a24"/>
    <w:p>
      <w:pPr>
        <w:pStyle w:val="Bibliography"/>
      </w:pPr>
      <w:r>
        <w:t xml:space="preserve">Forstmann, Birte U., and Brandon M. Turner, eds. 2024.</w:t>
      </w:r>
      <w:r>
        <w:t xml:space="preserve"> </w:t>
      </w:r>
      <w:r>
        <w:rPr>
          <w:i/>
          <w:iCs/>
        </w:rPr>
        <w:t xml:space="preserve">An Introduction to Model-Based Cognitive Neuroscience</w:t>
      </w:r>
      <w:r>
        <w:t xml:space="preserve">. Springer International Publishing.</w:t>
      </w:r>
      <w:r>
        <w:t xml:space="preserve"> </w:t>
      </w:r>
      <w:hyperlink r:id="rId149">
        <w:r>
          <w:rPr>
            <w:rStyle w:val="Hyperlink"/>
          </w:rPr>
          <w:t xml:space="preserve">https://doi.org/10.1007/978-3-031-45271-0</w:t>
        </w:r>
      </w:hyperlink>
      <w:r>
        <w:t xml:space="preserve">.</w:t>
      </w:r>
    </w:p>
    <w:bookmarkEnd w:id="150"/>
    <w:bookmarkStart w:id="152" w:name="ref-glanzerMirrorEffectRecognition1985"/>
    <w:p>
      <w:pPr>
        <w:pStyle w:val="Bibliography"/>
      </w:pPr>
      <w:r>
        <w:t xml:space="preserve">Glanzer, Murray, and John K. Adams. 1985.</w:t>
      </w:r>
      <w:r>
        <w:t xml:space="preserve"> </w:t>
      </w:r>
      <w:r>
        <w:t xml:space="preserve">“The Mirror Effect in Recognition Memory.”</w:t>
      </w:r>
      <w:r>
        <w:t xml:space="preserve"> </w:t>
      </w:r>
      <w:r>
        <w:rPr>
          <w:i/>
          <w:iCs/>
        </w:rPr>
        <w:t xml:space="preserve">Memory &amp; Cognition</w:t>
      </w:r>
      <w:r>
        <w:t xml:space="preserve"> </w:t>
      </w:r>
      <w:r>
        <w:t xml:space="preserve">13 (1): 8–20.</w:t>
      </w:r>
      <w:r>
        <w:t xml:space="preserve"> </w:t>
      </w:r>
      <w:hyperlink r:id="rId151">
        <w:r>
          <w:rPr>
            <w:rStyle w:val="Hyperlink"/>
          </w:rPr>
          <w:t xml:space="preserve">https://doi.org/10.3758/BF03198438</w:t>
        </w:r>
      </w:hyperlink>
      <w:r>
        <w:t xml:space="preserve">.</w:t>
      </w:r>
    </w:p>
    <w:bookmarkEnd w:id="152"/>
    <w:bookmarkStart w:id="154" w:name="ref-gobbiniNeuralResponseVisual2006"/>
    <w:p>
      <w:pPr>
        <w:pStyle w:val="Bibliography"/>
      </w:pPr>
      <w:r>
        <w:t xml:space="preserve">Gobbini, M. Ida, and James V. Haxby. 2006.</w:t>
      </w:r>
      <w:r>
        <w:t xml:space="preserve"> </w:t>
      </w:r>
      <w:r>
        <w:t xml:space="preserve">“Neural Response to the Visual Familiarity of Faces.”</w:t>
      </w:r>
      <w:r>
        <w:t xml:space="preserve"> </w:t>
      </w:r>
      <w:r>
        <w:rPr>
          <w:i/>
          <w:iCs/>
        </w:rPr>
        <w:t xml:space="preserve">Brain Research Bulletin</w:t>
      </w:r>
      <w:r>
        <w:t xml:space="preserve"> </w:t>
      </w:r>
      <w:r>
        <w:t xml:space="preserve">71 (1-3): 76–82.</w:t>
      </w:r>
      <w:r>
        <w:t xml:space="preserve"> </w:t>
      </w:r>
      <w:hyperlink r:id="rId153">
        <w:r>
          <w:rPr>
            <w:rStyle w:val="Hyperlink"/>
          </w:rPr>
          <w:t xml:space="preserve">https://doi.org/10.1016/j.brainresbull.2006.08.003</w:t>
        </w:r>
      </w:hyperlink>
      <w:r>
        <w:t xml:space="preserve">.</w:t>
      </w:r>
    </w:p>
    <w:bookmarkEnd w:id="154"/>
    <w:bookmarkStart w:id="156" w:name="ref-gobbiniNeuralSystemsRecognition2007"/>
    <w:p>
      <w:pPr>
        <w:pStyle w:val="Bibliography"/>
      </w:pPr>
      <w:r>
        <w:t xml:space="preserve">———. 2007.</w:t>
      </w:r>
      <w:r>
        <w:t xml:space="preserve"> </w:t>
      </w:r>
      <w:r>
        <w:t xml:space="preserve">“Neural Systems for Recognition of Familiar Faces.”</w:t>
      </w:r>
      <w:r>
        <w:t xml:space="preserve"> </w:t>
      </w:r>
      <w:r>
        <w:rPr>
          <w:i/>
          <w:iCs/>
        </w:rPr>
        <w:t xml:space="preserve">Neuropsychologia</w:t>
      </w:r>
      <w:r>
        <w:t xml:space="preserve"> </w:t>
      </w:r>
      <w:r>
        <w:t xml:space="preserve">45 (1): 32–41.</w:t>
      </w:r>
      <w:r>
        <w:t xml:space="preserve"> </w:t>
      </w:r>
      <w:hyperlink r:id="rId155">
        <w:r>
          <w:rPr>
            <w:rStyle w:val="Hyperlink"/>
          </w:rPr>
          <w:t xml:space="preserve">https://doi.org/10.1016/j.neuropsychologia.2006.04.015</w:t>
        </w:r>
      </w:hyperlink>
      <w:r>
        <w:t xml:space="preserve">.</w:t>
      </w:r>
    </w:p>
    <w:bookmarkEnd w:id="156"/>
    <w:bookmarkStart w:id="158" w:name="X3f170a77adcf62bec6f99bf8aeb046adf3094d6"/>
    <w:p>
      <w:pPr>
        <w:pStyle w:val="Bibliography"/>
      </w:pPr>
      <w:r>
        <w:t xml:space="preserve">Hackel, Leor M, and David M Amodio. 2018.</w:t>
      </w:r>
      <w:r>
        <w:t xml:space="preserve"> </w:t>
      </w:r>
      <w:r>
        <w:t xml:space="preserve">“Computational Neuroscience Approaches to Social Cognition.”</w:t>
      </w:r>
      <w:r>
        <w:t xml:space="preserve"> </w:t>
      </w:r>
      <w:r>
        <w:rPr>
          <w:i/>
          <w:iCs/>
        </w:rPr>
        <w:t xml:space="preserve">Current Opinion in Psychology</w:t>
      </w:r>
      <w:r>
        <w:t xml:space="preserve">, Social neuroscience, 24 (December): 92–97.</w:t>
      </w:r>
      <w:r>
        <w:t xml:space="preserve"> </w:t>
      </w:r>
      <w:hyperlink r:id="rId157">
        <w:r>
          <w:rPr>
            <w:rStyle w:val="Hyperlink"/>
          </w:rPr>
          <w:t xml:space="preserve">https://doi.org/10.1016/j.copsyc.2018.09.001</w:t>
        </w:r>
      </w:hyperlink>
      <w:r>
        <w:t xml:space="preserve">.</w:t>
      </w:r>
    </w:p>
    <w:bookmarkEnd w:id="158"/>
    <w:bookmarkStart w:id="160" w:name="X69e29b07ce704c831aa1edd3cf8b3888c71aa4c"/>
    <w:p>
      <w:pPr>
        <w:pStyle w:val="Bibliography"/>
      </w:pPr>
      <w:r>
        <w:t xml:space="preserve">Hancock, Peter J. B., Vicki Bruce, and A.Mike Burton. 2000.</w:t>
      </w:r>
      <w:r>
        <w:t xml:space="preserve"> </w:t>
      </w:r>
      <w:r>
        <w:t xml:space="preserve">“Recognition of Unfamiliar Faces.”</w:t>
      </w:r>
      <w:r>
        <w:t xml:space="preserve"> </w:t>
      </w:r>
      <w:r>
        <w:rPr>
          <w:i/>
          <w:iCs/>
        </w:rPr>
        <w:t xml:space="preserve">Trends in Cognitive Sciences</w:t>
      </w:r>
      <w:r>
        <w:t xml:space="preserve"> </w:t>
      </w:r>
      <w:r>
        <w:t xml:space="preserve">4 (9): 330–37.</w:t>
      </w:r>
      <w:r>
        <w:t xml:space="preserve"> </w:t>
      </w:r>
      <w:hyperlink r:id="rId159">
        <w:r>
          <w:rPr>
            <w:rStyle w:val="Hyperlink"/>
          </w:rPr>
          <w:t xml:space="preserve">https://doi.org/10.1016/S1364-6613(00)01519-9</w:t>
        </w:r>
      </w:hyperlink>
      <w:r>
        <w:t xml:space="preserve">.</w:t>
      </w:r>
    </w:p>
    <w:bookmarkEnd w:id="160"/>
    <w:bookmarkStart w:id="162" w:name="ref-haxbyDistributedHumanNeural2000"/>
    <w:p>
      <w:pPr>
        <w:pStyle w:val="Bibliography"/>
      </w:pPr>
      <w:r>
        <w:t xml:space="preserve">Haxby, James V., Elizabeth A. Hoffman, and M.Ida Gobbini. 2000.</w:t>
      </w:r>
      <w:r>
        <w:t xml:space="preserve"> </w:t>
      </w:r>
      <w:r>
        <w:t xml:space="preserve">“The Distributed Human Neural System for Face Perception.”</w:t>
      </w:r>
      <w:r>
        <w:t xml:space="preserve"> </w:t>
      </w:r>
      <w:r>
        <w:rPr>
          <w:i/>
          <w:iCs/>
        </w:rPr>
        <w:t xml:space="preserve">Trends in Cognitive Sciences</w:t>
      </w:r>
      <w:r>
        <w:t xml:space="preserve"> </w:t>
      </w:r>
      <w:r>
        <w:t xml:space="preserve">4 (6): 223–33.</w:t>
      </w:r>
      <w:r>
        <w:t xml:space="preserve"> </w:t>
      </w:r>
      <w:hyperlink r:id="rId161">
        <w:r>
          <w:rPr>
            <w:rStyle w:val="Hyperlink"/>
          </w:rPr>
          <w:t xml:space="preserve">https://doi.org/10.1016/S1364-6613(00)01482-0</w:t>
        </w:r>
      </w:hyperlink>
      <w:r>
        <w:t xml:space="preserve">.</w:t>
      </w:r>
    </w:p>
    <w:bookmarkEnd w:id="162"/>
    <w:bookmarkStart w:id="164" w:name="ref-heathcoteDynamicModelsChoice2019"/>
    <w:p>
      <w:pPr>
        <w:pStyle w:val="Bibliography"/>
      </w:pPr>
      <w:r>
        <w:t xml:space="preserve">Heathcote, Andrew, Yi-Shin Lin, Angus Reynolds, Luke Strickland, Matthew Gretton, and Dora Matzke. 2019.</w:t>
      </w:r>
      <w:r>
        <w:t xml:space="preserve"> </w:t>
      </w:r>
      <w:r>
        <w:t xml:space="preserve">“Dynamic Models of Choice.”</w:t>
      </w:r>
      <w:r>
        <w:t xml:space="preserve"> </w:t>
      </w:r>
      <w:r>
        <w:rPr>
          <w:i/>
          <w:iCs/>
        </w:rPr>
        <w:t xml:space="preserve">Behavior Research Methods</w:t>
      </w:r>
      <w:r>
        <w:t xml:space="preserve"> </w:t>
      </w:r>
      <w:r>
        <w:t xml:space="preserve">51 (2): 961–85.</w:t>
      </w:r>
      <w:r>
        <w:t xml:space="preserve"> </w:t>
      </w:r>
      <w:hyperlink r:id="rId163">
        <w:r>
          <w:rPr>
            <w:rStyle w:val="Hyperlink"/>
          </w:rPr>
          <w:t xml:space="preserve">https://doi.org/10.3758/s13428-018-1067-y</w:t>
        </w:r>
      </w:hyperlink>
      <w:r>
        <w:t xml:space="preserve">.</w:t>
      </w:r>
    </w:p>
    <w:bookmarkEnd w:id="164"/>
    <w:bookmarkStart w:id="166" w:name="Xfa52b3ddb822705b7e657498a882a925f97b168"/>
    <w:p>
      <w:pPr>
        <w:pStyle w:val="Bibliography"/>
      </w:pPr>
      <w:r>
        <w:t xml:space="preserve">Ida Gobbini, M, Ellen Leibenluft, Neil Santiago, and James V Haxby. 2004.</w:t>
      </w:r>
      <w:r>
        <w:t xml:space="preserve"> </w:t>
      </w:r>
      <w:r>
        <w:t xml:space="preserve">“Social and Emotional Attachment in the Neural Representation of Faces.”</w:t>
      </w:r>
      <w:r>
        <w:t xml:space="preserve"> </w:t>
      </w:r>
      <w:r>
        <w:rPr>
          <w:i/>
          <w:iCs/>
        </w:rPr>
        <w:t xml:space="preserve">NeuroImage</w:t>
      </w:r>
      <w:r>
        <w:t xml:space="preserve"> </w:t>
      </w:r>
      <w:r>
        <w:t xml:space="preserve">22 (4): 1628–35.</w:t>
      </w:r>
      <w:r>
        <w:t xml:space="preserve"> </w:t>
      </w:r>
      <w:hyperlink r:id="rId165">
        <w:r>
          <w:rPr>
            <w:rStyle w:val="Hyperlink"/>
          </w:rPr>
          <w:t xml:space="preserve">https://doi.org/10.1016/j.neuroimage.2004.03.049</w:t>
        </w:r>
      </w:hyperlink>
      <w:r>
        <w:t xml:space="preserve">.</w:t>
      </w:r>
    </w:p>
    <w:bookmarkEnd w:id="166"/>
    <w:bookmarkStart w:id="168" w:name="ref-ishaiLetsFaceIt2008"/>
    <w:p>
      <w:pPr>
        <w:pStyle w:val="Bibliography"/>
      </w:pPr>
      <w:r>
        <w:t xml:space="preserve">Ishai, Alumit. 2008.</w:t>
      </w:r>
      <w:r>
        <w:t xml:space="preserve"> </w:t>
      </w:r>
      <w:r>
        <w:t xml:space="preserve">“Let’s Face It: It’s a Cortical Network.”</w:t>
      </w:r>
      <w:r>
        <w:t xml:space="preserve"> </w:t>
      </w:r>
      <w:r>
        <w:rPr>
          <w:i/>
          <w:iCs/>
        </w:rPr>
        <w:t xml:space="preserve">NeuroImage</w:t>
      </w:r>
      <w:r>
        <w:t xml:space="preserve"> </w:t>
      </w:r>
      <w:r>
        <w:t xml:space="preserve">40 (2): 415–19.</w:t>
      </w:r>
      <w:r>
        <w:t xml:space="preserve"> </w:t>
      </w:r>
      <w:hyperlink r:id="rId167">
        <w:r>
          <w:rPr>
            <w:rStyle w:val="Hyperlink"/>
          </w:rPr>
          <w:t xml:space="preserve">https://doi.org/10.1016/j.neuroimage.2007.10.040</w:t>
        </w:r>
      </w:hyperlink>
      <w:r>
        <w:t xml:space="preserve">.</w:t>
      </w:r>
    </w:p>
    <w:bookmarkEnd w:id="168"/>
    <w:bookmarkStart w:id="170" w:name="ref-jenkins2011"/>
    <w:p>
      <w:pPr>
        <w:pStyle w:val="Bibliography"/>
      </w:pPr>
      <w:r>
        <w:t xml:space="preserve">Jenkins, Rob, and A. Mike Burton. 2011.</w:t>
      </w:r>
      <w:r>
        <w:t xml:space="preserve"> </w:t>
      </w:r>
      <w:r>
        <w:t xml:space="preserve">“Stable Face Representations.”</w:t>
      </w:r>
      <w:r>
        <w:t xml:space="preserve"> </w:t>
      </w:r>
      <w:r>
        <w:rPr>
          <w:i/>
          <w:iCs/>
        </w:rPr>
        <w:t xml:space="preserve">Philosophical Transactions of the Royal Society B: Biological Sciences</w:t>
      </w:r>
      <w:r>
        <w:t xml:space="preserve"> </w:t>
      </w:r>
      <w:r>
        <w:t xml:space="preserve">366 (1571): 1671–83.</w:t>
      </w:r>
      <w:r>
        <w:t xml:space="preserve"> </w:t>
      </w:r>
      <w:hyperlink r:id="rId169">
        <w:r>
          <w:rPr>
            <w:rStyle w:val="Hyperlink"/>
          </w:rPr>
          <w:t xml:space="preserve">https://doi.org/10.1098/rstb.2010.0379</w:t>
        </w:r>
      </w:hyperlink>
      <w:r>
        <w:t xml:space="preserve">.</w:t>
      </w:r>
    </w:p>
    <w:bookmarkEnd w:id="170"/>
    <w:bookmarkStart w:id="172" w:name="ref-johnstonFamiliarUnfamiliarFace2009"/>
    <w:p>
      <w:pPr>
        <w:pStyle w:val="Bibliography"/>
      </w:pPr>
      <w:r>
        <w:t xml:space="preserve">Johnston, Robert A., and Andrew J. Edmonds. 2009.</w:t>
      </w:r>
      <w:r>
        <w:t xml:space="preserve"> </w:t>
      </w:r>
      <w:r>
        <w:t xml:space="preserve">“Familiar and Unfamiliar Face Recognition: A Review.”</w:t>
      </w:r>
      <w:r>
        <w:t xml:space="preserve"> </w:t>
      </w:r>
      <w:r>
        <w:rPr>
          <w:i/>
          <w:iCs/>
        </w:rPr>
        <w:t xml:space="preserve">Memory</w:t>
      </w:r>
      <w:r>
        <w:t xml:space="preserve"> </w:t>
      </w:r>
      <w:r>
        <w:t xml:space="preserve">17 (5): 577–96.</w:t>
      </w:r>
      <w:r>
        <w:t xml:space="preserve"> </w:t>
      </w:r>
      <w:hyperlink r:id="rId171">
        <w:r>
          <w:rPr>
            <w:rStyle w:val="Hyperlink"/>
          </w:rPr>
          <w:t xml:space="preserve">https://doi.org/10.1080/09658210902976969</w:t>
        </w:r>
      </w:hyperlink>
      <w:r>
        <w:t xml:space="preserve">.</w:t>
      </w:r>
    </w:p>
    <w:bookmarkEnd w:id="172"/>
    <w:bookmarkStart w:id="174" w:name="ref-johnstonAttentionCaptureNovel1990"/>
    <w:p>
      <w:pPr>
        <w:pStyle w:val="Bibliography"/>
      </w:pPr>
      <w:r>
        <w:t xml:space="preserve">Johnston, William A., Kevin J. Hawley, Steven H. Plewe, John M. G. Elliott, and M. Jann DeWitt. 1990.</w:t>
      </w:r>
      <w:r>
        <w:t xml:space="preserve"> </w:t>
      </w:r>
      <w:r>
        <w:t xml:space="preserve">“Attention Capture by Novel Stimuli.”</w:t>
      </w:r>
      <w:r>
        <w:t xml:space="preserve"> </w:t>
      </w:r>
      <w:r>
        <w:rPr>
          <w:i/>
          <w:iCs/>
        </w:rPr>
        <w:t xml:space="preserve">Journal of Experimental Psychology: General</w:t>
      </w:r>
      <w:r>
        <w:t xml:space="preserve"> </w:t>
      </w:r>
      <w:r>
        <w:t xml:space="preserve">119 (4): 397–411.</w:t>
      </w:r>
      <w:r>
        <w:t xml:space="preserve"> </w:t>
      </w:r>
      <w:hyperlink r:id="rId173">
        <w:r>
          <w:rPr>
            <w:rStyle w:val="Hyperlink"/>
          </w:rPr>
          <w:t xml:space="preserve">https://doi.org/10.1037/0096-3445.119.4.397</w:t>
        </w:r>
      </w:hyperlink>
      <w:r>
        <w:t xml:space="preserve">.</w:t>
      </w:r>
    </w:p>
    <w:bookmarkEnd w:id="174"/>
    <w:bookmarkStart w:id="176" w:name="X4b04494fe2515e18845820011bae7cceada381e"/>
    <w:p>
      <w:pPr>
        <w:pStyle w:val="Bibliography"/>
      </w:pPr>
      <w:r>
        <w:t xml:space="preserve">Kanwisher, Nancy, and Jason J. S. Barton. 2011.</w:t>
      </w:r>
      <w:r>
        <w:t xml:space="preserve"> </w:t>
      </w:r>
      <w:r>
        <w:t xml:space="preserve">“111 the Functional Architecture of the Face System: Integrating Evidence from fMRI and Patient Studies.”</w:t>
      </w:r>
      <w:r>
        <w:t xml:space="preserve"> </w:t>
      </w:r>
      <w:r>
        <w:t xml:space="preserve">In</w:t>
      </w:r>
      <w:r>
        <w:t xml:space="preserve"> </w:t>
      </w:r>
      <w:r>
        <w:rPr>
          <w:i/>
          <w:iCs/>
        </w:rPr>
        <w:t xml:space="preserve">Oxford Handbook of Face Perception</w:t>
      </w:r>
      <w:r>
        <w:t xml:space="preserve">, edited by Andrew J. Calder, Gillian Rhodes, Mark H. Johnson, and James V. Haxby, 0. Oxford University Press.</w:t>
      </w:r>
      <w:r>
        <w:t xml:space="preserve"> </w:t>
      </w:r>
      <w:hyperlink r:id="rId175">
        <w:r>
          <w:rPr>
            <w:rStyle w:val="Hyperlink"/>
          </w:rPr>
          <w:t xml:space="preserve">https://doi.org/10.1093/oxfordhb/9780199559053.013.0007</w:t>
        </w:r>
      </w:hyperlink>
      <w:r>
        <w:t xml:space="preserve">.</w:t>
      </w:r>
    </w:p>
    <w:bookmarkEnd w:id="176"/>
    <w:bookmarkStart w:id="178" w:name="X70b7e0c20febb60c6d08875d72be93198b7d64a"/>
    <w:p>
      <w:pPr>
        <w:pStyle w:val="Bibliography"/>
      </w:pPr>
      <w:r>
        <w:t xml:space="preserve">Klatzky, Roberta L., and Fiona H. Forrest. 1984.</w:t>
      </w:r>
      <w:r>
        <w:t xml:space="preserve"> </w:t>
      </w:r>
      <w:r>
        <w:t xml:space="preserve">“Recognizing Familiar and Unfamiliar Faces.”</w:t>
      </w:r>
      <w:r>
        <w:t xml:space="preserve"> </w:t>
      </w:r>
      <w:r>
        <w:rPr>
          <w:i/>
          <w:iCs/>
        </w:rPr>
        <w:t xml:space="preserve">Memory &amp; Cognition</w:t>
      </w:r>
      <w:r>
        <w:t xml:space="preserve"> </w:t>
      </w:r>
      <w:r>
        <w:t xml:space="preserve">12 (1): 60–70.</w:t>
      </w:r>
      <w:r>
        <w:t xml:space="preserve"> </w:t>
      </w:r>
      <w:hyperlink r:id="rId177">
        <w:r>
          <w:rPr>
            <w:rStyle w:val="Hyperlink"/>
          </w:rPr>
          <w:t xml:space="preserve">https://doi.org/10.3758/BF03196998</w:t>
        </w:r>
      </w:hyperlink>
      <w:r>
        <w:t xml:space="preserve">.</w:t>
      </w:r>
    </w:p>
    <w:bookmarkEnd w:id="178"/>
    <w:bookmarkStart w:id="180" w:name="ref-kormi-nouriNoveltyEffectSupport2005"/>
    <w:p>
      <w:pPr>
        <w:pStyle w:val="Bibliography"/>
      </w:pPr>
      <w:r>
        <w:t xml:space="preserve">Kormi-Nouri, Reza, Lars-Göran Nilsson, and Nobuo Ohta. 2005.</w:t>
      </w:r>
      <w:r>
        <w:t xml:space="preserve"> </w:t>
      </w:r>
      <w:r>
        <w:t xml:space="preserve">“The Novelty Effect: Support for the Novelty-Encoding Hypothesis.”</w:t>
      </w:r>
      <w:r>
        <w:t xml:space="preserve"> </w:t>
      </w:r>
      <w:r>
        <w:rPr>
          <w:i/>
          <w:iCs/>
        </w:rPr>
        <w:t xml:space="preserve">Scandinavian Journal of Psychology</w:t>
      </w:r>
      <w:r>
        <w:t xml:space="preserve"> </w:t>
      </w:r>
      <w:r>
        <w:t xml:space="preserve">46 (2): 133–43.</w:t>
      </w:r>
      <w:r>
        <w:t xml:space="preserve"> </w:t>
      </w:r>
      <w:hyperlink r:id="rId179">
        <w:r>
          <w:rPr>
            <w:rStyle w:val="Hyperlink"/>
          </w:rPr>
          <w:t xml:space="preserve">https://doi.org/10.1111/j.1467-9450.2005.00443.x</w:t>
        </w:r>
      </w:hyperlink>
      <w:r>
        <w:t xml:space="preserve">.</w:t>
      </w:r>
    </w:p>
    <w:bookmarkEnd w:id="180"/>
    <w:bookmarkStart w:id="182" w:name="ref-landiFastLinkFace2021"/>
    <w:p>
      <w:pPr>
        <w:pStyle w:val="Bibliography"/>
      </w:pPr>
      <w:r>
        <w:t xml:space="preserve">Landi, Sofia M., Pooja Viswanathan, Stephen Serene, and Winrich A. Freiwald. 2021.</w:t>
      </w:r>
      <w:r>
        <w:t xml:space="preserve"> </w:t>
      </w:r>
      <w:r>
        <w:t xml:space="preserve">“A Fast Link Between Face Perception and Memory in the Temporal Pole.”</w:t>
      </w:r>
      <w:r>
        <w:t xml:space="preserve"> </w:t>
      </w:r>
      <w:r>
        <w:rPr>
          <w:i/>
          <w:iCs/>
        </w:rPr>
        <w:t xml:space="preserve">Science</w:t>
      </w:r>
      <w:r>
        <w:t xml:space="preserve"> </w:t>
      </w:r>
      <w:r>
        <w:t xml:space="preserve">373 (6554): 581–85.</w:t>
      </w:r>
      <w:r>
        <w:t xml:space="preserve"> </w:t>
      </w:r>
      <w:hyperlink r:id="rId181">
        <w:r>
          <w:rPr>
            <w:rStyle w:val="Hyperlink"/>
          </w:rPr>
          <w:t xml:space="preserve">https://doi.org/10.1126/science.abi6671</w:t>
        </w:r>
      </w:hyperlink>
      <w:r>
        <w:t xml:space="preserve">.</w:t>
      </w:r>
    </w:p>
    <w:bookmarkEnd w:id="182"/>
    <w:bookmarkStart w:id="184" w:name="X2d40e1fbd58e72e9f31b44eaf301e5307d132a8"/>
    <w:p>
      <w:pPr>
        <w:pStyle w:val="Bibliography"/>
      </w:pPr>
      <w:r>
        <w:t xml:space="preserve">Leibenluft, Ellen, M.Ida Gobbini, Tara Harrison, and James V. Haxby. 2004.</w:t>
      </w:r>
      <w:r>
        <w:t xml:space="preserve"> </w:t>
      </w:r>
      <w:r>
        <w:t xml:space="preserve">“Mothers’ Neural Activation in Response to Pictures of Their Children and Other Children.”</w:t>
      </w:r>
      <w:r>
        <w:t xml:space="preserve"> </w:t>
      </w:r>
      <w:r>
        <w:rPr>
          <w:i/>
          <w:iCs/>
        </w:rPr>
        <w:t xml:space="preserve">Biological Psychiatry</w:t>
      </w:r>
      <w:r>
        <w:t xml:space="preserve"> </w:t>
      </w:r>
      <w:r>
        <w:t xml:space="preserve">56 (4): 225–32.</w:t>
      </w:r>
      <w:r>
        <w:t xml:space="preserve"> </w:t>
      </w:r>
      <w:hyperlink r:id="rId183">
        <w:r>
          <w:rPr>
            <w:rStyle w:val="Hyperlink"/>
          </w:rPr>
          <w:t xml:space="preserve">https://doi.org/10.1016/j.biopsych.2004.05.017</w:t>
        </w:r>
      </w:hyperlink>
      <w:r>
        <w:t xml:space="preserve">.</w:t>
      </w:r>
    </w:p>
    <w:bookmarkEnd w:id="184"/>
    <w:bookmarkStart w:id="186"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85">
        <w:r>
          <w:rPr>
            <w:rStyle w:val="Hyperlink"/>
          </w:rPr>
          <w:t xml:space="preserve">https://doi.org/10.3758/s13428-016-0740-2</w:t>
        </w:r>
      </w:hyperlink>
      <w:r>
        <w:t xml:space="preserve">.</w:t>
      </w:r>
    </w:p>
    <w:bookmarkEnd w:id="186"/>
    <w:bookmarkStart w:id="188" w:name="ref-lev-ariEcologicalViewSelective2022"/>
    <w:p>
      <w:pPr>
        <w:pStyle w:val="Bibliography"/>
      </w:pPr>
      <w:r>
        <w:t xml:space="preserve">Lev-Ari, Tidhar, Hadar Beeri, and Yoram Gutfreund. 2022.</w:t>
      </w:r>
      <w:r>
        <w:t xml:space="preserve"> </w:t>
      </w:r>
      <w:r>
        <w:t xml:space="preserve">“The Ecological View of Selective Attention.”</w:t>
      </w:r>
      <w:r>
        <w:t xml:space="preserve"> </w:t>
      </w:r>
      <w:r>
        <w:rPr>
          <w:i/>
          <w:iCs/>
        </w:rPr>
        <w:t xml:space="preserve">Frontiers in Integrative Neuroscience</w:t>
      </w:r>
      <w:r>
        <w:t xml:space="preserve"> </w:t>
      </w:r>
      <w:r>
        <w:t xml:space="preserve">16 (March): 856207.</w:t>
      </w:r>
      <w:r>
        <w:t xml:space="preserve"> </w:t>
      </w:r>
      <w:hyperlink r:id="rId187">
        <w:r>
          <w:rPr>
            <w:rStyle w:val="Hyperlink"/>
          </w:rPr>
          <w:t xml:space="preserve">https://doi.org/10.3389/fnint.2022.856207</w:t>
        </w:r>
      </w:hyperlink>
      <w:r>
        <w:t xml:space="preserve">.</w:t>
      </w:r>
    </w:p>
    <w:bookmarkEnd w:id="188"/>
    <w:bookmarkStart w:id="190"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edited by John T. Wixted, 1st ed., 1–35. Wiley.</w:t>
      </w:r>
      <w:r>
        <w:t xml:space="preserve"> </w:t>
      </w:r>
      <w:hyperlink r:id="rId189">
        <w:r>
          <w:rPr>
            <w:rStyle w:val="Hyperlink"/>
          </w:rPr>
          <w:t xml:space="preserve">https://doi.org/10.1002/9781119170174.epcn501</w:t>
        </w:r>
      </w:hyperlink>
      <w:r>
        <w:t xml:space="preserve">.</w:t>
      </w:r>
    </w:p>
    <w:bookmarkEnd w:id="190"/>
    <w:bookmarkStart w:id="192" w:name="X15ee1cdeb559b21c03a6dd839fbc1e8397a9b4c"/>
    <w:p>
      <w:pPr>
        <w:pStyle w:val="Bibliography"/>
      </w:pPr>
      <w:r>
        <w:t xml:space="preserve">Lockwood, Patricia L, and Miriam C Klein-Flügge. 2021.</w:t>
      </w:r>
      <w:r>
        <w:t xml:space="preserve"> </w:t>
      </w:r>
      <w:r>
        <w:t xml:space="preserve">“Computational Modelling of Social Cognition and Behaviour</w:t>
      </w:r>
      <w:r>
        <w:t xml:space="preserve">a Reinforcement Learning Primer.”</w:t>
      </w:r>
      <w:r>
        <w:t xml:space="preserve"> </w:t>
      </w:r>
      <w:r>
        <w:rPr>
          <w:i/>
          <w:iCs/>
        </w:rPr>
        <w:t xml:space="preserve">Social Cognitive and Affective Neuroscience</w:t>
      </w:r>
      <w:r>
        <w:t xml:space="preserve"> </w:t>
      </w:r>
      <w:r>
        <w:t xml:space="preserve">16 (8): 761–71.</w:t>
      </w:r>
      <w:r>
        <w:t xml:space="preserve"> </w:t>
      </w:r>
      <w:hyperlink r:id="rId191">
        <w:r>
          <w:rPr>
            <w:rStyle w:val="Hyperlink"/>
          </w:rPr>
          <w:t xml:space="preserve">https://doi.org/10.1093/scan/nsaa040</w:t>
        </w:r>
      </w:hyperlink>
      <w:r>
        <w:t xml:space="preserve">.</w:t>
      </w:r>
    </w:p>
    <w:bookmarkEnd w:id="192"/>
    <w:bookmarkStart w:id="194" w:name="ref-lubowVisualSearchFunction1997"/>
    <w:p>
      <w:pPr>
        <w:pStyle w:val="Bibliography"/>
      </w:pPr>
      <w:r>
        <w:t xml:space="preserve">Lubow, R. E., and Oren Kaplan. 1997.</w:t>
      </w:r>
      <w:r>
        <w:t xml:space="preserve"> </w:t>
      </w:r>
      <w:r>
        <w:t xml:space="preserve">“Visual Search as a Function of Type of Prior Experience with Target and Distractor.”</w:t>
      </w:r>
      <w:r>
        <w:t xml:space="preserve"> </w:t>
      </w:r>
      <w:r>
        <w:rPr>
          <w:i/>
          <w:iCs/>
        </w:rPr>
        <w:t xml:space="preserve">Journal of Experimental Psychology: Human Perception and Performance</w:t>
      </w:r>
      <w:r>
        <w:t xml:space="preserve"> </w:t>
      </w:r>
      <w:r>
        <w:t xml:space="preserve">23 (1): 14–24.</w:t>
      </w:r>
      <w:r>
        <w:t xml:space="preserve"> </w:t>
      </w:r>
      <w:hyperlink r:id="rId193">
        <w:r>
          <w:rPr>
            <w:rStyle w:val="Hyperlink"/>
          </w:rPr>
          <w:t xml:space="preserve">https://doi.org/10.1037/0096-1523.23.1.14</w:t>
        </w:r>
      </w:hyperlink>
      <w:r>
        <w:t xml:space="preserve">.</w:t>
      </w:r>
    </w:p>
    <w:bookmarkEnd w:id="194"/>
    <w:bookmarkStart w:id="196"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95">
        <w:r>
          <w:rPr>
            <w:rStyle w:val="Hyperlink"/>
          </w:rPr>
          <w:t xml:space="preserve">https://doi.org/10.3758/s13423-024-02621-1</w:t>
        </w:r>
      </w:hyperlink>
      <w:r>
        <w:t xml:space="preserve">.</w:t>
      </w:r>
    </w:p>
    <w:bookmarkEnd w:id="196"/>
    <w:bookmarkStart w:id="198" w:name="ref-muthukrishnaProblemTheory2019"/>
    <w:p>
      <w:pPr>
        <w:pStyle w:val="Bibliography"/>
      </w:pPr>
      <w:r>
        <w:t xml:space="preserve">Muthukrishna, Michael, and Joseph Henrich. 2019.</w:t>
      </w:r>
      <w:r>
        <w:t xml:space="preserve"> </w:t>
      </w:r>
      <w:r>
        <w:t xml:space="preserve">“A Problem in Theory.”</w:t>
      </w:r>
      <w:r>
        <w:t xml:space="preserve"> </w:t>
      </w:r>
      <w:r>
        <w:rPr>
          <w:i/>
          <w:iCs/>
        </w:rPr>
        <w:t xml:space="preserve">Nature Human Behaviour</w:t>
      </w:r>
      <w:r>
        <w:t xml:space="preserve"> </w:t>
      </w:r>
      <w:r>
        <w:t xml:space="preserve">3 (3): 221–29.</w:t>
      </w:r>
      <w:r>
        <w:t xml:space="preserve"> </w:t>
      </w:r>
      <w:hyperlink r:id="rId197">
        <w:r>
          <w:rPr>
            <w:rStyle w:val="Hyperlink"/>
          </w:rPr>
          <w:t xml:space="preserve">https://doi.org/10.1038/s41562-018-0522-1</w:t>
        </w:r>
      </w:hyperlink>
      <w:r>
        <w:t xml:space="preserve">.</w:t>
      </w:r>
    </w:p>
    <w:bookmarkEnd w:id="198"/>
    <w:bookmarkStart w:id="200" w:name="ref-myersPracticalIntroductionUsing2022"/>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 1039172.</w:t>
      </w:r>
      <w:r>
        <w:t xml:space="preserve"> </w:t>
      </w:r>
      <w:hyperlink r:id="rId199">
        <w:r>
          <w:rPr>
            <w:rStyle w:val="Hyperlink"/>
          </w:rPr>
          <w:t xml:space="preserve">https://doi.org/10.3389/fpsyg.2022.1039172</w:t>
        </w:r>
      </w:hyperlink>
      <w:r>
        <w:t xml:space="preserve">.</w:t>
      </w:r>
    </w:p>
    <w:bookmarkEnd w:id="200"/>
    <w:bookmarkStart w:id="202" w:name="ref-natuNeuralProcessingFamiliar2011"/>
    <w:p>
      <w:pPr>
        <w:pStyle w:val="Bibliography"/>
      </w:pPr>
      <w:r>
        <w:t xml:space="preserve">Natu, Vaidehi, and Alice J. O’Toole. 2011.</w:t>
      </w:r>
      <w:r>
        <w:t xml:space="preserve"> </w:t>
      </w:r>
      <w:r>
        <w:t xml:space="preserve">“The Neural Processing of Familiar and Unfamiliar Faces: A Review and Synopsis.”</w:t>
      </w:r>
      <w:r>
        <w:t xml:space="preserve"> </w:t>
      </w:r>
      <w:r>
        <w:rPr>
          <w:i/>
          <w:iCs/>
        </w:rPr>
        <w:t xml:space="preserve">British Journal of Psychology</w:t>
      </w:r>
      <w:r>
        <w:t xml:space="preserve"> </w:t>
      </w:r>
      <w:r>
        <w:t xml:space="preserve">102 (4): 726–47.</w:t>
      </w:r>
      <w:r>
        <w:t xml:space="preserve"> </w:t>
      </w:r>
      <w:hyperlink r:id="rId201">
        <w:r>
          <w:rPr>
            <w:rStyle w:val="Hyperlink"/>
          </w:rPr>
          <w:t xml:space="preserve">https://doi.org/10.1111/j.2044-8295.2011.02053.x</w:t>
        </w:r>
      </w:hyperlink>
      <w:r>
        <w:t xml:space="preserve">.</w:t>
      </w:r>
    </w:p>
    <w:bookmarkEnd w:id="202"/>
    <w:bookmarkStart w:id="204" w:name="ref-oberauerAddressingTheoryCrisis2019"/>
    <w:p>
      <w:pPr>
        <w:pStyle w:val="Bibliography"/>
      </w:pPr>
      <w:r>
        <w:t xml:space="preserve">Oberauer, Klaus, and Stephan Lewandowsky. 2019.</w:t>
      </w:r>
      <w:r>
        <w:t xml:space="preserve"> </w:t>
      </w:r>
      <w:r>
        <w:t xml:space="preserve">“Addressing the Theory Crisis in Psychology.”</w:t>
      </w:r>
      <w:r>
        <w:t xml:space="preserve"> </w:t>
      </w:r>
      <w:r>
        <w:rPr>
          <w:i/>
          <w:iCs/>
        </w:rPr>
        <w:t xml:space="preserve">Psychonomic Bulletin &amp; Review</w:t>
      </w:r>
      <w:r>
        <w:t xml:space="preserve"> </w:t>
      </w:r>
      <w:r>
        <w:t xml:space="preserve">26 (5): 1596–1618.</w:t>
      </w:r>
      <w:r>
        <w:t xml:space="preserve"> </w:t>
      </w:r>
      <w:hyperlink r:id="rId203">
        <w:r>
          <w:rPr>
            <w:rStyle w:val="Hyperlink"/>
          </w:rPr>
          <w:t xml:space="preserve">https://doi.org/10.3758/s13423-019-01645-2</w:t>
        </w:r>
      </w:hyperlink>
      <w:r>
        <w:t xml:space="preserve">.</w:t>
      </w:r>
    </w:p>
    <w:bookmarkEnd w:id="204"/>
    <w:bookmarkStart w:id="206" w:name="ref-palestroTutorialJointModels2018"/>
    <w:p>
      <w:pPr>
        <w:pStyle w:val="Bibliography"/>
      </w:pPr>
      <w:r>
        <w:t xml:space="preserve">Palestro, James J., Giwon Bahg, Per B. Sederberg, Zhong-Lin Lu, Mark Steyvers, and Brandon M. Turner. 2018.</w:t>
      </w:r>
      <w:r>
        <w:t xml:space="preserve"> </w:t>
      </w:r>
      <w:r>
        <w:t xml:space="preserve">“A Tutorial on Joint Models of Neural and Behavioral Measures of Cognition.”</w:t>
      </w:r>
      <w:r>
        <w:t xml:space="preserve"> </w:t>
      </w:r>
      <w:r>
        <w:rPr>
          <w:i/>
          <w:iCs/>
        </w:rPr>
        <w:t xml:space="preserve">Journal of Mathematical Psychology</w:t>
      </w:r>
      <w:r>
        <w:t xml:space="preserve"> </w:t>
      </w:r>
      <w:r>
        <w:t xml:space="preserve">84 (June): 20–48.</w:t>
      </w:r>
      <w:r>
        <w:t xml:space="preserve"> </w:t>
      </w:r>
      <w:hyperlink r:id="rId205">
        <w:r>
          <w:rPr>
            <w:rStyle w:val="Hyperlink"/>
          </w:rPr>
          <w:t xml:space="preserve">https://doi.org/10.1016/j.jmp.2018.03.003</w:t>
        </w:r>
      </w:hyperlink>
      <w:r>
        <w:t xml:space="preserve">.</w:t>
      </w:r>
    </w:p>
    <w:bookmarkEnd w:id="206"/>
    <w:bookmarkStart w:id="208" w:name="ref-parker2024"/>
    <w:p>
      <w:pPr>
        <w:pStyle w:val="Bibliography"/>
      </w:pPr>
      <w:r>
        <w:t xml:space="preserve">Parker, Samantha, and Richard Ramsey. 2024.</w:t>
      </w:r>
      <w:r>
        <w:t xml:space="preserve"> </w:t>
      </w:r>
      <w:r>
        <w:t xml:space="preserve">“What Can Evidence Accumulation Modelling Tell Us about Human Social Cognition?”</w:t>
      </w:r>
      <w:r>
        <w:t xml:space="preserve"> </w:t>
      </w:r>
      <w:r>
        <w:rPr>
          <w:i/>
          <w:iCs/>
        </w:rPr>
        <w:t xml:space="preserve">Quarterly Journal of Experimental Psychology</w:t>
      </w:r>
      <w:r>
        <w:t xml:space="preserve"> </w:t>
      </w:r>
      <w:r>
        <w:t xml:space="preserve">77 (3): 639–55.</w:t>
      </w:r>
      <w:r>
        <w:t xml:space="preserve"> </w:t>
      </w:r>
      <w:hyperlink r:id="rId207">
        <w:r>
          <w:rPr>
            <w:rStyle w:val="Hyperlink"/>
          </w:rPr>
          <w:t xml:space="preserve">https://doi.org/10.1177/17470218231176950</w:t>
        </w:r>
      </w:hyperlink>
      <w:r>
        <w:t xml:space="preserve">.</w:t>
      </w:r>
    </w:p>
    <w:bookmarkEnd w:id="208"/>
    <w:bookmarkStart w:id="210" w:name="Xbbc100c68483f96c48b8662a8ebad22a1578ea2"/>
    <w:p>
      <w:pPr>
        <w:pStyle w:val="Bibliography"/>
      </w:pPr>
      <w:r>
        <w:t xml:space="preserve">Peirce, Jonathan, Jeremy R. Gray, Sol Simpson, Michael MacAskill, Richard Höchenberger, Hiroyuki Sogo, Erik Kastman, and Jonas Kristoffer Lindeløv. 2019.</w:t>
      </w:r>
      <w:r>
        <w:t xml:space="preserve"> </w:t>
      </w:r>
      <w:r>
        <w:t xml:space="preserve">“PsychoPy2: Experiments in Behavior Made Easy.”</w:t>
      </w:r>
      <w:r>
        <w:t xml:space="preserve"> </w:t>
      </w:r>
      <w:r>
        <w:rPr>
          <w:i/>
          <w:iCs/>
        </w:rPr>
        <w:t xml:space="preserve">Behavior Research Methods</w:t>
      </w:r>
      <w:r>
        <w:t xml:space="preserve"> </w:t>
      </w:r>
      <w:r>
        <w:t xml:space="preserve">51 (1): 195–203.</w:t>
      </w:r>
      <w:r>
        <w:t xml:space="preserve"> </w:t>
      </w:r>
      <w:hyperlink r:id="rId209">
        <w:r>
          <w:rPr>
            <w:rStyle w:val="Hyperlink"/>
          </w:rPr>
          <w:t xml:space="preserve">https://doi.org/10.3758/s13428-018-01193-y</w:t>
        </w:r>
      </w:hyperlink>
      <w:r>
        <w:t xml:space="preserve">.</w:t>
      </w:r>
    </w:p>
    <w:bookmarkEnd w:id="210"/>
    <w:bookmarkStart w:id="212" w:name="ref-phillipsStateModellingFace2025"/>
    <w:p>
      <w:pPr>
        <w:pStyle w:val="Bibliography"/>
      </w:pPr>
      <w:r>
        <w:t xml:space="preserve">Phillips, P. Jonathon, and David White. 2025.</w:t>
      </w:r>
      <w:r>
        <w:t xml:space="preserve"> </w:t>
      </w:r>
      <w:r>
        <w:t xml:space="preserve">“The State of Modelling Face Processing in Humans with Deep Learning.”</w:t>
      </w:r>
      <w:r>
        <w:t xml:space="preserve"> </w:t>
      </w:r>
      <w:r>
        <w:rPr>
          <w:i/>
          <w:iCs/>
        </w:rPr>
        <w:t xml:space="preserve">British Journal of Psychology</w:t>
      </w:r>
      <w:r>
        <w:t xml:space="preserve">, May, bjop.12794.</w:t>
      </w:r>
      <w:r>
        <w:t xml:space="preserve"> </w:t>
      </w:r>
      <w:hyperlink r:id="rId211">
        <w:r>
          <w:rPr>
            <w:rStyle w:val="Hyperlink"/>
          </w:rPr>
          <w:t xml:space="preserve">https://doi.org/10.1111/bjop.12794</w:t>
        </w:r>
      </w:hyperlink>
      <w:r>
        <w:t xml:space="preserve">.</w:t>
      </w:r>
    </w:p>
    <w:bookmarkEnd w:id="212"/>
    <w:bookmarkStart w:id="214" w:name="ref-proulxStatisticalRitualTheory2021"/>
    <w:p>
      <w:pPr>
        <w:pStyle w:val="Bibliography"/>
      </w:pPr>
      <w:r>
        <w:t xml:space="preserve">Proulx, Travis, and Richard D. Morey. 2021.</w:t>
      </w:r>
      <w:r>
        <w:t xml:space="preserve"> </w:t>
      </w:r>
      <w:r>
        <w:t xml:space="preserve">“Beyond Statistical Ritual: Theory in Psychological Science.”</w:t>
      </w:r>
      <w:r>
        <w:t xml:space="preserve"> </w:t>
      </w:r>
      <w:r>
        <w:rPr>
          <w:i/>
          <w:iCs/>
        </w:rPr>
        <w:t xml:space="preserve">Perspectives on Psychological Science</w:t>
      </w:r>
      <w:r>
        <w:t xml:space="preserve"> </w:t>
      </w:r>
      <w:r>
        <w:t xml:space="preserve">16 (4): 671–81.</w:t>
      </w:r>
      <w:r>
        <w:t xml:space="preserve"> </w:t>
      </w:r>
      <w:hyperlink r:id="rId213">
        <w:r>
          <w:rPr>
            <w:rStyle w:val="Hyperlink"/>
          </w:rPr>
          <w:t xml:space="preserve">https://doi.org/10.1177/17456916211017098</w:t>
        </w:r>
      </w:hyperlink>
      <w:r>
        <w:t xml:space="preserve">.</w:t>
      </w:r>
    </w:p>
    <w:bookmarkEnd w:id="214"/>
    <w:bookmarkStart w:id="216" w:name="ref-ramonFamiliarityMattersReview2018"/>
    <w:p>
      <w:pPr>
        <w:pStyle w:val="Bibliography"/>
      </w:pPr>
      <w:r>
        <w:t xml:space="preserve">Ramon, Meike, and Maria Ida Gobbini. 2018.</w:t>
      </w:r>
      <w:r>
        <w:t xml:space="preserve"> </w:t>
      </w:r>
      <w:r>
        <w:t xml:space="preserve">“Familiarity Matters: A Review on Prioritized Processing of Personally Familiar Faces.”</w:t>
      </w:r>
      <w:r>
        <w:t xml:space="preserve"> </w:t>
      </w:r>
      <w:r>
        <w:rPr>
          <w:i/>
          <w:iCs/>
        </w:rPr>
        <w:t xml:space="preserve">Visual Cognition</w:t>
      </w:r>
      <w:r>
        <w:t xml:space="preserve"> </w:t>
      </w:r>
      <w:r>
        <w:t xml:space="preserve">26 (3): 179–95.</w:t>
      </w:r>
      <w:r>
        <w:t xml:space="preserve"> </w:t>
      </w:r>
      <w:hyperlink r:id="rId215">
        <w:r>
          <w:rPr>
            <w:rStyle w:val="Hyperlink"/>
          </w:rPr>
          <w:t xml:space="preserve">https://doi.org/10.1080/13506285.2017.1405134</w:t>
        </w:r>
      </w:hyperlink>
      <w:r>
        <w:t xml:space="preserve">.</w:t>
      </w:r>
    </w:p>
    <w:bookmarkEnd w:id="216"/>
    <w:bookmarkStart w:id="218" w:name="ref-rapcsakFaceRecognition2019"/>
    <w:p>
      <w:pPr>
        <w:pStyle w:val="Bibliography"/>
      </w:pPr>
      <w:r>
        <w:t xml:space="preserve">Rapcsak, Steven Z. 2019.</w:t>
      </w:r>
      <w:r>
        <w:t xml:space="preserve"> </w:t>
      </w:r>
      <w:r>
        <w:t xml:space="preserve">“Face Recognition.”</w:t>
      </w:r>
      <w:r>
        <w:t xml:space="preserve"> </w:t>
      </w:r>
      <w:r>
        <w:rPr>
          <w:i/>
          <w:iCs/>
        </w:rPr>
        <w:t xml:space="preserve">Current Neurology and Neuroscience Reports</w:t>
      </w:r>
      <w:r>
        <w:t xml:space="preserve"> </w:t>
      </w:r>
      <w:r>
        <w:t xml:space="preserve">19 (7): 41.</w:t>
      </w:r>
      <w:r>
        <w:t xml:space="preserve"> </w:t>
      </w:r>
      <w:hyperlink r:id="rId217">
        <w:r>
          <w:rPr>
            <w:rStyle w:val="Hyperlink"/>
          </w:rPr>
          <w:t xml:space="preserve">https://doi.org/10.1007/s11910-019-0960-9</w:t>
        </w:r>
      </w:hyperlink>
      <w:r>
        <w:t xml:space="preserve">.</w:t>
      </w:r>
    </w:p>
    <w:bookmarkEnd w:id="218"/>
    <w:bookmarkStart w:id="220" w:name="ref-ratcliffModelingResponseTimes1998"/>
    <w:p>
      <w:pPr>
        <w:pStyle w:val="Bibliography"/>
      </w:pPr>
      <w:r>
        <w:t xml:space="preserve">Ratcliff, Roger, and Jeffrey N. Rouder. 1998.</w:t>
      </w:r>
      <w:r>
        <w:t xml:space="preserve"> </w:t>
      </w:r>
      <w:r>
        <w:t xml:space="preserve">“Modeling Response Times for Two-Choice Decisions.”</w:t>
      </w:r>
      <w:r>
        <w:t xml:space="preserve"> </w:t>
      </w:r>
      <w:r>
        <w:rPr>
          <w:i/>
          <w:iCs/>
        </w:rPr>
        <w:t xml:space="preserve">Psychological Science</w:t>
      </w:r>
      <w:r>
        <w:t xml:space="preserve"> </w:t>
      </w:r>
      <w:r>
        <w:t xml:space="preserve">9 (5): 347–56.</w:t>
      </w:r>
      <w:r>
        <w:t xml:space="preserve"> </w:t>
      </w:r>
      <w:hyperlink r:id="rId219">
        <w:r>
          <w:rPr>
            <w:rStyle w:val="Hyperlink"/>
          </w:rPr>
          <w:t xml:space="preserve">https://doi.org/10.1111/1467-9280.00067</w:t>
        </w:r>
      </w:hyperlink>
      <w:r>
        <w:t xml:space="preserve">.</w:t>
      </w:r>
    </w:p>
    <w:bookmarkEnd w:id="220"/>
    <w:bookmarkStart w:id="222"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221">
        <w:r>
          <w:rPr>
            <w:rStyle w:val="Hyperlink"/>
          </w:rPr>
          <w:t xml:space="preserve">https://doi.org/10.1016/j.tics.2016.01.007</w:t>
        </w:r>
      </w:hyperlink>
      <w:r>
        <w:t xml:space="preserve">.</w:t>
      </w:r>
    </w:p>
    <w:bookmarkEnd w:id="222"/>
    <w:bookmarkStart w:id="224" w:name="ref-ratcliffEffectsAgingReaction2001"/>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223">
        <w:r>
          <w:rPr>
            <w:rStyle w:val="Hyperlink"/>
          </w:rPr>
          <w:t xml:space="preserve">https://doi.org/10.1037/0882-7974.16.2.323</w:t>
        </w:r>
      </w:hyperlink>
      <w:r>
        <w:t xml:space="preserve">.</w:t>
      </w:r>
    </w:p>
    <w:bookmarkEnd w:id="224"/>
    <w:bookmarkStart w:id="226" w:name="ref-readChangingPhotosFaces1990"/>
    <w:p>
      <w:pPr>
        <w:pStyle w:val="Bibliography"/>
      </w:pPr>
      <w:r>
        <w:t xml:space="preserve">Read, John, and Richard Hammersley. 1990.</w:t>
      </w:r>
      <w:r>
        <w:t xml:space="preserve"> </w:t>
      </w:r>
      <w:r>
        <w:t xml:space="preserve">“Changing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 </w:t>
      </w:r>
      <w:r>
        <w:t xml:space="preserve">16 (September): 870–82.</w:t>
      </w:r>
      <w:r>
        <w:t xml:space="preserve"> </w:t>
      </w:r>
      <w:hyperlink r:id="rId225">
        <w:r>
          <w:rPr>
            <w:rStyle w:val="Hyperlink"/>
          </w:rPr>
          <w:t xml:space="preserve">https://doi.org/10.1037/0278-7393.16.5.870</w:t>
        </w:r>
      </w:hyperlink>
      <w:r>
        <w:t xml:space="preserve">.</w:t>
      </w:r>
    </w:p>
    <w:bookmarkEnd w:id="226"/>
    <w:bookmarkStart w:id="228" w:name="ref-schomakerNoveltyEnhancesVisual2012"/>
    <w:p>
      <w:pPr>
        <w:pStyle w:val="Bibliography"/>
      </w:pPr>
      <w:r>
        <w:t xml:space="preserve">Schomaker, Judith, and Martijn Meeter. 2012.</w:t>
      </w:r>
      <w:r>
        <w:t xml:space="preserve"> </w:t>
      </w:r>
      <w:r>
        <w:t xml:space="preserve">“Novelty Enhances Visual Perception.”</w:t>
      </w:r>
      <w:r>
        <w:t xml:space="preserve"> </w:t>
      </w:r>
      <w:r>
        <w:rPr>
          <w:i/>
          <w:iCs/>
        </w:rPr>
        <w:t xml:space="preserve">PLOS ONE</w:t>
      </w:r>
      <w:r>
        <w:t xml:space="preserve"> </w:t>
      </w:r>
      <w:r>
        <w:t xml:space="preserve">7 (12): e50599.</w:t>
      </w:r>
      <w:r>
        <w:t xml:space="preserve"> </w:t>
      </w:r>
      <w:hyperlink r:id="rId227">
        <w:r>
          <w:rPr>
            <w:rStyle w:val="Hyperlink"/>
          </w:rPr>
          <w:t xml:space="preserve">https://doi.org/10.1371/journal.pone.0050599</w:t>
        </w:r>
      </w:hyperlink>
      <w:r>
        <w:t xml:space="preserve">.</w:t>
      </w:r>
    </w:p>
    <w:bookmarkEnd w:id="228"/>
    <w:bookmarkStart w:id="230"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2525:643–50. Springer Berlin Heidelberg.</w:t>
      </w:r>
      <w:r>
        <w:t xml:space="preserve"> </w:t>
      </w:r>
      <w:hyperlink r:id="rId229">
        <w:r>
          <w:rPr>
            <w:rStyle w:val="Hyperlink"/>
          </w:rPr>
          <w:t xml:space="preserve">http://link.springer.com/10.1007/3-540-36181-2_64</w:t>
        </w:r>
      </w:hyperlink>
      <w:r>
        <w:t xml:space="preserve">.</w:t>
      </w:r>
    </w:p>
    <w:bookmarkEnd w:id="230"/>
    <w:bookmarkStart w:id="232" w:name="X8169f5a5c52f9b2ab1fb6721aa82db700e1697d"/>
    <w:p>
      <w:pPr>
        <w:pStyle w:val="Bibliography"/>
      </w:pPr>
      <w:r>
        <w:t xml:space="preserve">Schwartz, Linoy, and Galit Yovel. 2016.</w:t>
      </w:r>
      <w:r>
        <w:t xml:space="preserve"> </w:t>
      </w:r>
      <w:r>
        <w:t xml:space="preserve">“The Roles of Perceptual and Conceptual Information in Face Recognition.”</w:t>
      </w:r>
      <w:r>
        <w:t xml:space="preserve"> </w:t>
      </w:r>
      <w:r>
        <w:rPr>
          <w:i/>
          <w:iCs/>
        </w:rPr>
        <w:t xml:space="preserve">Journal of Experimental Psychology: General</w:t>
      </w:r>
      <w:r>
        <w:t xml:space="preserve"> </w:t>
      </w:r>
      <w:r>
        <w:t xml:space="preserve">145 (11): 1493–1511.</w:t>
      </w:r>
      <w:r>
        <w:t xml:space="preserve"> </w:t>
      </w:r>
      <w:hyperlink r:id="rId231">
        <w:r>
          <w:rPr>
            <w:rStyle w:val="Hyperlink"/>
          </w:rPr>
          <w:t xml:space="preserve">https://doi.org/10.1037/xge0000220</w:t>
        </w:r>
      </w:hyperlink>
      <w:r>
        <w:t xml:space="preserve">.</w:t>
      </w:r>
    </w:p>
    <w:bookmarkEnd w:id="232"/>
    <w:bookmarkStart w:id="234" w:name="X0d6618003d28a1539898287bbc575a0d4356d23"/>
    <w:p>
      <w:pPr>
        <w:pStyle w:val="Bibliography"/>
      </w:pPr>
      <w:r>
        <w:t xml:space="preserve">———. 2019.</w:t>
      </w:r>
      <w:r>
        <w:t xml:space="preserve"> </w:t>
      </w:r>
      <w:r>
        <w:t xml:space="preserve">“Independent Contribution of Perceptual Experience and Social Cognition to Face Recognition.”</w:t>
      </w:r>
      <w:r>
        <w:t xml:space="preserve"> </w:t>
      </w:r>
      <w:r>
        <w:rPr>
          <w:i/>
          <w:iCs/>
        </w:rPr>
        <w:t xml:space="preserve">Cognition</w:t>
      </w:r>
      <w:r>
        <w:t xml:space="preserve"> </w:t>
      </w:r>
      <w:r>
        <w:t xml:space="preserve">183 (February): 131–38.</w:t>
      </w:r>
      <w:r>
        <w:t xml:space="preserve"> </w:t>
      </w:r>
      <w:hyperlink r:id="rId233">
        <w:r>
          <w:rPr>
            <w:rStyle w:val="Hyperlink"/>
          </w:rPr>
          <w:t xml:space="preserve">https://doi.org/10.1016/j.cognition.2018.11.003</w:t>
        </w:r>
      </w:hyperlink>
      <w:r>
        <w:t xml:space="preserve">.</w:t>
      </w:r>
    </w:p>
    <w:bookmarkEnd w:id="234"/>
    <w:bookmarkStart w:id="236"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235">
        <w:r>
          <w:rPr>
            <w:rStyle w:val="Hyperlink"/>
          </w:rPr>
          <w:t xml:space="preserve">https://doi.org/10.1177/1745691617708630</w:t>
        </w:r>
      </w:hyperlink>
      <w:r>
        <w:t xml:space="preserve">.</w:t>
      </w:r>
    </w:p>
    <w:bookmarkEnd w:id="236"/>
    <w:bookmarkStart w:id="238" w:name="ref-EMC2"/>
    <w:p>
      <w:pPr>
        <w:pStyle w:val="Bibliography"/>
      </w:pPr>
      <w:r>
        <w:t xml:space="preserve">Stevenson, Niek, Michelle Donzallaz, and Andrew Heathcote. 2025.</w:t>
      </w:r>
      <w:r>
        <w:t xml:space="preserve"> </w:t>
      </w:r>
      <w:r>
        <w:t xml:space="preserve">“EMC2: Bayesian Hierarchical Analysis of Cognitive Models of Choice.”</w:t>
      </w:r>
      <w:r>
        <w:t xml:space="preserve"> </w:t>
      </w:r>
      <w:hyperlink r:id="rId237">
        <w:r>
          <w:rPr>
            <w:rStyle w:val="Hyperlink"/>
          </w:rPr>
          <w:t xml:space="preserve">https://CRAN.R-project.org/package=EMC2</w:t>
        </w:r>
      </w:hyperlink>
      <w:r>
        <w:t xml:space="preserve">.</w:t>
      </w:r>
    </w:p>
    <w:bookmarkEnd w:id="238"/>
    <w:bookmarkStart w:id="240" w:name="ref-GIMP"/>
    <w:p>
      <w:pPr>
        <w:pStyle w:val="Bibliography"/>
      </w:pPr>
      <w:r>
        <w:t xml:space="preserve">The GIMP Development Team. 2025.</w:t>
      </w:r>
      <w:r>
        <w:t xml:space="preserve"> </w:t>
      </w:r>
      <w:r>
        <w:t xml:space="preserve">“GNU Image Manipulation Program (GIMP), Version 3.0.6. Community, Free Software (License GPLv3).”</w:t>
      </w:r>
      <w:r>
        <w:t xml:space="preserve"> </w:t>
      </w:r>
      <w:hyperlink r:id="rId239">
        <w:r>
          <w:rPr>
            <w:rStyle w:val="Hyperlink"/>
          </w:rPr>
          <w:t xml:space="preserve">https://gimp.org/</w:t>
        </w:r>
      </w:hyperlink>
      <w:r>
        <w:t xml:space="preserve">.</w:t>
      </w:r>
    </w:p>
    <w:bookmarkEnd w:id="240"/>
    <w:bookmarkStart w:id="242" w:name="ref-tulvingNoveltyAssessmentBrain1995"/>
    <w:p>
      <w:pPr>
        <w:pStyle w:val="Bibliography"/>
      </w:pPr>
      <w:r>
        <w:t xml:space="preserve">Tulving, Endel, and Neal Kroll. 1995.</w:t>
      </w:r>
      <w:r>
        <w:t xml:space="preserve"> </w:t>
      </w:r>
      <w:r>
        <w:t xml:space="preserve">“Novelty Assessment in the Brain and Long-Term Memory Encoding.”</w:t>
      </w:r>
      <w:r>
        <w:t xml:space="preserve"> </w:t>
      </w:r>
      <w:r>
        <w:rPr>
          <w:i/>
          <w:iCs/>
        </w:rPr>
        <w:t xml:space="preserve">Psychonomic Bulletin &amp; Review</w:t>
      </w:r>
      <w:r>
        <w:t xml:space="preserve"> </w:t>
      </w:r>
      <w:r>
        <w:t xml:space="preserve">2 (3): 387–90.</w:t>
      </w:r>
      <w:r>
        <w:t xml:space="preserve"> </w:t>
      </w:r>
      <w:hyperlink r:id="rId241">
        <w:r>
          <w:rPr>
            <w:rStyle w:val="Hyperlink"/>
          </w:rPr>
          <w:t xml:space="preserve">https://doi.org/10.3758/BF03210977</w:t>
        </w:r>
      </w:hyperlink>
      <w:r>
        <w:t xml:space="preserve">.</w:t>
      </w:r>
    </w:p>
    <w:bookmarkEnd w:id="242"/>
    <w:bookmarkStart w:id="244" w:name="ref-voDeepLatentVariable2024"/>
    <w:p>
      <w:pPr>
        <w:pStyle w:val="Bibliography"/>
      </w:pPr>
      <w:r>
        <w:t xml:space="preserve">Vo, Khuong, Qinhua Jenny Sun, Michael D. Nunez, Joachim Vandekerckhove, and Ramesh Srinivasan. 2024.</w:t>
      </w:r>
      <w:r>
        <w:t xml:space="preserve"> </w:t>
      </w:r>
      <w:r>
        <w:t xml:space="preserve">“Deep Latent Variable Joint Cognitive Modeling of Neural Signals and Human Behavior.”</w:t>
      </w:r>
      <w:r>
        <w:t xml:space="preserve"> </w:t>
      </w:r>
      <w:r>
        <w:rPr>
          <w:i/>
          <w:iCs/>
        </w:rPr>
        <w:t xml:space="preserve">NeuroImage</w:t>
      </w:r>
      <w:r>
        <w:t xml:space="preserve">, March, 120559.</w:t>
      </w:r>
      <w:r>
        <w:t xml:space="preserve"> </w:t>
      </w:r>
      <w:hyperlink r:id="rId243">
        <w:r>
          <w:rPr>
            <w:rStyle w:val="Hyperlink"/>
          </w:rPr>
          <w:t xml:space="preserve">https://doi.org/10.1016/j.neuroimage.2024.120559</w:t>
        </w:r>
      </w:hyperlink>
      <w:r>
        <w:t xml:space="preserve">.</w:t>
      </w:r>
    </w:p>
    <w:bookmarkEnd w:id="244"/>
    <w:bookmarkStart w:id="246"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45">
        <w:r>
          <w:rPr>
            <w:rStyle w:val="Hyperlink"/>
          </w:rPr>
          <w:t xml:space="preserve">https://doi.org/10.3758/BF03194023</w:t>
        </w:r>
      </w:hyperlink>
      <w:r>
        <w:t xml:space="preserve">.</w:t>
      </w:r>
    </w:p>
    <w:bookmarkEnd w:id="246"/>
    <w:bookmarkStart w:id="248"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47">
        <w:r>
          <w:rPr>
            <w:rStyle w:val="Hyperlink"/>
          </w:rPr>
          <w:t xml:space="preserve">https://doi.org/10.1017/S0140525X20001685</w:t>
        </w:r>
      </w:hyperlink>
      <w:r>
        <w:t xml:space="preserve">.</w:t>
      </w:r>
    </w:p>
    <w:bookmarkEnd w:id="248"/>
    <w:bookmarkStart w:id="250" w:name="ref-youngAreWeFace2018"/>
    <w:p>
      <w:pPr>
        <w:pStyle w:val="Bibliography"/>
      </w:pPr>
      <w:r>
        <w:t xml:space="preserve">Young, Andrew W., and A. Mike Burton. 2018.</w:t>
      </w:r>
      <w:r>
        <w:t xml:space="preserve"> </w:t>
      </w:r>
      <w:r>
        <w:t xml:space="preserve">“Are We Face Experts?”</w:t>
      </w:r>
      <w:r>
        <w:t xml:space="preserve"> </w:t>
      </w:r>
      <w:r>
        <w:rPr>
          <w:i/>
          <w:iCs/>
        </w:rPr>
        <w:t xml:space="preserve">Trends in Cognitive Sciences</w:t>
      </w:r>
      <w:r>
        <w:t xml:space="preserve"> </w:t>
      </w:r>
      <w:r>
        <w:t xml:space="preserve">22 (2): 100–110.</w:t>
      </w:r>
      <w:r>
        <w:t xml:space="preserve"> </w:t>
      </w:r>
      <w:hyperlink r:id="rId249">
        <w:r>
          <w:rPr>
            <w:rStyle w:val="Hyperlink"/>
          </w:rPr>
          <w:t xml:space="preserve">https://doi.org/10.1016/j.tics.2017.11.007</w:t>
        </w:r>
      </w:hyperlink>
      <w:r>
        <w:t xml:space="preserve">.</w:t>
      </w:r>
    </w:p>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2026-03-25T21:50:33Z</dcterms:created>
  <dcterms:modified xsi:type="dcterms:W3CDTF">2026-03-25T21:50:33Z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2026-03-25</vt:lpwstr>
  </property>
  <property fmtid="{D5CDD505-2E9C-101B-9397-08002B2CF9AE}" pid="10" name="editor_options">
    <vt:lpwstr/>
  </property>
  <property fmtid="{D5CDD505-2E9C-101B-9397-08002B2CF9AE}" pid="11" name="function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unning-head">
    <vt:lpwstr>Decision models of face memory</vt:lpwstr>
  </property>
  <property fmtid="{D5CDD505-2E9C-101B-9397-08002B2CF9AE}" pid="17" name="toc-title">
    <vt:lpwstr>Table of contents</vt:lpwstr>
  </property>
  <property fmtid="{D5CDD505-2E9C-101B-9397-08002B2CF9AE}" pid="18" name="wordcount">
    <vt:lpwstr>True</vt:lpwstr>
  </property>
</Properties>
</file>