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80F5B" w14:textId="77777777" w:rsidR="003A31CE" w:rsidRPr="003A31CE" w:rsidRDefault="003A31CE" w:rsidP="0073043F">
      <w:pPr>
        <w:pStyle w:val="Title"/>
      </w:pPr>
      <w:r w:rsidRPr="003A31CE">
        <w:t xml:space="preserve">A04 Analysis of AI </w:t>
      </w:r>
      <w:proofErr w:type="spellStart"/>
      <w:r w:rsidRPr="003A31CE">
        <w:t>Usecases</w:t>
      </w:r>
      <w:proofErr w:type="spellEnd"/>
      <w:r w:rsidRPr="003A31CE">
        <w:t xml:space="preserve"> in Finance</w:t>
      </w:r>
    </w:p>
    <w:p w14:paraId="60E1D03D" w14:textId="77777777" w:rsidR="003A31CE" w:rsidRDefault="003A31CE" w:rsidP="003A31CE">
      <w:r w:rsidRPr="003A31CE">
        <w:t>Rich Fox</w:t>
      </w:r>
      <w:r w:rsidRPr="003A31CE">
        <w:br/>
        <w:t>ITAI 2372</w:t>
      </w:r>
      <w:r w:rsidRPr="003A31CE">
        <w:br/>
        <w:t>June 13, 2026</w:t>
      </w:r>
    </w:p>
    <w:p w14:paraId="199B8DD6" w14:textId="77777777" w:rsidR="003A31CE" w:rsidRDefault="003A31CE" w:rsidP="003A31CE"/>
    <w:p w14:paraId="3716C8FF" w14:textId="77777777" w:rsidR="0073043F" w:rsidRDefault="0073043F" w:rsidP="003A31CE"/>
    <w:p w14:paraId="59244E2F" w14:textId="77777777" w:rsidR="0073043F" w:rsidRPr="003A31CE" w:rsidRDefault="0073043F" w:rsidP="003A31CE"/>
    <w:p w14:paraId="51FEA2DE" w14:textId="77777777" w:rsidR="003A31CE" w:rsidRPr="003A31CE" w:rsidRDefault="003A31CE" w:rsidP="003A31CE">
      <w:pPr>
        <w:pStyle w:val="Heading1"/>
      </w:pPr>
      <w:r w:rsidRPr="003A31CE">
        <w:t>Industry Overview</w:t>
      </w:r>
    </w:p>
    <w:p w14:paraId="30BAF39E" w14:textId="77777777" w:rsidR="003A31CE" w:rsidRPr="003A31CE" w:rsidRDefault="003A31CE" w:rsidP="003A31CE">
      <w:r w:rsidRPr="003A31CE">
        <w:t>The financial industry acts as the global economy's backbone by managing, moving, and investing capital. It serves individuals seeking personal banking, businesses requiring growth capital, and governments managing public funds. Through essential services like digital payments, lending, wealth management, and insurance, the sector provides the necessary infrastructure for daily commerce and long-term financial security.</w:t>
      </w:r>
    </w:p>
    <w:p w14:paraId="0F20CD7E" w14:textId="77777777" w:rsidR="003A31CE" w:rsidRPr="003A31CE" w:rsidRDefault="003A31CE" w:rsidP="003A31CE">
      <w:r w:rsidRPr="003A31CE">
        <w:t>Today, the industry is more relevant than ever as it undergoes a massive technological shift driven by AI, real-time processing, and digital asset tokenization. In 2026, financial institutions are transitioning from basic AI assistance to advanced automation, utilizing semi-autonomous agents for trading and compliance. Coupled with the rise of instant, 24/7 cross-border payments and tokenized assets, the sector is continuously modernizing to boost efficiency, enhance cybersecurity, and expand financial access worldwide.</w:t>
      </w:r>
    </w:p>
    <w:p w14:paraId="78780D1F" w14:textId="77777777" w:rsidR="003A31CE" w:rsidRPr="003A31CE" w:rsidRDefault="003A31CE" w:rsidP="003A31CE">
      <w:pPr>
        <w:pStyle w:val="Heading1"/>
      </w:pPr>
      <w:r w:rsidRPr="003A31CE">
        <w:t>Current AI Trends</w:t>
      </w:r>
    </w:p>
    <w:p w14:paraId="309C60DD" w14:textId="77777777" w:rsidR="003A31CE" w:rsidRPr="003A31CE" w:rsidRDefault="003A31CE" w:rsidP="003A31CE">
      <w:r w:rsidRPr="003A31CE">
        <w:t>In the banking and finance industry, AI is being actively used to provide personalized, 24/7 financial guidance and streamlined customer service. A prominent example is Bank of America's Erica, a virtual financial assistant that has handled over 1.5 billion client interactions since its launch. Erica solves the problem of navigating complex banking interfaces by allowing users to use simple, intuitive commands for everyday tasks like transferring money, accessing account information, and finding nearby ATMs. It also addresses the inefficiency of traditional customer support through intelligent call routing, automatically connecting clients to the appropriate human specialist for complex needs the AI cannot resolve on its own.</w:t>
      </w:r>
    </w:p>
    <w:p w14:paraId="7A3CC8D6" w14:textId="77777777" w:rsidR="003A31CE" w:rsidRPr="003A31CE" w:rsidRDefault="003A31CE" w:rsidP="003A31CE">
      <w:r w:rsidRPr="003A31CE">
        <w:lastRenderedPageBreak/>
        <w:t>Beyond routing, Erica tackles the challenge of proactive financial management by delivering personalized insights drawn from vetted, proprietary data. Rather than requiring users to manually track every transaction, the assistant proactively notifies them about upcoming bills, merchant refunds, and shifts in spending habits, and can even monitor and cancel recurring subscriptions like gym memberships or meal delivery services. By processing over 56 million interactions per month, this technology allows financial institutions to offer individualized attention to millions of customers simultaneously — a scale that would be impossible through human labor alone.</w:t>
      </w:r>
    </w:p>
    <w:p w14:paraId="08F1AFAF" w14:textId="77777777" w:rsidR="003A31CE" w:rsidRPr="003A31CE" w:rsidRDefault="003A31CE" w:rsidP="003A31CE">
      <w:r w:rsidRPr="003A31CE">
        <w:t>In the digital payments space, AI is transforming security from a reactive process into proactive, real-time fraud prevention. PayPal has implemented a system that analyzes over 500 data points per transaction across 400 million consumer accounts, generating real-time risk scores to identify and block fraudulent activity during the payment authorization phase rather than attempting to recover funds after a theft has occurred. This directly addresses the critical industry challenge of balancing security with speed — the AI maintains the instant processing that digital commerce demands while blocking approximately $500 million in fraud per quarter.</w:t>
      </w:r>
    </w:p>
    <w:p w14:paraId="3AED7C74" w14:textId="77777777" w:rsidR="003A31CE" w:rsidRDefault="003A31CE" w:rsidP="003A31CE">
      <w:r w:rsidRPr="003A31CE">
        <w:t xml:space="preserve">PayPal's system also tackles several more nuanced problems that traditional security measures struggle to address. Behavioral analysis is used to identify payment patterns suggestive of romance scams or social engineering, protecting users from psychological manipulation that purely technical safeguards would miss. The system simultaneously reduces false positives — instances where legitimate transactions are incorrectly declined — ensuring a seamless experience for real users while remaining highly sensitive to actual threats. Device fingerprinting further strengthens this by analyzing hardware characteristics, software configurations, and network connections to flag devices linked to criminal operations before they reach core processing systems. Because fraud techniques evolve rapidly, including </w:t>
      </w:r>
      <w:proofErr w:type="gramStart"/>
      <w:r w:rsidRPr="003A31CE">
        <w:t>through the use of</w:t>
      </w:r>
      <w:proofErr w:type="gramEnd"/>
      <w:r w:rsidRPr="003A31CE">
        <w:t xml:space="preserve"> generative AI-powered attacks, the system uses continuous machine learning to stay ahead of emerging tactics without requiring manual rule updates.</w:t>
      </w:r>
    </w:p>
    <w:p w14:paraId="6E21CD50" w14:textId="77777777" w:rsidR="00183903" w:rsidRDefault="00183903" w:rsidP="00183903">
      <w:hyperlink r:id="rId5" w:history="1">
        <w:r w:rsidRPr="004772A9">
          <w:rPr>
            <w:rStyle w:val="Hyperlink"/>
          </w:rPr>
          <w:t>https://newsroom.bankofamerica.com/content/newsroom/press-releases/2023/07/bofa-s-erica-surpasses-1-5-billion-client-interactions--totaling.html</w:t>
        </w:r>
      </w:hyperlink>
    </w:p>
    <w:p w14:paraId="21CE70DF" w14:textId="77777777" w:rsidR="00183903" w:rsidRDefault="00183903" w:rsidP="00183903">
      <w:hyperlink r:id="rId6" w:history="1">
        <w:r w:rsidRPr="004772A9">
          <w:rPr>
            <w:rStyle w:val="Hyperlink"/>
          </w:rPr>
          <w:t>https://chiefaiofficer.com/how-paypals-ai-blocks-500-million-in-fraud-per-quarter/</w:t>
        </w:r>
      </w:hyperlink>
    </w:p>
    <w:p w14:paraId="43CC4A9A" w14:textId="77777777" w:rsidR="003A31CE" w:rsidRPr="003A31CE" w:rsidRDefault="003A31CE" w:rsidP="003A31CE">
      <w:pPr>
        <w:pStyle w:val="Heading1"/>
      </w:pPr>
      <w:r w:rsidRPr="003A31CE">
        <w:t>Ethical Implications</w:t>
      </w:r>
    </w:p>
    <w:p w14:paraId="0F56D555" w14:textId="77777777" w:rsidR="003A31CE" w:rsidRPr="003A31CE" w:rsidRDefault="003A31CE" w:rsidP="003A31CE">
      <w:r w:rsidRPr="003A31CE">
        <w:t>While AI delivers clear operational benefits to the financial sector, it also introduces serious ethical concerns that institutions must actively manage.</w:t>
      </w:r>
    </w:p>
    <w:p w14:paraId="1142DA20" w14:textId="77777777" w:rsidR="003A31CE" w:rsidRPr="003A31CE" w:rsidRDefault="003A31CE" w:rsidP="003A31CE">
      <w:r w:rsidRPr="003A31CE">
        <w:lastRenderedPageBreak/>
        <w:t>The most pressing is the risk of algorithmic bias. AI systems trained on historical financial data inherit the prejudices embedded in that data — unequal lending practices, economic disparities, and patterns of systemic discrimination. When models use proxy variables like zip codes or consumer spending habits, they can inadvertently disadvantage underrepresented groups in high-stakes decisions like credit scoring, mortgage approvals, and fraud flagging. Addressing this requires more than good intentions; institutions must audit training data for diverse representation, deploy explainable AI to make opaque decisions legible, and maintain human oversight committees capable of intervening when outcomes are unfair. Regulatory frameworks like the EU AI Act and the U.S. Equal Credit Opportunity Act are increasingly formalizing these requirements, classifying credit and risk-assessment AI as high-risk technologies that demand rigorous accountability.</w:t>
      </w:r>
    </w:p>
    <w:p w14:paraId="4CB6B299" w14:textId="77777777" w:rsidR="003A31CE" w:rsidRPr="003A31CE" w:rsidRDefault="003A31CE" w:rsidP="003A31CE">
      <w:r w:rsidRPr="003A31CE">
        <w:t xml:space="preserve">A second major concern is job displacement. AI is rapidly automating routine financial tasks, shifting industry demand away from traditional administrative roles and toward highly technical positions. Retail banking customer support, data entry, basic compliance auditing, and junior quantitative analysis are among the </w:t>
      </w:r>
      <w:proofErr w:type="gramStart"/>
      <w:r w:rsidRPr="003A31CE">
        <w:t>roles most affected</w:t>
      </w:r>
      <w:proofErr w:type="gramEnd"/>
      <w:r w:rsidRPr="003A31CE">
        <w:t>, as algorithms increasingly handle inquiries, process loans, and scan for regulatory issues. It is important to note that this shift typically displaces specific job functions rather than eliminating entire professions overnight — but the cumulative effect on workers in lower-wage, entry-level positions is substantial. The industry's response has been to invest in reskilling, steering affected professionals toward emerging roles like algorithmic risk specialists, AI model auditors, and complex wealth advisers that emphasize oversight, technical literacy, and the kind of relationship-driven judgment that AI cannot replicate.</w:t>
      </w:r>
    </w:p>
    <w:p w14:paraId="17EE8189" w14:textId="77777777" w:rsidR="003A31CE" w:rsidRPr="003A31CE" w:rsidRDefault="003A31CE" w:rsidP="003A31CE">
      <w:pPr>
        <w:pStyle w:val="Heading1"/>
      </w:pPr>
      <w:r w:rsidRPr="003A31CE">
        <w:t>Future Trends</w:t>
      </w:r>
    </w:p>
    <w:p w14:paraId="33EC121A" w14:textId="77777777" w:rsidR="003A31CE" w:rsidRPr="003A31CE" w:rsidRDefault="003A31CE" w:rsidP="003A31CE">
      <w:r w:rsidRPr="003A31CE">
        <w:t xml:space="preserve">Over the next five to ten years, the financial industry will transition from an AI-assisted sector into an AI-first, highly autonomous ecosystem where artificial intelligence serves as the primary operational infrastructure. The most significant driver of this shift will be the emergence of autonomous financial agents with transactional authority — systems capable of independently managing corporate treasuries, optimizing personal wealth, and executing trades within user-defined parameters. Static financial products will give way to hyper-personalized, dynamically generated offerings: mortgage rates, insurance premiums, and investment portfolios tailored in real time to an individual's immediate behavioral data. Meanwhile, the convergence of quantum computing and AI will fundamentally reshape risk modeling, enabling institutions to simulate thousands of simultaneous macroeconomic scenarios and </w:t>
      </w:r>
      <w:proofErr w:type="gramStart"/>
      <w:r w:rsidRPr="003A31CE">
        <w:t>making</w:t>
      </w:r>
      <w:proofErr w:type="gramEnd"/>
      <w:r w:rsidRPr="003A31CE">
        <w:t xml:space="preserve"> portfolio stress-testing and fraud detection far faster and more precise than anything currently possible.</w:t>
      </w:r>
    </w:p>
    <w:p w14:paraId="027F452B" w14:textId="77777777" w:rsidR="003A31CE" w:rsidRPr="003A31CE" w:rsidRDefault="003A31CE" w:rsidP="003A31CE">
      <w:r w:rsidRPr="003A31CE">
        <w:lastRenderedPageBreak/>
        <w:t>These advances create significant strategic opportunities, particularly around financial inclusion. By driving the operational costs of banking toward near zero, autonomous micro-banking will allow institutions to profitably extend micro-loans, insurance, and wealth advisory services to billions of currently unbanked individuals worldwide. On the institutional side, real-time AI monitoring will shift compliance from reactive auditing to proactive prevention, flagging money laundering and fraud as they occur, while automated liquidity matching has the potential to unlock trillions of dollars in stagnant corporate capital.</w:t>
      </w:r>
    </w:p>
    <w:p w14:paraId="678D2E4D" w14:textId="77777777" w:rsidR="003A31CE" w:rsidRPr="003A31CE" w:rsidRDefault="003A31CE" w:rsidP="003A31CE">
      <w:r w:rsidRPr="003A31CE">
        <w:t xml:space="preserve">However, this autonomous future also introduces risks that demand serious preparation. The widespread deployment of autonomous trading agents raises the danger of systemic algorithmic contagion — synchronized machine reactions that could trigger devastating market flash crashes in milliseconds, entirely bypassing human intervention speeds. Continued reliance on unvetted historical training data risks automating and deepening socioeconomic discrimination, potentially locking marginalized groups out of credit and insurance markets through self-reinforcing bias that is difficult to detect or challenge. Financial institutions will also face increasingly sophisticated AI-driven cyber threats, including generative deepfakes and automated social engineering campaigns, forcing a major industry pivot toward continuous, biometric-based defense systems. </w:t>
      </w:r>
      <w:proofErr w:type="gramStart"/>
      <w:r w:rsidRPr="003A31CE">
        <w:t>Taken</w:t>
      </w:r>
      <w:proofErr w:type="gramEnd"/>
      <w:r w:rsidRPr="003A31CE">
        <w:t xml:space="preserve"> together, these pressures will fundamentally redefine the human role in finance — shifting responsibility away from execution and toward high-level ethical oversight and strategic governance.</w:t>
      </w:r>
    </w:p>
    <w:p w14:paraId="2E363C35" w14:textId="77777777" w:rsidR="003A31CE" w:rsidRPr="003A31CE" w:rsidRDefault="003A31CE" w:rsidP="003A31CE">
      <w:pPr>
        <w:pStyle w:val="Heading1"/>
      </w:pPr>
      <w:r w:rsidRPr="003A31CE">
        <w:t>Your Reflection</w:t>
      </w:r>
    </w:p>
    <w:p w14:paraId="71B08DE0" w14:textId="77777777" w:rsidR="003A31CE" w:rsidRPr="003A31CE" w:rsidRDefault="003A31CE" w:rsidP="003A31CE">
      <w:r w:rsidRPr="003A31CE">
        <w:t>What surprises me most about the future of the financial industry is the scale of the shift in human dynamics — specifically, the near-total reduction in personnel working directly with customers. As autonomous AI agents absorb daily transactions, retail banking, and customer support, the traditional face-to-face relationship model that has defined finance for generations is rapidly disappearing. This presents a genuine socioeconomic tension: entry-level and lower-wage jobs are being displaced at a meaningful rate, creating real hardship for vulnerable workers, while the industry simultaneously generates sophisticated, higher-paying roles centered on oversight, algorithmic risk management, and technology governance.</w:t>
      </w:r>
    </w:p>
    <w:p w14:paraId="1D3FB54D" w14:textId="77777777" w:rsidR="003A31CE" w:rsidRPr="003A31CE" w:rsidRDefault="003A31CE" w:rsidP="003A31CE">
      <w:r w:rsidRPr="003A31CE">
        <w:t xml:space="preserve">Despite that tension, I would want to work in this industry. The financial sector is actively shifting toward professionals with the technical skill sets and analytical competencies I am building through my current coursework. Entering a field that is prioritizing AI governance and strategic technical oversight means my education aligns directly with where the </w:t>
      </w:r>
      <w:r w:rsidRPr="003A31CE">
        <w:lastRenderedPageBreak/>
        <w:t>industry's highest demand — and its most compelling opportunities — will be in the coming years.</w:t>
      </w:r>
    </w:p>
    <w:p w14:paraId="04A42CCE" w14:textId="77777777" w:rsidR="00183903" w:rsidRDefault="00183903" w:rsidP="003A31CE"/>
    <w:p w14:paraId="368E640A" w14:textId="77777777" w:rsidR="002E0C98" w:rsidRPr="003A31CE" w:rsidRDefault="002E0C98" w:rsidP="003A31CE"/>
    <w:sectPr w:rsidR="002E0C98" w:rsidRPr="003A31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FC2FD6"/>
    <w:multiLevelType w:val="multilevel"/>
    <w:tmpl w:val="D496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775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FF7"/>
    <w:rsid w:val="00100315"/>
    <w:rsid w:val="0011780D"/>
    <w:rsid w:val="00183903"/>
    <w:rsid w:val="001E01B6"/>
    <w:rsid w:val="00282FF7"/>
    <w:rsid w:val="002E0C98"/>
    <w:rsid w:val="00332347"/>
    <w:rsid w:val="003A31CE"/>
    <w:rsid w:val="003D7077"/>
    <w:rsid w:val="003E52CA"/>
    <w:rsid w:val="00414183"/>
    <w:rsid w:val="004201F1"/>
    <w:rsid w:val="0057584E"/>
    <w:rsid w:val="00634E12"/>
    <w:rsid w:val="006E525C"/>
    <w:rsid w:val="006E5C3A"/>
    <w:rsid w:val="006F7507"/>
    <w:rsid w:val="0073043F"/>
    <w:rsid w:val="00754FC6"/>
    <w:rsid w:val="00781EE3"/>
    <w:rsid w:val="009E669D"/>
    <w:rsid w:val="00A052E9"/>
    <w:rsid w:val="00B66E78"/>
    <w:rsid w:val="00BE59C2"/>
    <w:rsid w:val="00C67BC5"/>
    <w:rsid w:val="00E005AB"/>
    <w:rsid w:val="00E86907"/>
    <w:rsid w:val="00EA3848"/>
    <w:rsid w:val="00FC55A1"/>
    <w:rsid w:val="00FF4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60E16"/>
  <w15:chartTrackingRefBased/>
  <w15:docId w15:val="{F2561C12-7D5C-4A96-9FC8-0616F432E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2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2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2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2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2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2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2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2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2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2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2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FF7"/>
    <w:rPr>
      <w:rFonts w:eastAsiaTheme="majorEastAsia" w:cstheme="majorBidi"/>
      <w:color w:val="272727" w:themeColor="text1" w:themeTint="D8"/>
    </w:rPr>
  </w:style>
  <w:style w:type="paragraph" w:styleId="Title">
    <w:name w:val="Title"/>
    <w:basedOn w:val="Normal"/>
    <w:next w:val="Normal"/>
    <w:link w:val="TitleChar"/>
    <w:uiPriority w:val="10"/>
    <w:qFormat/>
    <w:rsid w:val="00282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FF7"/>
    <w:pPr>
      <w:spacing w:before="160"/>
      <w:jc w:val="center"/>
    </w:pPr>
    <w:rPr>
      <w:i/>
      <w:iCs/>
      <w:color w:val="404040" w:themeColor="text1" w:themeTint="BF"/>
    </w:rPr>
  </w:style>
  <w:style w:type="character" w:customStyle="1" w:styleId="QuoteChar">
    <w:name w:val="Quote Char"/>
    <w:basedOn w:val="DefaultParagraphFont"/>
    <w:link w:val="Quote"/>
    <w:uiPriority w:val="29"/>
    <w:rsid w:val="00282FF7"/>
    <w:rPr>
      <w:i/>
      <w:iCs/>
      <w:color w:val="404040" w:themeColor="text1" w:themeTint="BF"/>
    </w:rPr>
  </w:style>
  <w:style w:type="paragraph" w:styleId="ListParagraph">
    <w:name w:val="List Paragraph"/>
    <w:basedOn w:val="Normal"/>
    <w:uiPriority w:val="34"/>
    <w:qFormat/>
    <w:rsid w:val="00282FF7"/>
    <w:pPr>
      <w:ind w:left="720"/>
      <w:contextualSpacing/>
    </w:pPr>
  </w:style>
  <w:style w:type="character" w:styleId="IntenseEmphasis">
    <w:name w:val="Intense Emphasis"/>
    <w:basedOn w:val="DefaultParagraphFont"/>
    <w:uiPriority w:val="21"/>
    <w:qFormat/>
    <w:rsid w:val="00282FF7"/>
    <w:rPr>
      <w:i/>
      <w:iCs/>
      <w:color w:val="0F4761" w:themeColor="accent1" w:themeShade="BF"/>
    </w:rPr>
  </w:style>
  <w:style w:type="paragraph" w:styleId="IntenseQuote">
    <w:name w:val="Intense Quote"/>
    <w:basedOn w:val="Normal"/>
    <w:next w:val="Normal"/>
    <w:link w:val="IntenseQuoteChar"/>
    <w:uiPriority w:val="30"/>
    <w:qFormat/>
    <w:rsid w:val="00282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FF7"/>
    <w:rPr>
      <w:i/>
      <w:iCs/>
      <w:color w:val="0F4761" w:themeColor="accent1" w:themeShade="BF"/>
    </w:rPr>
  </w:style>
  <w:style w:type="character" w:styleId="IntenseReference">
    <w:name w:val="Intense Reference"/>
    <w:basedOn w:val="DefaultParagraphFont"/>
    <w:uiPriority w:val="32"/>
    <w:qFormat/>
    <w:rsid w:val="00282FF7"/>
    <w:rPr>
      <w:b/>
      <w:bCs/>
      <w:smallCaps/>
      <w:color w:val="0F4761" w:themeColor="accent1" w:themeShade="BF"/>
      <w:spacing w:val="5"/>
    </w:rPr>
  </w:style>
  <w:style w:type="character" w:styleId="Hyperlink">
    <w:name w:val="Hyperlink"/>
    <w:basedOn w:val="DefaultParagraphFont"/>
    <w:uiPriority w:val="99"/>
    <w:unhideWhenUsed/>
    <w:rsid w:val="00282FF7"/>
    <w:rPr>
      <w:color w:val="467886" w:themeColor="hyperlink"/>
      <w:u w:val="single"/>
    </w:rPr>
  </w:style>
  <w:style w:type="character" w:styleId="UnresolvedMention">
    <w:name w:val="Unresolved Mention"/>
    <w:basedOn w:val="DefaultParagraphFont"/>
    <w:uiPriority w:val="99"/>
    <w:semiHidden/>
    <w:unhideWhenUsed/>
    <w:rsid w:val="00282FF7"/>
    <w:rPr>
      <w:color w:val="605E5C"/>
      <w:shd w:val="clear" w:color="auto" w:fill="E1DFDD"/>
    </w:rPr>
  </w:style>
  <w:style w:type="paragraph" w:styleId="NoSpacing">
    <w:name w:val="No Spacing"/>
    <w:uiPriority w:val="1"/>
    <w:qFormat/>
    <w:rsid w:val="003A31C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iefaiofficer.com/how-paypals-ai-blocks-500-million-in-fraud-per-quarter/" TargetMode="External"/><Relationship Id="rId5" Type="http://schemas.openxmlformats.org/officeDocument/2006/relationships/hyperlink" Target="https://newsroom.bankofamerica.com/content/newsroom/press-releases/2023/07/bofa-s-erica-surpasses-1-5-billion-client-interactions--totaling.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988e174-2ce8-4d8b-843a-cab03a445153}" enabled="1" method="Privileged" siteId="{60970b94-e7fb-4b69-b637-2cb121e1b596}" contentBits="0" removed="0"/>
</clbl:labelList>
</file>

<file path=docProps/app.xml><?xml version="1.0" encoding="utf-8"?>
<Properties xmlns="http://schemas.openxmlformats.org/officeDocument/2006/extended-properties" xmlns:vt="http://schemas.openxmlformats.org/officeDocument/2006/docPropsVTypes">
  <Template>Normal.dotm</Template>
  <TotalTime>167</TotalTime>
  <Pages>5</Pages>
  <Words>1582</Words>
  <Characters>9023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Loomis Armored, US</Company>
  <LinksUpToDate>false</LinksUpToDate>
  <CharactersWithSpaces>10584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 Rich</dc:creator>
  <cp:keywords/>
  <dc:description/>
  <cp:lastModifiedBy>Fox, Rich</cp:lastModifiedBy>
  <cp:revision>23</cp:revision>
  <dcterms:created xsi:type="dcterms:W3CDTF">2026-06-12T15:38:00Z</dcterms:created>
  <dcterms:modified xsi:type="dcterms:W3CDTF">2026-06-12T18:28:00Z</dcterms:modified>
</cp:coreProperties>
</file>