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6E3D41" w14:textId="77777777" w:rsidR="006B4ED1" w:rsidRDefault="006B4ED1" w:rsidP="006B4ED1">
      <w:pPr>
        <w:spacing w:before="2600"/>
      </w:pPr>
    </w:p>
    <w:p w14:paraId="7F30CADD" w14:textId="77777777" w:rsidR="006B4ED1" w:rsidRDefault="006B4ED1" w:rsidP="006B4ED1">
      <w:pPr>
        <w:spacing w:after="400"/>
        <w:jc w:val="center"/>
      </w:pPr>
      <w:r>
        <w:rPr>
          <w:b/>
          <w:bCs/>
          <w:sz w:val="28"/>
          <w:szCs w:val="28"/>
        </w:rPr>
        <w:t>Facial Recognition in Law Enforcement: Benefits, Ethical Risks, and Recommendations for Responsible Governance</w:t>
      </w:r>
    </w:p>
    <w:p w14:paraId="0DE381FD" w14:textId="77777777" w:rsidR="006B4ED1" w:rsidRDefault="006B4ED1" w:rsidP="006B4ED1">
      <w:pPr>
        <w:spacing w:before="1600"/>
      </w:pPr>
    </w:p>
    <w:p w14:paraId="6BFE8A91" w14:textId="77777777" w:rsidR="006B4ED1" w:rsidRDefault="006B4ED1" w:rsidP="006B4ED1">
      <w:pPr>
        <w:spacing w:after="100"/>
        <w:jc w:val="center"/>
      </w:pPr>
      <w:r>
        <w:rPr>
          <w:sz w:val="24"/>
          <w:szCs w:val="24"/>
        </w:rPr>
        <w:t>Rich Fox</w:t>
      </w:r>
    </w:p>
    <w:p w14:paraId="1F16DDB4" w14:textId="77777777" w:rsidR="006B4ED1" w:rsidRDefault="006B4ED1" w:rsidP="006B4ED1">
      <w:pPr>
        <w:spacing w:after="100"/>
        <w:jc w:val="center"/>
      </w:pPr>
      <w:r>
        <w:rPr>
          <w:sz w:val="24"/>
          <w:szCs w:val="24"/>
        </w:rPr>
        <w:t>ITAI 2372: Ethical and Societal Implications of AI</w:t>
      </w:r>
    </w:p>
    <w:p w14:paraId="4B441423" w14:textId="77777777" w:rsidR="006B4ED1" w:rsidRDefault="006B4ED1" w:rsidP="006B4ED1">
      <w:pPr>
        <w:spacing w:after="100"/>
        <w:jc w:val="center"/>
      </w:pPr>
      <w:r>
        <w:rPr>
          <w:sz w:val="24"/>
          <w:szCs w:val="24"/>
        </w:rPr>
        <w:t>Assignment A09: Ethical and Societal Implications of AI – Case Study</w:t>
      </w:r>
    </w:p>
    <w:p w14:paraId="0DC56313" w14:textId="77777777" w:rsidR="006B4ED1" w:rsidRDefault="006B4ED1" w:rsidP="006B4ED1">
      <w:pPr>
        <w:spacing w:after="100"/>
        <w:jc w:val="center"/>
      </w:pPr>
      <w:r>
        <w:rPr>
          <w:sz w:val="24"/>
          <w:szCs w:val="24"/>
        </w:rPr>
        <w:t>July 4, 2026</w:t>
      </w:r>
    </w:p>
    <w:p w14:paraId="68769A01" w14:textId="77777777" w:rsidR="006B4ED1" w:rsidRDefault="006B4ED1" w:rsidP="006B4ED1">
      <w:pPr>
        <w:sectPr w:rsidR="006B4ED1" w:rsidSect="006B4ED1">
          <w:pgSz w:w="12240" w:h="15840"/>
          <w:pgMar w:top="1440" w:right="1440" w:bottom="1440" w:left="1440" w:header="708" w:footer="708" w:gutter="0"/>
          <w:cols w:space="720"/>
          <w:docGrid w:linePitch="360"/>
        </w:sectPr>
      </w:pPr>
    </w:p>
    <w:p w14:paraId="28FF0ADB" w14:textId="77777777" w:rsidR="006B4ED1" w:rsidRDefault="006B4ED1" w:rsidP="006B4ED1">
      <w:pPr>
        <w:pStyle w:val="Heading1"/>
        <w:spacing w:after="200"/>
        <w:jc w:val="center"/>
      </w:pPr>
      <w:r>
        <w:rPr>
          <w:b/>
          <w:bCs/>
        </w:rPr>
        <w:lastRenderedPageBreak/>
        <w:t>Introduction</w:t>
      </w:r>
    </w:p>
    <w:p w14:paraId="5B503C03" w14:textId="77777777" w:rsidR="006B4ED1" w:rsidRDefault="006B4ED1" w:rsidP="006B4ED1">
      <w:pPr>
        <w:spacing w:after="200" w:line="360" w:lineRule="auto"/>
      </w:pPr>
      <w:r>
        <w:t xml:space="preserve">Artificial intelligence has moved from a specialized computing discipline into a foundational layer of modern public infrastructure, and few applications illustrate that shift as clearly as facial recognition technology (FRT) in law enforcement. Police agencies now use FRT to identify suspects, locate missing persons, and monitor public spaces at a scale and speed no human analyst could match. Yet the same capabilities that make FRT valuable to investigators have exposed serious gaps in accuracy, oversight, and public accountability. This paper examines FRT as a case study in AI ethics, reviewing how </w:t>
      </w:r>
      <w:proofErr w:type="gramStart"/>
      <w:r>
        <w:t>the technology</w:t>
      </w:r>
      <w:proofErr w:type="gramEnd"/>
      <w:r>
        <w:t xml:space="preserve"> works, the benefits it offers, the ethical and societal concerns it raises, and the risks that remain unresolved. It closes with recommendations for governing FRT responsibly as its use continues to expand.</w:t>
      </w:r>
    </w:p>
    <w:p w14:paraId="301B31BB" w14:textId="77777777" w:rsidR="006B4ED1" w:rsidRDefault="006B4ED1" w:rsidP="006B4ED1">
      <w:pPr>
        <w:pStyle w:val="Heading1"/>
        <w:spacing w:before="300" w:after="150"/>
      </w:pPr>
      <w:r>
        <w:rPr>
          <w:b/>
          <w:bCs/>
        </w:rPr>
        <w:t>Overview of the AI System</w:t>
      </w:r>
    </w:p>
    <w:p w14:paraId="1E4FA954" w14:textId="77777777" w:rsidR="006B4ED1" w:rsidRDefault="006B4ED1" w:rsidP="006B4ED1">
      <w:pPr>
        <w:spacing w:after="200" w:line="360" w:lineRule="auto"/>
      </w:pPr>
      <w:r>
        <w:t xml:space="preserve">Facial recognition technology identifies individuals by extracting distinguishing features from an image and comparing them </w:t>
      </w:r>
      <w:proofErr w:type="gramStart"/>
      <w:r>
        <w:t>against</w:t>
      </w:r>
      <w:proofErr w:type="gramEnd"/>
      <w:r>
        <w:t xml:space="preserve"> reference photos held in a database (Pew Research Center, 2022). Police departments began experimenting with hand-coded facial matching in the 1960s, but modern systems rely on machine learning models capable of searching millions of images in seconds (Pew Research Center, 2022). Agencies deploy FRT through several channels: static comparisons against mugshot and driver's license databases, real-time scanning through body cameras and dashcams, and continuous monitoring of surveillance feeds at events, transportation hubs, and border checkpoints (Davis &amp; Hoss, P.C., n.d.). In practice, a match is meant to function as an investigative lead rather than proof of identity, and officers are expected to corroborate any result with additional evidence before making an arrest (New Jersey State Bar Foundation, 2026).</w:t>
      </w:r>
    </w:p>
    <w:p w14:paraId="711FBF8C" w14:textId="77777777" w:rsidR="006B4ED1" w:rsidRDefault="006B4ED1" w:rsidP="006B4ED1">
      <w:pPr>
        <w:pStyle w:val="Heading1"/>
        <w:spacing w:before="300" w:after="150"/>
      </w:pPr>
      <w:r>
        <w:rPr>
          <w:b/>
          <w:bCs/>
        </w:rPr>
        <w:t>Benefits and Positive Impact</w:t>
      </w:r>
    </w:p>
    <w:p w14:paraId="6A045B5D" w14:textId="77777777" w:rsidR="006B4ED1" w:rsidRDefault="006B4ED1" w:rsidP="006B4ED1">
      <w:pPr>
        <w:spacing w:after="200" w:line="360" w:lineRule="auto"/>
      </w:pPr>
      <w:r>
        <w:t xml:space="preserve">FRT's central advantage is speed: it allows investigators to screen images against massive databases in a fraction of the time required by manual review (Pew Research Center, 2022). Agencies use this speed to generate leads in cold cases, verify identities at airports and border crossings, and flag individuals with outstanding warrants during routine patrols (Davis &amp; Hoss, P.C., n.d.). The technology has also proven useful outside criminal investigation – national databases can match missing children or trafficking victims against real-time surveillance footage, and responders have used FRT to identify unconscious victims during disasters (Davis &amp; Hoss, P.C., n.d.). Retailers use similar tools to flag repeat offenders, a meaningful counterweight to the more than $112 billion the retail industry loses annually to theft and fraud (Davis &amp; Hoss, P.C., n.d.). Public opinion reflects some of this optimism: roughly three-quarters of Americans believe FRT helps police solve crimes faster and locate missing people, and a plurality of 46% view police use of the technology favorably overall (Pew Research Center, 2022). Because these gains largely </w:t>
      </w:r>
      <w:r>
        <w:lastRenderedPageBreak/>
        <w:t>come from automating work that would otherwise require substantial staff time, agencies tend to frame FRT as an efficiency tool rather than a direct source of budget savings.</w:t>
      </w:r>
    </w:p>
    <w:p w14:paraId="4431E237" w14:textId="77777777" w:rsidR="006B4ED1" w:rsidRDefault="006B4ED1" w:rsidP="006B4ED1">
      <w:pPr>
        <w:pStyle w:val="Heading1"/>
        <w:spacing w:before="300" w:after="150"/>
      </w:pPr>
      <w:r>
        <w:rPr>
          <w:b/>
          <w:bCs/>
        </w:rPr>
        <w:t>Ethical Issues</w:t>
      </w:r>
    </w:p>
    <w:p w14:paraId="48C0333E" w14:textId="77777777" w:rsidR="006B4ED1" w:rsidRDefault="006B4ED1" w:rsidP="006B4ED1">
      <w:pPr>
        <w:spacing w:after="200" w:line="360" w:lineRule="auto"/>
      </w:pPr>
      <w:r>
        <w:t>Three ethical concerns dominate the debate over FRT in policing.</w:t>
      </w:r>
    </w:p>
    <w:p w14:paraId="107AB482" w14:textId="77777777" w:rsidR="006B4ED1" w:rsidRDefault="006B4ED1" w:rsidP="006B4ED1">
      <w:pPr>
        <w:pStyle w:val="Heading2"/>
        <w:spacing w:before="150" w:after="100"/>
      </w:pPr>
      <w:r>
        <w:rPr>
          <w:b/>
          <w:bCs/>
          <w:i/>
          <w:iCs/>
        </w:rPr>
        <w:t>Racial and Gender Bias</w:t>
      </w:r>
    </w:p>
    <w:p w14:paraId="4E6B90AE" w14:textId="77777777" w:rsidR="006B4ED1" w:rsidRDefault="006B4ED1" w:rsidP="006B4ED1">
      <w:pPr>
        <w:spacing w:after="200" w:line="360" w:lineRule="auto"/>
      </w:pPr>
      <w:r>
        <w:t>FRT systems inherit the biases of their training data. A widely cited 2018 MIT study found error rates as high as 35% when identifying dark-skinned women, far above the error rate for lighter-skinned men (New Jersey State Bar Foundation, 2026). Because many systems are trained on historical suspect databases, they risk reinforcing patterns of over-policing that already exist within the justice system, and documented misidentifications have led to wrongful arrests of innocent people, disproportionately people of color (New Jersey State Bar Foundation, 2026).</w:t>
      </w:r>
    </w:p>
    <w:p w14:paraId="0F9A388F" w14:textId="77777777" w:rsidR="006B4ED1" w:rsidRDefault="006B4ED1" w:rsidP="006B4ED1">
      <w:pPr>
        <w:pStyle w:val="Heading2"/>
        <w:spacing w:before="150" w:after="100"/>
      </w:pPr>
      <w:r>
        <w:rPr>
          <w:b/>
          <w:bCs/>
          <w:i/>
          <w:iCs/>
        </w:rPr>
        <w:t>Privacy and Mass Surveillance</w:t>
      </w:r>
    </w:p>
    <w:p w14:paraId="2A787528" w14:textId="77777777" w:rsidR="006B4ED1" w:rsidRDefault="006B4ED1" w:rsidP="006B4ED1">
      <w:pPr>
        <w:spacing w:after="200" w:line="360" w:lineRule="auto"/>
      </w:pPr>
      <w:r>
        <w:t>Networked cameras and license-plate readers make continuous tracking of people in public space possible, and courts are still deciding whether this constitutes an unreasonable search under the Fourth Amendment (Davis &amp; Hoss, P.C., n.d.). Sixty-nine percent of Americans believe FRT allows police to track anyone's location at any time, a concern that has led several cities and states to restrict or ban police use of the technology altogether (Pew Research Center, 2022; New Jersey State Bar Foundation, 2026).</w:t>
      </w:r>
    </w:p>
    <w:p w14:paraId="6A3343A4" w14:textId="77777777" w:rsidR="006B4ED1" w:rsidRDefault="006B4ED1" w:rsidP="006B4ED1">
      <w:pPr>
        <w:pStyle w:val="Heading2"/>
        <w:spacing w:before="150" w:after="100"/>
      </w:pPr>
      <w:r>
        <w:rPr>
          <w:b/>
          <w:bCs/>
          <w:i/>
          <w:iCs/>
        </w:rPr>
        <w:t>Lack of Transparency</w:t>
      </w:r>
    </w:p>
    <w:p w14:paraId="4BB6C8B0" w14:textId="77777777" w:rsidR="006B4ED1" w:rsidRDefault="006B4ED1" w:rsidP="006B4ED1">
      <w:pPr>
        <w:spacing w:after="200" w:line="360" w:lineRule="auto"/>
      </w:pPr>
      <w:r>
        <w:t>Many FRT systems function as a “black box”: even the officers using them often cannot explain how a match score was generated. In one New Jersey case, State v. Arteaga, prosecutors initially withheld the error-rate data a defendant needed to challenge the reliability of an FRT match; an appellate court ultimately ruled that such data must be disclosed (New Jersey State Bar Foundation, 2026). Scholars have called for mandatory data protection impact assessments to address this opacity (Almeida et al., 2021).</w:t>
      </w:r>
    </w:p>
    <w:p w14:paraId="3E3DE72C" w14:textId="77777777" w:rsidR="006B4ED1" w:rsidRDefault="006B4ED1" w:rsidP="006B4ED1">
      <w:pPr>
        <w:pStyle w:val="Heading1"/>
        <w:spacing w:before="300" w:after="150"/>
      </w:pPr>
      <w:r>
        <w:rPr>
          <w:b/>
          <w:bCs/>
        </w:rPr>
        <w:t>Societal Implications</w:t>
      </w:r>
    </w:p>
    <w:p w14:paraId="67DA57A7" w14:textId="77777777" w:rsidR="006B4ED1" w:rsidRDefault="006B4ED1" w:rsidP="006B4ED1">
      <w:pPr>
        <w:pStyle w:val="Heading2"/>
        <w:spacing w:before="150" w:after="100"/>
      </w:pPr>
      <w:r>
        <w:rPr>
          <w:b/>
          <w:bCs/>
          <w:i/>
          <w:iCs/>
        </w:rPr>
        <w:t>Workforce Impact</w:t>
      </w:r>
    </w:p>
    <w:p w14:paraId="3E618540" w14:textId="77777777" w:rsidR="006B4ED1" w:rsidRDefault="006B4ED1" w:rsidP="006B4ED1">
      <w:pPr>
        <w:spacing w:after="200" w:line="360" w:lineRule="auto"/>
      </w:pPr>
      <w:r>
        <w:t>FRT is designed to generate leads, not replace investigators, but it is shifting police work from manual matching toward oversight of automated systems. This shift requires human-machine collaboration, since flawed algorithms produce real harm without a trained officer able to catch an error, and it has already created new compliance roles, such as the Data Protection Officer positions now required in the European Union (Almeida et al., 2021).</w:t>
      </w:r>
    </w:p>
    <w:p w14:paraId="3E41AB16" w14:textId="77777777" w:rsidR="006B4ED1" w:rsidRDefault="006B4ED1" w:rsidP="006B4ED1">
      <w:pPr>
        <w:pStyle w:val="Heading2"/>
        <w:spacing w:before="150" w:after="100"/>
      </w:pPr>
      <w:r>
        <w:rPr>
          <w:b/>
          <w:bCs/>
          <w:i/>
          <w:iCs/>
        </w:rPr>
        <w:lastRenderedPageBreak/>
        <w:t>Inequality and Public Trust</w:t>
      </w:r>
    </w:p>
    <w:p w14:paraId="784D45BA" w14:textId="77777777" w:rsidR="006B4ED1" w:rsidRDefault="006B4ED1" w:rsidP="006B4ED1">
      <w:pPr>
        <w:spacing w:after="200" w:line="360" w:lineRule="auto"/>
      </w:pPr>
      <w:r>
        <w:t xml:space="preserve">Sixty-six percent of Americans – and 48% of Black adults specifically – expect police to use FRT to monitor Black and Hispanic neighborhoods more heavily than others, so the technology risks deepening distrust in communities already skeptical of policing (Pew Research Center, 2022). Trust rises when safeguards </w:t>
      </w:r>
      <w:proofErr w:type="gramStart"/>
      <w:r>
        <w:t>exist:</w:t>
      </w:r>
      <w:proofErr w:type="gramEnd"/>
      <w:r>
        <w:t xml:space="preserve"> roughly two-thirds of the public say they would find FRT more acceptable if officers were trained to recognize system errors, and about half would support it if the public were notified when a space is being scanned (Pew Research Center, 2022).</w:t>
      </w:r>
    </w:p>
    <w:p w14:paraId="4778EF80" w14:textId="77777777" w:rsidR="006B4ED1" w:rsidRDefault="006B4ED1" w:rsidP="006B4ED1">
      <w:pPr>
        <w:pStyle w:val="Heading2"/>
        <w:spacing w:before="150" w:after="100"/>
      </w:pPr>
      <w:r>
        <w:rPr>
          <w:b/>
          <w:bCs/>
          <w:i/>
          <w:iCs/>
        </w:rPr>
        <w:t>Global and Regulatory Divide</w:t>
      </w:r>
    </w:p>
    <w:p w14:paraId="0588CFF4" w14:textId="77777777" w:rsidR="006B4ED1" w:rsidRDefault="006B4ED1" w:rsidP="006B4ED1">
      <w:pPr>
        <w:spacing w:after="200" w:line="360" w:lineRule="auto"/>
      </w:pPr>
      <w:r>
        <w:t xml:space="preserve">No single international standard governs FRT. The European Union's General Data Protection Regulation requires data protection impact assessments and has pushed some U.S. companies toward “privacy by design” practices to retain access to European markets, while the United States relies on a patchwork of state laws and lacks a dedicated federal privacy regulator (Almeida et al., 2021). Acceptance of </w:t>
      </w:r>
      <w:proofErr w:type="gramStart"/>
      <w:r>
        <w:t>the technology</w:t>
      </w:r>
      <w:proofErr w:type="gramEnd"/>
      <w:r>
        <w:t xml:space="preserve"> also varies by context: it is far more accepted at national borders, where identity checks are already routine, than in public squares or workplaces (Almeida et al., 2021).</w:t>
      </w:r>
    </w:p>
    <w:p w14:paraId="6C9E7DEF" w14:textId="77777777" w:rsidR="006B4ED1" w:rsidRDefault="006B4ED1" w:rsidP="006B4ED1">
      <w:pPr>
        <w:pStyle w:val="Heading1"/>
        <w:spacing w:before="300" w:after="150"/>
      </w:pPr>
      <w:r>
        <w:rPr>
          <w:b/>
          <w:bCs/>
        </w:rPr>
        <w:t>Risks and Challenges</w:t>
      </w:r>
    </w:p>
    <w:p w14:paraId="17521FCE" w14:textId="77777777" w:rsidR="006B4ED1" w:rsidRDefault="006B4ED1" w:rsidP="006B4ED1">
      <w:pPr>
        <w:pStyle w:val="Heading2"/>
        <w:spacing w:before="150" w:after="100"/>
      </w:pPr>
      <w:r>
        <w:rPr>
          <w:b/>
          <w:bCs/>
          <w:i/>
          <w:iCs/>
        </w:rPr>
        <w:t>Technical Limitations</w:t>
      </w:r>
    </w:p>
    <w:p w14:paraId="449ADD8E" w14:textId="77777777" w:rsidR="006B4ED1" w:rsidRDefault="006B4ED1" w:rsidP="006B4ED1">
      <w:pPr>
        <w:spacing w:after="200" w:line="360" w:lineRule="auto"/>
      </w:pPr>
      <w:r>
        <w:t>Accuracy still depends heavily on image quality, lighting, and camera angle, and even well-designed systems perform unevenly across demographic groups (Almeida et al., 2021). The black-box nature of matching algorithms compounds this problem, since officers frequently cannot assess how confident a given match really is (Almeida et al., 2021).</w:t>
      </w:r>
    </w:p>
    <w:p w14:paraId="04326183" w14:textId="77777777" w:rsidR="006B4ED1" w:rsidRDefault="006B4ED1" w:rsidP="006B4ED1">
      <w:pPr>
        <w:pStyle w:val="Heading2"/>
        <w:spacing w:before="150" w:after="100"/>
      </w:pPr>
      <w:r>
        <w:rPr>
          <w:b/>
          <w:bCs/>
          <w:i/>
          <w:iCs/>
        </w:rPr>
        <w:t>Security Risks</w:t>
      </w:r>
    </w:p>
    <w:p w14:paraId="1BD398A9" w14:textId="77777777" w:rsidR="006B4ED1" w:rsidRDefault="006B4ED1" w:rsidP="006B4ED1">
      <w:pPr>
        <w:spacing w:after="200" w:line="360" w:lineRule="auto"/>
      </w:pPr>
      <w:r>
        <w:t>Because FRT processes sensitive biometric data at scale, weak access controls can expose that data to misuse. Sweden's data protection authority fined its national police roughly €250,000 after unauthorized employees were found accessing FRT software (Almeida et al., 2021).</w:t>
      </w:r>
    </w:p>
    <w:p w14:paraId="1F945C78" w14:textId="77777777" w:rsidR="006B4ED1" w:rsidRDefault="006B4ED1" w:rsidP="006B4ED1">
      <w:pPr>
        <w:pStyle w:val="Heading2"/>
        <w:spacing w:before="150" w:after="100"/>
      </w:pPr>
      <w:r>
        <w:rPr>
          <w:b/>
          <w:bCs/>
          <w:i/>
          <w:iCs/>
        </w:rPr>
        <w:t>Misuse and Abuse</w:t>
      </w:r>
    </w:p>
    <w:p w14:paraId="19AC2F9A" w14:textId="77777777" w:rsidR="006B4ED1" w:rsidRDefault="006B4ED1" w:rsidP="006B4ED1">
      <w:pPr>
        <w:spacing w:after="200" w:line="360" w:lineRule="auto"/>
      </w:pPr>
      <w:r>
        <w:t xml:space="preserve">Companies such as Clearview AI have built databases of billions of faces by scraping social media without consent, then sold access to that data to government and private clients alike (Almeida et al., 2021). A 2023 federal watchdog review found that most law enforcement officers using facial recognition received no training before being given access to the tool, and several agencies could not fully account for how their staff used it (Lipton &amp; Guariglia, 2023). Combined with the bias and surveillance concerns described above, this lack of training leaves substantial room for wrongful arrests and unchecked monitoring of protests and other constitutionally protected </w:t>
      </w:r>
      <w:proofErr w:type="gramStart"/>
      <w:r>
        <w:t>activity</w:t>
      </w:r>
      <w:proofErr w:type="gramEnd"/>
      <w:r>
        <w:t>.</w:t>
      </w:r>
    </w:p>
    <w:p w14:paraId="7DAAEFC6" w14:textId="77777777" w:rsidR="006B4ED1" w:rsidRDefault="006B4ED1" w:rsidP="006B4ED1">
      <w:pPr>
        <w:pStyle w:val="Heading1"/>
        <w:spacing w:before="300" w:after="150"/>
      </w:pPr>
      <w:r>
        <w:rPr>
          <w:b/>
          <w:bCs/>
        </w:rPr>
        <w:lastRenderedPageBreak/>
        <w:t>Recommendations</w:t>
      </w:r>
    </w:p>
    <w:p w14:paraId="21BD6E0D" w14:textId="77777777" w:rsidR="006B4ED1" w:rsidRDefault="006B4ED1" w:rsidP="006B4ED1">
      <w:pPr>
        <w:spacing w:after="200" w:line="360" w:lineRule="auto"/>
      </w:pPr>
      <w:r>
        <w:t>Addressing these problems does not require abandoning FRT, but it does require closing the gap between the technology's capability and the oversight built around it.</w:t>
      </w:r>
    </w:p>
    <w:p w14:paraId="7B33AA95" w14:textId="77777777" w:rsidR="006B4ED1" w:rsidRDefault="006B4ED1" w:rsidP="006B4ED1">
      <w:pPr>
        <w:spacing w:after="200" w:line="360" w:lineRule="auto"/>
      </w:pPr>
      <w:r>
        <w:t xml:space="preserve">First, mandatory training should precede any officer's access to FRT, covering how the software generates a match, its documented error rates, and its limitations across demographic groups; the absence of this training, identified by federal auditors, is arguably the most correctable failure in current practice (Lipton &amp; Guariglia, 2023). Second, FRT vendors should be required to publish independently audited accuracy and bias statistics for their systems, and agencies should be barred from procuring tools that have not undergone this testing. Third, </w:t>
      </w:r>
      <w:proofErr w:type="gramStart"/>
      <w:r>
        <w:t>legislatures</w:t>
      </w:r>
      <w:proofErr w:type="gramEnd"/>
      <w:r>
        <w:t xml:space="preserve"> should establish clear rules for when FRT can be used, requiring a documented basis before a search, notice to defendants when a match contributes to an arrest, and disclosure of error-rate data during any resulting prosecution, following the precedent set in State v. Arteaga (New Jersey State Bar Foundation, 2026). Finally, jurisdictions should require regular data protection impact assessments and independent audits, modeled on the European Union's approach, so that governance keeps pace with the technology as it evolves (Almeida et al., 2021).</w:t>
      </w:r>
    </w:p>
    <w:p w14:paraId="0824095F" w14:textId="77777777" w:rsidR="006B4ED1" w:rsidRDefault="006B4ED1" w:rsidP="006B4ED1">
      <w:pPr>
        <w:pStyle w:val="Heading1"/>
        <w:spacing w:before="300" w:after="150"/>
      </w:pPr>
      <w:r>
        <w:rPr>
          <w:b/>
          <w:bCs/>
        </w:rPr>
        <w:t>Conclusion</w:t>
      </w:r>
    </w:p>
    <w:p w14:paraId="69884312" w14:textId="77777777" w:rsidR="006B4ED1" w:rsidRDefault="006B4ED1" w:rsidP="006B4ED1">
      <w:pPr>
        <w:spacing w:after="200" w:line="360" w:lineRule="auto"/>
      </w:pPr>
      <w:r>
        <w:t xml:space="preserve">Facial recognition technology gives law enforcement genuine advantages: faster investigations, better tools for finding missing people, and stronger security at high-risk sites. But those advantages come bundled with documented racial and gender bias, expanding surveillance capability, and a transparency gap that leaves even the officers who use FRT unable to fully explain how it works. Public opinion reflects this tension – support for FRT rises sharply once training, notice, and accountability measures are in place. Closing the gap between what FRT can do and what oversight currently </w:t>
      </w:r>
      <w:proofErr w:type="gramStart"/>
      <w:r>
        <w:t>requires of it</w:t>
      </w:r>
      <w:proofErr w:type="gramEnd"/>
      <w:r>
        <w:t xml:space="preserve"> is the central task facing lawmakers, vendors, and police departments alike. Handled well, FRT can remain a valuable investigative tool; handled poorly, it risks becoming exactly the unaccountable surveillance system its critics already fear.</w:t>
      </w:r>
    </w:p>
    <w:p w14:paraId="2B820745" w14:textId="77777777" w:rsidR="006B4ED1" w:rsidRDefault="006B4ED1" w:rsidP="006B4ED1">
      <w:pPr>
        <w:pStyle w:val="Heading1"/>
        <w:pageBreakBefore/>
        <w:spacing w:before="300" w:after="200"/>
        <w:jc w:val="center"/>
      </w:pPr>
      <w:r>
        <w:rPr>
          <w:b/>
          <w:bCs/>
        </w:rPr>
        <w:lastRenderedPageBreak/>
        <w:t>References</w:t>
      </w:r>
    </w:p>
    <w:p w14:paraId="365DB3F7" w14:textId="77777777" w:rsidR="006B4ED1" w:rsidRDefault="006B4ED1" w:rsidP="006B4ED1">
      <w:pPr>
        <w:spacing w:after="200" w:line="360" w:lineRule="auto"/>
        <w:ind w:left="720" w:hanging="720"/>
      </w:pPr>
      <w:r>
        <w:t xml:space="preserve">Almeida, D., Shmarko, K., &amp; Lomas, E. (2021). The ethics of facial recognition technologies, surveillance, and accountability in an age of artificial intelligence: A comparative analysis of US, EU, and UK regulatory frameworks. </w:t>
      </w:r>
      <w:r>
        <w:rPr>
          <w:i/>
          <w:iCs/>
        </w:rPr>
        <w:t>AI and Ethics, 2</w:t>
      </w:r>
      <w:r>
        <w:t>, 377–387. https://pmc.ncbi.nlm.nih.gov/articles/PMC8320316/</w:t>
      </w:r>
    </w:p>
    <w:p w14:paraId="43CDD2A9" w14:textId="77777777" w:rsidR="006B4ED1" w:rsidRDefault="006B4ED1" w:rsidP="006B4ED1">
      <w:pPr>
        <w:spacing w:after="200" w:line="360" w:lineRule="auto"/>
        <w:ind w:left="720" w:hanging="720"/>
      </w:pPr>
      <w:r>
        <w:t xml:space="preserve">Davis &amp; Hoss, P.C. (n.d.). </w:t>
      </w:r>
      <w:r>
        <w:rPr>
          <w:i/>
          <w:iCs/>
        </w:rPr>
        <w:t>How facial recognition technology is changing investigations</w:t>
      </w:r>
      <w:r>
        <w:t>. Retrieved July 4, 2026, from https://www.davis-hoss.com/how-facial-recognition-technology-is-changing-investigations/</w:t>
      </w:r>
    </w:p>
    <w:p w14:paraId="4A17859F" w14:textId="77777777" w:rsidR="006B4ED1" w:rsidRDefault="006B4ED1" w:rsidP="006B4ED1">
      <w:pPr>
        <w:spacing w:after="200" w:line="360" w:lineRule="auto"/>
        <w:ind w:left="720" w:hanging="720"/>
      </w:pPr>
      <w:r>
        <w:t xml:space="preserve">Federal Bureau of Investigation. (n.d.). </w:t>
      </w:r>
      <w:r>
        <w:rPr>
          <w:i/>
          <w:iCs/>
        </w:rPr>
        <w:t>Law enforcement's use of facial recognition technology</w:t>
      </w:r>
      <w:r>
        <w:t>. Retrieved July 4, 2026, from https://www.fbi.gov/news/speeches-and-testimony/law-enforcements-use-of-facial-recognition-technology</w:t>
      </w:r>
    </w:p>
    <w:p w14:paraId="036DF1A4" w14:textId="77777777" w:rsidR="006B4ED1" w:rsidRDefault="006B4ED1" w:rsidP="006B4ED1">
      <w:pPr>
        <w:spacing w:after="200" w:line="360" w:lineRule="auto"/>
        <w:ind w:left="720" w:hanging="720"/>
      </w:pPr>
      <w:r>
        <w:t xml:space="preserve">Lipton, B., &amp; Guariglia, M. (2023, October 3). GAO report shows the government uses face recognition with no accountability, transparency, or training. </w:t>
      </w:r>
      <w:r>
        <w:rPr>
          <w:i/>
          <w:iCs/>
        </w:rPr>
        <w:t>Electronic Frontier Foundation</w:t>
      </w:r>
      <w:r>
        <w:t>. https://www.eff.org/deeplinks/2023/10/gao-report-shows-government-uses-face-recognition-no-accountability-transparency</w:t>
      </w:r>
    </w:p>
    <w:p w14:paraId="2BDBE1FE" w14:textId="77777777" w:rsidR="006B4ED1" w:rsidRDefault="006B4ED1" w:rsidP="006B4ED1">
      <w:pPr>
        <w:spacing w:after="200" w:line="360" w:lineRule="auto"/>
        <w:ind w:left="720" w:hanging="720"/>
      </w:pPr>
      <w:r>
        <w:t xml:space="preserve">New Jersey State Bar Foundation. (2026, April 2). </w:t>
      </w:r>
      <w:r>
        <w:rPr>
          <w:i/>
          <w:iCs/>
        </w:rPr>
        <w:t>Legal implications of facial recognition technology</w:t>
      </w:r>
      <w:r>
        <w:t>. https://njsbf.org/2026/04/02/legal-implications-of-facial-recognition-technology/</w:t>
      </w:r>
    </w:p>
    <w:p w14:paraId="2D7996B4" w14:textId="77777777" w:rsidR="006B4ED1" w:rsidRDefault="006B4ED1" w:rsidP="006B4ED1">
      <w:pPr>
        <w:spacing w:after="200" w:line="360" w:lineRule="auto"/>
        <w:ind w:left="720" w:hanging="720"/>
      </w:pPr>
      <w:r>
        <w:t xml:space="preserve">Pew Research Center. (2022, March 17). </w:t>
      </w:r>
      <w:r>
        <w:rPr>
          <w:i/>
          <w:iCs/>
        </w:rPr>
        <w:t xml:space="preserve">Public more likely to see facial recognition </w:t>
      </w:r>
      <w:proofErr w:type="gramStart"/>
      <w:r>
        <w:rPr>
          <w:i/>
          <w:iCs/>
        </w:rPr>
        <w:t>use</w:t>
      </w:r>
      <w:proofErr w:type="gramEnd"/>
      <w:r>
        <w:rPr>
          <w:i/>
          <w:iCs/>
        </w:rPr>
        <w:t xml:space="preserve"> by police as good, rather than bad, for society</w:t>
      </w:r>
      <w:r>
        <w:t>. https://www.pewresearch.org/internet/2022/03/17/public-more-likely-to-see-facial-recognition-use-by-police-as-good-rather-than-bad-for-society/</w:t>
      </w:r>
    </w:p>
    <w:p w14:paraId="06106BF3" w14:textId="77777777" w:rsidR="00D0493E" w:rsidRPr="00150AF0" w:rsidRDefault="00D0493E" w:rsidP="00150AF0"/>
    <w:sectPr w:rsidR="00D0493E" w:rsidRPr="00150AF0">
      <w:footerReference w:type="even" r:id="rId7"/>
      <w:footerReference w:type="default" r:id="rId8"/>
      <w:footerReference w:type="firs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6EFEAE" w14:textId="77777777" w:rsidR="00060E87" w:rsidRDefault="00060E87" w:rsidP="00E15EA4">
      <w:r>
        <w:separator/>
      </w:r>
    </w:p>
  </w:endnote>
  <w:endnote w:type="continuationSeparator" w:id="0">
    <w:p w14:paraId="11F29812" w14:textId="77777777" w:rsidR="00060E87" w:rsidRDefault="00060E87" w:rsidP="00E15E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82E16C" w14:textId="1A37B322" w:rsidR="00E15EA4" w:rsidRDefault="00E15EA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13B599" w14:textId="24EC59A4" w:rsidR="00E15EA4" w:rsidRDefault="00E15EA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76262" w14:textId="7EABEE92" w:rsidR="00E15EA4" w:rsidRDefault="00E15EA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92C6CF" w14:textId="77777777" w:rsidR="00060E87" w:rsidRDefault="00060E87" w:rsidP="00E15EA4">
      <w:r>
        <w:separator/>
      </w:r>
    </w:p>
  </w:footnote>
  <w:footnote w:type="continuationSeparator" w:id="0">
    <w:p w14:paraId="439CA43B" w14:textId="77777777" w:rsidR="00060E87" w:rsidRDefault="00060E87" w:rsidP="00E15EA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A36E6"/>
    <w:multiLevelType w:val="multilevel"/>
    <w:tmpl w:val="B6428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420724"/>
    <w:multiLevelType w:val="multilevel"/>
    <w:tmpl w:val="53B81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876AE2"/>
    <w:multiLevelType w:val="hybridMultilevel"/>
    <w:tmpl w:val="EEB2A1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7FD74E5"/>
    <w:multiLevelType w:val="multilevel"/>
    <w:tmpl w:val="7806F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651EB0"/>
    <w:multiLevelType w:val="multilevel"/>
    <w:tmpl w:val="06B46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631FD0"/>
    <w:multiLevelType w:val="multilevel"/>
    <w:tmpl w:val="530EB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CB3AF3"/>
    <w:multiLevelType w:val="multilevel"/>
    <w:tmpl w:val="6FF45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3D3BFC"/>
    <w:multiLevelType w:val="multilevel"/>
    <w:tmpl w:val="F4E6B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F95D73"/>
    <w:multiLevelType w:val="multilevel"/>
    <w:tmpl w:val="A1F0E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616FE9"/>
    <w:multiLevelType w:val="multilevel"/>
    <w:tmpl w:val="3C9CB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FC2B71"/>
    <w:multiLevelType w:val="hybridMultilevel"/>
    <w:tmpl w:val="785E4E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8154C3D"/>
    <w:multiLevelType w:val="multilevel"/>
    <w:tmpl w:val="25582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440F22"/>
    <w:multiLevelType w:val="multilevel"/>
    <w:tmpl w:val="5C103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354D82"/>
    <w:multiLevelType w:val="multilevel"/>
    <w:tmpl w:val="800E0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C00CE1"/>
    <w:multiLevelType w:val="multilevel"/>
    <w:tmpl w:val="74763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875B82"/>
    <w:multiLevelType w:val="multilevel"/>
    <w:tmpl w:val="9E909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030AB6"/>
    <w:multiLevelType w:val="multilevel"/>
    <w:tmpl w:val="20A25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DC3C78"/>
    <w:multiLevelType w:val="multilevel"/>
    <w:tmpl w:val="F9525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71790D"/>
    <w:multiLevelType w:val="multilevel"/>
    <w:tmpl w:val="671E7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DE75D2"/>
    <w:multiLevelType w:val="multilevel"/>
    <w:tmpl w:val="94EEF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A88280B"/>
    <w:multiLevelType w:val="multilevel"/>
    <w:tmpl w:val="C608D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1774432"/>
    <w:multiLevelType w:val="multilevel"/>
    <w:tmpl w:val="F0906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BE41E65"/>
    <w:multiLevelType w:val="multilevel"/>
    <w:tmpl w:val="6EA63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471787">
    <w:abstractNumId w:val="2"/>
  </w:num>
  <w:num w:numId="2" w16cid:durableId="1203248014">
    <w:abstractNumId w:val="10"/>
  </w:num>
  <w:num w:numId="3" w16cid:durableId="1237781169">
    <w:abstractNumId w:val="22"/>
  </w:num>
  <w:num w:numId="4" w16cid:durableId="199905437">
    <w:abstractNumId w:val="13"/>
  </w:num>
  <w:num w:numId="5" w16cid:durableId="57943938">
    <w:abstractNumId w:val="9"/>
  </w:num>
  <w:num w:numId="6" w16cid:durableId="649751987">
    <w:abstractNumId w:val="7"/>
  </w:num>
  <w:num w:numId="7" w16cid:durableId="1673605497">
    <w:abstractNumId w:val="12"/>
  </w:num>
  <w:num w:numId="8" w16cid:durableId="1274551476">
    <w:abstractNumId w:val="16"/>
  </w:num>
  <w:num w:numId="9" w16cid:durableId="1805076539">
    <w:abstractNumId w:val="19"/>
  </w:num>
  <w:num w:numId="10" w16cid:durableId="1310593946">
    <w:abstractNumId w:val="18"/>
  </w:num>
  <w:num w:numId="11" w16cid:durableId="507251312">
    <w:abstractNumId w:val="4"/>
  </w:num>
  <w:num w:numId="12" w16cid:durableId="1710373359">
    <w:abstractNumId w:val="5"/>
  </w:num>
  <w:num w:numId="13" w16cid:durableId="628050011">
    <w:abstractNumId w:val="15"/>
  </w:num>
  <w:num w:numId="14" w16cid:durableId="1532497123">
    <w:abstractNumId w:val="21"/>
  </w:num>
  <w:num w:numId="15" w16cid:durableId="1736586396">
    <w:abstractNumId w:val="3"/>
  </w:num>
  <w:num w:numId="16" w16cid:durableId="1987539742">
    <w:abstractNumId w:val="0"/>
  </w:num>
  <w:num w:numId="17" w16cid:durableId="1074006915">
    <w:abstractNumId w:val="6"/>
  </w:num>
  <w:num w:numId="18" w16cid:durableId="334302605">
    <w:abstractNumId w:val="14"/>
  </w:num>
  <w:num w:numId="19" w16cid:durableId="665673371">
    <w:abstractNumId w:val="1"/>
  </w:num>
  <w:num w:numId="20" w16cid:durableId="1805392637">
    <w:abstractNumId w:val="11"/>
  </w:num>
  <w:num w:numId="21" w16cid:durableId="1305113008">
    <w:abstractNumId w:val="20"/>
  </w:num>
  <w:num w:numId="22" w16cid:durableId="1535967702">
    <w:abstractNumId w:val="17"/>
  </w:num>
  <w:num w:numId="23" w16cid:durableId="57154655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5EA4"/>
    <w:rsid w:val="00007E8E"/>
    <w:rsid w:val="00017FE2"/>
    <w:rsid w:val="00021F0C"/>
    <w:rsid w:val="000323E8"/>
    <w:rsid w:val="00034C72"/>
    <w:rsid w:val="0004534A"/>
    <w:rsid w:val="00054888"/>
    <w:rsid w:val="00055F38"/>
    <w:rsid w:val="00060E87"/>
    <w:rsid w:val="00062EC2"/>
    <w:rsid w:val="000E2682"/>
    <w:rsid w:val="000E3EE3"/>
    <w:rsid w:val="00150AF0"/>
    <w:rsid w:val="001604F1"/>
    <w:rsid w:val="0016061A"/>
    <w:rsid w:val="001649FF"/>
    <w:rsid w:val="00174F2B"/>
    <w:rsid w:val="001840E9"/>
    <w:rsid w:val="001E01B6"/>
    <w:rsid w:val="001E7FFD"/>
    <w:rsid w:val="001F3731"/>
    <w:rsid w:val="0024663A"/>
    <w:rsid w:val="002508A6"/>
    <w:rsid w:val="002A60AB"/>
    <w:rsid w:val="002F1AF1"/>
    <w:rsid w:val="002F51F8"/>
    <w:rsid w:val="00302FDF"/>
    <w:rsid w:val="003035DD"/>
    <w:rsid w:val="00331FE3"/>
    <w:rsid w:val="003473DB"/>
    <w:rsid w:val="0034788B"/>
    <w:rsid w:val="00377510"/>
    <w:rsid w:val="003916A6"/>
    <w:rsid w:val="003936A5"/>
    <w:rsid w:val="003C529A"/>
    <w:rsid w:val="00413101"/>
    <w:rsid w:val="00444172"/>
    <w:rsid w:val="004A5F10"/>
    <w:rsid w:val="005145E9"/>
    <w:rsid w:val="00515777"/>
    <w:rsid w:val="005401FA"/>
    <w:rsid w:val="0054291D"/>
    <w:rsid w:val="00550FC8"/>
    <w:rsid w:val="005C62F8"/>
    <w:rsid w:val="005D6C02"/>
    <w:rsid w:val="005E1326"/>
    <w:rsid w:val="005E5FB0"/>
    <w:rsid w:val="006225E6"/>
    <w:rsid w:val="00641BAE"/>
    <w:rsid w:val="0068626B"/>
    <w:rsid w:val="006B0FBC"/>
    <w:rsid w:val="006B4ED1"/>
    <w:rsid w:val="006E1C68"/>
    <w:rsid w:val="006F0AAF"/>
    <w:rsid w:val="00754FC6"/>
    <w:rsid w:val="00775CE7"/>
    <w:rsid w:val="00781EE3"/>
    <w:rsid w:val="007A1097"/>
    <w:rsid w:val="007B0DC5"/>
    <w:rsid w:val="007D2DF6"/>
    <w:rsid w:val="00814FD3"/>
    <w:rsid w:val="008310CF"/>
    <w:rsid w:val="00847E00"/>
    <w:rsid w:val="008558FD"/>
    <w:rsid w:val="00871F40"/>
    <w:rsid w:val="00876B0C"/>
    <w:rsid w:val="00892BCB"/>
    <w:rsid w:val="008B69B1"/>
    <w:rsid w:val="008C3719"/>
    <w:rsid w:val="008F38C9"/>
    <w:rsid w:val="00906BBA"/>
    <w:rsid w:val="009163D2"/>
    <w:rsid w:val="00920955"/>
    <w:rsid w:val="0095619D"/>
    <w:rsid w:val="009620C0"/>
    <w:rsid w:val="00974398"/>
    <w:rsid w:val="009C3303"/>
    <w:rsid w:val="009E669D"/>
    <w:rsid w:val="00A54B5D"/>
    <w:rsid w:val="00A8748D"/>
    <w:rsid w:val="00AB1D8B"/>
    <w:rsid w:val="00AB332B"/>
    <w:rsid w:val="00AD6B9C"/>
    <w:rsid w:val="00AF2B63"/>
    <w:rsid w:val="00AF7E88"/>
    <w:rsid w:val="00B46733"/>
    <w:rsid w:val="00B46A4A"/>
    <w:rsid w:val="00B50477"/>
    <w:rsid w:val="00B57EAE"/>
    <w:rsid w:val="00B972E3"/>
    <w:rsid w:val="00B97E6D"/>
    <w:rsid w:val="00BC0E89"/>
    <w:rsid w:val="00BC1EC8"/>
    <w:rsid w:val="00BD0A0A"/>
    <w:rsid w:val="00BE1B25"/>
    <w:rsid w:val="00C16464"/>
    <w:rsid w:val="00C43CD3"/>
    <w:rsid w:val="00C56A86"/>
    <w:rsid w:val="00CD15C3"/>
    <w:rsid w:val="00CD28B7"/>
    <w:rsid w:val="00D0460B"/>
    <w:rsid w:val="00D0493E"/>
    <w:rsid w:val="00D132AE"/>
    <w:rsid w:val="00D26365"/>
    <w:rsid w:val="00D60C46"/>
    <w:rsid w:val="00D64590"/>
    <w:rsid w:val="00D823EF"/>
    <w:rsid w:val="00D9235E"/>
    <w:rsid w:val="00DB297F"/>
    <w:rsid w:val="00DB5EC9"/>
    <w:rsid w:val="00DD0DDA"/>
    <w:rsid w:val="00DD0E7C"/>
    <w:rsid w:val="00DD1CB6"/>
    <w:rsid w:val="00E15EA4"/>
    <w:rsid w:val="00E20475"/>
    <w:rsid w:val="00E86907"/>
    <w:rsid w:val="00E94DBB"/>
    <w:rsid w:val="00EC588B"/>
    <w:rsid w:val="00EC7E28"/>
    <w:rsid w:val="00ED095B"/>
    <w:rsid w:val="00F00528"/>
    <w:rsid w:val="00F555A4"/>
    <w:rsid w:val="00FA56FB"/>
    <w:rsid w:val="00FC32CE"/>
    <w:rsid w:val="00FE47BF"/>
    <w:rsid w:val="00FF4E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2AB98F"/>
  <w15:chartTrackingRefBased/>
  <w15:docId w15:val="{36128F1B-EEC0-485F-9756-4393E3E966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4ED1"/>
    <w:pPr>
      <w:spacing w:after="0" w:line="240" w:lineRule="auto"/>
    </w:pPr>
    <w:rPr>
      <w:rFonts w:ascii="Times New Roman" w:eastAsia="Times New Roman" w:hAnsi="Times New Roman" w:cs="Times New Roman"/>
      <w:kern w:val="0"/>
      <w:sz w:val="20"/>
      <w:szCs w:val="20"/>
      <w14:ligatures w14:val="none"/>
    </w:rPr>
  </w:style>
  <w:style w:type="paragraph" w:styleId="Heading1">
    <w:name w:val="heading 1"/>
    <w:basedOn w:val="Normal"/>
    <w:next w:val="Normal"/>
    <w:link w:val="Heading1Char"/>
    <w:uiPriority w:val="9"/>
    <w:qFormat/>
    <w:rsid w:val="00E15EA4"/>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E15EA4"/>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E15EA4"/>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unhideWhenUsed/>
    <w:qFormat/>
    <w:rsid w:val="00E15EA4"/>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E15EA4"/>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E15EA4"/>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E15EA4"/>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E15EA4"/>
    <w:pPr>
      <w:keepNext/>
      <w:keepLines/>
      <w:spacing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E15EA4"/>
    <w:pPr>
      <w:keepNext/>
      <w:keepLines/>
      <w:spacing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5E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15E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5E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E15E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5E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5E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5E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5E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5EA4"/>
    <w:rPr>
      <w:rFonts w:eastAsiaTheme="majorEastAsia" w:cstheme="majorBidi"/>
      <w:color w:val="272727" w:themeColor="text1" w:themeTint="D8"/>
    </w:rPr>
  </w:style>
  <w:style w:type="paragraph" w:styleId="Title">
    <w:name w:val="Title"/>
    <w:basedOn w:val="Normal"/>
    <w:next w:val="Normal"/>
    <w:link w:val="TitleChar"/>
    <w:uiPriority w:val="10"/>
    <w:qFormat/>
    <w:rsid w:val="00E15EA4"/>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E15E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5EA4"/>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E15E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5EA4"/>
    <w:pPr>
      <w:spacing w:before="160" w:after="160" w:line="278" w:lineRule="auto"/>
      <w:jc w:val="center"/>
    </w:pPr>
    <w:rPr>
      <w:rFonts w:asciiTheme="minorHAnsi" w:eastAsiaTheme="minorHAnsi"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E15EA4"/>
    <w:rPr>
      <w:i/>
      <w:iCs/>
      <w:color w:val="404040" w:themeColor="text1" w:themeTint="BF"/>
    </w:rPr>
  </w:style>
  <w:style w:type="paragraph" w:styleId="ListParagraph">
    <w:name w:val="List Paragraph"/>
    <w:basedOn w:val="Normal"/>
    <w:uiPriority w:val="34"/>
    <w:qFormat/>
    <w:rsid w:val="00E15EA4"/>
    <w:pPr>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styleId="IntenseEmphasis">
    <w:name w:val="Intense Emphasis"/>
    <w:basedOn w:val="DefaultParagraphFont"/>
    <w:uiPriority w:val="21"/>
    <w:qFormat/>
    <w:rsid w:val="00E15EA4"/>
    <w:rPr>
      <w:i/>
      <w:iCs/>
      <w:color w:val="0F4761" w:themeColor="accent1" w:themeShade="BF"/>
    </w:rPr>
  </w:style>
  <w:style w:type="paragraph" w:styleId="IntenseQuote">
    <w:name w:val="Intense Quote"/>
    <w:basedOn w:val="Normal"/>
    <w:next w:val="Normal"/>
    <w:link w:val="IntenseQuoteChar"/>
    <w:uiPriority w:val="30"/>
    <w:qFormat/>
    <w:rsid w:val="00E15EA4"/>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E15EA4"/>
    <w:rPr>
      <w:i/>
      <w:iCs/>
      <w:color w:val="0F4761" w:themeColor="accent1" w:themeShade="BF"/>
    </w:rPr>
  </w:style>
  <w:style w:type="character" w:styleId="IntenseReference">
    <w:name w:val="Intense Reference"/>
    <w:basedOn w:val="DefaultParagraphFont"/>
    <w:uiPriority w:val="32"/>
    <w:qFormat/>
    <w:rsid w:val="00E15EA4"/>
    <w:rPr>
      <w:b/>
      <w:bCs/>
      <w:smallCaps/>
      <w:color w:val="0F4761" w:themeColor="accent1" w:themeShade="BF"/>
      <w:spacing w:val="5"/>
    </w:rPr>
  </w:style>
  <w:style w:type="paragraph" w:styleId="Footer">
    <w:name w:val="footer"/>
    <w:basedOn w:val="Normal"/>
    <w:link w:val="FooterChar"/>
    <w:uiPriority w:val="99"/>
    <w:unhideWhenUsed/>
    <w:rsid w:val="00E15EA4"/>
    <w:pPr>
      <w:tabs>
        <w:tab w:val="center" w:pos="4680"/>
        <w:tab w:val="right" w:pos="9360"/>
      </w:tabs>
    </w:pPr>
    <w:rPr>
      <w:rFonts w:asciiTheme="minorHAnsi" w:eastAsiaTheme="minorHAnsi" w:hAnsiTheme="minorHAnsi" w:cstheme="minorBidi"/>
      <w:kern w:val="2"/>
      <w:sz w:val="24"/>
      <w:szCs w:val="24"/>
      <w14:ligatures w14:val="standardContextual"/>
    </w:rPr>
  </w:style>
  <w:style w:type="character" w:customStyle="1" w:styleId="FooterChar">
    <w:name w:val="Footer Char"/>
    <w:basedOn w:val="DefaultParagraphFont"/>
    <w:link w:val="Footer"/>
    <w:uiPriority w:val="99"/>
    <w:rsid w:val="00E15EA4"/>
  </w:style>
  <w:style w:type="paragraph" w:styleId="NoSpacing">
    <w:name w:val="No Spacing"/>
    <w:uiPriority w:val="1"/>
    <w:qFormat/>
    <w:rsid w:val="008C3719"/>
    <w:pPr>
      <w:spacing w:after="0" w:line="240" w:lineRule="auto"/>
    </w:pPr>
  </w:style>
  <w:style w:type="character" w:styleId="Hyperlink">
    <w:name w:val="Hyperlink"/>
    <w:basedOn w:val="DefaultParagraphFont"/>
    <w:uiPriority w:val="99"/>
    <w:unhideWhenUsed/>
    <w:rsid w:val="00B46733"/>
    <w:rPr>
      <w:color w:val="467886" w:themeColor="hyperlink"/>
      <w:u w:val="single"/>
    </w:rPr>
  </w:style>
  <w:style w:type="character" w:styleId="UnresolvedMention">
    <w:name w:val="Unresolved Mention"/>
    <w:basedOn w:val="DefaultParagraphFont"/>
    <w:uiPriority w:val="99"/>
    <w:semiHidden/>
    <w:unhideWhenUsed/>
    <w:rsid w:val="00B46733"/>
    <w:rPr>
      <w:color w:val="605E5C"/>
      <w:shd w:val="clear" w:color="auto" w:fill="E1DFDD"/>
    </w:rPr>
  </w:style>
  <w:style w:type="character" w:styleId="FollowedHyperlink">
    <w:name w:val="FollowedHyperlink"/>
    <w:basedOn w:val="DefaultParagraphFont"/>
    <w:uiPriority w:val="99"/>
    <w:semiHidden/>
    <w:unhideWhenUsed/>
    <w:rsid w:val="005E132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c988e174-2ce8-4d8b-843a-cab03a445153}" enabled="1" method="Privileged" siteId="{60970b94-e7fb-4b69-b637-2cb121e1b596}" contentBits="0" removed="0"/>
</clbl:labelList>
</file>

<file path=docProps/app.xml><?xml version="1.0" encoding="utf-8"?>
<Properties xmlns="http://schemas.openxmlformats.org/officeDocument/2006/extended-properties" xmlns:vt="http://schemas.openxmlformats.org/officeDocument/2006/docPropsVTypes">
  <Template>Normal.dotm</Template>
  <TotalTime>1526</TotalTime>
  <Pages>6</Pages>
  <Words>1782</Words>
  <Characters>10161</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Loomis Armored, US</Company>
  <LinksUpToDate>false</LinksUpToDate>
  <CharactersWithSpaces>11920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Fox, Rich</dc:creator>
  <cp:keywords/>
  <dc:description/>
  <cp:lastModifiedBy>Fox, Rich</cp:lastModifiedBy>
  <cp:revision>116</cp:revision>
  <dcterms:created xsi:type="dcterms:W3CDTF">2026-07-03T17:03:00Z</dcterms:created>
  <dcterms:modified xsi:type="dcterms:W3CDTF">2026-07-04T19:24:00Z</dcterms:modified>
</cp:coreProperties>
</file>