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Mergington High School</w:t>
      </w:r>
    </w:p>
    <w:p>
      <w:pPr>
        <w:jc w:val="center"/>
      </w:pPr>
      <w:r>
        <w:rPr>
          <w:b/>
          <w:sz w:val="36"/>
        </w:rPr>
        <w:t>Activities Management System</w:t>
      </w:r>
    </w:p>
    <w:p/>
    <w:p>
      <w:pPr>
        <w:jc w:val="center"/>
      </w:pPr>
      <w:r>
        <w:rPr>
          <w:b/>
          <w:color w:val="17375E"/>
          <w:sz w:val="40"/>
        </w:rPr>
        <w:t>Data Compliance &amp; Audit Report</w:t>
      </w:r>
    </w:p>
    <w:p/>
    <w:p>
      <w:pPr>
        <w:jc w:val="center"/>
      </w:pPr>
      <w:r>
        <w:t>Generated: 2026-03-18 13:25:54 UTC</w:t>
        <w:br/>
      </w:r>
      <w:r>
        <w:t>Classification: Internal Use Only</w:t>
        <w:br/>
      </w:r>
      <w:r>
        <w:t>Version: 1.0</w:t>
      </w:r>
    </w:p>
    <w:p>
      <w:r>
        <w:br w:type="page"/>
      </w:r>
    </w:p>
    <w:p>
      <w:pPr>
        <w:pStyle w:val="Heading1"/>
      </w:pPr>
      <w:r>
        <w:t>1. Purpose &amp; Scope</w:t>
      </w:r>
    </w:p>
    <w:p>
      <w:r>
        <w:t>This document provides a compliance-ready, fully auditable record of all data collected, stored, processed, and transmitted by the Mergington High School Activities Management System. It is intended to support internal audits, data protection reviews, and regulatory compliance assessments.</w:t>
      </w:r>
    </w:p>
    <w:p>
      <w:r>
        <w:t>Scope: All data elements present in the application as of the report generation date, including personally identifiable information (PII), system configuration data, and transient operational data.</w:t>
      </w:r>
    </w:p>
    <w:p>
      <w:pPr>
        <w:pStyle w:val="Heading1"/>
      </w:pPr>
      <w:r>
        <w:t>2. Application Overview</w:t>
      </w:r>
    </w:p>
    <w:p>
      <w:pPr>
        <w:pStyle w:val="Heading2"/>
      </w:pPr>
      <w:r>
        <w:t>2.1 System Description</w:t>
      </w:r>
    </w:p>
    <w:p>
      <w:r>
        <w:t>The Mergington High School Activities Management System is a web-based application that enables students to browse extracurricular activities and register their participation. The system consists of:</w:t>
      </w:r>
    </w:p>
    <w:p>
      <w:pPr>
        <w:pStyle w:val="ListBullet"/>
      </w:pPr>
      <w:r>
        <w:t>A Python/FastAPI REST API backend serving activity data and handling registrations.</w:t>
      </w:r>
    </w:p>
    <w:p>
      <w:pPr>
        <w:pStyle w:val="ListBullet"/>
      </w:pPr>
      <w:r>
        <w:t>A static HTML/CSS/JavaScript frontend served at the application root.</w:t>
      </w:r>
    </w:p>
    <w:p>
      <w:pPr>
        <w:pStyle w:val="ListBullet"/>
      </w:pPr>
      <w:r>
        <w:t>An in-memory data store that is initialised at application start-up and reset on each server restart (no persistent database).</w:t>
      </w:r>
    </w:p>
    <w:p>
      <w:pPr>
        <w:pStyle w:val="Heading2"/>
      </w:pPr>
      <w:r>
        <w:t>2.2 Technology Stack</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Component</w:t>
            </w:r>
          </w:p>
        </w:tc>
        <w:tc>
          <w:tcPr>
            <w:tcW w:type="dxa" w:w="2880"/>
            <w:shd w:val="clear" w:color="auto" w:fill="4472C4"/>
          </w:tcPr>
          <w:p>
            <w:r>
              <w:rPr>
                <w:b/>
                <w:color w:val="FFFFFF"/>
              </w:rPr>
              <w:t>Technology</w:t>
            </w:r>
          </w:p>
        </w:tc>
        <w:tc>
          <w:tcPr>
            <w:tcW w:type="dxa" w:w="2880"/>
            <w:shd w:val="clear" w:color="auto" w:fill="4472C4"/>
          </w:tcPr>
          <w:p>
            <w:r>
              <w:rPr>
                <w:b/>
                <w:color w:val="FFFFFF"/>
              </w:rPr>
              <w:t>Version</w:t>
            </w:r>
          </w:p>
        </w:tc>
      </w:tr>
      <w:tr>
        <w:tc>
          <w:tcPr>
            <w:tcW w:type="dxa" w:w="2880"/>
          </w:tcPr>
          <w:p>
            <w:r>
              <w:t>Backend runtime</w:t>
            </w:r>
          </w:p>
        </w:tc>
        <w:tc>
          <w:tcPr>
            <w:tcW w:type="dxa" w:w="2880"/>
          </w:tcPr>
          <w:p>
            <w:r>
              <w:t>Python</w:t>
            </w:r>
          </w:p>
        </w:tc>
        <w:tc>
          <w:tcPr>
            <w:tcW w:type="dxa" w:w="2880"/>
          </w:tcPr>
          <w:p>
            <w:r>
              <w:t>3.13</w:t>
            </w:r>
          </w:p>
        </w:tc>
      </w:tr>
      <w:tr>
        <w:tc>
          <w:tcPr>
            <w:tcW w:type="dxa" w:w="2880"/>
          </w:tcPr>
          <w:p>
            <w:r>
              <w:t>API framework</w:t>
            </w:r>
          </w:p>
        </w:tc>
        <w:tc>
          <w:tcPr>
            <w:tcW w:type="dxa" w:w="2880"/>
          </w:tcPr>
          <w:p>
            <w:r>
              <w:t>FastAPI</w:t>
            </w:r>
          </w:p>
        </w:tc>
        <w:tc>
          <w:tcPr>
            <w:tcW w:type="dxa" w:w="2880"/>
          </w:tcPr>
          <w:p>
            <w:r>
              <w:t>Latest (see requirements.txt)</w:t>
            </w:r>
          </w:p>
        </w:tc>
      </w:tr>
      <w:tr>
        <w:tc>
          <w:tcPr>
            <w:tcW w:type="dxa" w:w="2880"/>
          </w:tcPr>
          <w:p>
            <w:r>
              <w:t>ASGI server</w:t>
            </w:r>
          </w:p>
        </w:tc>
        <w:tc>
          <w:tcPr>
            <w:tcW w:type="dxa" w:w="2880"/>
          </w:tcPr>
          <w:p>
            <w:r>
              <w:t>Uvicorn</w:t>
            </w:r>
          </w:p>
        </w:tc>
        <w:tc>
          <w:tcPr>
            <w:tcW w:type="dxa" w:w="2880"/>
          </w:tcPr>
          <w:p>
            <w:r>
              <w:t>Latest (see requirements.txt)</w:t>
            </w:r>
          </w:p>
        </w:tc>
      </w:tr>
      <w:tr>
        <w:tc>
          <w:tcPr>
            <w:tcW w:type="dxa" w:w="2880"/>
          </w:tcPr>
          <w:p>
            <w:r>
              <w:t>Frontend</w:t>
            </w:r>
          </w:p>
        </w:tc>
        <w:tc>
          <w:tcPr>
            <w:tcW w:type="dxa" w:w="2880"/>
          </w:tcPr>
          <w:p>
            <w:r>
              <w:t>HTML5 / CSS3 / Vanilla JavaScript</w:t>
            </w:r>
          </w:p>
        </w:tc>
        <w:tc>
          <w:tcPr>
            <w:tcW w:type="dxa" w:w="2880"/>
          </w:tcPr>
          <w:p>
            <w:r>
              <w:t>—</w:t>
            </w:r>
          </w:p>
        </w:tc>
      </w:tr>
      <w:tr>
        <w:tc>
          <w:tcPr>
            <w:tcW w:type="dxa" w:w="2880"/>
          </w:tcPr>
          <w:p>
            <w:r>
              <w:t>Data storage</w:t>
            </w:r>
          </w:p>
        </w:tc>
        <w:tc>
          <w:tcPr>
            <w:tcW w:type="dxa" w:w="2880"/>
          </w:tcPr>
          <w:p>
            <w:r>
              <w:t>In-memory (Python dict)</w:t>
            </w:r>
          </w:p>
        </w:tc>
        <w:tc>
          <w:tcPr>
            <w:tcW w:type="dxa" w:w="2880"/>
          </w:tcPr>
          <w:p>
            <w:r>
              <w:t>—</w:t>
            </w:r>
          </w:p>
        </w:tc>
      </w:tr>
    </w:tbl>
    <w:p/>
    <w:p>
      <w:pPr>
        <w:pStyle w:val="Heading2"/>
      </w:pPr>
      <w:r>
        <w:t>2.3 Deployment &amp; Hosting</w:t>
      </w:r>
    </w:p>
    <w:p>
      <w:r>
        <w:t>The application is designed for local development and educational use inside a GitHub Codespaces / Dev Container environment. It is not currently deployed to a production hosting environment. Port 8000 is exposed for local access.</w:t>
      </w:r>
    </w:p>
    <w:p>
      <w:pPr>
        <w:pStyle w:val="Heading1"/>
      </w:pPr>
      <w:r>
        <w:t>3. Data Inventory</w:t>
      </w:r>
    </w:p>
    <w:p>
      <w:r>
        <w:t>The following table lists every distinct data element used by the application, its type, source, purpose, whether it constitutes PII, and the storage mechanism.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4472C4"/>
          </w:tcPr>
          <w:p>
            <w:r>
              <w:rPr>
                <w:b/>
                <w:color w:val="FFFFFF"/>
              </w:rPr>
              <w:t>Field Name</w:t>
            </w:r>
          </w:p>
        </w:tc>
        <w:tc>
          <w:tcPr>
            <w:tcW w:type="dxa" w:w="1234"/>
            <w:shd w:val="clear" w:color="auto" w:fill="4472C4"/>
          </w:tcPr>
          <w:p>
            <w:r>
              <w:rPr>
                <w:b/>
                <w:color w:val="FFFFFF"/>
              </w:rPr>
              <w:t>Data Type</w:t>
            </w:r>
          </w:p>
        </w:tc>
        <w:tc>
          <w:tcPr>
            <w:tcW w:type="dxa" w:w="1234"/>
            <w:shd w:val="clear" w:color="auto" w:fill="4472C4"/>
          </w:tcPr>
          <w:p>
            <w:r>
              <w:rPr>
                <w:b/>
                <w:color w:val="FFFFFF"/>
              </w:rPr>
              <w:t>Source</w:t>
            </w:r>
          </w:p>
        </w:tc>
        <w:tc>
          <w:tcPr>
            <w:tcW w:type="dxa" w:w="1234"/>
            <w:shd w:val="clear" w:color="auto" w:fill="4472C4"/>
          </w:tcPr>
          <w:p>
            <w:r>
              <w:rPr>
                <w:b/>
                <w:color w:val="FFFFFF"/>
              </w:rPr>
              <w:t>Purpose</w:t>
            </w:r>
          </w:p>
        </w:tc>
        <w:tc>
          <w:tcPr>
            <w:tcW w:type="dxa" w:w="1234"/>
            <w:shd w:val="clear" w:color="auto" w:fill="4472C4"/>
          </w:tcPr>
          <w:p>
            <w:r>
              <w:rPr>
                <w:b/>
                <w:color w:val="FFFFFF"/>
              </w:rPr>
              <w:t>PII?</w:t>
            </w:r>
          </w:p>
        </w:tc>
        <w:tc>
          <w:tcPr>
            <w:tcW w:type="dxa" w:w="1234"/>
            <w:shd w:val="clear" w:color="auto" w:fill="4472C4"/>
          </w:tcPr>
          <w:p>
            <w:r>
              <w:rPr>
                <w:b/>
                <w:color w:val="FFFFFF"/>
              </w:rPr>
              <w:t>Storage</w:t>
            </w:r>
          </w:p>
        </w:tc>
        <w:tc>
          <w:tcPr>
            <w:tcW w:type="dxa" w:w="1234"/>
            <w:shd w:val="clear" w:color="auto" w:fill="4472C4"/>
          </w:tcPr>
          <w:p>
            <w:r>
              <w:rPr>
                <w:b/>
                <w:color w:val="FFFFFF"/>
              </w:rPr>
              <w:t>Retention</w:t>
            </w:r>
          </w:p>
        </w:tc>
      </w:tr>
      <w:tr>
        <w:tc>
          <w:tcPr>
            <w:tcW w:type="dxa" w:w="1234"/>
          </w:tcPr>
          <w:p>
            <w:r>
              <w:t>Activity Name (key)</w:t>
            </w:r>
          </w:p>
        </w:tc>
        <w:tc>
          <w:tcPr>
            <w:tcW w:type="dxa" w:w="1234"/>
          </w:tcPr>
          <w:p>
            <w:r>
              <w:t>String</w:t>
            </w:r>
          </w:p>
        </w:tc>
        <w:tc>
          <w:tcPr>
            <w:tcW w:type="dxa" w:w="1234"/>
          </w:tcPr>
          <w:p>
            <w:r>
              <w:t>Static — hard-coded at startup</w:t>
            </w:r>
          </w:p>
        </w:tc>
        <w:tc>
          <w:tcPr>
            <w:tcW w:type="dxa" w:w="1234"/>
          </w:tcPr>
          <w:p>
            <w:r>
              <w:t>Unique identifier for an extracurricular activity</w:t>
            </w:r>
          </w:p>
        </w:tc>
        <w:tc>
          <w:tcPr>
            <w:tcW w:type="dxa" w:w="1234"/>
          </w:tcPr>
          <w:p>
            <w:r>
              <w:t>No</w:t>
            </w:r>
          </w:p>
        </w:tc>
        <w:tc>
          <w:tcPr>
            <w:tcW w:type="dxa" w:w="1234"/>
          </w:tcPr>
          <w:p>
            <w:r>
              <w:t>In-memory dict key</w:t>
            </w:r>
          </w:p>
        </w:tc>
        <w:tc>
          <w:tcPr>
            <w:tcW w:type="dxa" w:w="1234"/>
          </w:tcPr>
          <w:p>
            <w:r>
              <w:t>Duration of server process</w:t>
            </w:r>
          </w:p>
        </w:tc>
      </w:tr>
      <w:tr>
        <w:tc>
          <w:tcPr>
            <w:tcW w:type="dxa" w:w="1234"/>
          </w:tcPr>
          <w:p>
            <w:r>
              <w:t>description</w:t>
            </w:r>
          </w:p>
        </w:tc>
        <w:tc>
          <w:tcPr>
            <w:tcW w:type="dxa" w:w="1234"/>
          </w:tcPr>
          <w:p>
            <w:r>
              <w:t>String</w:t>
            </w:r>
          </w:p>
        </w:tc>
        <w:tc>
          <w:tcPr>
            <w:tcW w:type="dxa" w:w="1234"/>
          </w:tcPr>
          <w:p>
            <w:r>
              <w:t>Static — hard-coded at startup</w:t>
            </w:r>
          </w:p>
        </w:tc>
        <w:tc>
          <w:tcPr>
            <w:tcW w:type="dxa" w:w="1234"/>
          </w:tcPr>
          <w:p>
            <w:r>
              <w:t>Human-readable summary of the activity</w:t>
            </w:r>
          </w:p>
        </w:tc>
        <w:tc>
          <w:tcPr>
            <w:tcW w:type="dxa" w:w="1234"/>
          </w:tcPr>
          <w:p>
            <w:r>
              <w:t>No</w:t>
            </w:r>
          </w:p>
        </w:tc>
        <w:tc>
          <w:tcPr>
            <w:tcW w:type="dxa" w:w="1234"/>
          </w:tcPr>
          <w:p>
            <w:r>
              <w:t>In-memory dict value</w:t>
            </w:r>
          </w:p>
        </w:tc>
        <w:tc>
          <w:tcPr>
            <w:tcW w:type="dxa" w:w="1234"/>
          </w:tcPr>
          <w:p>
            <w:r>
              <w:t>Duration of server process</w:t>
            </w:r>
          </w:p>
        </w:tc>
      </w:tr>
      <w:tr>
        <w:tc>
          <w:tcPr>
            <w:tcW w:type="dxa" w:w="1234"/>
          </w:tcPr>
          <w:p>
            <w:r>
              <w:t>schedule</w:t>
            </w:r>
          </w:p>
        </w:tc>
        <w:tc>
          <w:tcPr>
            <w:tcW w:type="dxa" w:w="1234"/>
          </w:tcPr>
          <w:p>
            <w:r>
              <w:t>String</w:t>
            </w:r>
          </w:p>
        </w:tc>
        <w:tc>
          <w:tcPr>
            <w:tcW w:type="dxa" w:w="1234"/>
          </w:tcPr>
          <w:p>
            <w:r>
              <w:t>Static — hard-coded at startup</w:t>
            </w:r>
          </w:p>
        </w:tc>
        <w:tc>
          <w:tcPr>
            <w:tcW w:type="dxa" w:w="1234"/>
          </w:tcPr>
          <w:p>
            <w:r>
              <w:t>Days and times the activity meets</w:t>
            </w:r>
          </w:p>
        </w:tc>
        <w:tc>
          <w:tcPr>
            <w:tcW w:type="dxa" w:w="1234"/>
          </w:tcPr>
          <w:p>
            <w:r>
              <w:t>No</w:t>
            </w:r>
          </w:p>
        </w:tc>
        <w:tc>
          <w:tcPr>
            <w:tcW w:type="dxa" w:w="1234"/>
          </w:tcPr>
          <w:p>
            <w:r>
              <w:t>In-memory dict value</w:t>
            </w:r>
          </w:p>
        </w:tc>
        <w:tc>
          <w:tcPr>
            <w:tcW w:type="dxa" w:w="1234"/>
          </w:tcPr>
          <w:p>
            <w:r>
              <w:t>Duration of server process</w:t>
            </w:r>
          </w:p>
        </w:tc>
      </w:tr>
      <w:tr>
        <w:tc>
          <w:tcPr>
            <w:tcW w:type="dxa" w:w="1234"/>
          </w:tcPr>
          <w:p>
            <w:r>
              <w:t>max_participants</w:t>
            </w:r>
          </w:p>
        </w:tc>
        <w:tc>
          <w:tcPr>
            <w:tcW w:type="dxa" w:w="1234"/>
          </w:tcPr>
          <w:p>
            <w:r>
              <w:t>Integer</w:t>
            </w:r>
          </w:p>
        </w:tc>
        <w:tc>
          <w:tcPr>
            <w:tcW w:type="dxa" w:w="1234"/>
          </w:tcPr>
          <w:p>
            <w:r>
              <w:t>Static — hard-coded at startup</w:t>
            </w:r>
          </w:p>
        </w:tc>
        <w:tc>
          <w:tcPr>
            <w:tcW w:type="dxa" w:w="1234"/>
          </w:tcPr>
          <w:p>
            <w:r>
              <w:t>Maximum enrolment cap for the activity</w:t>
            </w:r>
          </w:p>
        </w:tc>
        <w:tc>
          <w:tcPr>
            <w:tcW w:type="dxa" w:w="1234"/>
          </w:tcPr>
          <w:p>
            <w:r>
              <w:t>No</w:t>
            </w:r>
          </w:p>
        </w:tc>
        <w:tc>
          <w:tcPr>
            <w:tcW w:type="dxa" w:w="1234"/>
          </w:tcPr>
          <w:p>
            <w:r>
              <w:t>In-memory dict value</w:t>
            </w:r>
          </w:p>
        </w:tc>
        <w:tc>
          <w:tcPr>
            <w:tcW w:type="dxa" w:w="1234"/>
          </w:tcPr>
          <w:p>
            <w:r>
              <w:t>Duration of server process</w:t>
            </w:r>
          </w:p>
        </w:tc>
      </w:tr>
      <w:tr>
        <w:tc>
          <w:tcPr>
            <w:tcW w:type="dxa" w:w="1234"/>
          </w:tcPr>
          <w:p>
            <w:r>
              <w:t>participants (email address)</w:t>
            </w:r>
          </w:p>
        </w:tc>
        <w:tc>
          <w:tcPr>
            <w:tcW w:type="dxa" w:w="1234"/>
          </w:tcPr>
          <w:p>
            <w:r>
              <w:t>List of Strings (email)</w:t>
            </w:r>
          </w:p>
        </w:tc>
        <w:tc>
          <w:tcPr>
            <w:tcW w:type="dxa" w:w="1234"/>
          </w:tcPr>
          <w:p>
            <w:r>
              <w:t>Student input via API POST /activities/{name}/signup</w:t>
            </w:r>
          </w:p>
        </w:tc>
        <w:tc>
          <w:tcPr>
            <w:tcW w:type="dxa" w:w="1234"/>
          </w:tcPr>
          <w:p>
            <w:r>
              <w:t>Records which students are enrolled in an activity</w:t>
            </w:r>
          </w:p>
        </w:tc>
        <w:tc>
          <w:tcPr>
            <w:tcW w:type="dxa" w:w="1234"/>
          </w:tcPr>
          <w:p>
            <w:r>
              <w:t>YES — school email address</w:t>
            </w:r>
          </w:p>
        </w:tc>
        <w:tc>
          <w:tcPr>
            <w:tcW w:type="dxa" w:w="1234"/>
          </w:tcPr>
          <w:p>
            <w:r>
              <w:t>In-memory list within activity record</w:t>
            </w:r>
          </w:p>
        </w:tc>
        <w:tc>
          <w:tcPr>
            <w:tcW w:type="dxa" w:w="1234"/>
          </w:tcPr>
          <w:p>
            <w:r>
              <w:t>Duration of server process; cleared on restart</w:t>
            </w:r>
          </w:p>
        </w:tc>
      </w:tr>
    </w:tbl>
    <w:p/>
    <w:p>
      <w:pPr>
        <w:pStyle w:val="Heading1"/>
      </w:pPr>
      <w:r>
        <w:t>4. Personally Identifiable Information (PII)</w:t>
      </w:r>
    </w:p>
    <w:p>
      <w:pPr>
        <w:pStyle w:val="Heading2"/>
      </w:pPr>
      <w:r>
        <w:t>4.1 PII Elements Identified</w:t>
      </w:r>
    </w:p>
    <w:p>
      <w:r>
        <w:t>The application collects one category of PII: student email addresses submitted when a student signs up for an activity. These are institutional (school-issued) email addresses in the format &lt;username&gt;@mergington.edu.</w:t>
      </w:r>
    </w:p>
    <w:p>
      <w:pPr>
        <w:pStyle w:val="Heading2"/>
      </w:pPr>
      <w:r>
        <w:t>4.2 PII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00000"/>
          </w:tcPr>
          <w:p>
            <w:r>
              <w:rPr>
                <w:b/>
                <w:color w:val="FFFFFF"/>
              </w:rPr>
              <w:t>Risk Factor</w:t>
            </w:r>
          </w:p>
        </w:tc>
        <w:tc>
          <w:tcPr>
            <w:tcW w:type="dxa" w:w="2880"/>
            <w:shd w:val="clear" w:color="auto" w:fill="C00000"/>
          </w:tcPr>
          <w:p>
            <w:r>
              <w:rPr>
                <w:b/>
                <w:color w:val="FFFFFF"/>
              </w:rPr>
              <w:t>Current Status</w:t>
            </w:r>
          </w:p>
        </w:tc>
        <w:tc>
          <w:tcPr>
            <w:tcW w:type="dxa" w:w="2880"/>
            <w:shd w:val="clear" w:color="auto" w:fill="C00000"/>
          </w:tcPr>
          <w:p>
            <w:r>
              <w:rPr>
                <w:b/>
                <w:color w:val="FFFFFF"/>
              </w:rPr>
              <w:t>Recommended Mitigation</w:t>
            </w:r>
          </w:p>
        </w:tc>
      </w:tr>
      <w:tr>
        <w:tc>
          <w:tcPr>
            <w:tcW w:type="dxa" w:w="2880"/>
          </w:tcPr>
          <w:p>
            <w:r>
              <w:t>No input validation on email field</w:t>
            </w:r>
          </w:p>
        </w:tc>
        <w:tc>
          <w:tcPr>
            <w:tcW w:type="dxa" w:w="2880"/>
          </w:tcPr>
          <w:p>
            <w:r>
              <w:t>HIGH — any string accepted as email</w:t>
            </w:r>
          </w:p>
        </w:tc>
        <w:tc>
          <w:tcPr>
            <w:tcW w:type="dxa" w:w="2880"/>
          </w:tcPr>
          <w:p>
            <w:r>
              <w:t>Implement RFC 5322 email format validation in the API</w:t>
            </w:r>
          </w:p>
        </w:tc>
      </w:tr>
      <w:tr>
        <w:tc>
          <w:tcPr>
            <w:tcW w:type="dxa" w:w="2880"/>
          </w:tcPr>
          <w:p>
            <w:r>
              <w:t>No duplicate-signup check</w:t>
            </w:r>
          </w:p>
        </w:tc>
        <w:tc>
          <w:tcPr>
            <w:tcW w:type="dxa" w:w="2880"/>
          </w:tcPr>
          <w:p>
            <w:r>
              <w:t>MEDIUM — same email can be stored multiple times</w:t>
            </w:r>
          </w:p>
        </w:tc>
        <w:tc>
          <w:tcPr>
            <w:tcW w:type="dxa" w:w="2880"/>
          </w:tcPr>
          <w:p>
            <w:r>
              <w:t>Check participants list before appending</w:t>
            </w:r>
          </w:p>
        </w:tc>
      </w:tr>
      <w:tr>
        <w:tc>
          <w:tcPr>
            <w:tcW w:type="dxa" w:w="2880"/>
          </w:tcPr>
          <w:p>
            <w:r>
              <w:t>max_participants not enforced</w:t>
            </w:r>
          </w:p>
        </w:tc>
        <w:tc>
          <w:tcPr>
            <w:tcW w:type="dxa" w:w="2880"/>
          </w:tcPr>
          <w:p>
            <w:r>
              <w:t>MEDIUM — enrolment cap is not applied</w:t>
            </w:r>
          </w:p>
        </w:tc>
        <w:tc>
          <w:tcPr>
            <w:tcW w:type="dxa" w:w="2880"/>
          </w:tcPr>
          <w:p>
            <w:r>
              <w:t>Return 400/409 if activity is at capacity</w:t>
            </w:r>
          </w:p>
        </w:tc>
      </w:tr>
      <w:tr>
        <w:tc>
          <w:tcPr>
            <w:tcW w:type="dxa" w:w="2880"/>
          </w:tcPr>
          <w:p>
            <w:r>
              <w:t>Data stored in plaintext in memory</w:t>
            </w:r>
          </w:p>
        </w:tc>
        <w:tc>
          <w:tcPr>
            <w:tcW w:type="dxa" w:w="2880"/>
          </w:tcPr>
          <w:p>
            <w:r>
              <w:t>LOW (non-persistent; dev environment only)</w:t>
            </w:r>
          </w:p>
        </w:tc>
        <w:tc>
          <w:tcPr>
            <w:tcW w:type="dxa" w:w="2880"/>
          </w:tcPr>
          <w:p>
            <w:r>
              <w:t>Use an encrypted database for production deployments</w:t>
            </w:r>
          </w:p>
        </w:tc>
      </w:tr>
      <w:tr>
        <w:tc>
          <w:tcPr>
            <w:tcW w:type="dxa" w:w="2880"/>
          </w:tcPr>
          <w:p>
            <w:r>
              <w:t>No authentication or authorisation</w:t>
            </w:r>
          </w:p>
        </w:tc>
        <w:tc>
          <w:tcPr>
            <w:tcW w:type="dxa" w:w="2880"/>
          </w:tcPr>
          <w:p>
            <w:r>
              <w:t>HIGH — any caller can read all participants</w:t>
            </w:r>
          </w:p>
        </w:tc>
        <w:tc>
          <w:tcPr>
            <w:tcW w:type="dxa" w:w="2880"/>
          </w:tcPr>
          <w:p>
            <w:r>
              <w:t>Implement authentication before production deployment</w:t>
            </w:r>
          </w:p>
        </w:tc>
      </w:tr>
      <w:tr>
        <w:tc>
          <w:tcPr>
            <w:tcW w:type="dxa" w:w="2880"/>
          </w:tcPr>
          <w:p>
            <w:r>
              <w:t>No audit logging</w:t>
            </w:r>
          </w:p>
        </w:tc>
        <w:tc>
          <w:tcPr>
            <w:tcW w:type="dxa" w:w="2880"/>
          </w:tcPr>
          <w:p>
            <w:r>
              <w:t>MEDIUM — signup events are not logged</w:t>
            </w:r>
          </w:p>
        </w:tc>
        <w:tc>
          <w:tcPr>
            <w:tcW w:type="dxa" w:w="2880"/>
          </w:tcPr>
          <w:p>
            <w:r>
              <w:t>Add structured logging of all data-mutation events</w:t>
            </w:r>
          </w:p>
        </w:tc>
      </w:tr>
    </w:tbl>
    <w:p/>
    <w:p>
      <w:pPr>
        <w:pStyle w:val="Heading2"/>
      </w:pPr>
      <w:r>
        <w:t>4.3 Data Minimisation</w:t>
      </w:r>
    </w:p>
    <w:p>
      <w:r>
        <w:t>Only the student's email address is collected. No name, date of birth, address, or other personal data is requested. This aligns with data minimisation principles under GDPR Article 5(1)(c) and equivalent frameworks.</w:t>
      </w:r>
    </w:p>
    <w:p>
      <w:pPr>
        <w:pStyle w:val="Heading2"/>
      </w:pPr>
      <w:r>
        <w:t>4.4 Lawful Basis for Processing</w:t>
      </w:r>
    </w:p>
    <w:p>
      <w:r>
        <w:t>Processing of student email addresses is performed on the basis of the student's explicit consent (voluntary sign-up action). No data is shared with third parties.</w:t>
      </w:r>
    </w:p>
    <w:p>
      <w:pPr>
        <w:pStyle w:val="Heading1"/>
      </w:pPr>
      <w:r>
        <w:t>5. Data Flows</w:t>
      </w:r>
    </w:p>
    <w:p>
      <w:pPr>
        <w:pStyle w:val="Heading2"/>
      </w:pPr>
      <w:r>
        <w:t>5.1 Data Flow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4472C4"/>
          </w:tcPr>
          <w:p>
            <w:r>
              <w:rPr>
                <w:b/>
                <w:color w:val="FFFFFF"/>
              </w:rPr>
              <w:t>Flow ID</w:t>
            </w:r>
          </w:p>
        </w:tc>
        <w:tc>
          <w:tcPr>
            <w:tcW w:type="dxa" w:w="1440"/>
            <w:shd w:val="clear" w:color="auto" w:fill="4472C4"/>
          </w:tcPr>
          <w:p>
            <w:r>
              <w:rPr>
                <w:b/>
                <w:color w:val="FFFFFF"/>
              </w:rPr>
              <w:t>From</w:t>
            </w:r>
          </w:p>
        </w:tc>
        <w:tc>
          <w:tcPr>
            <w:tcW w:type="dxa" w:w="1440"/>
            <w:shd w:val="clear" w:color="auto" w:fill="4472C4"/>
          </w:tcPr>
          <w:p>
            <w:r>
              <w:rPr>
                <w:b/>
                <w:color w:val="FFFFFF"/>
              </w:rPr>
              <w:t>To</w:t>
            </w:r>
          </w:p>
        </w:tc>
        <w:tc>
          <w:tcPr>
            <w:tcW w:type="dxa" w:w="1440"/>
            <w:shd w:val="clear" w:color="auto" w:fill="4472C4"/>
          </w:tcPr>
          <w:p>
            <w:r>
              <w:rPr>
                <w:b/>
                <w:color w:val="FFFFFF"/>
              </w:rPr>
              <w:t>Data Elements</w:t>
            </w:r>
          </w:p>
        </w:tc>
        <w:tc>
          <w:tcPr>
            <w:tcW w:type="dxa" w:w="1440"/>
            <w:shd w:val="clear" w:color="auto" w:fill="4472C4"/>
          </w:tcPr>
          <w:p>
            <w:r>
              <w:rPr>
                <w:b/>
                <w:color w:val="FFFFFF"/>
              </w:rPr>
              <w:t>Protocol</w:t>
            </w:r>
          </w:p>
        </w:tc>
        <w:tc>
          <w:tcPr>
            <w:tcW w:type="dxa" w:w="1440"/>
            <w:shd w:val="clear" w:color="auto" w:fill="4472C4"/>
          </w:tcPr>
          <w:p>
            <w:r>
              <w:rPr>
                <w:b/>
                <w:color w:val="FFFFFF"/>
              </w:rPr>
              <w:t>Encryption</w:t>
            </w:r>
          </w:p>
        </w:tc>
      </w:tr>
      <w:tr>
        <w:tc>
          <w:tcPr>
            <w:tcW w:type="dxa" w:w="1440"/>
          </w:tcPr>
          <w:p>
            <w:r>
              <w:t>DF-01</w:t>
            </w:r>
          </w:p>
        </w:tc>
        <w:tc>
          <w:tcPr>
            <w:tcW w:type="dxa" w:w="1440"/>
          </w:tcPr>
          <w:p>
            <w:r>
              <w:t>Browser (student)</w:t>
            </w:r>
          </w:p>
        </w:tc>
        <w:tc>
          <w:tcPr>
            <w:tcW w:type="dxa" w:w="1440"/>
          </w:tcPr>
          <w:p>
            <w:r>
              <w:t>API — GET /activities</w:t>
            </w:r>
          </w:p>
        </w:tc>
        <w:tc>
          <w:tcPr>
            <w:tcW w:type="dxa" w:w="1440"/>
          </w:tcPr>
          <w:p>
            <w:r>
              <w:t>None (read-only request)</w:t>
            </w:r>
          </w:p>
        </w:tc>
        <w:tc>
          <w:tcPr>
            <w:tcW w:type="dxa" w:w="1440"/>
          </w:tcPr>
          <w:p>
            <w:r>
              <w:t>HTTP</w:t>
            </w:r>
          </w:p>
        </w:tc>
        <w:tc>
          <w:tcPr>
            <w:tcW w:type="dxa" w:w="1440"/>
          </w:tcPr>
          <w:p>
            <w:r>
              <w:t>None (dev environment)</w:t>
            </w:r>
          </w:p>
        </w:tc>
      </w:tr>
      <w:tr>
        <w:tc>
          <w:tcPr>
            <w:tcW w:type="dxa" w:w="1440"/>
          </w:tcPr>
          <w:p>
            <w:r>
              <w:t>DF-02</w:t>
            </w:r>
          </w:p>
        </w:tc>
        <w:tc>
          <w:tcPr>
            <w:tcW w:type="dxa" w:w="1440"/>
          </w:tcPr>
          <w:p>
            <w:r>
              <w:t>API — GET /activities</w:t>
            </w:r>
          </w:p>
        </w:tc>
        <w:tc>
          <w:tcPr>
            <w:tcW w:type="dxa" w:w="1440"/>
          </w:tcPr>
          <w:p>
            <w:r>
              <w:t>Browser (student)</w:t>
            </w:r>
          </w:p>
        </w:tc>
        <w:tc>
          <w:tcPr>
            <w:tcW w:type="dxa" w:w="1440"/>
          </w:tcPr>
          <w:p>
            <w:r>
              <w:t>Activity names, descriptions, schedules, max_participants, participant count</w:t>
            </w:r>
          </w:p>
        </w:tc>
        <w:tc>
          <w:tcPr>
            <w:tcW w:type="dxa" w:w="1440"/>
          </w:tcPr>
          <w:p>
            <w:r>
              <w:t>HTTP/JSON</w:t>
            </w:r>
          </w:p>
        </w:tc>
        <w:tc>
          <w:tcPr>
            <w:tcW w:type="dxa" w:w="1440"/>
          </w:tcPr>
          <w:p>
            <w:r>
              <w:t>None (dev environment)</w:t>
            </w:r>
          </w:p>
        </w:tc>
      </w:tr>
      <w:tr>
        <w:tc>
          <w:tcPr>
            <w:tcW w:type="dxa" w:w="1440"/>
          </w:tcPr>
          <w:p>
            <w:r>
              <w:t>DF-03</w:t>
            </w:r>
          </w:p>
        </w:tc>
        <w:tc>
          <w:tcPr>
            <w:tcW w:type="dxa" w:w="1440"/>
          </w:tcPr>
          <w:p>
            <w:r>
              <w:t>Browser (student)</w:t>
            </w:r>
          </w:p>
        </w:tc>
        <w:tc>
          <w:tcPr>
            <w:tcW w:type="dxa" w:w="1440"/>
          </w:tcPr>
          <w:p>
            <w:r>
              <w:t>API — POST /activities/{name}/signup</w:t>
            </w:r>
          </w:p>
        </w:tc>
        <w:tc>
          <w:tcPr>
            <w:tcW w:type="dxa" w:w="1440"/>
          </w:tcPr>
          <w:p>
            <w:r>
              <w:t>Email address (query parameter)</w:t>
            </w:r>
          </w:p>
        </w:tc>
        <w:tc>
          <w:tcPr>
            <w:tcW w:type="dxa" w:w="1440"/>
          </w:tcPr>
          <w:p>
            <w:r>
              <w:t>HTTP</w:t>
            </w:r>
          </w:p>
        </w:tc>
        <w:tc>
          <w:tcPr>
            <w:tcW w:type="dxa" w:w="1440"/>
          </w:tcPr>
          <w:p>
            <w:r>
              <w:t>None (dev environment)</w:t>
            </w:r>
          </w:p>
        </w:tc>
      </w:tr>
      <w:tr>
        <w:tc>
          <w:tcPr>
            <w:tcW w:type="dxa" w:w="1440"/>
          </w:tcPr>
          <w:p>
            <w:r>
              <w:t>DF-04</w:t>
            </w:r>
          </w:p>
        </w:tc>
        <w:tc>
          <w:tcPr>
            <w:tcW w:type="dxa" w:w="1440"/>
          </w:tcPr>
          <w:p>
            <w:r>
              <w:t>API (signup handler)</w:t>
            </w:r>
          </w:p>
        </w:tc>
        <w:tc>
          <w:tcPr>
            <w:tcW w:type="dxa" w:w="1440"/>
          </w:tcPr>
          <w:p>
            <w:r>
              <w:t>In-memory store</w:t>
            </w:r>
          </w:p>
        </w:tc>
        <w:tc>
          <w:tcPr>
            <w:tcW w:type="dxa" w:w="1440"/>
          </w:tcPr>
          <w:p>
            <w:r>
              <w:t>Email address appended to participants list</w:t>
            </w:r>
          </w:p>
        </w:tc>
        <w:tc>
          <w:tcPr>
            <w:tcW w:type="dxa" w:w="1440"/>
          </w:tcPr>
          <w:p>
            <w:r>
              <w:t>Internal (same process)</w:t>
            </w:r>
          </w:p>
        </w:tc>
        <w:tc>
          <w:tcPr>
            <w:tcW w:type="dxa" w:w="1440"/>
          </w:tcPr>
          <w:p>
            <w:r>
              <w:t>N/A</w:t>
            </w:r>
          </w:p>
        </w:tc>
      </w:tr>
      <w:tr>
        <w:tc>
          <w:tcPr>
            <w:tcW w:type="dxa" w:w="1440"/>
          </w:tcPr>
          <w:p>
            <w:r>
              <w:t>DF-05</w:t>
            </w:r>
          </w:p>
        </w:tc>
        <w:tc>
          <w:tcPr>
            <w:tcW w:type="dxa" w:w="1440"/>
          </w:tcPr>
          <w:p>
            <w:r>
              <w:t>API — POST /activities/{name}/signup</w:t>
            </w:r>
          </w:p>
        </w:tc>
        <w:tc>
          <w:tcPr>
            <w:tcW w:type="dxa" w:w="1440"/>
          </w:tcPr>
          <w:p>
            <w:r>
              <w:t>Browser (student)</w:t>
            </w:r>
          </w:p>
        </w:tc>
        <w:tc>
          <w:tcPr>
            <w:tcW w:type="dxa" w:w="1440"/>
          </w:tcPr>
          <w:p>
            <w:r>
              <w:t>Confirmation message string</w:t>
            </w:r>
          </w:p>
        </w:tc>
        <w:tc>
          <w:tcPr>
            <w:tcW w:type="dxa" w:w="1440"/>
          </w:tcPr>
          <w:p>
            <w:r>
              <w:t>HTTP/JSON</w:t>
            </w:r>
          </w:p>
        </w:tc>
        <w:tc>
          <w:tcPr>
            <w:tcW w:type="dxa" w:w="1440"/>
          </w:tcPr>
          <w:p>
            <w:r>
              <w:t>None (dev environment)</w:t>
            </w:r>
          </w:p>
        </w:tc>
      </w:tr>
    </w:tbl>
    <w:p/>
    <w:p>
      <w:pPr>
        <w:pStyle w:val="Heading2"/>
      </w:pPr>
      <w:r>
        <w:t>5.2 External Data Transfers</w:t>
      </w:r>
    </w:p>
    <w:p>
      <w:r>
        <w:t>No data is transferred to external systems, third-party services, or outside the local development environment. All data remains within the application process.</w:t>
      </w:r>
    </w:p>
    <w:p>
      <w:pPr>
        <w:pStyle w:val="Heading1"/>
      </w:pPr>
      <w:r>
        <w:t>6. API Endpoint Catalogue</w:t>
      </w:r>
    </w:p>
    <w:p>
      <w:r>
        <w:t>The following table documents every HTTP endpoint exposed by the application, the data it accepts, and the data it returns.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4472C4"/>
          </w:tcPr>
          <w:p>
            <w:r>
              <w:rPr>
                <w:b/>
                <w:color w:val="FFFFFF"/>
              </w:rPr>
              <w:t>Method</w:t>
            </w:r>
          </w:p>
        </w:tc>
        <w:tc>
          <w:tcPr>
            <w:tcW w:type="dxa" w:w="1440"/>
            <w:shd w:val="clear" w:color="auto" w:fill="4472C4"/>
          </w:tcPr>
          <w:p>
            <w:r>
              <w:rPr>
                <w:b/>
                <w:color w:val="FFFFFF"/>
              </w:rPr>
              <w:t>Path</w:t>
            </w:r>
          </w:p>
        </w:tc>
        <w:tc>
          <w:tcPr>
            <w:tcW w:type="dxa" w:w="1440"/>
            <w:shd w:val="clear" w:color="auto" w:fill="4472C4"/>
          </w:tcPr>
          <w:p>
            <w:r>
              <w:rPr>
                <w:b/>
                <w:color w:val="FFFFFF"/>
              </w:rPr>
              <w:t>Input Data</w:t>
            </w:r>
          </w:p>
        </w:tc>
        <w:tc>
          <w:tcPr>
            <w:tcW w:type="dxa" w:w="1440"/>
            <w:shd w:val="clear" w:color="auto" w:fill="4472C4"/>
          </w:tcPr>
          <w:p>
            <w:r>
              <w:rPr>
                <w:b/>
                <w:color w:val="FFFFFF"/>
              </w:rPr>
              <w:t>Output Data</w:t>
            </w:r>
          </w:p>
        </w:tc>
        <w:tc>
          <w:tcPr>
            <w:tcW w:type="dxa" w:w="1440"/>
            <w:shd w:val="clear" w:color="auto" w:fill="4472C4"/>
          </w:tcPr>
          <w:p>
            <w:r>
              <w:rPr>
                <w:b/>
                <w:color w:val="FFFFFF"/>
              </w:rPr>
              <w:t>Authentication Required</w:t>
            </w:r>
          </w:p>
        </w:tc>
        <w:tc>
          <w:tcPr>
            <w:tcW w:type="dxa" w:w="1440"/>
            <w:shd w:val="clear" w:color="auto" w:fill="4472C4"/>
          </w:tcPr>
          <w:p>
            <w:r>
              <w:rPr>
                <w:b/>
                <w:color w:val="FFFFFF"/>
              </w:rPr>
              <w:t>Notes</w:t>
            </w:r>
          </w:p>
        </w:tc>
      </w:tr>
      <w:tr>
        <w:tc>
          <w:tcPr>
            <w:tcW w:type="dxa" w:w="1440"/>
          </w:tcPr>
          <w:p>
            <w:r>
              <w:t>GET</w:t>
            </w:r>
          </w:p>
        </w:tc>
        <w:tc>
          <w:tcPr>
            <w:tcW w:type="dxa" w:w="1440"/>
          </w:tcPr>
          <w:p>
            <w:r>
              <w:t>/</w:t>
            </w:r>
          </w:p>
        </w:tc>
        <w:tc>
          <w:tcPr>
            <w:tcW w:type="dxa" w:w="1440"/>
          </w:tcPr>
          <w:p>
            <w:r>
              <w:t>None</w:t>
            </w:r>
          </w:p>
        </w:tc>
        <w:tc>
          <w:tcPr>
            <w:tcW w:type="dxa" w:w="1440"/>
          </w:tcPr>
          <w:p>
            <w:r>
              <w:t>HTTP 307 redirect to /static/index.html</w:t>
            </w:r>
          </w:p>
        </w:tc>
        <w:tc>
          <w:tcPr>
            <w:tcW w:type="dxa" w:w="1440"/>
          </w:tcPr>
          <w:p>
            <w:r>
              <w:t>No</w:t>
            </w:r>
          </w:p>
        </w:tc>
        <w:tc>
          <w:tcPr>
            <w:tcW w:type="dxa" w:w="1440"/>
          </w:tcPr>
          <w:p>
            <w:r>
              <w:t>Serves the frontend application</w:t>
            </w:r>
          </w:p>
        </w:tc>
      </w:tr>
      <w:tr>
        <w:tc>
          <w:tcPr>
            <w:tcW w:type="dxa" w:w="1440"/>
          </w:tcPr>
          <w:p>
            <w:r>
              <w:t>GET</w:t>
            </w:r>
          </w:p>
        </w:tc>
        <w:tc>
          <w:tcPr>
            <w:tcW w:type="dxa" w:w="1440"/>
          </w:tcPr>
          <w:p>
            <w:r>
              <w:t>/activities</w:t>
            </w:r>
          </w:p>
        </w:tc>
        <w:tc>
          <w:tcPr>
            <w:tcW w:type="dxa" w:w="1440"/>
          </w:tcPr>
          <w:p>
            <w:r>
              <w:t>None</w:t>
            </w:r>
          </w:p>
        </w:tc>
        <w:tc>
          <w:tcPr>
            <w:tcW w:type="dxa" w:w="1440"/>
          </w:tcPr>
          <w:p>
            <w:r>
              <w:t>JSON object: all activities with description, schedule, max_participants, participants list</w:t>
            </w:r>
          </w:p>
        </w:tc>
        <w:tc>
          <w:tcPr>
            <w:tcW w:type="dxa" w:w="1440"/>
          </w:tcPr>
          <w:p>
            <w:r>
              <w:t>No</w:t>
            </w:r>
          </w:p>
        </w:tc>
        <w:tc>
          <w:tcPr>
            <w:tcW w:type="dxa" w:w="1440"/>
          </w:tcPr>
          <w:p>
            <w:r>
              <w:t>Exposes all participant email addresses — restrict in production</w:t>
            </w:r>
          </w:p>
        </w:tc>
      </w:tr>
      <w:tr>
        <w:tc>
          <w:tcPr>
            <w:tcW w:type="dxa" w:w="1440"/>
          </w:tcPr>
          <w:p>
            <w:r>
              <w:t>POST</w:t>
            </w:r>
          </w:p>
        </w:tc>
        <w:tc>
          <w:tcPr>
            <w:tcW w:type="dxa" w:w="1440"/>
          </w:tcPr>
          <w:p>
            <w:r>
              <w:t>/activities/{activity_name}/signup</w:t>
            </w:r>
          </w:p>
        </w:tc>
        <w:tc>
          <w:tcPr>
            <w:tcW w:type="dxa" w:w="1440"/>
          </w:tcPr>
          <w:p>
            <w:r>
              <w:t>Path param: activity_name (str)</w:t>
              <w:br/>
              <w:t>Query param: email (str)</w:t>
            </w:r>
          </w:p>
        </w:tc>
        <w:tc>
          <w:tcPr>
            <w:tcW w:type="dxa" w:w="1440"/>
          </w:tcPr>
          <w:p>
            <w:r>
              <w:t>JSON: {"message": "Signed up &lt;email&gt; for &lt;activity&gt;"}</w:t>
            </w:r>
          </w:p>
        </w:tc>
        <w:tc>
          <w:tcPr>
            <w:tcW w:type="dxa" w:w="1440"/>
          </w:tcPr>
          <w:p>
            <w:r>
              <w:t>No</w:t>
            </w:r>
          </w:p>
        </w:tc>
        <w:tc>
          <w:tcPr>
            <w:tcW w:type="dxa" w:w="1440"/>
          </w:tcPr>
          <w:p>
            <w:r>
              <w:t>No validation; no duplicate check; no capacity enforcement</w:t>
            </w:r>
          </w:p>
        </w:tc>
      </w:tr>
      <w:tr>
        <w:tc>
          <w:tcPr>
            <w:tcW w:type="dxa" w:w="1440"/>
          </w:tcPr>
          <w:p>
            <w:r>
              <w:t>GET</w:t>
            </w:r>
          </w:p>
        </w:tc>
        <w:tc>
          <w:tcPr>
            <w:tcW w:type="dxa" w:w="1440"/>
          </w:tcPr>
          <w:p>
            <w:r>
              <w:t>/docs</w:t>
            </w:r>
          </w:p>
        </w:tc>
        <w:tc>
          <w:tcPr>
            <w:tcW w:type="dxa" w:w="1440"/>
          </w:tcPr>
          <w:p>
            <w:r>
              <w:t>None</w:t>
            </w:r>
          </w:p>
        </w:tc>
        <w:tc>
          <w:tcPr>
            <w:tcW w:type="dxa" w:w="1440"/>
          </w:tcPr>
          <w:p>
            <w:r>
              <w:t>Swagger UI (interactive API documentation)</w:t>
            </w:r>
          </w:p>
        </w:tc>
        <w:tc>
          <w:tcPr>
            <w:tcW w:type="dxa" w:w="1440"/>
          </w:tcPr>
          <w:p>
            <w:r>
              <w:t>No</w:t>
            </w:r>
          </w:p>
        </w:tc>
        <w:tc>
          <w:tcPr>
            <w:tcW w:type="dxa" w:w="1440"/>
          </w:tcPr>
          <w:p>
            <w:r>
              <w:t>Auto-generated by FastAPI; disable in production</w:t>
            </w:r>
          </w:p>
        </w:tc>
      </w:tr>
      <w:tr>
        <w:tc>
          <w:tcPr>
            <w:tcW w:type="dxa" w:w="1440"/>
          </w:tcPr>
          <w:p>
            <w:r>
              <w:t>GET</w:t>
            </w:r>
          </w:p>
        </w:tc>
        <w:tc>
          <w:tcPr>
            <w:tcW w:type="dxa" w:w="1440"/>
          </w:tcPr>
          <w:p>
            <w:r>
              <w:t>/redoc</w:t>
            </w:r>
          </w:p>
        </w:tc>
        <w:tc>
          <w:tcPr>
            <w:tcW w:type="dxa" w:w="1440"/>
          </w:tcPr>
          <w:p>
            <w:r>
              <w:t>None</w:t>
            </w:r>
          </w:p>
        </w:tc>
        <w:tc>
          <w:tcPr>
            <w:tcW w:type="dxa" w:w="1440"/>
          </w:tcPr>
          <w:p>
            <w:r>
              <w:t>ReDoc API documentation</w:t>
            </w:r>
          </w:p>
        </w:tc>
        <w:tc>
          <w:tcPr>
            <w:tcW w:type="dxa" w:w="1440"/>
          </w:tcPr>
          <w:p>
            <w:r>
              <w:t>No</w:t>
            </w:r>
          </w:p>
        </w:tc>
        <w:tc>
          <w:tcPr>
            <w:tcW w:type="dxa" w:w="1440"/>
          </w:tcPr>
          <w:p>
            <w:r>
              <w:t>Auto-generated by FastAPI; disable in production</w:t>
            </w:r>
          </w:p>
        </w:tc>
      </w:tr>
    </w:tbl>
    <w:p/>
    <w:p>
      <w:pPr>
        <w:pStyle w:val="Heading1"/>
      </w:pPr>
      <w:r>
        <w:t>7. Pre-loaded (Seed) Data</w:t>
      </w:r>
    </w:p>
    <w:p>
      <w:r>
        <w:t>The application is initialised with the following hard-coded seed data at start-up. This data is defined in src/app.py and constitutes the complete initial state of the in-memory store.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4472C4"/>
          </w:tcPr>
          <w:p>
            <w:r>
              <w:rPr>
                <w:b/>
                <w:color w:val="FFFFFF"/>
              </w:rPr>
              <w:t>Activity Name</w:t>
            </w:r>
          </w:p>
        </w:tc>
        <w:tc>
          <w:tcPr>
            <w:tcW w:type="dxa" w:w="1728"/>
            <w:shd w:val="clear" w:color="auto" w:fill="4472C4"/>
          </w:tcPr>
          <w:p>
            <w:r>
              <w:rPr>
                <w:b/>
                <w:color w:val="FFFFFF"/>
              </w:rPr>
              <w:t>Description</w:t>
            </w:r>
          </w:p>
        </w:tc>
        <w:tc>
          <w:tcPr>
            <w:tcW w:type="dxa" w:w="1728"/>
            <w:shd w:val="clear" w:color="auto" w:fill="4472C4"/>
          </w:tcPr>
          <w:p>
            <w:r>
              <w:rPr>
                <w:b/>
                <w:color w:val="FFFFFF"/>
              </w:rPr>
              <w:t>Schedule</w:t>
            </w:r>
          </w:p>
        </w:tc>
        <w:tc>
          <w:tcPr>
            <w:tcW w:type="dxa" w:w="1728"/>
            <w:shd w:val="clear" w:color="auto" w:fill="4472C4"/>
          </w:tcPr>
          <w:p>
            <w:r>
              <w:rPr>
                <w:b/>
                <w:color w:val="FFFFFF"/>
              </w:rPr>
              <w:t>Max Participants</w:t>
            </w:r>
          </w:p>
        </w:tc>
        <w:tc>
          <w:tcPr>
            <w:tcW w:type="dxa" w:w="1728"/>
            <w:shd w:val="clear" w:color="auto" w:fill="4472C4"/>
          </w:tcPr>
          <w:p>
            <w:r>
              <w:rPr>
                <w:b/>
                <w:color w:val="FFFFFF"/>
              </w:rPr>
              <w:t>Initial Participants</w:t>
            </w:r>
          </w:p>
        </w:tc>
      </w:tr>
      <w:tr>
        <w:tc>
          <w:tcPr>
            <w:tcW w:type="dxa" w:w="1728"/>
          </w:tcPr>
          <w:p>
            <w:r>
              <w:t>Chess Club</w:t>
            </w:r>
          </w:p>
        </w:tc>
        <w:tc>
          <w:tcPr>
            <w:tcW w:type="dxa" w:w="1728"/>
          </w:tcPr>
          <w:p>
            <w:r>
              <w:t>Learn strategies and compete in chess tournaments</w:t>
            </w:r>
          </w:p>
        </w:tc>
        <w:tc>
          <w:tcPr>
            <w:tcW w:type="dxa" w:w="1728"/>
          </w:tcPr>
          <w:p>
            <w:r>
              <w:t>Fridays, 3:30 PM – 5:00 PM</w:t>
            </w:r>
          </w:p>
        </w:tc>
        <w:tc>
          <w:tcPr>
            <w:tcW w:type="dxa" w:w="1728"/>
          </w:tcPr>
          <w:p>
            <w:r>
              <w:t>12</w:t>
            </w:r>
          </w:p>
        </w:tc>
        <w:tc>
          <w:tcPr>
            <w:tcW w:type="dxa" w:w="1728"/>
          </w:tcPr>
          <w:p>
            <w:r>
              <w:t>michael@mergington.edu, daniel@mergington.edu</w:t>
            </w:r>
          </w:p>
        </w:tc>
      </w:tr>
      <w:tr>
        <w:tc>
          <w:tcPr>
            <w:tcW w:type="dxa" w:w="1728"/>
          </w:tcPr>
          <w:p>
            <w:r>
              <w:t>Programming Class</w:t>
            </w:r>
          </w:p>
        </w:tc>
        <w:tc>
          <w:tcPr>
            <w:tcW w:type="dxa" w:w="1728"/>
          </w:tcPr>
          <w:p>
            <w:r>
              <w:t>Learn programming fundamentals and build software projects</w:t>
            </w:r>
          </w:p>
        </w:tc>
        <w:tc>
          <w:tcPr>
            <w:tcW w:type="dxa" w:w="1728"/>
          </w:tcPr>
          <w:p>
            <w:r>
              <w:t>Tuesdays and Thursdays, 3:30 PM – 4:30 PM</w:t>
            </w:r>
          </w:p>
        </w:tc>
        <w:tc>
          <w:tcPr>
            <w:tcW w:type="dxa" w:w="1728"/>
          </w:tcPr>
          <w:p>
            <w:r>
              <w:t>20</w:t>
            </w:r>
          </w:p>
        </w:tc>
        <w:tc>
          <w:tcPr>
            <w:tcW w:type="dxa" w:w="1728"/>
          </w:tcPr>
          <w:p>
            <w:r>
              <w:t>emma@mergington.edu, sophia@mergington.edu</w:t>
            </w:r>
          </w:p>
        </w:tc>
      </w:tr>
      <w:tr>
        <w:tc>
          <w:tcPr>
            <w:tcW w:type="dxa" w:w="1728"/>
          </w:tcPr>
          <w:p>
            <w:r>
              <w:t>Gym Class</w:t>
            </w:r>
          </w:p>
        </w:tc>
        <w:tc>
          <w:tcPr>
            <w:tcW w:type="dxa" w:w="1728"/>
          </w:tcPr>
          <w:p>
            <w:r>
              <w:t>Physical education and sports activities</w:t>
            </w:r>
          </w:p>
        </w:tc>
        <w:tc>
          <w:tcPr>
            <w:tcW w:type="dxa" w:w="1728"/>
          </w:tcPr>
          <w:p>
            <w:r>
              <w:t>Mondays, Wednesdays, Fridays, 2:00 PM – 3:00 PM</w:t>
            </w:r>
          </w:p>
        </w:tc>
        <w:tc>
          <w:tcPr>
            <w:tcW w:type="dxa" w:w="1728"/>
          </w:tcPr>
          <w:p>
            <w:r>
              <w:t>30</w:t>
            </w:r>
          </w:p>
        </w:tc>
        <w:tc>
          <w:tcPr>
            <w:tcW w:type="dxa" w:w="1728"/>
          </w:tcPr>
          <w:p>
            <w:r>
              <w:t>john@mergington.edu, olivia@mergington.edu</w:t>
            </w:r>
          </w:p>
        </w:tc>
      </w:tr>
    </w:tbl>
    <w:p/>
    <w:p>
      <w:r>
        <w:t>NOTE: The email addresses in the seed data are fictional placeholder addresses used solely for demonstration purposes and do not represent real individuals.</w:t>
      </w:r>
    </w:p>
    <w:p>
      <w:pPr>
        <w:pStyle w:val="Heading1"/>
      </w:pPr>
      <w:r>
        <w:t>8. Data Retention &amp; Deletion</w:t>
      </w:r>
    </w:p>
    <w:p>
      <w:pPr>
        <w:pStyle w:val="Heading2"/>
      </w:pPr>
      <w:r>
        <w:t>8.1 Current Retention Policy</w:t>
      </w:r>
    </w:p>
    <w:p>
      <w:r>
        <w:t>All data is held exclusively in the application process memory. There is no persistent storage (no database, no file system writes, no external service). All data — including any student email addresses collected during a session — is permanently and automatically deleted when the server process terminates.</w:t>
      </w:r>
    </w:p>
    <w:p>
      <w:pPr>
        <w:pStyle w:val="Heading2"/>
      </w:pPr>
      <w:r>
        <w:t>8.2 Right to Erasure</w:t>
      </w:r>
    </w:p>
    <w:p>
      <w:r>
        <w:t>Because data does not persist beyond the server process, a student's data is automatically erased on server restart. No manual deletion procedure is required in the current implementation. A production deployment would need to implement an explicit deletion endpoint to satisfy GDPR Article 17 (Right to Erasure).</w:t>
      </w:r>
    </w:p>
    <w:p>
      <w:pPr>
        <w:pStyle w:val="Heading1"/>
      </w:pPr>
      <w:r>
        <w:t>9. Access Controls</w:t>
      </w:r>
    </w:p>
    <w:p>
      <w:r>
        <w:t>The application currently has no authentication or authorisation mechanisms. Any network-accessible client can read all activity data (including participant email addresses) and submit new sign-ups. The following controls are recommended before any production deployment:</w:t>
      </w:r>
    </w:p>
    <w:p>
      <w:pPr>
        <w:pStyle w:val="ListBullet"/>
      </w:pPr>
      <w:r>
        <w:t>Require authentication (e.g. OAuth 2.0 / OpenID Connect with school SSO) for all API endpoints.</w:t>
      </w:r>
    </w:p>
    <w:p>
      <w:pPr>
        <w:pStyle w:val="ListBullet"/>
      </w:pPr>
      <w:r>
        <w:t>Restrict the GET /activities endpoint to return participant email addresses only to authorised staff roles.</w:t>
      </w:r>
    </w:p>
    <w:p>
      <w:pPr>
        <w:pStyle w:val="ListBullet"/>
      </w:pPr>
      <w:r>
        <w:t>Rate-limit the POST signup endpoint to prevent abuse.</w:t>
      </w:r>
    </w:p>
    <w:p>
      <w:pPr>
        <w:pStyle w:val="ListBullet"/>
      </w:pPr>
      <w:r>
        <w:t>Disable the /docs and /redoc Swagger endpoints in production.</w:t>
      </w:r>
    </w:p>
    <w:p>
      <w:pPr>
        <w:pStyle w:val="ListBullet"/>
      </w:pPr>
      <w:r>
        <w:t>Enforce HTTPS for all data in transit.</w:t>
      </w:r>
    </w:p>
    <w:p>
      <w:pPr>
        <w:pStyle w:val="Heading1"/>
      </w:pPr>
      <w:r>
        <w:t>10. Audit Trail</w:t>
      </w:r>
    </w:p>
    <w:p>
      <w:pPr>
        <w:pStyle w:val="Heading2"/>
      </w:pPr>
      <w:r>
        <w:t>10.1 Report Generation Record</w:t>
      </w:r>
    </w:p>
    <w:tbl>
      <w:tblPr>
        <w:tblStyle w:val="TableGrid"/>
        <w:tblW w:type="auto" w:w="0"/>
        <w:tblLook w:firstColumn="1" w:firstRow="1" w:lastColumn="0" w:lastRow="0" w:noHBand="0" w:noVBand="1" w:val="04A0"/>
      </w:tblPr>
      <w:tblGrid>
        <w:gridCol w:w="4320"/>
        <w:gridCol w:w="4320"/>
      </w:tblGrid>
      <w:tr>
        <w:tc>
          <w:tcPr>
            <w:tcW w:type="dxa" w:w="4320"/>
            <w:shd w:val="clear" w:color="auto" w:fill="375623"/>
          </w:tcPr>
          <w:p>
            <w:r>
              <w:rPr>
                <w:b/>
                <w:color w:val="FFFFFF"/>
              </w:rPr>
              <w:t>Field</w:t>
            </w:r>
          </w:p>
        </w:tc>
        <w:tc>
          <w:tcPr>
            <w:tcW w:type="dxa" w:w="4320"/>
            <w:shd w:val="clear" w:color="auto" w:fill="375623"/>
          </w:tcPr>
          <w:p>
            <w:r>
              <w:rPr>
                <w:b/>
                <w:color w:val="FFFFFF"/>
              </w:rPr>
              <w:t>Value</w:t>
            </w:r>
          </w:p>
        </w:tc>
      </w:tr>
      <w:tr>
        <w:tc>
          <w:tcPr>
            <w:tcW w:type="dxa" w:w="4320"/>
          </w:tcPr>
          <w:p>
            <w:r>
              <w:t>Report Generated</w:t>
            </w:r>
          </w:p>
        </w:tc>
        <w:tc>
          <w:tcPr>
            <w:tcW w:type="dxa" w:w="4320"/>
          </w:tcPr>
          <w:p>
            <w:r>
              <w:t>2026-03-18 13:25:54 UTC</w:t>
            </w:r>
          </w:p>
        </w:tc>
      </w:tr>
      <w:tr>
        <w:tc>
          <w:tcPr>
            <w:tcW w:type="dxa" w:w="4320"/>
          </w:tcPr>
          <w:p>
            <w:r>
              <w:t>Generated By</w:t>
            </w:r>
          </w:p>
        </w:tc>
        <w:tc>
          <w:tcPr>
            <w:tcW w:type="dxa" w:w="4320"/>
          </w:tcPr>
          <w:p>
            <w:r>
              <w:t>generate_compliance_report.py (automated)</w:t>
            </w:r>
          </w:p>
        </w:tc>
      </w:tr>
      <w:tr>
        <w:tc>
          <w:tcPr>
            <w:tcW w:type="dxa" w:w="4320"/>
          </w:tcPr>
          <w:p>
            <w:r>
              <w:t>Application Name</w:t>
            </w:r>
          </w:p>
        </w:tc>
        <w:tc>
          <w:tcPr>
            <w:tcW w:type="dxa" w:w="4320"/>
          </w:tcPr>
          <w:p>
            <w:r>
              <w:t>Mergington High School Activities Management System</w:t>
            </w:r>
          </w:p>
        </w:tc>
      </w:tr>
      <w:tr>
        <w:tc>
          <w:tcPr>
            <w:tcW w:type="dxa" w:w="4320"/>
          </w:tcPr>
          <w:p>
            <w:r>
              <w:t>Source File Audited</w:t>
            </w:r>
          </w:p>
        </w:tc>
        <w:tc>
          <w:tcPr>
            <w:tcW w:type="dxa" w:w="4320"/>
          </w:tcPr>
          <w:p>
            <w:r>
              <w:t>src/app.py</w:t>
            </w:r>
          </w:p>
        </w:tc>
      </w:tr>
      <w:tr>
        <w:tc>
          <w:tcPr>
            <w:tcW w:type="dxa" w:w="4320"/>
          </w:tcPr>
          <w:p>
            <w:r>
              <w:t>Report Version</w:t>
            </w:r>
          </w:p>
        </w:tc>
        <w:tc>
          <w:tcPr>
            <w:tcW w:type="dxa" w:w="4320"/>
          </w:tcPr>
          <w:p>
            <w:r>
              <w:t>1.0</w:t>
            </w:r>
          </w:p>
        </w:tc>
      </w:tr>
      <w:tr>
        <w:tc>
          <w:tcPr>
            <w:tcW w:type="dxa" w:w="4320"/>
          </w:tcPr>
          <w:p>
            <w:r>
              <w:t>Classification</w:t>
            </w:r>
          </w:p>
        </w:tc>
        <w:tc>
          <w:tcPr>
            <w:tcW w:type="dxa" w:w="4320"/>
          </w:tcPr>
          <w:p>
            <w:r>
              <w:t>Internal Use Only</w:t>
            </w:r>
          </w:p>
        </w:tc>
      </w:tr>
    </w:tbl>
    <w:p/>
    <w:p>
      <w:pPr>
        <w:pStyle w:val="Heading2"/>
      </w:pPr>
      <w:r>
        <w:t>10.2 Application Audit Logging (Current State)</w:t>
      </w:r>
    </w:p>
    <w:p>
      <w:r>
        <w:t>The application does not currently implement structured audit logging. All events (sign-ups, errors) are surfaced only via Uvicorn's default access log output to stdout/stderr. For compliance purposes, a production deployment must implement structured, tamper-evident audit logging of all data-mutation events.</w:t>
      </w:r>
    </w:p>
    <w:p>
      <w:pPr>
        <w:pStyle w:val="Heading1"/>
      </w:pPr>
      <w:r>
        <w:t>11. Compliance Recommendations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833C00"/>
          </w:tcPr>
          <w:p>
            <w:r>
              <w:rPr>
                <w:b/>
                <w:color w:val="FFFFFF"/>
              </w:rPr>
              <w:t>Priority</w:t>
            </w:r>
          </w:p>
        </w:tc>
        <w:tc>
          <w:tcPr>
            <w:tcW w:type="dxa" w:w="2880"/>
            <w:shd w:val="clear" w:color="auto" w:fill="833C00"/>
          </w:tcPr>
          <w:p>
            <w:r>
              <w:rPr>
                <w:b/>
                <w:color w:val="FFFFFF"/>
              </w:rPr>
              <w:t>Recommendation</w:t>
            </w:r>
          </w:p>
        </w:tc>
        <w:tc>
          <w:tcPr>
            <w:tcW w:type="dxa" w:w="2880"/>
            <w:shd w:val="clear" w:color="auto" w:fill="833C00"/>
          </w:tcPr>
          <w:p>
            <w:r>
              <w:rPr>
                <w:b/>
                <w:color w:val="FFFFFF"/>
              </w:rPr>
              <w:t>Relevant Standard</w:t>
            </w:r>
          </w:p>
        </w:tc>
      </w:tr>
      <w:tr>
        <w:tc>
          <w:tcPr>
            <w:tcW w:type="dxa" w:w="2880"/>
          </w:tcPr>
          <w:p>
            <w:r>
              <w:t>Critical</w:t>
            </w:r>
          </w:p>
        </w:tc>
        <w:tc>
          <w:tcPr>
            <w:tcW w:type="dxa" w:w="2880"/>
          </w:tcPr>
          <w:p>
            <w:r>
              <w:t>Add authentication &amp; authorisation before any production deployment</w:t>
            </w:r>
          </w:p>
        </w:tc>
        <w:tc>
          <w:tcPr>
            <w:tcW w:type="dxa" w:w="2880"/>
          </w:tcPr>
          <w:p>
            <w:r>
              <w:t>GDPR Art. 32; ISO 27001 A.9</w:t>
            </w:r>
          </w:p>
        </w:tc>
      </w:tr>
      <w:tr>
        <w:tc>
          <w:tcPr>
            <w:tcW w:type="dxa" w:w="2880"/>
          </w:tcPr>
          <w:p>
            <w:r>
              <w:t>Critical</w:t>
            </w:r>
          </w:p>
        </w:tc>
        <w:tc>
          <w:tcPr>
            <w:tcW w:type="dxa" w:w="2880"/>
          </w:tcPr>
          <w:p>
            <w:r>
              <w:t>Restrict participant data visibility to authorised roles only</w:t>
            </w:r>
          </w:p>
        </w:tc>
        <w:tc>
          <w:tcPr>
            <w:tcW w:type="dxa" w:w="2880"/>
          </w:tcPr>
          <w:p>
            <w:r>
              <w:t>GDPR Art. 5(1)(f); FERPA</w:t>
            </w:r>
          </w:p>
        </w:tc>
      </w:tr>
      <w:tr>
        <w:tc>
          <w:tcPr>
            <w:tcW w:type="dxa" w:w="2880"/>
          </w:tcPr>
          <w:p>
            <w:r>
              <w:t>High</w:t>
            </w:r>
          </w:p>
        </w:tc>
        <w:tc>
          <w:tcPr>
            <w:tcW w:type="dxa" w:w="2880"/>
          </w:tcPr>
          <w:p>
            <w:r>
              <w:t>Validate email format on signup (RFC 5322)</w:t>
            </w:r>
          </w:p>
        </w:tc>
        <w:tc>
          <w:tcPr>
            <w:tcW w:type="dxa" w:w="2880"/>
          </w:tcPr>
          <w:p>
            <w:r>
              <w:t>Data quality / integrity controls</w:t>
            </w:r>
          </w:p>
        </w:tc>
      </w:tr>
      <w:tr>
        <w:tc>
          <w:tcPr>
            <w:tcW w:type="dxa" w:w="2880"/>
          </w:tcPr>
          <w:p>
            <w:r>
              <w:t>High</w:t>
            </w:r>
          </w:p>
        </w:tc>
        <w:tc>
          <w:tcPr>
            <w:tcW w:type="dxa" w:w="2880"/>
          </w:tcPr>
          <w:p>
            <w:r>
              <w:t>Implement duplicate-signup prevention</w:t>
            </w:r>
          </w:p>
        </w:tc>
        <w:tc>
          <w:tcPr>
            <w:tcW w:type="dxa" w:w="2880"/>
          </w:tcPr>
          <w:p>
            <w:r>
              <w:t>Data accuracy — GDPR Art. 5(1)(d)</w:t>
            </w:r>
          </w:p>
        </w:tc>
      </w:tr>
      <w:tr>
        <w:tc>
          <w:tcPr>
            <w:tcW w:type="dxa" w:w="2880"/>
          </w:tcPr>
          <w:p>
            <w:r>
              <w:t>High</w:t>
            </w:r>
          </w:p>
        </w:tc>
        <w:tc>
          <w:tcPr>
            <w:tcW w:type="dxa" w:w="2880"/>
          </w:tcPr>
          <w:p>
            <w:r>
              <w:t>Enforce max_participants capacity limit</w:t>
            </w:r>
          </w:p>
        </w:tc>
        <w:tc>
          <w:tcPr>
            <w:tcW w:type="dxa" w:w="2880"/>
          </w:tcPr>
          <w:p>
            <w:r>
              <w:t>Business logic integrity</w:t>
            </w:r>
          </w:p>
        </w:tc>
      </w:tr>
      <w:tr>
        <w:tc>
          <w:tcPr>
            <w:tcW w:type="dxa" w:w="2880"/>
          </w:tcPr>
          <w:p>
            <w:r>
              <w:t>High</w:t>
            </w:r>
          </w:p>
        </w:tc>
        <w:tc>
          <w:tcPr>
            <w:tcW w:type="dxa" w:w="2880"/>
          </w:tcPr>
          <w:p>
            <w:r>
              <w:t>Enable HTTPS / TLS for all traffic</w:t>
            </w:r>
          </w:p>
        </w:tc>
        <w:tc>
          <w:tcPr>
            <w:tcW w:type="dxa" w:w="2880"/>
          </w:tcPr>
          <w:p>
            <w:r>
              <w:t>GDPR Art. 32; NIST SP 800-53 SC-8</w:t>
            </w:r>
          </w:p>
        </w:tc>
      </w:tr>
      <w:tr>
        <w:tc>
          <w:tcPr>
            <w:tcW w:type="dxa" w:w="2880"/>
          </w:tcPr>
          <w:p>
            <w:r>
              <w:t>Medium</w:t>
            </w:r>
          </w:p>
        </w:tc>
        <w:tc>
          <w:tcPr>
            <w:tcW w:type="dxa" w:w="2880"/>
          </w:tcPr>
          <w:p>
            <w:r>
              <w:t>Implement structured audit logging for all data-mutation events</w:t>
            </w:r>
          </w:p>
        </w:tc>
        <w:tc>
          <w:tcPr>
            <w:tcW w:type="dxa" w:w="2880"/>
          </w:tcPr>
          <w:p>
            <w:r>
              <w:t>ISO 27001 A.12.4; SOX</w:t>
            </w:r>
          </w:p>
        </w:tc>
      </w:tr>
      <w:tr>
        <w:tc>
          <w:tcPr>
            <w:tcW w:type="dxa" w:w="2880"/>
          </w:tcPr>
          <w:p>
            <w:r>
              <w:t>Medium</w:t>
            </w:r>
          </w:p>
        </w:tc>
        <w:tc>
          <w:tcPr>
            <w:tcW w:type="dxa" w:w="2880"/>
          </w:tcPr>
          <w:p>
            <w:r>
              <w:t>Migrate from in-memory storage to a persistent encrypted database for production</w:t>
            </w:r>
          </w:p>
        </w:tc>
        <w:tc>
          <w:tcPr>
            <w:tcW w:type="dxa" w:w="2880"/>
          </w:tcPr>
          <w:p>
            <w:r>
              <w:t>GDPR Art. 32; ISO 27001 A.10</w:t>
            </w:r>
          </w:p>
        </w:tc>
      </w:tr>
      <w:tr>
        <w:tc>
          <w:tcPr>
            <w:tcW w:type="dxa" w:w="2880"/>
          </w:tcPr>
          <w:p>
            <w:r>
              <w:t>Medium</w:t>
            </w:r>
          </w:p>
        </w:tc>
        <w:tc>
          <w:tcPr>
            <w:tcW w:type="dxa" w:w="2880"/>
          </w:tcPr>
          <w:p>
            <w:r>
              <w:t>Disable /docs and /redoc in production builds</w:t>
            </w:r>
          </w:p>
        </w:tc>
        <w:tc>
          <w:tcPr>
            <w:tcW w:type="dxa" w:w="2880"/>
          </w:tcPr>
          <w:p>
            <w:r>
              <w:t>OWASP API Security Top 10 — API9</w:t>
            </w:r>
          </w:p>
        </w:tc>
      </w:tr>
      <w:tr>
        <w:tc>
          <w:tcPr>
            <w:tcW w:type="dxa" w:w="2880"/>
          </w:tcPr>
          <w:p>
            <w:r>
              <w:t>Low</w:t>
            </w:r>
          </w:p>
        </w:tc>
        <w:tc>
          <w:tcPr>
            <w:tcW w:type="dxa" w:w="2880"/>
          </w:tcPr>
          <w:p>
            <w:r>
              <w:t>Add a data retention and deletion API endpoint</w:t>
            </w:r>
          </w:p>
        </w:tc>
        <w:tc>
          <w:tcPr>
            <w:tcW w:type="dxa" w:w="2880"/>
          </w:tcPr>
          <w:p>
            <w:r>
              <w:t>GDPR Art. 17 (Right to Erasure)</w:t>
            </w:r>
          </w:p>
        </w:tc>
      </w:tr>
      <w:tr>
        <w:tc>
          <w:tcPr>
            <w:tcW w:type="dxa" w:w="2880"/>
          </w:tcPr>
          <w:p>
            <w:r>
              <w:t>Low</w:t>
            </w:r>
          </w:p>
        </w:tc>
        <w:tc>
          <w:tcPr>
            <w:tcW w:type="dxa" w:w="2880"/>
          </w:tcPr>
          <w:p>
            <w:r>
              <w:t>Document and publish a Privacy Notice for students</w:t>
            </w:r>
          </w:p>
        </w:tc>
        <w:tc>
          <w:tcPr>
            <w:tcW w:type="dxa" w:w="2880"/>
          </w:tcPr>
          <w:p>
            <w:r>
              <w:t>GDPR Art. 13; FERPA</w:t>
            </w:r>
          </w:p>
        </w:tc>
      </w:tr>
    </w:tbl>
    <w:p/>
    <w:p>
      <w:pPr>
        <w:pStyle w:val="Heading1"/>
      </w:pPr>
      <w:r>
        <w:t>12. Sign-Off</w:t>
      </w:r>
    </w:p>
    <w:p>
      <w:r>
        <w:t>This report must be reviewed and approved by the designated Data Protection Officer (DPO) or equivalent role before being filed as an official compliance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595959"/>
          </w:tcPr>
          <w:p>
            <w:r>
              <w:rPr>
                <w:b/>
                <w:color w:val="FFFFFF"/>
              </w:rPr>
              <w:t>Role</w:t>
            </w:r>
          </w:p>
        </w:tc>
        <w:tc>
          <w:tcPr>
            <w:tcW w:type="dxa" w:w="2160"/>
            <w:shd w:val="clear" w:color="auto" w:fill="595959"/>
          </w:tcPr>
          <w:p>
            <w:r>
              <w:rPr>
                <w:b/>
                <w:color w:val="FFFFFF"/>
              </w:rPr>
              <w:t>Name</w:t>
            </w:r>
          </w:p>
        </w:tc>
        <w:tc>
          <w:tcPr>
            <w:tcW w:type="dxa" w:w="2160"/>
            <w:shd w:val="clear" w:color="auto" w:fill="595959"/>
          </w:tcPr>
          <w:p>
            <w:r>
              <w:rPr>
                <w:b/>
                <w:color w:val="FFFFFF"/>
              </w:rPr>
              <w:t>Signature</w:t>
            </w:r>
          </w:p>
        </w:tc>
        <w:tc>
          <w:tcPr>
            <w:tcW w:type="dxa" w:w="2160"/>
            <w:shd w:val="clear" w:color="auto" w:fill="595959"/>
          </w:tcPr>
          <w:p>
            <w:r>
              <w:rPr>
                <w:b/>
                <w:color w:val="FFFFFF"/>
              </w:rPr>
              <w:t>Date</w:t>
            </w:r>
          </w:p>
        </w:tc>
      </w:tr>
      <w:tr>
        <w:tc>
          <w:tcPr>
            <w:tcW w:type="dxa" w:w="2160"/>
          </w:tcPr>
          <w:p>
            <w:r>
              <w:t>Data Protection Officer</w:t>
            </w:r>
          </w:p>
        </w:tc>
        <w:tc>
          <w:tcPr>
            <w:tcW w:type="dxa" w:w="2160"/>
          </w:tcPr>
          <w:p>
            <w:r/>
          </w:p>
        </w:tc>
        <w:tc>
          <w:tcPr>
            <w:tcW w:type="dxa" w:w="2160"/>
          </w:tcPr>
          <w:p>
            <w:r/>
          </w:p>
        </w:tc>
        <w:tc>
          <w:tcPr>
            <w:tcW w:type="dxa" w:w="2160"/>
          </w:tcPr>
          <w:p>
            <w:r/>
          </w:p>
        </w:tc>
      </w:tr>
      <w:tr>
        <w:tc>
          <w:tcPr>
            <w:tcW w:type="dxa" w:w="2160"/>
          </w:tcPr>
          <w:p>
            <w:r>
              <w:t>System Owner</w:t>
            </w:r>
          </w:p>
        </w:tc>
        <w:tc>
          <w:tcPr>
            <w:tcW w:type="dxa" w:w="2160"/>
          </w:tcPr>
          <w:p>
            <w:r/>
          </w:p>
        </w:tc>
        <w:tc>
          <w:tcPr>
            <w:tcW w:type="dxa" w:w="2160"/>
          </w:tcPr>
          <w:p>
            <w:r/>
          </w:p>
        </w:tc>
        <w:tc>
          <w:tcPr>
            <w:tcW w:type="dxa" w:w="2160"/>
          </w:tcPr>
          <w:p>
            <w:r/>
          </w:p>
        </w:tc>
      </w:tr>
      <w:tr>
        <w:tc>
          <w:tcPr>
            <w:tcW w:type="dxa" w:w="2160"/>
          </w:tcPr>
          <w:p>
            <w:r>
              <w:t>IT / Security Lead</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Compliance &amp; Audit Report — Mergington High School Activities System</dc:title>
  <dc:subject>Data Compliance</dc:subject>
  <dc:creator>Compliance Report Generator (automated)</dc:creator>
  <cp:keywords>compliance, audit, data, PII, GDPR</cp:keywords>
  <dc:description>generated by python-docx</dc:description>
  <cp:lastModifiedBy/>
  <cp:revision>1</cp:revision>
  <dcterms:created xsi:type="dcterms:W3CDTF">2013-12-23T23:15:00Z</dcterms:created>
  <dcterms:modified xsi:type="dcterms:W3CDTF">2013-12-23T23:15:00Z</dcterms:modified>
  <cp:category/>
</cp:coreProperties>
</file>