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AICc Model Comparison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1"/>
        <w:gridCol w:w="1401"/>
        <w:gridCol w:w="6712"/>
        <w:gridCol w:w="6712"/>
      </w:tblGrid>
      <w:tr>
        <w:trPr>
          <w:trHeight w:val="61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AICc_wt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Performance_Score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AICc Weight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Performance Score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glm_fit2_9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0.43324584912087099608513085513550322502851486206055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1.00000000000000000000000000000000000000000000000000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glm_fit2_global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0.28659775155366179477667287756048608571290969848633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0.66151297729734059860362549443379975855350494384766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glm_fit2_8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0.15549896545613645093553145670739468187093734741211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0.35891622682980139913411221641581505537033081054687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glm_fit2_10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0.10762940111849593483039910779552883468568325042725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0.24842569487253984839014719909755513072013854980469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glm_fit2_11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0.00880402101337249796964012915623243316076695919037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0.02032107412278119640269835599610814824700355529785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glm_fit2_12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0.00822401173334531485070719725172239122912287712097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0.01898232089247530937625718649996997555717825889587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glm_fit2_5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0.00000000000202882249844915314002623263345270743230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0.00000000000468284347689880143042473470416098280111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glm_fit2_1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0.00000000000159026388497099256929406818628081055067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0.00000000000367058077578332584258238857621847728296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glm_fit2_6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0.00000000000049792428337279284909430709937794290454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0.00000000000114928806446308794618742926685328598069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glm_fit2_null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0.00000000000000000000000000000000000000000001159731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0.00000000000000000000000000000000000000000002329356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n: 13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2025-03-03T16:47:49Z</dcterms:modified>
  <cp:category/>
</cp:coreProperties>
</file>