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Training Environment &amp; Audience Guide</w:t>
      </w:r>
    </w:p>
    <w:p>
      <w:pPr>
        <w:pStyle w:val="Heading1"/>
        <w:jc w:val="left"/>
      </w:pPr>
      <w:r>
        <w:t>Module 1: Training Environment &amp; Audience Preparation</w:t>
      </w:r>
    </w:p>
    <w:p>
      <w:r>
        <w:rPr>
          <w:b/>
          <w:sz w:val="22"/>
        </w:rPr>
        <w:t>Introduction</w:t>
      </w:r>
    </w:p>
    <w:p>
      <w:r>
        <w:rPr>
          <w:sz w:val="22"/>
        </w:rPr>
        <w:t>This module helps your Adobe trainer prepare a course that fits your team’s level, goals, and working style. Complete this at least one month before training to ensure a smooth experience.</w:t>
      </w:r>
    </w:p>
    <w:p>
      <w:pPr>
        <w:pStyle w:val="Heading2"/>
        <w:jc w:val="left"/>
      </w:pPr>
      <w:r>
        <w:t>Activity 1-1: Identify Key Contacts</w:t>
      </w:r>
    </w:p>
    <w:p>
      <w:r>
        <w:rPr>
          <w:b/>
          <w:sz w:val="22"/>
        </w:rPr>
        <w:t>Why this matters:</w:t>
      </w:r>
    </w:p>
    <w:p>
      <w:r>
        <w:rPr>
          <w:sz w:val="22"/>
        </w:rPr>
        <w:t>Clear contacts ensure smooth coordination and prevent last-minute disruptions.</w:t>
      </w:r>
    </w:p>
    <w:p>
      <w:r>
        <w:rPr>
          <w:b/>
          <w:sz w:val="22"/>
        </w:rPr>
        <w:t>Instructions:</w:t>
      </w:r>
    </w:p>
    <w:p>
      <w:pPr>
        <w:pStyle w:val="ListNumber"/>
      </w:pPr>
      <w:r>
        <w:t>Identify the main sponsor or organiser for this training (Name, role, and email).</w:t>
      </w:r>
    </w:p>
    <w:p>
      <w:pPr>
        <w:pStyle w:val="ListNumber"/>
      </w:pPr>
      <w:r>
        <w:t>Appoint an on-site or internal contact for quick coordination during training.</w:t>
      </w:r>
    </w:p>
    <w:p>
      <w:pPr>
        <w:pStyle w:val="ListNumber"/>
      </w:pPr>
      <w:r>
        <w:t>Specify a contact for network or access considerations (Name, email, role).</w:t>
      </w:r>
    </w:p>
    <w:p>
      <w:r>
        <w:rPr>
          <w:b/>
          <w:sz w:val="22"/>
        </w:rPr>
        <w:t>Trainer Tip:</w:t>
      </w:r>
    </w:p>
    <w:p>
      <w:r>
        <w:rPr>
          <w:sz w:val="22"/>
        </w:rPr>
        <w:t>Listen for how organised the sponsor sounds. A lack of clarity about who handles coordination can signal future delays or confusion.</w:t>
      </w:r>
    </w:p>
    <w:p>
      <w:pPr>
        <w:pStyle w:val="Heading1"/>
        <w:jc w:val="left"/>
      </w:pPr>
      <w:r>
        <w:t>Module 2: Course Context</w:t>
      </w:r>
    </w:p>
    <w:p>
      <w:r>
        <w:rPr>
          <w:b/>
          <w:sz w:val="22"/>
        </w:rPr>
        <w:t>Introduction</w:t>
      </w:r>
    </w:p>
    <w:p>
      <w:r>
        <w:rPr>
          <w:sz w:val="22"/>
        </w:rPr>
        <w:t>Understanding your objectives helps the trainer tailor content and examples to your needs.</w:t>
      </w:r>
    </w:p>
    <w:p>
      <w:pPr>
        <w:pStyle w:val="Heading2"/>
        <w:jc w:val="left"/>
      </w:pPr>
      <w:r>
        <w:t>Activity 2-1: Define Course Goals</w:t>
      </w:r>
    </w:p>
    <w:p>
      <w:r>
        <w:rPr>
          <w:b/>
          <w:sz w:val="22"/>
        </w:rPr>
        <w:t>Why this matters:</w:t>
      </w:r>
    </w:p>
    <w:p>
      <w:r>
        <w:rPr>
          <w:sz w:val="22"/>
        </w:rPr>
        <w:t>Clear goals ensure the training is relevant and engaging.</w:t>
      </w:r>
    </w:p>
    <w:p>
      <w:r>
        <w:rPr>
          <w:b/>
          <w:sz w:val="22"/>
        </w:rPr>
        <w:t>Instructions:</w:t>
      </w:r>
    </w:p>
    <w:p>
      <w:pPr>
        <w:pStyle w:val="ListNumber"/>
      </w:pPr>
      <w:r>
        <w:t>State the main goal of this training for your organisation (e.g., align team knowledge, deepen technical understanding, prepare for migration, onboard new staff).</w:t>
      </w:r>
    </w:p>
    <w:p>
      <w:pPr>
        <w:pStyle w:val="ListNumber"/>
      </w:pPr>
      <w:r>
        <w:t>Provide any specific project or business context (short summary, e.g., “Preparing to move to AEM as a Cloud Service”).</w:t>
      </w:r>
    </w:p>
    <w:p>
      <w:pPr>
        <w:pStyle w:val="ListNumber"/>
      </w:pPr>
      <w:r>
        <w:t>Indicate your preferred training focus:</w:t>
      </w:r>
    </w:p>
    <w:p>
      <w:pPr>
        <w:pStyle w:val="ListBullet"/>
      </w:pPr>
      <w:r>
        <w:t>- Broad coverage across many topics</w:t>
      </w:r>
    </w:p>
    <w:p>
      <w:pPr>
        <w:pStyle w:val="ListBullet"/>
      </w:pPr>
      <w:r>
        <w:t>- Consultative deep-dive on a few topics</w:t>
      </w:r>
    </w:p>
    <w:p>
      <w:pPr>
        <w:pStyle w:val="ListBullet"/>
      </w:pPr>
      <w:r>
        <w:t>- Balanced mix</w:t>
      </w:r>
    </w:p>
    <w:p>
      <w:r>
        <w:rPr>
          <w:b/>
          <w:sz w:val="22"/>
        </w:rPr>
        <w:t>Trainer Tip:</w:t>
      </w:r>
    </w:p>
    <w:p>
      <w:r>
        <w:rPr>
          <w:sz w:val="22"/>
        </w:rPr>
        <w:t>Look for signs of strong ownership and clear purpose. Vague goals like “we just want to see what’s new” may indicate low engagement or unclear expectations.</w:t>
      </w:r>
    </w:p>
    <w:p>
      <w:pPr>
        <w:pStyle w:val="Heading1"/>
        <w:jc w:val="left"/>
      </w:pPr>
      <w:r>
        <w:t>Module 3: Audience Overview</w:t>
      </w:r>
    </w:p>
    <w:p>
      <w:r>
        <w:rPr>
          <w:b/>
          <w:sz w:val="22"/>
        </w:rPr>
        <w:t>Introduction</w:t>
      </w:r>
    </w:p>
    <w:p>
      <w:r>
        <w:rPr>
          <w:sz w:val="22"/>
        </w:rPr>
        <w:t>Training is most effective when participants share similar experience levels and commitment.</w:t>
      </w:r>
    </w:p>
    <w:p>
      <w:pPr>
        <w:pStyle w:val="Heading2"/>
        <w:jc w:val="left"/>
      </w:pPr>
      <w:r>
        <w:t>Activity 3-1: Describe the Audience</w:t>
      </w:r>
    </w:p>
    <w:p>
      <w:r>
        <w:rPr>
          <w:b/>
          <w:sz w:val="22"/>
        </w:rPr>
        <w:t>Why this matters:</w:t>
      </w:r>
    </w:p>
    <w:p>
      <w:r>
        <w:rPr>
          <w:sz w:val="22"/>
        </w:rPr>
        <w:t>Knowing your audience helps the trainer set the right pace and depth.</w:t>
      </w:r>
    </w:p>
    <w:p>
      <w:r>
        <w:rPr>
          <w:b/>
          <w:sz w:val="22"/>
        </w:rPr>
        <w:t>Instructions:</w:t>
      </w:r>
    </w:p>
    <w:p>
      <w:pPr>
        <w:pStyle w:val="ListNumber"/>
      </w:pPr>
      <w:r>
        <w:t>Estimate the number of participants.</w:t>
      </w:r>
    </w:p>
    <w:p>
      <w:pPr>
        <w:pStyle w:val="ListNumber"/>
      </w:pPr>
      <w:r>
        <w:t>Describe the general mix of roles in the group:</w:t>
      </w:r>
    </w:p>
    <w:p>
      <w:pPr>
        <w:pStyle w:val="ListBullet"/>
      </w:pPr>
      <w:r>
        <w:t>- Entirely business-focused</w:t>
      </w:r>
    </w:p>
    <w:p>
      <w:pPr>
        <w:pStyle w:val="ListBullet"/>
      </w:pPr>
      <w:r>
        <w:t>- Mostly business</w:t>
      </w:r>
    </w:p>
    <w:p>
      <w:pPr>
        <w:pStyle w:val="ListBullet"/>
      </w:pPr>
      <w:r>
        <w:t>- Balanced between business and technical</w:t>
      </w:r>
    </w:p>
    <w:p>
      <w:pPr>
        <w:pStyle w:val="ListBullet"/>
      </w:pPr>
      <w:r>
        <w:t>- Mostly technical</w:t>
      </w:r>
    </w:p>
    <w:p>
      <w:pPr>
        <w:pStyle w:val="ListBullet"/>
      </w:pPr>
      <w:r>
        <w:t>- Entirely technical</w:t>
      </w:r>
    </w:p>
    <w:p>
      <w:pPr>
        <w:pStyle w:val="ListNumber"/>
      </w:pPr>
      <w:r>
        <w:t>Indicate the group’s general experience level with this product:</w:t>
      </w:r>
    </w:p>
    <w:p>
      <w:pPr>
        <w:pStyle w:val="ListBullet"/>
      </w:pPr>
      <w:r>
        <w:t>- Mostly beginners (0–2 years)</w:t>
      </w:r>
    </w:p>
    <w:p>
      <w:pPr>
        <w:pStyle w:val="ListBullet"/>
      </w:pPr>
      <w:r>
        <w:t>- Mixed (some beginners, some experienced)</w:t>
      </w:r>
    </w:p>
    <w:p>
      <w:pPr>
        <w:pStyle w:val="ListBullet"/>
      </w:pPr>
      <w:r>
        <w:t>- Mostly experienced (2–8 years)</w:t>
      </w:r>
    </w:p>
    <w:p>
      <w:pPr>
        <w:pStyle w:val="ListBullet"/>
      </w:pPr>
      <w:r>
        <w:t>- Experts (8+ years)</w:t>
      </w:r>
    </w:p>
    <w:p>
      <w:pPr>
        <w:pStyle w:val="ListNumber"/>
      </w:pPr>
      <w:r>
        <w:t>Confirm if participants will be available for the full duration of the training, or if some may have other commitments.</w:t>
      </w:r>
    </w:p>
    <w:p>
      <w:r>
        <w:rPr>
          <w:b/>
          <w:sz w:val="22"/>
        </w:rPr>
        <w:t>Trainer Tip:</w:t>
      </w:r>
    </w:p>
    <w:p>
      <w:r>
        <w:rPr>
          <w:sz w:val="22"/>
        </w:rPr>
        <w:t>Watch for red flags—such as “some people may drop in and out” or “we have an architect and some interns.” Mixed levels or attendance can derail pacing unless addressed early.</w:t>
      </w:r>
    </w:p>
    <w:p>
      <w:pPr>
        <w:pStyle w:val="Heading1"/>
        <w:jc w:val="left"/>
      </w:pPr>
      <w:r>
        <w:t>Module 4: Engagement &amp; Readiness</w:t>
      </w:r>
    </w:p>
    <w:p>
      <w:r>
        <w:rPr>
          <w:b/>
          <w:sz w:val="22"/>
        </w:rPr>
        <w:t>Introduction</w:t>
      </w:r>
    </w:p>
    <w:p>
      <w:r>
        <w:rPr>
          <w:sz w:val="22"/>
        </w:rPr>
        <w:t>Knowing how the team prioritises this training helps the trainer plan pacing and interaction.</w:t>
      </w:r>
    </w:p>
    <w:p>
      <w:pPr>
        <w:pStyle w:val="Heading2"/>
        <w:jc w:val="left"/>
      </w:pPr>
      <w:r>
        <w:t>Activity 4-1: Assess Engagement &amp; Logistics</w:t>
      </w:r>
    </w:p>
    <w:p>
      <w:r>
        <w:rPr>
          <w:b/>
          <w:sz w:val="22"/>
        </w:rPr>
        <w:t>Why this matters:</w:t>
      </w:r>
    </w:p>
    <w:p>
      <w:r>
        <w:rPr>
          <w:sz w:val="22"/>
        </w:rPr>
        <w:t>Engagement and logistics affect the success of the training.</w:t>
      </w:r>
    </w:p>
    <w:p>
      <w:r>
        <w:rPr>
          <w:b/>
          <w:sz w:val="22"/>
        </w:rPr>
        <w:t>Instructions:</w:t>
      </w:r>
    </w:p>
    <w:p>
      <w:pPr>
        <w:pStyle w:val="ListNumber"/>
      </w:pPr>
      <w:r>
        <w:t>Rate expected participant engagement:</w:t>
      </w:r>
    </w:p>
    <w:p>
      <w:pPr>
        <w:pStyle w:val="ListBullet"/>
      </w:pPr>
      <w:r>
        <w:t>- Highly engaged—training is a key priority</w:t>
      </w:r>
    </w:p>
    <w:p>
      <w:pPr>
        <w:pStyle w:val="ListBullet"/>
      </w:pPr>
      <w:r>
        <w:t>- Moderately engaged—some competing priorities</w:t>
      </w:r>
    </w:p>
    <w:p>
      <w:pPr>
        <w:pStyle w:val="ListBullet"/>
      </w:pPr>
      <w:r>
        <w:t>- Low engagement—attendance or focus may vary</w:t>
      </w:r>
    </w:p>
    <w:p>
      <w:pPr>
        <w:pStyle w:val="ListNumber"/>
      </w:pPr>
      <w:r>
        <w:t>Note any special circumstances, remote participants, timing constraints, or focus areas the trainer should be aware of.</w:t>
      </w:r>
    </w:p>
    <w:p>
      <w:pPr>
        <w:pStyle w:val="ListNumber"/>
      </w:pPr>
      <w:r>
        <w:t>Indicate your preferred delivery style:</w:t>
      </w:r>
    </w:p>
    <w:p>
      <w:pPr>
        <w:pStyle w:val="ListBullet"/>
      </w:pPr>
      <w:r>
        <w:t>- Lecture-style (with demos)</w:t>
      </w:r>
    </w:p>
    <w:p>
      <w:pPr>
        <w:pStyle w:val="ListBullet"/>
      </w:pPr>
      <w:r>
        <w:t>- Interactive workshop</w:t>
      </w:r>
    </w:p>
    <w:p>
      <w:pPr>
        <w:pStyle w:val="ListBullet"/>
      </w:pPr>
      <w:r>
        <w:t>- Hybrid / Flexible</w:t>
      </w:r>
    </w:p>
    <w:p>
      <w:r>
        <w:rPr>
          <w:b/>
          <w:sz w:val="22"/>
        </w:rPr>
        <w:t>Trainer Tip:</w:t>
      </w:r>
    </w:p>
    <w:p>
      <w:r>
        <w:rPr>
          <w:sz w:val="22"/>
        </w:rPr>
        <w:t>Gauge tone carefully. If the sponsor sounds apologetic about attendance or mentions “busy periods,” plan for modular sessions or partial recaps.</w:t>
      </w:r>
    </w:p>
    <w:p>
      <w:pPr>
        <w:pStyle w:val="Heading1"/>
        <w:jc w:val="left"/>
      </w:pPr>
      <w:r>
        <w:t>Appendix: Quick Reference</w:t>
      </w:r>
    </w:p>
    <w:p>
      <w:pPr>
        <w:pStyle w:val="ListBullet"/>
      </w:pPr>
      <w:r>
        <w:t>Complete this guide at least one month before training.</w:t>
      </w:r>
    </w:p>
    <w:p>
      <w:pPr>
        <w:pStyle w:val="ListBullet"/>
      </w:pPr>
      <w:r>
        <w:t>Provide clear contacts and context for smooth coordination.</w:t>
      </w:r>
    </w:p>
    <w:p>
      <w:pPr>
        <w:pStyle w:val="ListBullet"/>
      </w:pPr>
      <w:r>
        <w:t>Be honest about audience experience and engagement.</w:t>
      </w:r>
    </w:p>
    <w:p>
      <w:pPr>
        <w:pStyle w:val="ListBullet"/>
      </w:pPr>
      <w:r>
        <w:t>Highlight any special needs or constraints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