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Instructor</w:t>
      </w:r>
      <w:r>
        <w:t xml:space="preserve"> </w:t>
      </w:r>
      <w:r>
        <w:t xml:space="preserve">Guide</w:t>
      </w:r>
      <w:r>
        <w:t xml:space="preserve"> </w:t>
      </w:r>
      <w:r>
        <w:t xml:space="preserve">notes</w:t>
      </w:r>
    </w:p>
    <w:p>
      <w:pPr>
        <w:pStyle w:val="Subtitle"/>
      </w:pPr>
      <w:r>
        <w:t xml:space="preserve">Working</w:t>
      </w:r>
      <w:r>
        <w:t xml:space="preserve"> </w:t>
      </w:r>
      <w:r>
        <w:t xml:space="preserve">with</w:t>
      </w:r>
      <w:r>
        <w:t xml:space="preserve"> </w:t>
      </w:r>
      <w:r>
        <w:t xml:space="preserve">AEM</w:t>
      </w:r>
      <w:r>
        <w:t xml:space="preserve"> </w:t>
      </w:r>
      <w:r>
        <w:t xml:space="preserve">Assets</w:t>
      </w:r>
      <w:r>
        <w:t xml:space="preserve"> </w:t>
      </w:r>
      <w:r>
        <w:t xml:space="preserve">View</w:t>
      </w:r>
    </w:p>
    <w:p>
      <w:pPr>
        <w:pStyle w:val="FirstParagraph"/>
      </w:pPr>
      <w:r>
        <w:t xml:space="preserve">Last auto-generated 12/17/2025 by</w:t>
      </w:r>
      <w:r>
        <w:t xml:space="preserve"> </w:t>
      </w:r>
      <w:hyperlink r:id="rId20">
        <w:r>
          <w:rPr>
            <w:rStyle w:val="Hyperlink"/>
          </w:rPr>
          <w:t xml:space="preserve">merge-markdown</w:t>
        </w:r>
      </w:hyperlink>
      <w:r>
        <w:t xml:space="preserve">.</w:t>
      </w:r>
    </w:p>
    <w:bookmarkStart w:id="21" w:name="expected-environment-requests"/>
    <w:p>
      <w:pPr>
        <w:pStyle w:val="Heading3"/>
      </w:pPr>
      <w:r>
        <w:t xml:space="preserve">Expected Environment Requests</w:t>
      </w:r>
    </w:p>
    <w:p>
      <w:pPr>
        <w:pStyle w:val="FirstParagraph"/>
      </w:pPr>
      <w:r>
        <w:t xml:space="preserve">You will need an AEMaaCS instance to support the media exercises.</w:t>
      </w:r>
    </w:p>
    <w:bookmarkEnd w:id="21"/>
    <w:bookmarkStart w:id="25" w:name="shortfalls-prep-needed"/>
    <w:p>
      <w:pPr>
        <w:pStyle w:val="Heading3"/>
      </w:pPr>
      <w:r>
        <w:t xml:space="preserve">Shortfalls / prep needed</w:t>
      </w:r>
    </w:p>
    <w:p>
      <w:pPr>
        <w:pStyle w:val="FirstParagraph"/>
      </w:pPr>
      <w:r>
        <w:t xml:space="preserve">The exercises do not include the Apps and there is no demo script, so you will need to test these out and ideally give short demos</w:t>
      </w:r>
    </w:p>
    <w:p>
      <w:pPr>
        <w:numPr>
          <w:ilvl w:val="0"/>
          <w:numId w:val="1001"/>
        </w:numPr>
      </w:pPr>
      <w:hyperlink r:id="rId22">
        <w:r>
          <w:rPr>
            <w:rStyle w:val="Hyperlink"/>
          </w:rPr>
          <w:t xml:space="preserve">Import</w:t>
        </w:r>
      </w:hyperlink>
      <w:r>
        <w:t xml:space="preserve">: you can show this by importing the query index of WKND: https://main–wknd–hlxsites.hlx.live/query-index.json?limit=-1 . Note that this does not import all files, just the ones listed in the index, so you won’t magically have a working weekend site to show, but it’s good enough to demo the import process.</w:t>
      </w:r>
    </w:p>
    <w:p>
      <w:pPr>
        <w:numPr>
          <w:ilvl w:val="0"/>
          <w:numId w:val="1001"/>
        </w:numPr>
      </w:pPr>
      <w:hyperlink r:id="rId23">
        <w:r>
          <w:rPr>
            <w:rStyle w:val="Hyperlink"/>
          </w:rPr>
          <w:t xml:space="preserve">Bulk Operations</w:t>
        </w:r>
      </w:hyperlink>
      <w:r>
        <w:t xml:space="preserve">: Show operations dropdown (bottom right) and describe the need (e.g. bulk publishing not possible via normal UI / sidekick)</w:t>
      </w:r>
    </w:p>
    <w:p>
      <w:pPr>
        <w:numPr>
          <w:ilvl w:val="0"/>
          <w:numId w:val="1001"/>
        </w:numPr>
      </w:pPr>
      <w:hyperlink r:id="rId24">
        <w:r>
          <w:rPr>
            <w:rStyle w:val="Hyperlink"/>
          </w:rPr>
          <w:t xml:space="preserve">Snapshots</w:t>
        </w:r>
      </w:hyperlink>
      <w:r>
        <w:t xml:space="preserve">: This is the biggest gap in the course. Snapshots are complex compared to other authoring features and a demo will be significant effort. The presentation currently uses an 7 minute extract from a video from April 2025 https://www.youtube.com/watch?v=bJvQ0UfeHp8 (21:54). It’s actually a nice way to introduce people to Chris Millar, a driving force behind DA, and that can be an excuse for using video!</w:t>
      </w:r>
    </w:p>
    <w:bookmarkEnd w:id="25"/>
    <w:bookmarkStart w:id="37" w:name="setup"/>
    <w:p>
      <w:pPr>
        <w:pStyle w:val="Heading3"/>
      </w:pPr>
      <w:r>
        <w:t xml:space="preserve">Setup</w:t>
      </w:r>
    </w:p>
    <w:bookmarkStart w:id="29" w:name="setup-assets"/>
    <w:p>
      <w:pPr>
        <w:pStyle w:val="Heading4"/>
      </w:pPr>
      <w:r>
        <w:t xml:space="preserve">Setup Assets</w:t>
      </w:r>
    </w:p>
    <w:p>
      <w:pPr>
        <w:numPr>
          <w:ilvl w:val="0"/>
          <w:numId w:val="1002"/>
        </w:numPr>
        <w:pStyle w:val="Compact"/>
      </w:pPr>
      <w:r>
        <w:t xml:space="preserve">Set an environment config in AEM, via the Configuration tab for the instance in Cloudmanager.</w:t>
      </w:r>
    </w:p>
    <w:p>
      <w:pPr>
        <w:numPr>
          <w:ilvl w:val="0"/>
          <w:numId w:val="1002"/>
        </w:numPr>
        <w:pStyle w:val="Compact"/>
      </w:pPr>
      <w:r>
        <w:t xml:space="preserve">Environment Configuration:</w:t>
      </w:r>
      <w:r>
        <w:t xml:space="preserve"> </w:t>
      </w:r>
      <w:r>
        <w:rPr>
          <w:rStyle w:val="VerbatimChar"/>
        </w:rPr>
        <w:t xml:space="preserve">ADOBE_PROVIDED_CLIENT_ID | darkalley | All | Variable</w:t>
      </w:r>
      <w:r>
        <w:t xml:space="preserve">.</w:t>
      </w:r>
    </w:p>
    <w:p>
      <w:pPr>
        <w:pStyle w:val="FirstParagraph"/>
      </w:pPr>
      <w:r>
        <w:drawing>
          <wp:inline>
            <wp:extent cx="5943600" cy="4181322"/>
            <wp:effectExtent b="0" l="0" r="0" t="0"/>
            <wp:docPr descr="" title="" id="27" name="Picture"/>
            <a:graphic>
              <a:graphicData uri="http://schemas.openxmlformats.org/drawingml/2006/picture">
                <pic:pic>
                  <pic:nvPicPr>
                    <pic:cNvPr descr="/home/runner/workspace/cli/readme_assets/aemaacs_config.png" id="28" name="Picture"/>
                    <pic:cNvPicPr>
                      <a:picLocks noChangeArrowheads="1" noChangeAspect="1"/>
                    </pic:cNvPicPr>
                  </pic:nvPicPr>
                  <pic:blipFill>
                    <a:blip r:embed="rId26"/>
                    <a:stretch>
                      <a:fillRect/>
                    </a:stretch>
                  </pic:blipFill>
                  <pic:spPr bwMode="auto">
                    <a:xfrm>
                      <a:off x="0" y="0"/>
                      <a:ext cx="5943600" cy="4181322"/>
                    </a:xfrm>
                    <a:prstGeom prst="rect">
                      <a:avLst/>
                    </a:prstGeom>
                    <a:noFill/>
                    <a:ln w="9525">
                      <a:noFill/>
                      <a:headEnd/>
                      <a:tailEnd/>
                    </a:ln>
                  </pic:spPr>
                </pic:pic>
              </a:graphicData>
            </a:graphic>
          </wp:inline>
        </w:drawing>
      </w:r>
    </w:p>
    <w:bookmarkEnd w:id="29"/>
    <w:bookmarkStart w:id="31" w:name="setup-da"/>
    <w:p>
      <w:pPr>
        <w:pStyle w:val="Heading4"/>
      </w:pPr>
      <w:r>
        <w:t xml:space="preserve">Setup DA</w:t>
      </w:r>
    </w:p>
    <w:p>
      <w:pPr>
        <w:numPr>
          <w:ilvl w:val="0"/>
          <w:numId w:val="1003"/>
        </w:numPr>
        <w:pStyle w:val="Compact"/>
      </w:pPr>
      <w:r>
        <w:t xml:space="preserve">In not already done, create a Github</w:t>
      </w:r>
      <w:r>
        <w:t xml:space="preserve"> </w:t>
      </w:r>
      <w:r>
        <w:rPr>
          <w:bCs/>
          <w:b/>
        </w:rPr>
        <w:t xml:space="preserve">organisation</w:t>
      </w:r>
      <w:r>
        <w:t xml:space="preserve"> </w:t>
      </w:r>
      <w:r>
        <w:t xml:space="preserve">for your DA site, your vlab IMS Org, e.g. vlab17-emea.</w:t>
      </w:r>
    </w:p>
    <w:p>
      <w:pPr>
        <w:numPr>
          <w:ilvl w:val="0"/>
          <w:numId w:val="1003"/>
        </w:numPr>
        <w:pStyle w:val="Compact"/>
      </w:pPr>
      <w:r>
        <w:t xml:space="preserve">Similarly to other EDS exercises, create a public repo</w:t>
      </w:r>
      <w:r>
        <w:t xml:space="preserve"> </w:t>
      </w:r>
      <w:r>
        <w:rPr>
          <w:iCs/>
          <w:i/>
        </w:rPr>
        <w:t xml:space="preserve">da-getting-started</w:t>
      </w:r>
      <w:r>
        <w:t xml:space="preserve"> </w:t>
      </w:r>
      <w:r>
        <w:t xml:space="preserve">using the template https://github.com/aemsites/da-block-collection</w:t>
      </w:r>
    </w:p>
    <w:p>
      <w:pPr>
        <w:numPr>
          <w:ilvl w:val="0"/>
          <w:numId w:val="1003"/>
        </w:numPr>
        <w:pStyle w:val="Compact"/>
      </w:pPr>
      <w:r>
        <w:t xml:space="preserve">Edit the fstab.yaml file and change the mount URL to</w:t>
      </w:r>
      <w:r>
        <w:t xml:space="preserve"> </w:t>
      </w:r>
      <w:r>
        <w:rPr>
          <w:rStyle w:val="VerbatimChar"/>
        </w:rPr>
        <w:t xml:space="preserve">https://content.da.live/&lt;your github org&gt;/da-getting-started/</w:t>
      </w:r>
    </w:p>
    <w:p>
      <w:pPr>
        <w:numPr>
          <w:ilvl w:val="0"/>
          <w:numId w:val="1003"/>
        </w:numPr>
        <w:pStyle w:val="Compact"/>
      </w:pPr>
      <w:r>
        <w:t xml:space="preserve">Add your new repo to</w:t>
      </w:r>
      <w:r>
        <w:t xml:space="preserve"> </w:t>
      </w:r>
      <w:hyperlink r:id="rId30">
        <w:r>
          <w:rPr>
            <w:rStyle w:val="Hyperlink"/>
          </w:rPr>
          <w:t xml:space="preserve">AEM Code Sync</w:t>
        </w:r>
      </w:hyperlink>
    </w:p>
    <w:p>
      <w:pPr>
        <w:numPr>
          <w:ilvl w:val="0"/>
          <w:numId w:val="1003"/>
        </w:numPr>
        <w:pStyle w:val="Compact"/>
      </w:pPr>
      <w:r>
        <w:t xml:space="preserve">Navigate to</w:t>
      </w:r>
      <w:r>
        <w:t xml:space="preserve"> </w:t>
      </w:r>
      <w:r>
        <w:rPr>
          <w:iCs/>
          <w:i/>
        </w:rPr>
        <w:t xml:space="preserve">https://da.live</w:t>
      </w:r>
      <w:r>
        <w:t xml:space="preserve">, sign in (top right) and choose your Vlab Org</w:t>
      </w:r>
    </w:p>
    <w:p>
      <w:pPr>
        <w:numPr>
          <w:ilvl w:val="0"/>
          <w:numId w:val="1003"/>
        </w:numPr>
        <w:pStyle w:val="Compact"/>
      </w:pPr>
      <w:r>
        <w:t xml:space="preserve">Click</w:t>
      </w:r>
      <w:r>
        <w:t xml:space="preserve"> </w:t>
      </w:r>
      <w:r>
        <w:rPr>
          <w:iCs/>
          <w:i/>
        </w:rPr>
        <w:t xml:space="preserve">add new</w:t>
      </w:r>
      <w:r>
        <w:t xml:space="preserve"> </w:t>
      </w:r>
      <w:r>
        <w:t xml:space="preserve">at the bottom right of the page</w:t>
      </w:r>
    </w:p>
    <w:p>
      <w:pPr>
        <w:numPr>
          <w:ilvl w:val="0"/>
          <w:numId w:val="1003"/>
        </w:numPr>
        <w:pStyle w:val="Compact"/>
      </w:pPr>
      <w:r>
        <w:t xml:space="preserve">Add your gihub URL to the</w:t>
      </w:r>
      <w:r>
        <w:t xml:space="preserve"> </w:t>
      </w:r>
      <w:r>
        <w:rPr>
          <w:iCs/>
          <w:i/>
        </w:rPr>
        <w:t xml:space="preserve">AEM Codebase</w:t>
      </w:r>
      <w:r>
        <w:t xml:space="preserve"> </w:t>
      </w:r>
      <w:r>
        <w:t xml:space="preserve">text field, eg.</w:t>
      </w:r>
      <w:r>
        <w:t xml:space="preserve"> </w:t>
      </w:r>
      <w:r>
        <w:rPr>
          <w:rStyle w:val="VerbatimChar"/>
        </w:rPr>
        <w:t xml:space="preserve">https://github.com/&lt;your github org&gt;/da-getting-started</w:t>
      </w:r>
      <w:r>
        <w:t xml:space="preserve">) and click</w:t>
      </w:r>
      <w:r>
        <w:t xml:space="preserve"> </w:t>
      </w:r>
      <w:r>
        <w:rPr>
          <w:iCs/>
          <w:i/>
        </w:rPr>
        <w:t xml:space="preserve">go</w:t>
      </w:r>
    </w:p>
    <w:p>
      <w:pPr>
        <w:numPr>
          <w:ilvl w:val="0"/>
          <w:numId w:val="1003"/>
        </w:numPr>
        <w:pStyle w:val="Compact"/>
      </w:pPr>
      <w:r>
        <w:t xml:space="preserve">Highlight</w:t>
      </w:r>
      <w:r>
        <w:t xml:space="preserve"> </w:t>
      </w:r>
      <w:r>
        <w:rPr>
          <w:iCs/>
          <w:i/>
        </w:rPr>
        <w:t xml:space="preserve">AEM Block Collection</w:t>
      </w:r>
      <w:r>
        <w:t xml:space="preserve"> </w:t>
      </w:r>
      <w:r>
        <w:t xml:space="preserve">and click</w:t>
      </w:r>
      <w:r>
        <w:t xml:space="preserve"> </w:t>
      </w:r>
      <w:r>
        <w:rPr>
          <w:iCs/>
          <w:i/>
        </w:rPr>
        <w:t xml:space="preserve">Make something wonderful</w:t>
      </w:r>
      <w:r>
        <w:t xml:space="preserve">.</w:t>
      </w:r>
    </w:p>
    <w:p>
      <w:pPr>
        <w:numPr>
          <w:ilvl w:val="0"/>
          <w:numId w:val="1003"/>
        </w:numPr>
        <w:pStyle w:val="Compact"/>
      </w:pPr>
      <w:r>
        <w:t xml:space="preserve">Open your site, eg.</w:t>
      </w:r>
      <w:r>
        <w:t xml:space="preserve"> </w:t>
      </w:r>
      <w:r>
        <w:rPr>
          <w:rStyle w:val="VerbatimChar"/>
        </w:rPr>
        <w:t xml:space="preserve">https://da.live/#/vlab17-emea/da-getting-started</w:t>
      </w:r>
      <w:r>
        <w:t xml:space="preserve"> </w:t>
      </w:r>
      <w:r>
        <w:t xml:space="preserve">and add a new folder</w:t>
      </w:r>
      <w:r>
        <w:t xml:space="preserve"> </w:t>
      </w:r>
      <w:r>
        <w:rPr>
          <w:iCs/>
          <w:i/>
        </w:rPr>
        <w:t xml:space="preserve">enablement</w:t>
      </w:r>
      <w:r>
        <w:t xml:space="preserve"> </w:t>
      </w:r>
      <w:r>
        <w:t xml:space="preserve">at the top level.</w:t>
      </w:r>
    </w:p>
    <w:p>
      <w:pPr>
        <w:pStyle w:val="BlockText"/>
      </w:pPr>
      <w:r>
        <w:t xml:space="preserve">You will need to provide the URL of your DA site to your students. Even though they will log in to the same VLab Org as you, they will not see your prepared site on da.live until they have already visited it once.</w:t>
      </w:r>
    </w:p>
    <w:bookmarkEnd w:id="31"/>
    <w:bookmarkStart w:id="35" w:name="connect-da-to-assets"/>
    <w:p>
      <w:pPr>
        <w:pStyle w:val="Heading4"/>
      </w:pPr>
      <w:r>
        <w:t xml:space="preserve">Connect DA to Assets</w:t>
      </w:r>
    </w:p>
    <w:p>
      <w:pPr>
        <w:numPr>
          <w:ilvl w:val="0"/>
          <w:numId w:val="1004"/>
        </w:numPr>
        <w:pStyle w:val="Compact"/>
      </w:pPr>
      <w:r>
        <w:t xml:space="preserve">Open</w:t>
      </w:r>
      <w:r>
        <w:t xml:space="preserve"> </w:t>
      </w:r>
      <w:r>
        <w:rPr>
          <w:rStyle w:val="VerbatimChar"/>
        </w:rPr>
        <w:t xml:space="preserve">https://da.live/config#/&lt;your github user&gt;/</w:t>
      </w:r>
    </w:p>
    <w:p>
      <w:pPr>
        <w:numPr>
          <w:ilvl w:val="0"/>
          <w:numId w:val="1004"/>
        </w:numPr>
        <w:pStyle w:val="Compact"/>
      </w:pPr>
      <w:r>
        <w:t xml:space="preserve">Configure the key</w:t>
      </w:r>
      <w:r>
        <w:t xml:space="preserve"> </w:t>
      </w:r>
      <w:r>
        <w:rPr>
          <w:iCs/>
          <w:i/>
        </w:rPr>
        <w:t xml:space="preserve">aem.repositoryId</w:t>
      </w:r>
      <w:r>
        <w:t xml:space="preserve"> </w:t>
      </w:r>
      <w:r>
        <w:t xml:space="preserve">with your author URL in the</w:t>
      </w:r>
      <w:r>
        <w:t xml:space="preserve"> </w:t>
      </w:r>
      <w:r>
        <w:rPr>
          <w:bCs/>
          <w:b/>
        </w:rPr>
        <w:t xml:space="preserve">data</w:t>
      </w:r>
      <w:r>
        <w:t xml:space="preserve"> </w:t>
      </w:r>
      <w:r>
        <w:t xml:space="preserve">sheet as shown below.</w:t>
      </w:r>
      <w:r>
        <w:t xml:space="preserve"> </w:t>
      </w:r>
      <w:r>
        <w:rPr>
          <w:bCs/>
          <w:b/>
        </w:rPr>
        <w:t xml:space="preserve">Note: no https://</w:t>
      </w:r>
      <w:r>
        <w:t xml:space="preserve"> </w:t>
      </w:r>
      <w:r>
        <w:t xml:space="preserve">!</w:t>
      </w:r>
    </w:p>
    <w:p>
      <w:pPr>
        <w:pStyle w:val="FirstParagraph"/>
      </w:pPr>
      <w:r>
        <w:drawing>
          <wp:inline>
            <wp:extent cx="5943600" cy="1620981"/>
            <wp:effectExtent b="0" l="0" r="0" t="0"/>
            <wp:docPr descr="" title="" id="33" name="Picture"/>
            <a:graphic>
              <a:graphicData uri="http://schemas.openxmlformats.org/drawingml/2006/picture">
                <pic:pic>
                  <pic:nvPicPr>
                    <pic:cNvPr descr="/home/runner/workspace/cli/readme_assets/da_assets_author.png" id="34" name="Picture"/>
                    <pic:cNvPicPr>
                      <a:picLocks noChangeArrowheads="1" noChangeAspect="1"/>
                    </pic:cNvPicPr>
                  </pic:nvPicPr>
                  <pic:blipFill>
                    <a:blip r:embed="rId32"/>
                    <a:stretch>
                      <a:fillRect/>
                    </a:stretch>
                  </pic:blipFill>
                  <pic:spPr bwMode="auto">
                    <a:xfrm>
                      <a:off x="0" y="0"/>
                      <a:ext cx="5943600" cy="1620981"/>
                    </a:xfrm>
                    <a:prstGeom prst="rect">
                      <a:avLst/>
                    </a:prstGeom>
                    <a:noFill/>
                    <a:ln w="9525">
                      <a:noFill/>
                      <a:headEnd/>
                      <a:tailEnd/>
                    </a:ln>
                  </pic:spPr>
                </pic:pic>
              </a:graphicData>
            </a:graphic>
          </wp:inline>
        </w:drawing>
      </w:r>
    </w:p>
    <w:bookmarkEnd w:id="35"/>
    <w:bookmarkStart w:id="36" w:name="permissions"/>
    <w:p>
      <w:pPr>
        <w:pStyle w:val="Heading4"/>
      </w:pPr>
      <w:r>
        <w:t xml:space="preserve">Permissions</w:t>
      </w:r>
    </w:p>
    <w:p>
      <w:pPr>
        <w:numPr>
          <w:ilvl w:val="0"/>
          <w:numId w:val="1005"/>
        </w:numPr>
        <w:pStyle w:val="Compact"/>
      </w:pPr>
      <w:r>
        <w:t xml:space="preserve">In IMS, assign the group</w:t>
      </w:r>
      <w:r>
        <w:t xml:space="preserve"> </w:t>
      </w:r>
      <w:r>
        <w:rPr>
          <w:iCs/>
          <w:i/>
        </w:rPr>
        <w:t xml:space="preserve">AEM Assets Collaborator Users</w:t>
      </w:r>
      <w:r>
        <w:t xml:space="preserve"> </w:t>
      </w:r>
      <w:r>
        <w:t xml:space="preserve">to your VLab users on your dev sandbox author.</w:t>
      </w:r>
    </w:p>
    <w:bookmarkEnd w:id="36"/>
    <w:bookmarkEnd w:id="37"/>
    <w:bookmarkStart w:id="41" w:name="other-important-notes"/>
    <w:p>
      <w:pPr>
        <w:pStyle w:val="Heading3"/>
      </w:pPr>
      <w:r>
        <w:t xml:space="preserve">Other important notes:</w:t>
      </w:r>
    </w:p>
    <w:p>
      <w:pPr>
        <w:numPr>
          <w:ilvl w:val="0"/>
          <w:numId w:val="1006"/>
        </w:numPr>
        <w:pStyle w:val="Compact"/>
      </w:pPr>
      <w:r>
        <w:t xml:space="preserve">you can protect your site/org by creating a permissions sheet in your DA VLab Org and suitable user groups in IMS:</w:t>
      </w:r>
    </w:p>
    <w:p>
      <w:pPr>
        <w:numPr>
          <w:ilvl w:val="0"/>
          <w:numId w:val="1006"/>
        </w:numPr>
        <w:pStyle w:val="Compact"/>
      </w:pPr>
      <w:r>
        <w:t xml:space="preserve">The Org ID is found in the admin console URL, for example https://adminconsole.adobe.com/E15EA5EF56F25C847F000101@AdobeOrg. Two user groups have been created - da-admin and da-authors. Your students should be added to da-authors.</w:t>
      </w:r>
    </w:p>
    <w:p>
      <w:pPr>
        <w:pStyle w:val="FirstParagraph"/>
      </w:pPr>
      <w:r>
        <w:drawing>
          <wp:inline>
            <wp:extent cx="5943600" cy="2746805"/>
            <wp:effectExtent b="0" l="0" r="0" t="0"/>
            <wp:docPr descr="" title="" id="39" name="Picture"/>
            <a:graphic>
              <a:graphicData uri="http://schemas.openxmlformats.org/drawingml/2006/picture">
                <pic:pic>
                  <pic:nvPicPr>
                    <pic:cNvPr descr="/home/runner/workspace/cli/readme_assets/permissions_sheet.png" id="40" name="Picture"/>
                    <pic:cNvPicPr>
                      <a:picLocks noChangeArrowheads="1" noChangeAspect="1"/>
                    </pic:cNvPicPr>
                  </pic:nvPicPr>
                  <pic:blipFill>
                    <a:blip r:embed="rId38"/>
                    <a:stretch>
                      <a:fillRect/>
                    </a:stretch>
                  </pic:blipFill>
                  <pic:spPr bwMode="auto">
                    <a:xfrm>
                      <a:off x="0" y="0"/>
                      <a:ext cx="5943600" cy="2746805"/>
                    </a:xfrm>
                    <a:prstGeom prst="rect">
                      <a:avLst/>
                    </a:prstGeom>
                    <a:noFill/>
                    <a:ln w="9525">
                      <a:noFill/>
                      <a:headEnd/>
                      <a:tailEnd/>
                    </a:ln>
                  </pic:spPr>
                </pic:pic>
              </a:graphicData>
            </a:graphic>
          </wp:inline>
        </w:drawing>
      </w:r>
    </w:p>
    <w:bookmarkEnd w:id="41"/>
    <w:sectPr w:rsidR="00426D87" w:rsidSect="00A72413">
      <w:pgSz w:h="15840" w:w="12240"/>
      <w:pgMar w:bottom="1440" w:footer="720" w:gutter="0" w:header="720" w:left="1440" w:right="1440" w:top="32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1E1A23C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6EF1DA"/>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79911088"/>
    <w:multiLevelType w:val="hybridMultilevel"/>
    <w:tmpl w:val="B89254AA"/>
    <w:lvl w:ilvl="0" w:tplc="5ED0EE42">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090157337" w:numId="1">
    <w:abstractNumId w:val="0"/>
  </w:num>
  <w:num w16cid:durableId="467086771" w:numId="2">
    <w:abstractNumId w:val="1"/>
  </w:num>
  <w:num w16cid:durableId="414520131" w:numId="3">
    <w:abstractNumId w:val="1"/>
  </w:num>
  <w:num w16cid:durableId="1005284963" w:numId="4">
    <w:abstractNumId w:val="1"/>
  </w:num>
  <w:num w16cid:durableId="96101162" w:numId="5">
    <w:abstractNumId w:val="1"/>
  </w:num>
  <w:num w16cid:durableId="1407190515" w:numId="6">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7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1" w:qFormat="1"/>
    <w:lsdException w:name="heading 2"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uiPriority="35"/>
    <w:lsdException w:name="Title" w:uiPriority="10"/>
    <w:lsdException w:name="Subtitle" w:uiPriority="1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72413"/>
    <w:rPr>
      <w:sz w:val="20"/>
      <w:szCs w:val="20"/>
    </w:rPr>
  </w:style>
  <w:style w:styleId="Heading1" w:type="paragraph">
    <w:name w:val="heading 1"/>
    <w:basedOn w:val="Normal"/>
    <w:next w:val="Normal"/>
    <w:link w:val="Heading1Char"/>
    <w:uiPriority w:val="9"/>
    <w:qFormat/>
    <w:rsid w:val="00A72413"/>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A72413"/>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A72413"/>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A72413"/>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A72413"/>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A72413"/>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A72413"/>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A72413"/>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A72413"/>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pPr>
      <w:spacing w:after="180" w:before="180"/>
    </w:pPr>
  </w:style>
  <w:style w:customStyle="1" w:styleId="FirstParagraph" w:type="paragraph">
    <w:name w:val="First Paragraph"/>
    <w:basedOn w:val="BodyText"/>
    <w:next w:val="BodyTex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A72413"/>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A72413"/>
    <w:pPr>
      <w:spacing w:after="1000" w:line="240" w:lineRule="auto"/>
    </w:pPr>
    <w:rPr>
      <w:caps/>
      <w:color w:themeColor="text1" w:themeTint="A6" w:val="595959"/>
      <w:spacing w:val="10"/>
      <w:sz w:val="24"/>
      <w:szCs w:val="24"/>
    </w:rPr>
  </w:style>
  <w:style w:customStyle="1" w:styleId="Author" w:type="paragraph">
    <w:name w:val="Author"/>
    <w:next w:val="BodyText"/>
    <w:pPr>
      <w:keepNext/>
      <w:keepLines/>
      <w:jc w:val="center"/>
    </w:pPr>
  </w:style>
  <w:style w:styleId="Date" w:type="paragraph">
    <w:name w:val="Date"/>
    <w:next w:val="BodyText"/>
    <w:pPr>
      <w:keepNext/>
      <w:keepLines/>
      <w:jc w:val="center"/>
    </w:pPr>
  </w:style>
  <w:style w:customStyle="1" w:styleId="AbstractTitle" w:type="paragraph">
    <w:name w:val="Abstract Title"/>
    <w:basedOn w:val="Normal"/>
    <w:next w:val="Abstract"/>
    <w:pPr>
      <w:keepNext/>
      <w:keepLines/>
      <w:spacing w:after="0" w:before="300"/>
      <w:jc w:val="center"/>
    </w:pPr>
    <w:rPr>
      <w:b/>
      <w:color w:val="345A8A"/>
    </w:rPr>
  </w:style>
  <w:style w:customStyle="1" w:styleId="Abstract" w:type="paragraph">
    <w:name w:val="Abstract"/>
    <w:basedOn w:val="Normal"/>
    <w:next w:val="BodyText"/>
    <w:pPr>
      <w:keepNext/>
      <w:keepLines/>
      <w:spacing w:after="300" w:before="100"/>
    </w:p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A72413"/>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A72413"/>
    <w:pPr>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val="0"/>
      <w:bCs/>
      <w:color w:val="007020"/>
      <w:sz w:val="22"/>
      <w:szCs w:val="16"/>
    </w:rPr>
  </w:style>
  <w:style w:customStyle="1" w:styleId="DataTypeTok" w:type="character">
    <w:name w:val="DataTypeTok"/>
    <w:basedOn w:val="VerbatimChar"/>
    <w:rPr>
      <w:rFonts w:ascii="Consolas" w:hAnsi="Consolas"/>
      <w:b/>
      <w:bCs/>
      <w:color w:val="902000"/>
      <w:sz w:val="22"/>
      <w:szCs w:val="16"/>
    </w:rPr>
  </w:style>
  <w:style w:customStyle="1" w:styleId="DecValTok" w:type="character">
    <w:name w:val="DecValTok"/>
    <w:basedOn w:val="VerbatimChar"/>
    <w:rPr>
      <w:rFonts w:ascii="Consolas" w:hAnsi="Consolas"/>
      <w:b/>
      <w:bCs/>
      <w:color w:val="40A070"/>
      <w:sz w:val="22"/>
      <w:szCs w:val="16"/>
    </w:rPr>
  </w:style>
  <w:style w:customStyle="1" w:styleId="BaseNTok" w:type="character">
    <w:name w:val="BaseNTok"/>
    <w:basedOn w:val="VerbatimChar"/>
    <w:rPr>
      <w:rFonts w:ascii="Consolas" w:hAnsi="Consolas"/>
      <w:b/>
      <w:bCs/>
      <w:color w:val="40A070"/>
      <w:sz w:val="22"/>
      <w:szCs w:val="16"/>
    </w:rPr>
  </w:style>
  <w:style w:customStyle="1" w:styleId="FloatTok" w:type="character">
    <w:name w:val="FloatTok"/>
    <w:basedOn w:val="VerbatimChar"/>
    <w:rPr>
      <w:rFonts w:ascii="Consolas" w:hAnsi="Consolas"/>
      <w:b/>
      <w:bCs/>
      <w:color w:val="40A070"/>
      <w:sz w:val="22"/>
      <w:szCs w:val="16"/>
    </w:rPr>
  </w:style>
  <w:style w:customStyle="1" w:styleId="ConstantTok" w:type="character">
    <w:name w:val="ConstantTok"/>
    <w:basedOn w:val="VerbatimChar"/>
    <w:rPr>
      <w:rFonts w:ascii="Consolas" w:hAnsi="Consolas"/>
      <w:b/>
      <w:bCs/>
      <w:color w:val="880000"/>
      <w:sz w:val="22"/>
      <w:szCs w:val="16"/>
    </w:rPr>
  </w:style>
  <w:style w:customStyle="1" w:styleId="CharTok" w:type="character">
    <w:name w:val="CharTok"/>
    <w:basedOn w:val="VerbatimChar"/>
    <w:rPr>
      <w:rFonts w:ascii="Consolas" w:hAnsi="Consolas"/>
      <w:b/>
      <w:bCs/>
      <w:color w:val="4070A0"/>
      <w:sz w:val="22"/>
      <w:szCs w:val="16"/>
    </w:rPr>
  </w:style>
  <w:style w:customStyle="1" w:styleId="SpecialCharTok" w:type="character">
    <w:name w:val="SpecialCharTok"/>
    <w:basedOn w:val="VerbatimChar"/>
    <w:rPr>
      <w:rFonts w:ascii="Consolas" w:hAnsi="Consolas"/>
      <w:b/>
      <w:bCs/>
      <w:color w:val="4070A0"/>
      <w:sz w:val="22"/>
      <w:szCs w:val="16"/>
    </w:rPr>
  </w:style>
  <w:style w:customStyle="1" w:styleId="StringTok" w:type="character">
    <w:name w:val="StringTok"/>
    <w:basedOn w:val="VerbatimChar"/>
    <w:rPr>
      <w:rFonts w:ascii="Consolas" w:hAnsi="Consolas"/>
      <w:b/>
      <w:bCs/>
      <w:color w:val="4070A0"/>
      <w:sz w:val="22"/>
      <w:szCs w:val="16"/>
    </w:rPr>
  </w:style>
  <w:style w:customStyle="1" w:styleId="VerbatimStringTok" w:type="character">
    <w:name w:val="VerbatimStringTok"/>
    <w:basedOn w:val="VerbatimChar"/>
    <w:rPr>
      <w:rFonts w:ascii="Consolas" w:hAnsi="Consolas"/>
      <w:b/>
      <w:bCs/>
      <w:color w:val="4070A0"/>
      <w:sz w:val="22"/>
      <w:szCs w:val="16"/>
    </w:rPr>
  </w:style>
  <w:style w:customStyle="1" w:styleId="SpecialStringTok" w:type="character">
    <w:name w:val="SpecialStringTok"/>
    <w:basedOn w:val="VerbatimChar"/>
    <w:rPr>
      <w:rFonts w:ascii="Consolas" w:hAnsi="Consolas"/>
      <w:b/>
      <w:bCs/>
      <w:color w:val="BB6688"/>
      <w:sz w:val="22"/>
      <w:szCs w:val="16"/>
    </w:rPr>
  </w:style>
  <w:style w:customStyle="1" w:styleId="ImportTok" w:type="character">
    <w:name w:val="ImportTok"/>
    <w:basedOn w:val="VerbatimChar"/>
    <w:rPr>
      <w:rFonts w:ascii="Consolas" w:hAnsi="Consolas"/>
      <w:b w:val="0"/>
      <w:bCs/>
      <w:color w:val="008000"/>
      <w:sz w:val="22"/>
      <w:szCs w:val="16"/>
    </w:rPr>
  </w:style>
  <w:style w:customStyle="1" w:styleId="CommentTok" w:type="character">
    <w:name w:val="CommentTok"/>
    <w:basedOn w:val="VerbatimChar"/>
    <w:rPr>
      <w:rFonts w:ascii="Consolas" w:hAnsi="Consolas"/>
      <w:b/>
      <w:bCs/>
      <w:i/>
      <w:color w:val="60A0B0"/>
      <w:sz w:val="22"/>
      <w:szCs w:val="16"/>
    </w:rPr>
  </w:style>
  <w:style w:customStyle="1" w:styleId="DocumentationTok" w:type="character">
    <w:name w:val="DocumentationTok"/>
    <w:basedOn w:val="VerbatimChar"/>
    <w:rPr>
      <w:rFonts w:ascii="Consolas" w:hAnsi="Consolas"/>
      <w:b/>
      <w:bCs/>
      <w:i/>
      <w:color w:val="BA2121"/>
      <w:sz w:val="22"/>
      <w:szCs w:val="16"/>
    </w:rPr>
  </w:style>
  <w:style w:customStyle="1" w:styleId="AnnotationTok" w:type="character">
    <w:name w:val="AnnotationTok"/>
    <w:basedOn w:val="VerbatimChar"/>
    <w:rPr>
      <w:rFonts w:ascii="Consolas" w:hAnsi="Consolas"/>
      <w:b w:val="0"/>
      <w:bCs/>
      <w:i/>
      <w:color w:val="60A0B0"/>
      <w:sz w:val="22"/>
      <w:szCs w:val="16"/>
    </w:rPr>
  </w:style>
  <w:style w:customStyle="1" w:styleId="CommentVarTok" w:type="character">
    <w:name w:val="CommentVarTok"/>
    <w:basedOn w:val="VerbatimChar"/>
    <w:rPr>
      <w:rFonts w:ascii="Consolas" w:hAnsi="Consolas"/>
      <w:b w:val="0"/>
      <w:bCs/>
      <w:i/>
      <w:color w:val="60A0B0"/>
      <w:sz w:val="22"/>
      <w:szCs w:val="16"/>
    </w:rPr>
  </w:style>
  <w:style w:customStyle="1" w:styleId="OtherTok" w:type="character">
    <w:name w:val="OtherTok"/>
    <w:basedOn w:val="VerbatimChar"/>
    <w:rPr>
      <w:rFonts w:ascii="Consolas" w:hAnsi="Consolas"/>
      <w:b/>
      <w:bCs/>
      <w:color w:val="007020"/>
      <w:sz w:val="22"/>
      <w:szCs w:val="16"/>
    </w:rPr>
  </w:style>
  <w:style w:customStyle="1" w:styleId="FunctionTok" w:type="character">
    <w:name w:val="FunctionTok"/>
    <w:basedOn w:val="VerbatimChar"/>
    <w:rPr>
      <w:rFonts w:ascii="Consolas" w:hAnsi="Consolas"/>
      <w:b/>
      <w:bCs/>
      <w:color w:val="06287E"/>
      <w:sz w:val="22"/>
      <w:szCs w:val="16"/>
    </w:rPr>
  </w:style>
  <w:style w:customStyle="1" w:styleId="VariableTok" w:type="character">
    <w:name w:val="VariableTok"/>
    <w:basedOn w:val="VerbatimChar"/>
    <w:rPr>
      <w:rFonts w:ascii="Consolas" w:hAnsi="Consolas"/>
      <w:b/>
      <w:bCs/>
      <w:color w:val="19177C"/>
      <w:sz w:val="22"/>
      <w:szCs w:val="16"/>
    </w:rPr>
  </w:style>
  <w:style w:customStyle="1" w:styleId="ControlFlowTok" w:type="character">
    <w:name w:val="ControlFlowTok"/>
    <w:basedOn w:val="VerbatimChar"/>
    <w:rPr>
      <w:rFonts w:ascii="Consolas" w:hAnsi="Consolas"/>
      <w:b w:val="0"/>
      <w:bCs/>
      <w:color w:val="007020"/>
      <w:sz w:val="22"/>
      <w:szCs w:val="16"/>
    </w:rPr>
  </w:style>
  <w:style w:customStyle="1" w:styleId="OperatorTok" w:type="character">
    <w:name w:val="OperatorTok"/>
    <w:basedOn w:val="VerbatimChar"/>
    <w:rPr>
      <w:rFonts w:ascii="Consolas" w:hAnsi="Consolas"/>
      <w:b/>
      <w:bCs/>
      <w:color w:val="666666"/>
      <w:sz w:val="22"/>
      <w:szCs w:val="16"/>
    </w:rPr>
  </w:style>
  <w:style w:customStyle="1" w:styleId="BuiltInTok" w:type="character">
    <w:name w:val="BuiltInTok"/>
    <w:basedOn w:val="VerbatimChar"/>
    <w:rPr>
      <w:rFonts w:ascii="Consolas" w:hAnsi="Consolas"/>
      <w:b/>
      <w:bCs/>
      <w:color w:val="008000"/>
      <w:sz w:val="22"/>
      <w:szCs w:val="16"/>
    </w:rPr>
  </w:style>
  <w:style w:customStyle="1" w:styleId="ExtensionTok" w:type="character">
    <w:name w:val="ExtensionTok"/>
    <w:basedOn w:val="VerbatimChar"/>
    <w:rPr>
      <w:rFonts w:ascii="Consolas" w:hAnsi="Consolas"/>
      <w:b/>
      <w:bCs/>
      <w:color w:themeColor="accent1" w:themeShade="BF" w:val="365F91"/>
      <w:sz w:val="22"/>
      <w:szCs w:val="16"/>
    </w:rPr>
  </w:style>
  <w:style w:customStyle="1" w:styleId="PreprocessorTok" w:type="character">
    <w:name w:val="PreprocessorTok"/>
    <w:basedOn w:val="VerbatimChar"/>
    <w:rPr>
      <w:rFonts w:ascii="Consolas" w:hAnsi="Consolas"/>
      <w:b/>
      <w:bCs/>
      <w:color w:val="BC7A00"/>
      <w:sz w:val="22"/>
      <w:szCs w:val="16"/>
    </w:rPr>
  </w:style>
  <w:style w:customStyle="1" w:styleId="AttributeTok" w:type="character">
    <w:name w:val="AttributeTok"/>
    <w:basedOn w:val="VerbatimChar"/>
    <w:rPr>
      <w:rFonts w:ascii="Consolas" w:hAnsi="Consolas"/>
      <w:b/>
      <w:bCs/>
      <w:color w:val="7D9029"/>
      <w:sz w:val="22"/>
      <w:szCs w:val="16"/>
    </w:rPr>
  </w:style>
  <w:style w:customStyle="1" w:styleId="RegionMarkerTok" w:type="character">
    <w:name w:val="RegionMarkerTok"/>
    <w:basedOn w:val="VerbatimChar"/>
    <w:rPr>
      <w:rFonts w:ascii="Consolas" w:hAnsi="Consolas"/>
      <w:b/>
      <w:bCs/>
      <w:color w:themeColor="accent1" w:themeShade="BF" w:val="365F91"/>
      <w:sz w:val="22"/>
      <w:szCs w:val="16"/>
    </w:rPr>
  </w:style>
  <w:style w:customStyle="1" w:styleId="InformationTok" w:type="character">
    <w:name w:val="InformationTok"/>
    <w:basedOn w:val="VerbatimChar"/>
    <w:rPr>
      <w:rFonts w:ascii="Consolas" w:hAnsi="Consolas"/>
      <w:b w:val="0"/>
      <w:bCs/>
      <w:i/>
      <w:color w:val="60A0B0"/>
      <w:sz w:val="22"/>
      <w:szCs w:val="16"/>
    </w:rPr>
  </w:style>
  <w:style w:customStyle="1" w:styleId="WarningTok" w:type="character">
    <w:name w:val="WarningTok"/>
    <w:basedOn w:val="VerbatimChar"/>
    <w:rPr>
      <w:rFonts w:ascii="Consolas" w:hAnsi="Consolas"/>
      <w:b w:val="0"/>
      <w:bCs/>
      <w:i/>
      <w:color w:val="60A0B0"/>
      <w:sz w:val="22"/>
      <w:szCs w:val="16"/>
    </w:rPr>
  </w:style>
  <w:style w:customStyle="1" w:styleId="AlertTok" w:type="character">
    <w:name w:val="AlertTok"/>
    <w:basedOn w:val="VerbatimChar"/>
    <w:rPr>
      <w:rFonts w:ascii="Consolas" w:hAnsi="Consolas"/>
      <w:b w:val="0"/>
      <w:bCs/>
      <w:color w:val="FF0000"/>
      <w:sz w:val="22"/>
      <w:szCs w:val="16"/>
    </w:rPr>
  </w:style>
  <w:style w:customStyle="1" w:styleId="ErrorTok" w:type="character">
    <w:name w:val="ErrorTok"/>
    <w:basedOn w:val="VerbatimChar"/>
    <w:rPr>
      <w:rFonts w:ascii="Consolas" w:hAnsi="Consolas"/>
      <w:b w:val="0"/>
      <w:bCs/>
      <w:color w:val="FF0000"/>
      <w:sz w:val="22"/>
      <w:szCs w:val="16"/>
    </w:rPr>
  </w:style>
  <w:style w:customStyle="1" w:styleId="NormalTok" w:type="character">
    <w:name w:val="NormalTok"/>
    <w:basedOn w:val="VerbatimChar"/>
    <w:rPr>
      <w:rFonts w:ascii="Consolas" w:hAnsi="Consolas"/>
      <w:b/>
      <w:bCs/>
      <w:color w:themeColor="accent1" w:themeShade="BF" w:val="365F91"/>
      <w:sz w:val="22"/>
      <w:szCs w:val="16"/>
    </w:rPr>
  </w:style>
  <w:style w:customStyle="1" w:styleId="Heading1Char" w:type="character">
    <w:name w:val="Heading 1 Char"/>
    <w:basedOn w:val="DefaultParagraphFont"/>
    <w:link w:val="Heading1"/>
    <w:uiPriority w:val="9"/>
    <w:rsid w:val="00A72413"/>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A72413"/>
    <w:rPr>
      <w:caps/>
      <w:spacing w:val="15"/>
      <w:shd w:color="auto" w:fill="DBE5F1" w:themeFill="accent1" w:themeFillTint="33" w:val="clear"/>
    </w:rPr>
  </w:style>
  <w:style w:customStyle="1" w:styleId="Heading3Char" w:type="character">
    <w:name w:val="Heading 3 Char"/>
    <w:basedOn w:val="DefaultParagraphFont"/>
    <w:link w:val="Heading3"/>
    <w:uiPriority w:val="9"/>
    <w:rsid w:val="00A72413"/>
    <w:rPr>
      <w:caps/>
      <w:color w:themeColor="accent1" w:themeShade="7F" w:val="243F60"/>
      <w:spacing w:val="15"/>
    </w:rPr>
  </w:style>
  <w:style w:customStyle="1" w:styleId="Heading4Char" w:type="character">
    <w:name w:val="Heading 4 Char"/>
    <w:basedOn w:val="DefaultParagraphFont"/>
    <w:link w:val="Heading4"/>
    <w:uiPriority w:val="9"/>
    <w:rsid w:val="00A72413"/>
    <w:rPr>
      <w:caps/>
      <w:color w:themeColor="accent1" w:themeShade="BF" w:val="365F91"/>
      <w:spacing w:val="10"/>
    </w:rPr>
  </w:style>
  <w:style w:customStyle="1" w:styleId="Heading5Char" w:type="character">
    <w:name w:val="Heading 5 Char"/>
    <w:basedOn w:val="DefaultParagraphFont"/>
    <w:link w:val="Heading5"/>
    <w:uiPriority w:val="9"/>
    <w:rsid w:val="00A72413"/>
    <w:rPr>
      <w:caps/>
      <w:color w:themeColor="accent1" w:themeShade="BF" w:val="365F91"/>
      <w:spacing w:val="10"/>
    </w:rPr>
  </w:style>
  <w:style w:customStyle="1" w:styleId="Heading6Char" w:type="character">
    <w:name w:val="Heading 6 Char"/>
    <w:basedOn w:val="DefaultParagraphFont"/>
    <w:link w:val="Heading6"/>
    <w:uiPriority w:val="9"/>
    <w:rsid w:val="00A72413"/>
    <w:rPr>
      <w:caps/>
      <w:color w:themeColor="accent1" w:themeShade="BF" w:val="365F91"/>
      <w:spacing w:val="10"/>
    </w:rPr>
  </w:style>
  <w:style w:customStyle="1" w:styleId="Heading7Char" w:type="character">
    <w:name w:val="Heading 7 Char"/>
    <w:basedOn w:val="DefaultParagraphFont"/>
    <w:link w:val="Heading7"/>
    <w:uiPriority w:val="9"/>
    <w:rsid w:val="00A72413"/>
    <w:rPr>
      <w:caps/>
      <w:color w:themeColor="accent1" w:themeShade="BF" w:val="365F91"/>
      <w:spacing w:val="10"/>
    </w:rPr>
  </w:style>
  <w:style w:customStyle="1" w:styleId="Heading8Char" w:type="character">
    <w:name w:val="Heading 8 Char"/>
    <w:basedOn w:val="DefaultParagraphFont"/>
    <w:link w:val="Heading8"/>
    <w:uiPriority w:val="9"/>
    <w:rsid w:val="00A72413"/>
    <w:rPr>
      <w:caps/>
      <w:spacing w:val="10"/>
      <w:sz w:val="18"/>
      <w:szCs w:val="18"/>
    </w:rPr>
  </w:style>
  <w:style w:customStyle="1" w:styleId="Heading9Char" w:type="character">
    <w:name w:val="Heading 9 Char"/>
    <w:basedOn w:val="DefaultParagraphFont"/>
    <w:link w:val="Heading9"/>
    <w:uiPriority w:val="9"/>
    <w:rsid w:val="00A72413"/>
    <w:rPr>
      <w:i/>
      <w:caps/>
      <w:spacing w:val="10"/>
      <w:sz w:val="18"/>
      <w:szCs w:val="18"/>
    </w:rPr>
  </w:style>
  <w:style w:customStyle="1" w:styleId="TitleChar" w:type="character">
    <w:name w:val="Title Char"/>
    <w:basedOn w:val="DefaultParagraphFont"/>
    <w:link w:val="Title"/>
    <w:uiPriority w:val="10"/>
    <w:rsid w:val="00A72413"/>
    <w:rPr>
      <w:caps/>
      <w:color w:themeColor="accent1" w:val="4F81BD"/>
      <w:spacing w:val="10"/>
      <w:kern w:val="28"/>
      <w:sz w:val="52"/>
      <w:szCs w:val="52"/>
    </w:rPr>
  </w:style>
  <w:style w:customStyle="1" w:styleId="SubtitleChar" w:type="character">
    <w:name w:val="Subtitle Char"/>
    <w:basedOn w:val="DefaultParagraphFont"/>
    <w:link w:val="Subtitle"/>
    <w:uiPriority w:val="11"/>
    <w:rsid w:val="00A72413"/>
    <w:rPr>
      <w:caps/>
      <w:color w:themeColor="text1" w:themeTint="A6" w:val="595959"/>
      <w:spacing w:val="10"/>
      <w:sz w:val="24"/>
      <w:szCs w:val="24"/>
    </w:rPr>
  </w:style>
  <w:style w:styleId="Strong" w:type="character">
    <w:name w:val="Strong"/>
    <w:uiPriority w:val="22"/>
    <w:qFormat/>
    <w:rsid w:val="00A72413"/>
    <w:rPr>
      <w:b/>
      <w:bCs/>
    </w:rPr>
  </w:style>
  <w:style w:styleId="Emphasis" w:type="character">
    <w:name w:val="Emphasis"/>
    <w:uiPriority w:val="20"/>
    <w:qFormat/>
    <w:rsid w:val="00A72413"/>
    <w:rPr>
      <w:caps/>
      <w:color w:themeColor="accent1" w:themeShade="7F" w:val="243F60"/>
      <w:spacing w:val="5"/>
    </w:rPr>
  </w:style>
  <w:style w:styleId="NoSpacing" w:type="paragraph">
    <w:name w:val="No Spacing"/>
    <w:basedOn w:val="Normal"/>
    <w:link w:val="NoSpacingChar"/>
    <w:uiPriority w:val="1"/>
    <w:qFormat/>
    <w:rsid w:val="00A72413"/>
    <w:pPr>
      <w:spacing w:after="0" w:before="0" w:line="240" w:lineRule="auto"/>
    </w:pPr>
  </w:style>
  <w:style w:customStyle="1" w:styleId="NoSpacingChar" w:type="character">
    <w:name w:val="No Spacing Char"/>
    <w:basedOn w:val="DefaultParagraphFont"/>
    <w:link w:val="NoSpacing"/>
    <w:uiPriority w:val="1"/>
    <w:rsid w:val="00A72413"/>
    <w:rPr>
      <w:sz w:val="20"/>
      <w:szCs w:val="20"/>
    </w:rPr>
  </w:style>
  <w:style w:styleId="ListParagraph" w:type="paragraph">
    <w:name w:val="List Paragraph"/>
    <w:basedOn w:val="Normal"/>
    <w:uiPriority w:val="34"/>
    <w:qFormat/>
    <w:rsid w:val="00A72413"/>
    <w:pPr>
      <w:ind w:left="720"/>
      <w:contextualSpacing/>
    </w:pPr>
  </w:style>
  <w:style w:styleId="Quote" w:type="paragraph">
    <w:name w:val="Quote"/>
    <w:basedOn w:val="Normal"/>
    <w:next w:val="Normal"/>
    <w:link w:val="QuoteChar"/>
    <w:uiPriority w:val="29"/>
    <w:qFormat/>
    <w:rsid w:val="00A72413"/>
    <w:rPr>
      <w:i/>
      <w:iCs/>
    </w:rPr>
  </w:style>
  <w:style w:customStyle="1" w:styleId="QuoteChar" w:type="character">
    <w:name w:val="Quote Char"/>
    <w:basedOn w:val="DefaultParagraphFont"/>
    <w:link w:val="Quote"/>
    <w:uiPriority w:val="29"/>
    <w:rsid w:val="00A72413"/>
    <w:rPr>
      <w:i/>
      <w:iCs/>
      <w:sz w:val="20"/>
      <w:szCs w:val="20"/>
    </w:rPr>
  </w:style>
  <w:style w:styleId="IntenseQuote" w:type="paragraph">
    <w:name w:val="Intense Quote"/>
    <w:basedOn w:val="Normal"/>
    <w:next w:val="Normal"/>
    <w:link w:val="IntenseQuoteChar"/>
    <w:uiPriority w:val="30"/>
    <w:qFormat/>
    <w:rsid w:val="00A72413"/>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A72413"/>
    <w:rPr>
      <w:i/>
      <w:iCs/>
      <w:color w:themeColor="accent1" w:val="4F81BD"/>
      <w:sz w:val="20"/>
      <w:szCs w:val="20"/>
    </w:rPr>
  </w:style>
  <w:style w:styleId="SubtleEmphasis" w:type="character">
    <w:name w:val="Subtle Emphasis"/>
    <w:uiPriority w:val="19"/>
    <w:qFormat/>
    <w:rsid w:val="00A72413"/>
    <w:rPr>
      <w:i/>
      <w:iCs/>
      <w:color w:themeColor="accent1" w:themeShade="7F" w:val="243F60"/>
    </w:rPr>
  </w:style>
  <w:style w:styleId="IntenseEmphasis" w:type="character">
    <w:name w:val="Intense Emphasis"/>
    <w:uiPriority w:val="21"/>
    <w:qFormat/>
    <w:rsid w:val="00A72413"/>
    <w:rPr>
      <w:b/>
      <w:bCs/>
      <w:caps/>
      <w:color w:themeColor="accent1" w:themeShade="7F" w:val="243F60"/>
      <w:spacing w:val="10"/>
    </w:rPr>
  </w:style>
  <w:style w:styleId="SubtleReference" w:type="character">
    <w:name w:val="Subtle Reference"/>
    <w:uiPriority w:val="31"/>
    <w:qFormat/>
    <w:rsid w:val="00A72413"/>
    <w:rPr>
      <w:b/>
      <w:bCs/>
      <w:color w:themeColor="accent1" w:val="4F81BD"/>
    </w:rPr>
  </w:style>
  <w:style w:styleId="IntenseReference" w:type="character">
    <w:name w:val="Intense Reference"/>
    <w:uiPriority w:val="32"/>
    <w:qFormat/>
    <w:rsid w:val="00A72413"/>
    <w:rPr>
      <w:b/>
      <w:bCs/>
      <w:i/>
      <w:iCs/>
      <w:caps/>
      <w:color w:themeColor="accent1" w:val="4F81BD"/>
    </w:rPr>
  </w:style>
  <w:style w:styleId="BookTitle" w:type="character">
    <w:name w:val="Book Title"/>
    <w:uiPriority w:val="33"/>
    <w:qFormat/>
    <w:rsid w:val="00A72413"/>
    <w:rPr>
      <w:b/>
      <w:bCs/>
      <w:i/>
      <w:iCs/>
      <w:spacing w:val="9"/>
    </w:rPr>
  </w:style>
  <w:style w:customStyle="1" w:styleId="PersonalName" w:type="paragraph">
    <w:name w:val="Personal Name"/>
    <w:basedOn w:val="Title"/>
    <w:rsid w:val="00A72413"/>
    <w:rPr>
      <w:b/>
      <w:cap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hyperlink" Id="rId23" Target="https://da.live/apps/bulk" TargetMode="External" /><Relationship Type="http://schemas.openxmlformats.org/officeDocument/2006/relationships/hyperlink" Id="rId22" Target="https://da.live/apps/import" TargetMode="External" /><Relationship Type="http://schemas.openxmlformats.org/officeDocument/2006/relationships/hyperlink" Id="rId24" Target="https://da.live/apps/snapshots" TargetMode="External" /><Relationship Type="http://schemas.openxmlformats.org/officeDocument/2006/relationships/hyperlink" Id="rId30" Target="https://github.com/apps/aem-code-sync" TargetMode="External" /><Relationship Type="http://schemas.openxmlformats.org/officeDocument/2006/relationships/hyperlink" Id="rId20" Target="https://github.com/knennigtri/merge-markdown" TargetMode="External" /></Relationships>
</file>

<file path=word/_rels/footnotes.xml.rels><?xml version="1.0" encoding="UTF-8"?><Relationships xmlns="http://schemas.openxmlformats.org/package/2006/relationships"><Relationship Type="http://schemas.openxmlformats.org/officeDocument/2006/relationships/hyperlink" Id="rId23" Target="https://da.live/apps/bulk" TargetMode="External" /><Relationship Type="http://schemas.openxmlformats.org/officeDocument/2006/relationships/hyperlink" Id="rId22" Target="https://da.live/apps/import" TargetMode="External" /><Relationship Type="http://schemas.openxmlformats.org/officeDocument/2006/relationships/hyperlink" Id="rId24" Target="https://da.live/apps/snapshots" TargetMode="External" /><Relationship Type="http://schemas.openxmlformats.org/officeDocument/2006/relationships/hyperlink" Id="rId30" Target="https://github.com/apps/aem-code-sync" TargetMode="External" /><Relationship Type="http://schemas.openxmlformats.org/officeDocument/2006/relationships/hyperlink" Id="rId20" Target="https://github.com/knennigtri/merge-markdow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Guide notes</dc:title>
  <dc:creator/>
  <cp:keywords/>
  <dcterms:created xsi:type="dcterms:W3CDTF">2025-12-17T16:12:33Z</dcterms:created>
  <dcterms:modified xsi:type="dcterms:W3CDTF">2025-12-17T16:12:33Z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with AEM Assets View</vt:lpwstr>
  </property>
</Properties>
</file>