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D7" w:rsidRDefault="00E33AE6">
      <w:pPr>
        <w:spacing w:after="784" w:line="259" w:lineRule="auto"/>
        <w:ind w:left="864" w:firstLine="0"/>
        <w:jc w:val="left"/>
      </w:pPr>
      <w:bookmarkStart w:id="0" w:name="_GoBack"/>
      <w:bookmarkEnd w:id="0"/>
      <w:r>
        <w:rPr>
          <w:rFonts w:ascii="Arial" w:eastAsia="Arial" w:hAnsi="Arial" w:cs="Arial"/>
        </w:rPr>
        <w:t xml:space="preserve"> </w:t>
      </w:r>
    </w:p>
    <w:p w:rsidR="00BB52D7" w:rsidRDefault="00E33AE6">
      <w:pPr>
        <w:spacing w:after="0" w:line="265" w:lineRule="auto"/>
        <w:ind w:left="874"/>
        <w:jc w:val="left"/>
      </w:pPr>
      <w:r>
        <w:rPr>
          <w:noProof/>
        </w:rPr>
        <w:drawing>
          <wp:anchor distT="0" distB="0" distL="114300" distR="114300" simplePos="0" relativeHeight="251658240" behindDoc="0" locked="0" layoutInCell="1" allowOverlap="0">
            <wp:simplePos x="0" y="0"/>
            <wp:positionH relativeFrom="column">
              <wp:posOffset>548552</wp:posOffset>
            </wp:positionH>
            <wp:positionV relativeFrom="paragraph">
              <wp:posOffset>-467381</wp:posOffset>
            </wp:positionV>
            <wp:extent cx="1572361" cy="770534"/>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1572361" cy="770534"/>
                    </a:xfrm>
                    <a:prstGeom prst="rect">
                      <a:avLst/>
                    </a:prstGeom>
                  </pic:spPr>
                </pic:pic>
              </a:graphicData>
            </a:graphic>
          </wp:anchor>
        </w:drawing>
      </w:r>
      <w:r>
        <w:rPr>
          <w:rFonts w:ascii="Arial" w:eastAsia="Arial" w:hAnsi="Arial" w:cs="Arial"/>
          <w:sz w:val="23"/>
        </w:rPr>
        <w:t>EUROPEAN</w:t>
      </w:r>
      <w:r>
        <w:rPr>
          <w:rFonts w:ascii="Arial" w:eastAsia="Arial" w:hAnsi="Arial" w:cs="Arial"/>
        </w:rPr>
        <w:t xml:space="preserve"> </w:t>
      </w:r>
    </w:p>
    <w:p w:rsidR="00BB52D7" w:rsidRDefault="00E33AE6">
      <w:pPr>
        <w:tabs>
          <w:tab w:val="center" w:pos="4165"/>
          <w:tab w:val="center" w:pos="9748"/>
        </w:tabs>
        <w:spacing w:after="1002" w:line="265"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sz w:val="23"/>
        </w:rPr>
        <w:t xml:space="preserve">COMMISSION </w:t>
      </w:r>
      <w:r>
        <w:rPr>
          <w:rFonts w:ascii="Arial" w:eastAsia="Arial" w:hAnsi="Arial" w:cs="Arial"/>
          <w:sz w:val="23"/>
        </w:rPr>
        <w:tab/>
        <w:t xml:space="preserve"> </w:t>
      </w:r>
    </w:p>
    <w:p w:rsidR="00BB52D7" w:rsidRDefault="00E33AE6">
      <w:pPr>
        <w:spacing w:after="0" w:line="265" w:lineRule="auto"/>
        <w:ind w:left="3143" w:right="81"/>
        <w:jc w:val="center"/>
      </w:pPr>
      <w:r>
        <w:t xml:space="preserve">Brussels, 17.12.2015  </w:t>
      </w:r>
    </w:p>
    <w:p w:rsidR="00BB52D7" w:rsidRDefault="00E33AE6">
      <w:pPr>
        <w:spacing w:after="518" w:line="265" w:lineRule="auto"/>
        <w:ind w:left="3143"/>
        <w:jc w:val="center"/>
      </w:pPr>
      <w:r>
        <w:t xml:space="preserve">SWD(2015) 293 final </w:t>
      </w:r>
    </w:p>
    <w:p w:rsidR="00BB52D7" w:rsidRDefault="00E33AE6">
      <w:pPr>
        <w:spacing w:after="493" w:line="259" w:lineRule="auto"/>
        <w:ind w:left="1219" w:firstLine="0"/>
        <w:jc w:val="center"/>
      </w:pPr>
      <w:r>
        <w:rPr>
          <w:i/>
          <w:sz w:val="32"/>
        </w:rPr>
        <w:t xml:space="preserve">  </w:t>
      </w:r>
    </w:p>
    <w:p w:rsidR="00BB52D7" w:rsidRDefault="00E33AE6">
      <w:pPr>
        <w:spacing w:after="0" w:line="259" w:lineRule="auto"/>
        <w:ind w:left="10" w:right="65"/>
        <w:jc w:val="center"/>
      </w:pPr>
      <w:r>
        <w:rPr>
          <w:b/>
        </w:rPr>
        <w:t xml:space="preserve">COMMISSION STAFF WORKING DOCUMENT </w:t>
      </w:r>
    </w:p>
    <w:p w:rsidR="00BB52D7" w:rsidRDefault="00E33AE6">
      <w:pPr>
        <w:spacing w:after="0" w:line="259" w:lineRule="auto"/>
        <w:ind w:left="0" w:firstLine="0"/>
        <w:jc w:val="center"/>
      </w:pPr>
      <w:r>
        <w:rPr>
          <w:b/>
        </w:rPr>
        <w:t xml:space="preserve"> </w:t>
      </w:r>
    </w:p>
    <w:p w:rsidR="00BB52D7" w:rsidRDefault="00E33AE6">
      <w:pPr>
        <w:spacing w:after="0" w:line="259" w:lineRule="auto"/>
        <w:ind w:left="10" w:right="62"/>
        <w:jc w:val="center"/>
      </w:pPr>
      <w:r>
        <w:rPr>
          <w:b/>
        </w:rPr>
        <w:t xml:space="preserve">IMPACT ASSESSMENT </w:t>
      </w:r>
    </w:p>
    <w:p w:rsidR="00BB52D7" w:rsidRDefault="00E33AE6">
      <w:pPr>
        <w:spacing w:after="0" w:line="259" w:lineRule="auto"/>
        <w:ind w:left="0" w:firstLine="0"/>
        <w:jc w:val="center"/>
      </w:pPr>
      <w:r>
        <w:rPr>
          <w:b/>
        </w:rPr>
        <w:t xml:space="preserve"> </w:t>
      </w:r>
    </w:p>
    <w:p w:rsidR="00BB52D7" w:rsidRDefault="00E33AE6">
      <w:pPr>
        <w:spacing w:after="213" w:line="259" w:lineRule="auto"/>
        <w:ind w:left="0" w:right="63" w:firstLine="0"/>
        <w:jc w:val="center"/>
      </w:pPr>
      <w:r>
        <w:rPr>
          <w:b/>
          <w:i/>
        </w:rPr>
        <w:t xml:space="preserve">Accompanying the document </w:t>
      </w:r>
    </w:p>
    <w:p w:rsidR="00BB52D7" w:rsidRDefault="00E33AE6">
      <w:pPr>
        <w:spacing w:after="213" w:line="259" w:lineRule="auto"/>
        <w:ind w:left="10" w:right="65"/>
        <w:jc w:val="center"/>
      </w:pPr>
      <w:r>
        <w:rPr>
          <w:b/>
        </w:rPr>
        <w:t xml:space="preserve">COMMISSION DELEGATED REGULATION </w:t>
      </w:r>
    </w:p>
    <w:p w:rsidR="00BB52D7" w:rsidRDefault="00E33AE6">
      <w:pPr>
        <w:spacing w:after="342" w:line="248" w:lineRule="auto"/>
        <w:ind w:left="3279" w:right="647" w:hanging="2189"/>
      </w:pPr>
      <w:r>
        <w:rPr>
          <w:b/>
        </w:rPr>
        <w:t xml:space="preserve">supplementing Directive 2009/65/EC of the European Parliament and of the Council with regard to obligations of depositaries </w:t>
      </w:r>
    </w:p>
    <w:p w:rsidR="00BB52D7" w:rsidRDefault="00E33AE6">
      <w:pPr>
        <w:spacing w:after="0" w:line="265" w:lineRule="auto"/>
        <w:ind w:left="3143" w:right="3200"/>
        <w:jc w:val="center"/>
      </w:pPr>
      <w:r>
        <w:t xml:space="preserve">{C(2015) 9160 final} </w:t>
      </w:r>
    </w:p>
    <w:p w:rsidR="00BB52D7" w:rsidRDefault="00E33AE6">
      <w:pPr>
        <w:tabs>
          <w:tab w:val="center" w:pos="5355"/>
          <w:tab w:val="center" w:pos="9866"/>
        </w:tabs>
        <w:spacing w:after="6437"/>
        <w:ind w:left="0" w:firstLine="0"/>
        <w:jc w:val="left"/>
      </w:pPr>
      <w:r>
        <w:rPr>
          <w:rFonts w:ascii="Calibri" w:eastAsia="Calibri" w:hAnsi="Calibri" w:cs="Calibri"/>
          <w:sz w:val="22"/>
        </w:rPr>
        <w:tab/>
      </w:r>
      <w:r>
        <w:t xml:space="preserve">{SWD(2015) 292 final} </w:t>
      </w:r>
      <w:r>
        <w:tab/>
        <w:t xml:space="preserve"> </w:t>
      </w:r>
    </w:p>
    <w:p w:rsidR="00BB52D7" w:rsidRDefault="00E33AE6">
      <w:pPr>
        <w:tabs>
          <w:tab w:val="center" w:pos="5385"/>
          <w:tab w:val="right" w:pos="10772"/>
        </w:tabs>
        <w:spacing w:after="0" w:line="259" w:lineRule="auto"/>
        <w:ind w:left="0" w:firstLine="0"/>
        <w:jc w:val="left"/>
      </w:pPr>
      <w:r>
        <w:rPr>
          <w:rFonts w:ascii="Arial" w:eastAsia="Arial" w:hAnsi="Arial" w:cs="Arial"/>
          <w:b/>
          <w:sz w:val="48"/>
        </w:rPr>
        <w:lastRenderedPageBreak/>
        <w:t xml:space="preserve">EN </w:t>
      </w:r>
      <w:r>
        <w:rPr>
          <w:rFonts w:ascii="Arial" w:eastAsia="Arial" w:hAnsi="Arial" w:cs="Arial"/>
          <w:b/>
          <w:sz w:val="48"/>
        </w:rPr>
        <w:tab/>
        <w:t xml:space="preserve"> </w:t>
      </w:r>
      <w:r>
        <w:rPr>
          <w:rFonts w:ascii="Arial" w:eastAsia="Arial" w:hAnsi="Arial" w:cs="Arial"/>
          <w:b/>
          <w:sz w:val="48"/>
        </w:rPr>
        <w:tab/>
      </w:r>
      <w:r>
        <w:t xml:space="preserve"> </w:t>
      </w:r>
      <w:r>
        <w:rPr>
          <w:sz w:val="37"/>
          <w:vertAlign w:val="subscript"/>
        </w:rPr>
        <w:t xml:space="preserve"> </w:t>
      </w:r>
      <w:r>
        <w:rPr>
          <w:rFonts w:ascii="Arial" w:eastAsia="Arial" w:hAnsi="Arial" w:cs="Arial"/>
          <w:b/>
          <w:sz w:val="48"/>
        </w:rPr>
        <w:t xml:space="preserve">EN </w:t>
      </w:r>
    </w:p>
    <w:p w:rsidR="00BB52D7" w:rsidRDefault="00E33AE6">
      <w:pPr>
        <w:pStyle w:val="Heading5"/>
        <w:spacing w:after="229"/>
        <w:ind w:right="0"/>
        <w:jc w:val="both"/>
      </w:pPr>
      <w:r>
        <w:rPr>
          <w:i w:val="0"/>
          <w:u w:val="none"/>
        </w:rPr>
        <w:t xml:space="preserve">TABLE OF CONTENT </w:t>
      </w:r>
    </w:p>
    <w:p w:rsidR="00BB52D7" w:rsidRDefault="00E33AE6">
      <w:pPr>
        <w:spacing w:after="114"/>
        <w:ind w:left="846" w:right="843"/>
      </w:pPr>
      <w:r>
        <w:t>1. INTRODUCTION .....................................</w:t>
      </w:r>
      <w:r>
        <w:t>...................................................................... 4</w:t>
      </w:r>
      <w:r>
        <w:rPr>
          <w:rFonts w:ascii="Calibri" w:eastAsia="Calibri" w:hAnsi="Calibri" w:cs="Calibri"/>
          <w:sz w:val="22"/>
        </w:rPr>
        <w:t xml:space="preserve"> </w:t>
      </w:r>
    </w:p>
    <w:sdt>
      <w:sdtPr>
        <w:id w:val="-837378733"/>
        <w:docPartObj>
          <w:docPartGallery w:val="Table of Contents"/>
        </w:docPartObj>
      </w:sdtPr>
      <w:sdtEndPr/>
      <w:sdtContent>
        <w:p w:rsidR="00BB52D7" w:rsidRDefault="00E33AE6">
          <w:pPr>
            <w:pStyle w:val="TOC1"/>
            <w:tabs>
              <w:tab w:val="right" w:leader="dot" w:pos="10772"/>
            </w:tabs>
            <w:rPr>
              <w:noProof/>
            </w:rPr>
          </w:pPr>
          <w:r>
            <w:fldChar w:fldCharType="begin"/>
          </w:r>
          <w:r>
            <w:instrText xml:space="preserve"> TOC \o "1-4" \h \z \u </w:instrText>
          </w:r>
          <w:r>
            <w:fldChar w:fldCharType="separate"/>
          </w:r>
          <w:hyperlink w:anchor="_Toc240961">
            <w:r>
              <w:rPr>
                <w:noProof/>
              </w:rPr>
              <w:t>2</w:t>
            </w:r>
            <w:r>
              <w:rPr>
                <w:rFonts w:ascii="Calibri" w:eastAsia="Calibri" w:hAnsi="Calibri" w:cs="Calibri"/>
                <w:noProof/>
                <w:sz w:val="22"/>
              </w:rPr>
              <w:t xml:space="preserve">  </w:t>
            </w:r>
            <w:r>
              <w:rPr>
                <w:noProof/>
              </w:rPr>
              <w:t xml:space="preserve">PROCEDURAL ISSUES AND CONSULTATION OF INTERESTED PARTIES </w:t>
            </w:r>
            <w:r>
              <w:rPr>
                <w:noProof/>
              </w:rPr>
              <w:tab/>
            </w:r>
            <w:r>
              <w:rPr>
                <w:noProof/>
              </w:rPr>
              <w:fldChar w:fldCharType="begin"/>
            </w:r>
            <w:r>
              <w:rPr>
                <w:noProof/>
              </w:rPr>
              <w:instrText>PAGEREF _Toc240961 \h</w:instrText>
            </w:r>
            <w:r>
              <w:rPr>
                <w:noProof/>
              </w:rPr>
            </w:r>
            <w:r>
              <w:rPr>
                <w:noProof/>
              </w:rPr>
              <w:fldChar w:fldCharType="separate"/>
            </w:r>
            <w:r w:rsidR="000D24C6">
              <w:rPr>
                <w:noProof/>
              </w:rPr>
              <w:t>10</w:t>
            </w:r>
            <w:r>
              <w:rPr>
                <w:noProof/>
              </w:rPr>
              <w:fldChar w:fldCharType="end"/>
            </w:r>
          </w:hyperlink>
        </w:p>
        <w:p w:rsidR="00BB52D7" w:rsidRDefault="00E33AE6">
          <w:pPr>
            <w:pStyle w:val="TOC2"/>
            <w:tabs>
              <w:tab w:val="right" w:leader="dot" w:pos="10772"/>
            </w:tabs>
            <w:rPr>
              <w:noProof/>
            </w:rPr>
          </w:pPr>
          <w:hyperlink w:anchor="_Toc240962">
            <w:r>
              <w:rPr>
                <w:noProof/>
              </w:rPr>
              <w:t>2.1</w:t>
            </w:r>
            <w:r>
              <w:rPr>
                <w:rFonts w:ascii="Calibri" w:eastAsia="Calibri" w:hAnsi="Calibri" w:cs="Calibri"/>
                <w:noProof/>
                <w:sz w:val="22"/>
              </w:rPr>
              <w:t xml:space="preserve">  </w:t>
            </w:r>
            <w:r>
              <w:rPr>
                <w:noProof/>
              </w:rPr>
              <w:t>Procedural issues</w:t>
            </w:r>
            <w:r>
              <w:rPr>
                <w:noProof/>
              </w:rPr>
              <w:tab/>
            </w:r>
            <w:r>
              <w:rPr>
                <w:noProof/>
              </w:rPr>
              <w:fldChar w:fldCharType="begin"/>
            </w:r>
            <w:r>
              <w:rPr>
                <w:noProof/>
              </w:rPr>
              <w:instrText>PAGEREF _Toc240962 \h</w:instrText>
            </w:r>
            <w:r>
              <w:rPr>
                <w:noProof/>
              </w:rPr>
            </w:r>
            <w:r>
              <w:rPr>
                <w:noProof/>
              </w:rPr>
              <w:fldChar w:fldCharType="separate"/>
            </w:r>
            <w:r w:rsidR="000D24C6">
              <w:rPr>
                <w:noProof/>
              </w:rPr>
              <w:t>10</w:t>
            </w:r>
            <w:r>
              <w:rPr>
                <w:noProof/>
              </w:rPr>
              <w:fldChar w:fldCharType="end"/>
            </w:r>
          </w:hyperlink>
        </w:p>
        <w:p w:rsidR="00BB52D7" w:rsidRDefault="00E33AE6">
          <w:pPr>
            <w:pStyle w:val="TOC2"/>
            <w:tabs>
              <w:tab w:val="right" w:leader="dot" w:pos="10772"/>
            </w:tabs>
            <w:rPr>
              <w:noProof/>
            </w:rPr>
          </w:pPr>
          <w:hyperlink w:anchor="_Toc240963">
            <w:r>
              <w:rPr>
                <w:noProof/>
              </w:rPr>
              <w:t>2.2</w:t>
            </w:r>
            <w:r>
              <w:rPr>
                <w:rFonts w:ascii="Calibri" w:eastAsia="Calibri" w:hAnsi="Calibri" w:cs="Calibri"/>
                <w:noProof/>
                <w:sz w:val="22"/>
              </w:rPr>
              <w:t xml:space="preserve">  </w:t>
            </w:r>
            <w:r>
              <w:rPr>
                <w:noProof/>
              </w:rPr>
              <w:t>External e</w:t>
            </w:r>
            <w:r>
              <w:rPr>
                <w:noProof/>
              </w:rPr>
              <w:t>xpertise and consultation of interested parties</w:t>
            </w:r>
            <w:r>
              <w:rPr>
                <w:noProof/>
              </w:rPr>
              <w:tab/>
            </w:r>
            <w:r>
              <w:rPr>
                <w:noProof/>
              </w:rPr>
              <w:fldChar w:fldCharType="begin"/>
            </w:r>
            <w:r>
              <w:rPr>
                <w:noProof/>
              </w:rPr>
              <w:instrText>PAGEREF _Toc240963 \h</w:instrText>
            </w:r>
            <w:r>
              <w:rPr>
                <w:noProof/>
              </w:rPr>
            </w:r>
            <w:r>
              <w:rPr>
                <w:noProof/>
              </w:rPr>
              <w:fldChar w:fldCharType="separate"/>
            </w:r>
            <w:r w:rsidR="000D24C6">
              <w:rPr>
                <w:noProof/>
              </w:rPr>
              <w:t>10</w:t>
            </w:r>
            <w:r>
              <w:rPr>
                <w:noProof/>
              </w:rPr>
              <w:fldChar w:fldCharType="end"/>
            </w:r>
          </w:hyperlink>
        </w:p>
        <w:p w:rsidR="00BB52D7" w:rsidRDefault="00E33AE6">
          <w:pPr>
            <w:pStyle w:val="TOC2"/>
            <w:tabs>
              <w:tab w:val="right" w:leader="dot" w:pos="10772"/>
            </w:tabs>
            <w:rPr>
              <w:noProof/>
            </w:rPr>
          </w:pPr>
          <w:hyperlink w:anchor="_Toc240964">
            <w:r>
              <w:rPr>
                <w:noProof/>
              </w:rPr>
              <w:t>2.3</w:t>
            </w:r>
            <w:r>
              <w:rPr>
                <w:rFonts w:ascii="Calibri" w:eastAsia="Calibri" w:hAnsi="Calibri" w:cs="Calibri"/>
                <w:noProof/>
                <w:sz w:val="22"/>
              </w:rPr>
              <w:t xml:space="preserve">  </w:t>
            </w:r>
            <w:r>
              <w:rPr>
                <w:noProof/>
              </w:rPr>
              <w:t>Consultation with the Member States</w:t>
            </w:r>
            <w:r>
              <w:rPr>
                <w:noProof/>
              </w:rPr>
              <w:tab/>
            </w:r>
            <w:r>
              <w:rPr>
                <w:noProof/>
              </w:rPr>
              <w:fldChar w:fldCharType="begin"/>
            </w:r>
            <w:r>
              <w:rPr>
                <w:noProof/>
              </w:rPr>
              <w:instrText>PAGEREF _Toc240964 \h</w:instrText>
            </w:r>
            <w:r>
              <w:rPr>
                <w:noProof/>
              </w:rPr>
            </w:r>
            <w:r>
              <w:rPr>
                <w:noProof/>
              </w:rPr>
              <w:fldChar w:fldCharType="separate"/>
            </w:r>
            <w:r w:rsidR="000D24C6">
              <w:rPr>
                <w:noProof/>
              </w:rPr>
              <w:t>11</w:t>
            </w:r>
            <w:r>
              <w:rPr>
                <w:noProof/>
              </w:rPr>
              <w:fldChar w:fldCharType="end"/>
            </w:r>
          </w:hyperlink>
        </w:p>
        <w:p w:rsidR="00BB52D7" w:rsidRDefault="00E33AE6">
          <w:pPr>
            <w:pStyle w:val="TOC2"/>
            <w:tabs>
              <w:tab w:val="right" w:leader="dot" w:pos="10772"/>
            </w:tabs>
            <w:rPr>
              <w:noProof/>
            </w:rPr>
          </w:pPr>
          <w:hyperlink w:anchor="_Toc240965">
            <w:r>
              <w:rPr>
                <w:noProof/>
              </w:rPr>
              <w:t>2.4</w:t>
            </w:r>
            <w:r>
              <w:rPr>
                <w:rFonts w:ascii="Calibri" w:eastAsia="Calibri" w:hAnsi="Calibri" w:cs="Calibri"/>
                <w:noProof/>
                <w:sz w:val="22"/>
              </w:rPr>
              <w:t xml:space="preserve">  </w:t>
            </w:r>
            <w:r>
              <w:rPr>
                <w:noProof/>
              </w:rPr>
              <w:t>Impact Assessment Steering Group and Impact Assessment Board (IAB)</w:t>
            </w:r>
            <w:r>
              <w:rPr>
                <w:noProof/>
              </w:rPr>
              <w:tab/>
            </w:r>
            <w:r>
              <w:rPr>
                <w:noProof/>
              </w:rPr>
              <w:fldChar w:fldCharType="begin"/>
            </w:r>
            <w:r>
              <w:rPr>
                <w:noProof/>
              </w:rPr>
              <w:instrText>PAGEREF _Toc240965 \h</w:instrText>
            </w:r>
            <w:r>
              <w:rPr>
                <w:noProof/>
              </w:rPr>
            </w:r>
            <w:r>
              <w:rPr>
                <w:noProof/>
              </w:rPr>
              <w:fldChar w:fldCharType="separate"/>
            </w:r>
            <w:r w:rsidR="000D24C6">
              <w:rPr>
                <w:noProof/>
              </w:rPr>
              <w:t>12</w:t>
            </w:r>
            <w:r>
              <w:rPr>
                <w:noProof/>
              </w:rPr>
              <w:fldChar w:fldCharType="end"/>
            </w:r>
          </w:hyperlink>
        </w:p>
        <w:p w:rsidR="00BB52D7" w:rsidRDefault="00E33AE6">
          <w:pPr>
            <w:pStyle w:val="TOC1"/>
            <w:tabs>
              <w:tab w:val="right" w:leader="dot" w:pos="10772"/>
            </w:tabs>
            <w:rPr>
              <w:noProof/>
            </w:rPr>
          </w:pPr>
          <w:hyperlink w:anchor="_Toc240966">
            <w:r>
              <w:rPr>
                <w:noProof/>
              </w:rPr>
              <w:t>3</w:t>
            </w:r>
            <w:r>
              <w:rPr>
                <w:rFonts w:ascii="Calibri" w:eastAsia="Calibri" w:hAnsi="Calibri" w:cs="Calibri"/>
                <w:noProof/>
                <w:sz w:val="22"/>
              </w:rPr>
              <w:t xml:space="preserve">  </w:t>
            </w:r>
            <w:r>
              <w:rPr>
                <w:noProof/>
              </w:rPr>
              <w:t>.PROBLEM DESCRIPTION</w:t>
            </w:r>
            <w:r>
              <w:rPr>
                <w:noProof/>
              </w:rPr>
              <w:tab/>
            </w:r>
            <w:r>
              <w:rPr>
                <w:noProof/>
              </w:rPr>
              <w:fldChar w:fldCharType="begin"/>
            </w:r>
            <w:r>
              <w:rPr>
                <w:noProof/>
              </w:rPr>
              <w:instrText>PAGEREF _Toc240966 \h</w:instrText>
            </w:r>
            <w:r>
              <w:rPr>
                <w:noProof/>
              </w:rPr>
            </w:r>
            <w:r>
              <w:rPr>
                <w:noProof/>
              </w:rPr>
              <w:fldChar w:fldCharType="separate"/>
            </w:r>
            <w:r w:rsidR="000D24C6">
              <w:rPr>
                <w:noProof/>
              </w:rPr>
              <w:t>14</w:t>
            </w:r>
            <w:r>
              <w:rPr>
                <w:noProof/>
              </w:rPr>
              <w:fldChar w:fldCharType="end"/>
            </w:r>
          </w:hyperlink>
        </w:p>
        <w:p w:rsidR="00BB52D7" w:rsidRDefault="00E33AE6">
          <w:pPr>
            <w:pStyle w:val="TOC2"/>
            <w:tabs>
              <w:tab w:val="right" w:leader="dot" w:pos="10772"/>
            </w:tabs>
            <w:rPr>
              <w:noProof/>
            </w:rPr>
          </w:pPr>
          <w:hyperlink w:anchor="_Toc240967">
            <w:r>
              <w:rPr>
                <w:noProof/>
              </w:rPr>
              <w:t>3.1</w:t>
            </w:r>
            <w:r>
              <w:rPr>
                <w:rFonts w:ascii="Calibri" w:eastAsia="Calibri" w:hAnsi="Calibri" w:cs="Calibri"/>
                <w:noProof/>
                <w:sz w:val="22"/>
              </w:rPr>
              <w:t xml:space="preserve">  </w:t>
            </w:r>
            <w:r>
              <w:rPr>
                <w:noProof/>
              </w:rPr>
              <w:t>Problems identified in the level 1 impact assessment</w:t>
            </w:r>
            <w:r>
              <w:rPr>
                <w:noProof/>
              </w:rPr>
              <w:tab/>
            </w:r>
            <w:r>
              <w:rPr>
                <w:noProof/>
              </w:rPr>
              <w:fldChar w:fldCharType="begin"/>
            </w:r>
            <w:r>
              <w:rPr>
                <w:noProof/>
              </w:rPr>
              <w:instrText xml:space="preserve">PAGEREF _Toc240967 </w:instrText>
            </w:r>
            <w:r>
              <w:rPr>
                <w:noProof/>
              </w:rPr>
              <w:instrText>\h</w:instrText>
            </w:r>
            <w:r>
              <w:rPr>
                <w:noProof/>
              </w:rPr>
            </w:r>
            <w:r>
              <w:rPr>
                <w:noProof/>
              </w:rPr>
              <w:fldChar w:fldCharType="separate"/>
            </w:r>
            <w:r w:rsidR="000D24C6">
              <w:rPr>
                <w:noProof/>
              </w:rPr>
              <w:t>14</w:t>
            </w:r>
            <w:r>
              <w:rPr>
                <w:noProof/>
              </w:rPr>
              <w:fldChar w:fldCharType="end"/>
            </w:r>
          </w:hyperlink>
        </w:p>
        <w:p w:rsidR="00BB52D7" w:rsidRDefault="00E33AE6">
          <w:pPr>
            <w:pStyle w:val="TOC2"/>
            <w:tabs>
              <w:tab w:val="right" w:leader="dot" w:pos="10772"/>
            </w:tabs>
            <w:rPr>
              <w:noProof/>
            </w:rPr>
          </w:pPr>
          <w:hyperlink w:anchor="_Toc240968">
            <w:r>
              <w:rPr>
                <w:noProof/>
              </w:rPr>
              <w:t>3.2</w:t>
            </w:r>
            <w:r>
              <w:rPr>
                <w:rFonts w:ascii="Calibri" w:eastAsia="Calibri" w:hAnsi="Calibri" w:cs="Calibri"/>
                <w:noProof/>
                <w:sz w:val="22"/>
              </w:rPr>
              <w:t xml:space="preserve">  </w:t>
            </w:r>
            <w:r>
              <w:rPr>
                <w:noProof/>
              </w:rPr>
              <w:t>Scope of the relevant empowerments</w:t>
            </w:r>
            <w:r>
              <w:rPr>
                <w:noProof/>
              </w:rPr>
              <w:tab/>
            </w:r>
            <w:r>
              <w:rPr>
                <w:noProof/>
              </w:rPr>
              <w:fldChar w:fldCharType="begin"/>
            </w:r>
            <w:r>
              <w:rPr>
                <w:noProof/>
              </w:rPr>
              <w:instrText>PAGEREF _Toc240968 \h</w:instrText>
            </w:r>
            <w:r>
              <w:rPr>
                <w:noProof/>
              </w:rPr>
            </w:r>
            <w:r>
              <w:rPr>
                <w:noProof/>
              </w:rPr>
              <w:fldChar w:fldCharType="separate"/>
            </w:r>
            <w:r w:rsidR="000D24C6">
              <w:rPr>
                <w:noProof/>
              </w:rPr>
              <w:t>14</w:t>
            </w:r>
            <w:r>
              <w:rPr>
                <w:noProof/>
              </w:rPr>
              <w:fldChar w:fldCharType="end"/>
            </w:r>
          </w:hyperlink>
        </w:p>
        <w:p w:rsidR="00BB52D7" w:rsidRDefault="00E33AE6">
          <w:pPr>
            <w:pStyle w:val="TOC2"/>
            <w:tabs>
              <w:tab w:val="right" w:leader="dot" w:pos="10772"/>
            </w:tabs>
            <w:rPr>
              <w:noProof/>
            </w:rPr>
          </w:pPr>
          <w:hyperlink w:anchor="_Toc240969">
            <w:r>
              <w:rPr>
                <w:noProof/>
              </w:rPr>
              <w:t>3.3</w:t>
            </w:r>
            <w:r>
              <w:rPr>
                <w:rFonts w:ascii="Calibri" w:eastAsia="Calibri" w:hAnsi="Calibri" w:cs="Calibri"/>
                <w:noProof/>
                <w:sz w:val="22"/>
              </w:rPr>
              <w:t xml:space="preserve">  </w:t>
            </w:r>
            <w:r>
              <w:rPr>
                <w:noProof/>
              </w:rPr>
              <w:t>Issues to be addressed with the two UCITS-specific empowerments</w:t>
            </w:r>
            <w:r>
              <w:rPr>
                <w:noProof/>
              </w:rPr>
              <w:tab/>
            </w:r>
            <w:r>
              <w:rPr>
                <w:noProof/>
              </w:rPr>
              <w:fldChar w:fldCharType="begin"/>
            </w:r>
            <w:r>
              <w:rPr>
                <w:noProof/>
              </w:rPr>
              <w:instrText>PAGEREF _Toc240969 \h</w:instrText>
            </w:r>
            <w:r>
              <w:rPr>
                <w:noProof/>
              </w:rPr>
            </w:r>
            <w:r>
              <w:rPr>
                <w:noProof/>
              </w:rPr>
              <w:fldChar w:fldCharType="separate"/>
            </w:r>
            <w:r w:rsidR="000D24C6">
              <w:rPr>
                <w:noProof/>
              </w:rPr>
              <w:t>15</w:t>
            </w:r>
            <w:r>
              <w:rPr>
                <w:noProof/>
              </w:rPr>
              <w:fldChar w:fldCharType="end"/>
            </w:r>
          </w:hyperlink>
        </w:p>
        <w:p w:rsidR="00BB52D7" w:rsidRDefault="00E33AE6">
          <w:pPr>
            <w:pStyle w:val="TOC3"/>
            <w:tabs>
              <w:tab w:val="right" w:leader="dot" w:pos="10772"/>
            </w:tabs>
            <w:rPr>
              <w:noProof/>
            </w:rPr>
          </w:pPr>
          <w:hyperlink w:anchor="_Toc240970">
            <w:r>
              <w:rPr>
                <w:noProof/>
              </w:rPr>
              <w:t>3.3.1Problem drivers</w:t>
            </w:r>
            <w:r>
              <w:rPr>
                <w:noProof/>
              </w:rPr>
              <w:tab/>
            </w:r>
            <w:r>
              <w:rPr>
                <w:noProof/>
              </w:rPr>
              <w:fldChar w:fldCharType="begin"/>
            </w:r>
            <w:r>
              <w:rPr>
                <w:noProof/>
              </w:rPr>
              <w:instrText>PAGEREF _Toc240970 \h</w:instrText>
            </w:r>
            <w:r>
              <w:rPr>
                <w:noProof/>
              </w:rPr>
            </w:r>
            <w:r>
              <w:rPr>
                <w:noProof/>
              </w:rPr>
              <w:fldChar w:fldCharType="separate"/>
            </w:r>
            <w:r w:rsidR="000D24C6">
              <w:rPr>
                <w:noProof/>
              </w:rPr>
              <w:t>18</w:t>
            </w:r>
            <w:r>
              <w:rPr>
                <w:noProof/>
              </w:rPr>
              <w:fldChar w:fldCharType="end"/>
            </w:r>
          </w:hyperlink>
        </w:p>
        <w:p w:rsidR="00BB52D7" w:rsidRDefault="00E33AE6">
          <w:pPr>
            <w:pStyle w:val="TOC4"/>
            <w:tabs>
              <w:tab w:val="right" w:leader="dot" w:pos="10772"/>
            </w:tabs>
            <w:rPr>
              <w:noProof/>
            </w:rPr>
          </w:pPr>
          <w:hyperlink w:anchor="_Toc240971">
            <w:r>
              <w:rPr>
                <w:noProof/>
              </w:rPr>
              <w:t>3.3.2 Problems</w:t>
            </w:r>
            <w:r>
              <w:rPr>
                <w:noProof/>
              </w:rPr>
              <w:tab/>
            </w:r>
            <w:r>
              <w:rPr>
                <w:noProof/>
              </w:rPr>
              <w:fldChar w:fldCharType="begin"/>
            </w:r>
            <w:r>
              <w:rPr>
                <w:noProof/>
              </w:rPr>
              <w:instrText>PAGEREF _Toc240971 \h</w:instrText>
            </w:r>
            <w:r>
              <w:rPr>
                <w:noProof/>
              </w:rPr>
            </w:r>
            <w:r>
              <w:rPr>
                <w:noProof/>
              </w:rPr>
              <w:fldChar w:fldCharType="separate"/>
            </w:r>
            <w:r w:rsidR="000D24C6">
              <w:rPr>
                <w:noProof/>
              </w:rPr>
              <w:t>20</w:t>
            </w:r>
            <w:r>
              <w:rPr>
                <w:noProof/>
              </w:rPr>
              <w:fldChar w:fldCharType="end"/>
            </w:r>
          </w:hyperlink>
        </w:p>
        <w:p w:rsidR="00BB52D7" w:rsidRDefault="00E33AE6">
          <w:pPr>
            <w:pStyle w:val="TOC4"/>
            <w:tabs>
              <w:tab w:val="right" w:leader="dot" w:pos="10772"/>
            </w:tabs>
            <w:rPr>
              <w:noProof/>
            </w:rPr>
          </w:pPr>
          <w:hyperlink w:anchor="_Toc240972">
            <w:r>
              <w:rPr>
                <w:noProof/>
              </w:rPr>
              <w:t>3.3.3 Consequences</w:t>
            </w:r>
            <w:r>
              <w:rPr>
                <w:noProof/>
              </w:rPr>
              <w:tab/>
            </w:r>
            <w:r>
              <w:rPr>
                <w:noProof/>
              </w:rPr>
              <w:fldChar w:fldCharType="begin"/>
            </w:r>
            <w:r>
              <w:rPr>
                <w:noProof/>
              </w:rPr>
              <w:instrText>PAGEREF _Toc240972 \h</w:instrText>
            </w:r>
            <w:r>
              <w:rPr>
                <w:noProof/>
              </w:rPr>
            </w:r>
            <w:r>
              <w:rPr>
                <w:noProof/>
              </w:rPr>
              <w:fldChar w:fldCharType="separate"/>
            </w:r>
            <w:r w:rsidR="000D24C6">
              <w:rPr>
                <w:noProof/>
              </w:rPr>
              <w:t>21</w:t>
            </w:r>
            <w:r>
              <w:rPr>
                <w:noProof/>
              </w:rPr>
              <w:fldChar w:fldCharType="end"/>
            </w:r>
          </w:hyperlink>
        </w:p>
        <w:p w:rsidR="00BB52D7" w:rsidRDefault="00E33AE6">
          <w:pPr>
            <w:pStyle w:val="TOC2"/>
            <w:tabs>
              <w:tab w:val="right" w:leader="dot" w:pos="10772"/>
            </w:tabs>
            <w:rPr>
              <w:noProof/>
            </w:rPr>
          </w:pPr>
          <w:hyperlink w:anchor="_Toc240973">
            <w:r>
              <w:rPr>
                <w:noProof/>
              </w:rPr>
              <w:t>3.4</w:t>
            </w:r>
            <w:r>
              <w:rPr>
                <w:rFonts w:ascii="Calibri" w:eastAsia="Calibri" w:hAnsi="Calibri" w:cs="Calibri"/>
                <w:noProof/>
                <w:sz w:val="22"/>
              </w:rPr>
              <w:t xml:space="preserve">  </w:t>
            </w:r>
            <w:r>
              <w:rPr>
                <w:noProof/>
              </w:rPr>
              <w:t>How would problems evolve without action?</w:t>
            </w:r>
            <w:r>
              <w:rPr>
                <w:noProof/>
              </w:rPr>
              <w:tab/>
            </w:r>
            <w:r>
              <w:rPr>
                <w:noProof/>
              </w:rPr>
              <w:fldChar w:fldCharType="begin"/>
            </w:r>
            <w:r>
              <w:rPr>
                <w:noProof/>
              </w:rPr>
              <w:instrText>PAGEREF _T</w:instrText>
            </w:r>
            <w:r>
              <w:rPr>
                <w:noProof/>
              </w:rPr>
              <w:instrText>oc240973 \h</w:instrText>
            </w:r>
            <w:r>
              <w:rPr>
                <w:noProof/>
              </w:rPr>
            </w:r>
            <w:r>
              <w:rPr>
                <w:noProof/>
              </w:rPr>
              <w:fldChar w:fldCharType="separate"/>
            </w:r>
            <w:r w:rsidR="000D24C6">
              <w:rPr>
                <w:noProof/>
              </w:rPr>
              <w:t>21</w:t>
            </w:r>
            <w:r>
              <w:rPr>
                <w:noProof/>
              </w:rPr>
              <w:fldChar w:fldCharType="end"/>
            </w:r>
          </w:hyperlink>
        </w:p>
        <w:p w:rsidR="00BB52D7" w:rsidRDefault="00E33AE6">
          <w:pPr>
            <w:pStyle w:val="TOC2"/>
            <w:tabs>
              <w:tab w:val="right" w:leader="dot" w:pos="10772"/>
            </w:tabs>
            <w:rPr>
              <w:noProof/>
            </w:rPr>
          </w:pPr>
          <w:hyperlink w:anchor="_Toc240974">
            <w:r>
              <w:rPr>
                <w:noProof/>
              </w:rPr>
              <w:t>3.5</w:t>
            </w:r>
            <w:r>
              <w:rPr>
                <w:rFonts w:ascii="Calibri" w:eastAsia="Calibri" w:hAnsi="Calibri" w:cs="Calibri"/>
                <w:noProof/>
                <w:sz w:val="22"/>
              </w:rPr>
              <w:t xml:space="preserve">  </w:t>
            </w:r>
            <w:r>
              <w:rPr>
                <w:noProof/>
              </w:rPr>
              <w:t>Subsidiarity and proportionality</w:t>
            </w:r>
            <w:r>
              <w:rPr>
                <w:noProof/>
              </w:rPr>
              <w:tab/>
            </w:r>
            <w:r>
              <w:rPr>
                <w:noProof/>
              </w:rPr>
              <w:fldChar w:fldCharType="begin"/>
            </w:r>
            <w:r>
              <w:rPr>
                <w:noProof/>
              </w:rPr>
              <w:instrText>PAGEREF _Toc240974 \h</w:instrText>
            </w:r>
            <w:r>
              <w:rPr>
                <w:noProof/>
              </w:rPr>
            </w:r>
            <w:r>
              <w:rPr>
                <w:noProof/>
              </w:rPr>
              <w:fldChar w:fldCharType="separate"/>
            </w:r>
            <w:r w:rsidR="000D24C6">
              <w:rPr>
                <w:noProof/>
              </w:rPr>
              <w:t>21</w:t>
            </w:r>
            <w:r>
              <w:rPr>
                <w:noProof/>
              </w:rPr>
              <w:fldChar w:fldCharType="end"/>
            </w:r>
          </w:hyperlink>
        </w:p>
        <w:p w:rsidR="00BB52D7" w:rsidRDefault="00E33AE6">
          <w:pPr>
            <w:pStyle w:val="TOC1"/>
            <w:tabs>
              <w:tab w:val="right" w:leader="dot" w:pos="10772"/>
            </w:tabs>
            <w:rPr>
              <w:noProof/>
            </w:rPr>
          </w:pPr>
          <w:hyperlink w:anchor="_Toc240975">
            <w:r>
              <w:rPr>
                <w:noProof/>
              </w:rPr>
              <w:t>4</w:t>
            </w:r>
            <w:r>
              <w:rPr>
                <w:rFonts w:ascii="Calibri" w:eastAsia="Calibri" w:hAnsi="Calibri" w:cs="Calibri"/>
                <w:noProof/>
                <w:sz w:val="22"/>
              </w:rPr>
              <w:t xml:space="preserve">  </w:t>
            </w:r>
            <w:r>
              <w:rPr>
                <w:noProof/>
              </w:rPr>
              <w:t>OBJECTIVES</w:t>
            </w:r>
            <w:r>
              <w:rPr>
                <w:noProof/>
              </w:rPr>
              <w:tab/>
            </w:r>
            <w:r>
              <w:rPr>
                <w:noProof/>
              </w:rPr>
              <w:fldChar w:fldCharType="begin"/>
            </w:r>
            <w:r>
              <w:rPr>
                <w:noProof/>
              </w:rPr>
              <w:instrText>PAGEREF _Toc240975 \h</w:instrText>
            </w:r>
            <w:r>
              <w:rPr>
                <w:noProof/>
              </w:rPr>
            </w:r>
            <w:r>
              <w:rPr>
                <w:noProof/>
              </w:rPr>
              <w:fldChar w:fldCharType="separate"/>
            </w:r>
            <w:r w:rsidR="000D24C6">
              <w:rPr>
                <w:noProof/>
              </w:rPr>
              <w:t>22</w:t>
            </w:r>
            <w:r>
              <w:rPr>
                <w:noProof/>
              </w:rPr>
              <w:fldChar w:fldCharType="end"/>
            </w:r>
          </w:hyperlink>
        </w:p>
        <w:p w:rsidR="00BB52D7" w:rsidRDefault="00E33AE6">
          <w:pPr>
            <w:pStyle w:val="TOC1"/>
            <w:tabs>
              <w:tab w:val="right" w:leader="dot" w:pos="10772"/>
            </w:tabs>
            <w:rPr>
              <w:noProof/>
            </w:rPr>
          </w:pPr>
          <w:hyperlink w:anchor="_Toc240976">
            <w:r>
              <w:rPr>
                <w:noProof/>
              </w:rPr>
              <w:t>5</w:t>
            </w:r>
            <w:r>
              <w:rPr>
                <w:rFonts w:ascii="Calibri" w:eastAsia="Calibri" w:hAnsi="Calibri" w:cs="Calibri"/>
                <w:noProof/>
                <w:sz w:val="22"/>
              </w:rPr>
              <w:t xml:space="preserve">  </w:t>
            </w:r>
            <w:r>
              <w:rPr>
                <w:noProof/>
              </w:rPr>
              <w:t>ANALYSIS OF OPTIONS</w:t>
            </w:r>
            <w:r>
              <w:rPr>
                <w:noProof/>
              </w:rPr>
              <w:tab/>
            </w:r>
            <w:r>
              <w:rPr>
                <w:noProof/>
              </w:rPr>
              <w:fldChar w:fldCharType="begin"/>
            </w:r>
            <w:r>
              <w:rPr>
                <w:noProof/>
              </w:rPr>
              <w:instrText>PAGEREF _Toc240976 \h</w:instrText>
            </w:r>
            <w:r>
              <w:rPr>
                <w:noProof/>
              </w:rPr>
            </w:r>
            <w:r>
              <w:rPr>
                <w:noProof/>
              </w:rPr>
              <w:fldChar w:fldCharType="separate"/>
            </w:r>
            <w:r w:rsidR="000D24C6">
              <w:rPr>
                <w:noProof/>
              </w:rPr>
              <w:t>23</w:t>
            </w:r>
            <w:r>
              <w:rPr>
                <w:noProof/>
              </w:rPr>
              <w:fldChar w:fldCharType="end"/>
            </w:r>
          </w:hyperlink>
        </w:p>
        <w:p w:rsidR="00BB52D7" w:rsidRDefault="00E33AE6">
          <w:pPr>
            <w:pStyle w:val="TOC1"/>
            <w:tabs>
              <w:tab w:val="right" w:leader="dot" w:pos="10772"/>
            </w:tabs>
            <w:rPr>
              <w:noProof/>
            </w:rPr>
          </w:pPr>
          <w:hyperlink w:anchor="_Toc240977">
            <w:r>
              <w:rPr>
                <w:noProof/>
              </w:rPr>
              <w:t>6. ANALYSIS OF IMPACTS AND CHOICE OF PREFERRED OPTIONS</w:t>
            </w:r>
            <w:r>
              <w:rPr>
                <w:noProof/>
              </w:rPr>
              <w:tab/>
            </w:r>
            <w:r>
              <w:rPr>
                <w:noProof/>
              </w:rPr>
              <w:fldChar w:fldCharType="begin"/>
            </w:r>
            <w:r>
              <w:rPr>
                <w:noProof/>
              </w:rPr>
              <w:instrText>PAGEREF _Toc240977 \h</w:instrText>
            </w:r>
            <w:r>
              <w:rPr>
                <w:noProof/>
              </w:rPr>
            </w:r>
            <w:r>
              <w:rPr>
                <w:noProof/>
              </w:rPr>
              <w:fldChar w:fldCharType="separate"/>
            </w:r>
            <w:r w:rsidR="000D24C6">
              <w:rPr>
                <w:noProof/>
              </w:rPr>
              <w:t>25</w:t>
            </w:r>
            <w:r>
              <w:rPr>
                <w:noProof/>
              </w:rPr>
              <w:fldChar w:fldCharType="end"/>
            </w:r>
          </w:hyperlink>
        </w:p>
        <w:p w:rsidR="00BB52D7" w:rsidRDefault="00E33AE6">
          <w:pPr>
            <w:pStyle w:val="TOC2"/>
            <w:tabs>
              <w:tab w:val="right" w:leader="dot" w:pos="10772"/>
            </w:tabs>
            <w:rPr>
              <w:noProof/>
            </w:rPr>
          </w:pPr>
          <w:hyperlink w:anchor="_Toc240978">
            <w:r>
              <w:rPr>
                <w:noProof/>
              </w:rPr>
              <w:t>6.1.</w:t>
            </w:r>
            <w:r>
              <w:rPr>
                <w:rFonts w:ascii="Calibri" w:eastAsia="Calibri" w:hAnsi="Calibri" w:cs="Calibri"/>
                <w:noProof/>
                <w:sz w:val="22"/>
              </w:rPr>
              <w:t xml:space="preserve"> </w:t>
            </w:r>
            <w:r>
              <w:rPr>
                <w:noProof/>
              </w:rPr>
              <w:t>Choice of prefer</w:t>
            </w:r>
            <w:r>
              <w:rPr>
                <w:noProof/>
              </w:rPr>
              <w:t>red option to address "common management"</w:t>
            </w:r>
            <w:r>
              <w:rPr>
                <w:noProof/>
              </w:rPr>
              <w:tab/>
            </w:r>
            <w:r>
              <w:rPr>
                <w:noProof/>
              </w:rPr>
              <w:fldChar w:fldCharType="begin"/>
            </w:r>
            <w:r>
              <w:rPr>
                <w:noProof/>
              </w:rPr>
              <w:instrText>PAGEREF _Toc240978 \h</w:instrText>
            </w:r>
            <w:r>
              <w:rPr>
                <w:noProof/>
              </w:rPr>
            </w:r>
            <w:r>
              <w:rPr>
                <w:noProof/>
              </w:rPr>
              <w:fldChar w:fldCharType="separate"/>
            </w:r>
            <w:r w:rsidR="000D24C6">
              <w:rPr>
                <w:noProof/>
              </w:rPr>
              <w:t>28</w:t>
            </w:r>
            <w:r>
              <w:rPr>
                <w:noProof/>
              </w:rPr>
              <w:fldChar w:fldCharType="end"/>
            </w:r>
          </w:hyperlink>
        </w:p>
        <w:p w:rsidR="00BB52D7" w:rsidRDefault="00E33AE6">
          <w:pPr>
            <w:pStyle w:val="TOC2"/>
            <w:tabs>
              <w:tab w:val="right" w:leader="dot" w:pos="10772"/>
            </w:tabs>
            <w:rPr>
              <w:noProof/>
            </w:rPr>
          </w:pPr>
          <w:hyperlink w:anchor="_Toc240979">
            <w:r>
              <w:rPr>
                <w:noProof/>
              </w:rPr>
              <w:t>6.2.</w:t>
            </w:r>
            <w:r>
              <w:rPr>
                <w:rFonts w:ascii="Calibri" w:eastAsia="Calibri" w:hAnsi="Calibri" w:cs="Calibri"/>
                <w:noProof/>
                <w:sz w:val="22"/>
              </w:rPr>
              <w:t xml:space="preserve"> </w:t>
            </w:r>
            <w:r>
              <w:rPr>
                <w:noProof/>
              </w:rPr>
              <w:t xml:space="preserve">Choice of preferred option to address conflicts that arise when managers </w:t>
            </w:r>
            <w:r>
              <w:rPr>
                <w:noProof/>
              </w:rPr>
              <w:tab/>
            </w:r>
            <w:r>
              <w:rPr>
                <w:noProof/>
              </w:rPr>
              <w:fldChar w:fldCharType="begin"/>
            </w:r>
            <w:r>
              <w:rPr>
                <w:noProof/>
              </w:rPr>
              <w:instrText>PAGEREF _Toc</w:instrText>
            </w:r>
            <w:r>
              <w:rPr>
                <w:noProof/>
              </w:rPr>
              <w:instrText>240979 \h</w:instrText>
            </w:r>
            <w:r>
              <w:rPr>
                <w:noProof/>
              </w:rPr>
            </w:r>
            <w:r w:rsidR="000D24C6">
              <w:rPr>
                <w:noProof/>
              </w:rPr>
              <w:fldChar w:fldCharType="separate"/>
            </w:r>
            <w:r w:rsidR="000D24C6">
              <w:rPr>
                <w:noProof/>
              </w:rPr>
              <w:t>30</w:t>
            </w:r>
            <w:r>
              <w:rPr>
                <w:noProof/>
              </w:rPr>
              <w:fldChar w:fldCharType="end"/>
            </w:r>
          </w:hyperlink>
        </w:p>
        <w:p w:rsidR="00BB52D7" w:rsidRDefault="00E33AE6">
          <w:pPr>
            <w:pStyle w:val="TOC3"/>
            <w:tabs>
              <w:tab w:val="right" w:leader="dot" w:pos="10772"/>
            </w:tabs>
            <w:rPr>
              <w:noProof/>
            </w:rPr>
          </w:pPr>
          <w:hyperlink w:anchor="_Toc240980">
            <w:r>
              <w:rPr>
                <w:noProof/>
              </w:rPr>
              <w:t>and depositaries have corporate links or belong to the same group</w:t>
            </w:r>
            <w:r>
              <w:rPr>
                <w:noProof/>
              </w:rPr>
              <w:tab/>
            </w:r>
            <w:r>
              <w:rPr>
                <w:noProof/>
              </w:rPr>
              <w:fldChar w:fldCharType="begin"/>
            </w:r>
            <w:r>
              <w:rPr>
                <w:noProof/>
              </w:rPr>
              <w:instrText>PAGEREF _Toc240980 \h</w:instrText>
            </w:r>
            <w:r>
              <w:rPr>
                <w:noProof/>
              </w:rPr>
            </w:r>
            <w:r>
              <w:rPr>
                <w:noProof/>
              </w:rPr>
              <w:fldChar w:fldCharType="separate"/>
            </w:r>
            <w:r w:rsidR="000D24C6">
              <w:rPr>
                <w:noProof/>
              </w:rPr>
              <w:t>30</w:t>
            </w:r>
            <w:r>
              <w:rPr>
                <w:noProof/>
              </w:rPr>
              <w:fldChar w:fldCharType="end"/>
            </w:r>
          </w:hyperlink>
        </w:p>
        <w:p w:rsidR="00BB52D7" w:rsidRDefault="00E33AE6">
          <w:pPr>
            <w:pStyle w:val="TOC1"/>
            <w:tabs>
              <w:tab w:val="right" w:leader="dot" w:pos="10772"/>
            </w:tabs>
            <w:rPr>
              <w:noProof/>
            </w:rPr>
          </w:pPr>
          <w:hyperlink w:anchor="_Toc240981">
            <w:r>
              <w:rPr>
                <w:noProof/>
              </w:rPr>
              <w:t>7. CHOICE OF A LEGAL INSTRUMENT</w:t>
            </w:r>
            <w:r>
              <w:rPr>
                <w:noProof/>
              </w:rPr>
              <w:tab/>
            </w:r>
            <w:r>
              <w:rPr>
                <w:noProof/>
              </w:rPr>
              <w:fldChar w:fldCharType="begin"/>
            </w:r>
            <w:r>
              <w:rPr>
                <w:noProof/>
              </w:rPr>
              <w:instrText>PAGEREF _Toc240981 \h</w:instrText>
            </w:r>
            <w:r>
              <w:rPr>
                <w:noProof/>
              </w:rPr>
            </w:r>
            <w:r>
              <w:rPr>
                <w:noProof/>
              </w:rPr>
              <w:fldChar w:fldCharType="separate"/>
            </w:r>
            <w:r w:rsidR="000D24C6">
              <w:rPr>
                <w:noProof/>
              </w:rPr>
              <w:t>44</w:t>
            </w:r>
            <w:r>
              <w:rPr>
                <w:noProof/>
              </w:rPr>
              <w:fldChar w:fldCharType="end"/>
            </w:r>
          </w:hyperlink>
        </w:p>
        <w:p w:rsidR="00BB52D7" w:rsidRDefault="00E33AE6">
          <w:pPr>
            <w:pStyle w:val="TOC1"/>
            <w:tabs>
              <w:tab w:val="right" w:leader="dot" w:pos="10772"/>
            </w:tabs>
            <w:rPr>
              <w:noProof/>
            </w:rPr>
          </w:pPr>
          <w:hyperlink w:anchor="_Toc240982">
            <w:r>
              <w:rPr>
                <w:noProof/>
              </w:rPr>
              <w:t>6</w:t>
            </w:r>
            <w:r>
              <w:rPr>
                <w:rFonts w:ascii="Calibri" w:eastAsia="Calibri" w:hAnsi="Calibri" w:cs="Calibri"/>
                <w:noProof/>
                <w:sz w:val="22"/>
              </w:rPr>
              <w:t xml:space="preserve">  </w:t>
            </w:r>
            <w:r>
              <w:rPr>
                <w:noProof/>
              </w:rPr>
              <w:t>MONITORING AND EVALUATION</w:t>
            </w:r>
            <w:r>
              <w:rPr>
                <w:noProof/>
              </w:rPr>
              <w:tab/>
            </w:r>
            <w:r>
              <w:rPr>
                <w:noProof/>
              </w:rPr>
              <w:fldChar w:fldCharType="begin"/>
            </w:r>
            <w:r>
              <w:rPr>
                <w:noProof/>
              </w:rPr>
              <w:instrText>PAGEREF _Toc240982 \h</w:instrText>
            </w:r>
            <w:r>
              <w:rPr>
                <w:noProof/>
              </w:rPr>
            </w:r>
            <w:r>
              <w:rPr>
                <w:noProof/>
              </w:rPr>
              <w:fldChar w:fldCharType="separate"/>
            </w:r>
            <w:r w:rsidR="000D24C6">
              <w:rPr>
                <w:noProof/>
              </w:rPr>
              <w:t>45</w:t>
            </w:r>
            <w:r>
              <w:rPr>
                <w:noProof/>
              </w:rPr>
              <w:fldChar w:fldCharType="end"/>
            </w:r>
          </w:hyperlink>
        </w:p>
        <w:p w:rsidR="00BB52D7" w:rsidRDefault="00E33AE6">
          <w:pPr>
            <w:pStyle w:val="TOC1"/>
            <w:tabs>
              <w:tab w:val="right" w:leader="dot" w:pos="10772"/>
            </w:tabs>
            <w:rPr>
              <w:noProof/>
            </w:rPr>
          </w:pPr>
          <w:hyperlink w:anchor="_Toc240983">
            <w:r>
              <w:rPr>
                <w:noProof/>
              </w:rPr>
              <w:t>ANNEXES</w:t>
            </w:r>
            <w:r>
              <w:rPr>
                <w:noProof/>
              </w:rPr>
              <w:tab/>
            </w:r>
            <w:r>
              <w:rPr>
                <w:noProof/>
              </w:rPr>
              <w:fldChar w:fldCharType="begin"/>
            </w:r>
            <w:r>
              <w:rPr>
                <w:noProof/>
              </w:rPr>
              <w:instrText>PAGEREF _Toc240983 \h</w:instrText>
            </w:r>
            <w:r>
              <w:rPr>
                <w:noProof/>
              </w:rPr>
            </w:r>
            <w:r>
              <w:rPr>
                <w:noProof/>
              </w:rPr>
              <w:fldChar w:fldCharType="separate"/>
            </w:r>
            <w:r w:rsidR="000D24C6">
              <w:rPr>
                <w:noProof/>
              </w:rPr>
              <w:t>45</w:t>
            </w:r>
            <w:r>
              <w:rPr>
                <w:noProof/>
              </w:rPr>
              <w:fldChar w:fldCharType="end"/>
            </w:r>
          </w:hyperlink>
        </w:p>
        <w:p w:rsidR="00BB52D7" w:rsidRDefault="00E33AE6">
          <w:pPr>
            <w:pStyle w:val="TOC2"/>
            <w:tabs>
              <w:tab w:val="right" w:leader="dot" w:pos="10772"/>
            </w:tabs>
            <w:rPr>
              <w:noProof/>
            </w:rPr>
          </w:pPr>
          <w:hyperlink w:anchor="_Toc240984">
            <w:r>
              <w:rPr>
                <w:noProof/>
              </w:rPr>
              <w:t>Annex 1: Glossary</w:t>
            </w:r>
            <w:r>
              <w:rPr>
                <w:noProof/>
              </w:rPr>
              <w:tab/>
            </w:r>
            <w:r>
              <w:rPr>
                <w:noProof/>
              </w:rPr>
              <w:fldChar w:fldCharType="begin"/>
            </w:r>
            <w:r>
              <w:rPr>
                <w:noProof/>
              </w:rPr>
              <w:instrText>PAGEREF _Toc2</w:instrText>
            </w:r>
            <w:r>
              <w:rPr>
                <w:noProof/>
              </w:rPr>
              <w:instrText>40984 \h</w:instrText>
            </w:r>
            <w:r>
              <w:rPr>
                <w:noProof/>
              </w:rPr>
            </w:r>
            <w:r>
              <w:rPr>
                <w:noProof/>
              </w:rPr>
              <w:fldChar w:fldCharType="separate"/>
            </w:r>
            <w:r w:rsidR="000D24C6">
              <w:rPr>
                <w:noProof/>
              </w:rPr>
              <w:t>45</w:t>
            </w:r>
            <w:r>
              <w:rPr>
                <w:noProof/>
              </w:rPr>
              <w:fldChar w:fldCharType="end"/>
            </w:r>
          </w:hyperlink>
        </w:p>
        <w:p w:rsidR="00BB52D7" w:rsidRDefault="00E33AE6">
          <w:pPr>
            <w:pStyle w:val="TOC2"/>
            <w:tabs>
              <w:tab w:val="right" w:leader="dot" w:pos="10772"/>
            </w:tabs>
            <w:rPr>
              <w:noProof/>
            </w:rPr>
          </w:pPr>
          <w:hyperlink w:anchor="_Toc240985">
            <w:r>
              <w:rPr>
                <w:noProof/>
              </w:rPr>
              <w:t xml:space="preserve">Annex 2: Short description of the UCITS Directives and scope and timetable of </w:t>
            </w:r>
            <w:r>
              <w:rPr>
                <w:noProof/>
              </w:rPr>
              <w:tab/>
            </w:r>
            <w:r>
              <w:rPr>
                <w:noProof/>
              </w:rPr>
              <w:fldChar w:fldCharType="begin"/>
            </w:r>
            <w:r>
              <w:rPr>
                <w:noProof/>
              </w:rPr>
              <w:instrText>PAGEREF _Toc240985 \h</w:instrText>
            </w:r>
            <w:r>
              <w:rPr>
                <w:noProof/>
              </w:rPr>
            </w:r>
            <w:r w:rsidR="000D24C6">
              <w:rPr>
                <w:noProof/>
              </w:rPr>
              <w:fldChar w:fldCharType="separate"/>
            </w:r>
            <w:r w:rsidR="000D24C6">
              <w:rPr>
                <w:noProof/>
              </w:rPr>
              <w:t>47</w:t>
            </w:r>
            <w:r>
              <w:rPr>
                <w:noProof/>
              </w:rPr>
              <w:fldChar w:fldCharType="end"/>
            </w:r>
          </w:hyperlink>
        </w:p>
        <w:p w:rsidR="00BB52D7" w:rsidRDefault="00E33AE6">
          <w:pPr>
            <w:pStyle w:val="TOC3"/>
            <w:tabs>
              <w:tab w:val="right" w:leader="dot" w:pos="10772"/>
            </w:tabs>
            <w:rPr>
              <w:noProof/>
            </w:rPr>
          </w:pPr>
          <w:hyperlink w:anchor="_Toc240986">
            <w:r>
              <w:rPr>
                <w:noProof/>
              </w:rPr>
              <w:t>the level 2 work</w:t>
            </w:r>
            <w:r>
              <w:rPr>
                <w:noProof/>
              </w:rPr>
              <w:tab/>
            </w:r>
            <w:r>
              <w:rPr>
                <w:noProof/>
              </w:rPr>
              <w:fldChar w:fldCharType="begin"/>
            </w:r>
            <w:r>
              <w:rPr>
                <w:noProof/>
              </w:rPr>
              <w:instrText>PAGEREF _Toc240986 \h</w:instrText>
            </w:r>
            <w:r>
              <w:rPr>
                <w:noProof/>
              </w:rPr>
            </w:r>
            <w:r>
              <w:rPr>
                <w:noProof/>
              </w:rPr>
              <w:fldChar w:fldCharType="separate"/>
            </w:r>
            <w:r w:rsidR="000D24C6">
              <w:rPr>
                <w:noProof/>
              </w:rPr>
              <w:t>47</w:t>
            </w:r>
            <w:r>
              <w:rPr>
                <w:noProof/>
              </w:rPr>
              <w:fldChar w:fldCharType="end"/>
            </w:r>
          </w:hyperlink>
        </w:p>
        <w:p w:rsidR="00BB52D7" w:rsidRDefault="00E33AE6">
          <w:pPr>
            <w:pStyle w:val="TOC2"/>
            <w:tabs>
              <w:tab w:val="right" w:leader="dot" w:pos="10772"/>
            </w:tabs>
            <w:rPr>
              <w:noProof/>
            </w:rPr>
          </w:pPr>
          <w:hyperlink w:anchor="_Toc240987">
            <w:r>
              <w:rPr>
                <w:noProof/>
              </w:rPr>
              <w:t>Annex 3: Overview of UCITS sector</w:t>
            </w:r>
            <w:r>
              <w:rPr>
                <w:noProof/>
              </w:rPr>
              <w:tab/>
            </w:r>
            <w:r>
              <w:rPr>
                <w:noProof/>
              </w:rPr>
              <w:fldChar w:fldCharType="begin"/>
            </w:r>
            <w:r>
              <w:rPr>
                <w:noProof/>
              </w:rPr>
              <w:instrText>PAGEREF _Toc240987 \h</w:instrText>
            </w:r>
            <w:r>
              <w:rPr>
                <w:noProof/>
              </w:rPr>
            </w:r>
            <w:r>
              <w:rPr>
                <w:noProof/>
              </w:rPr>
              <w:fldChar w:fldCharType="separate"/>
            </w:r>
            <w:r w:rsidR="000D24C6">
              <w:rPr>
                <w:noProof/>
              </w:rPr>
              <w:t>49</w:t>
            </w:r>
            <w:r>
              <w:rPr>
                <w:noProof/>
              </w:rPr>
              <w:fldChar w:fldCharType="end"/>
            </w:r>
          </w:hyperlink>
        </w:p>
        <w:p w:rsidR="00BB52D7" w:rsidRDefault="00E33AE6">
          <w:pPr>
            <w:pStyle w:val="TOC2"/>
            <w:tabs>
              <w:tab w:val="right" w:leader="dot" w:pos="10772"/>
            </w:tabs>
            <w:rPr>
              <w:noProof/>
            </w:rPr>
          </w:pPr>
          <w:hyperlink w:anchor="_Toc240988">
            <w:r>
              <w:rPr>
                <w:noProof/>
              </w:rPr>
              <w:t>Annex 4 – Depositary’s functions</w:t>
            </w:r>
            <w:r>
              <w:rPr>
                <w:noProof/>
              </w:rPr>
              <w:tab/>
            </w:r>
            <w:r>
              <w:rPr>
                <w:noProof/>
              </w:rPr>
              <w:fldChar w:fldCharType="begin"/>
            </w:r>
            <w:r>
              <w:rPr>
                <w:noProof/>
              </w:rPr>
              <w:instrText>PAGEREF _Toc240988 \h</w:instrText>
            </w:r>
            <w:r>
              <w:rPr>
                <w:noProof/>
              </w:rPr>
            </w:r>
            <w:r>
              <w:rPr>
                <w:noProof/>
              </w:rPr>
              <w:fldChar w:fldCharType="separate"/>
            </w:r>
            <w:r w:rsidR="000D24C6">
              <w:rPr>
                <w:noProof/>
              </w:rPr>
              <w:t>54</w:t>
            </w:r>
            <w:r>
              <w:rPr>
                <w:noProof/>
              </w:rPr>
              <w:fldChar w:fldCharType="end"/>
            </w:r>
          </w:hyperlink>
        </w:p>
        <w:p w:rsidR="00BB52D7" w:rsidRDefault="00E33AE6">
          <w:pPr>
            <w:pStyle w:val="TOC2"/>
            <w:tabs>
              <w:tab w:val="right" w:leader="dot" w:pos="10772"/>
            </w:tabs>
            <w:rPr>
              <w:noProof/>
            </w:rPr>
          </w:pPr>
          <w:hyperlink w:anchor="_Toc240989">
            <w:r>
              <w:rPr>
                <w:noProof/>
              </w:rPr>
              <w:t>-</w:t>
            </w:r>
            <w:r>
              <w:rPr>
                <w:rFonts w:ascii="Calibri" w:eastAsia="Calibri" w:hAnsi="Calibri" w:cs="Calibri"/>
                <w:noProof/>
                <w:sz w:val="22"/>
              </w:rPr>
              <w:t xml:space="preserve">  </w:t>
            </w:r>
            <w:r>
              <w:rPr>
                <w:noProof/>
              </w:rPr>
              <w:t>Cost o</w:t>
            </w:r>
            <w:r>
              <w:rPr>
                <w:noProof/>
              </w:rPr>
              <w:t>f custody in different Member States</w:t>
            </w:r>
            <w:r>
              <w:rPr>
                <w:noProof/>
              </w:rPr>
              <w:tab/>
            </w:r>
            <w:r>
              <w:rPr>
                <w:noProof/>
              </w:rPr>
              <w:fldChar w:fldCharType="begin"/>
            </w:r>
            <w:r>
              <w:rPr>
                <w:noProof/>
              </w:rPr>
              <w:instrText>PAGEREF _Toc240989 \h</w:instrText>
            </w:r>
            <w:r>
              <w:rPr>
                <w:noProof/>
              </w:rPr>
            </w:r>
            <w:r>
              <w:rPr>
                <w:noProof/>
              </w:rPr>
              <w:fldChar w:fldCharType="separate"/>
            </w:r>
            <w:r w:rsidR="000D24C6">
              <w:rPr>
                <w:noProof/>
              </w:rPr>
              <w:t>85</w:t>
            </w:r>
            <w:r>
              <w:rPr>
                <w:noProof/>
              </w:rPr>
              <w:fldChar w:fldCharType="end"/>
            </w:r>
          </w:hyperlink>
        </w:p>
        <w:p w:rsidR="00BB52D7" w:rsidRDefault="00E33AE6">
          <w:pPr>
            <w:pStyle w:val="TOC2"/>
            <w:tabs>
              <w:tab w:val="right" w:leader="dot" w:pos="10772"/>
            </w:tabs>
            <w:rPr>
              <w:noProof/>
            </w:rPr>
          </w:pPr>
          <w:hyperlink w:anchor="_Toc240990">
            <w:r>
              <w:rPr>
                <w:noProof/>
              </w:rPr>
              <w:t>Annex 6: Steps to ensure insolvency protection of UCITS assets</w:t>
            </w:r>
            <w:r>
              <w:rPr>
                <w:noProof/>
              </w:rPr>
              <w:tab/>
            </w:r>
            <w:r>
              <w:rPr>
                <w:noProof/>
              </w:rPr>
              <w:fldChar w:fldCharType="begin"/>
            </w:r>
            <w:r>
              <w:rPr>
                <w:noProof/>
              </w:rPr>
              <w:instrText>PAGEREF _Toc240990 \h</w:instrText>
            </w:r>
            <w:r>
              <w:rPr>
                <w:noProof/>
              </w:rPr>
            </w:r>
            <w:r>
              <w:rPr>
                <w:noProof/>
              </w:rPr>
              <w:fldChar w:fldCharType="separate"/>
            </w:r>
            <w:r w:rsidR="000D24C6">
              <w:rPr>
                <w:noProof/>
              </w:rPr>
              <w:t>87</w:t>
            </w:r>
            <w:r>
              <w:rPr>
                <w:noProof/>
              </w:rPr>
              <w:fldChar w:fldCharType="end"/>
            </w:r>
          </w:hyperlink>
        </w:p>
        <w:p w:rsidR="00BB52D7" w:rsidRDefault="00E33AE6">
          <w:pPr>
            <w:pStyle w:val="TOC2"/>
            <w:tabs>
              <w:tab w:val="right" w:leader="dot" w:pos="10772"/>
            </w:tabs>
            <w:rPr>
              <w:noProof/>
            </w:rPr>
          </w:pPr>
          <w:hyperlink w:anchor="_Toc240991">
            <w:r>
              <w:rPr>
                <w:noProof/>
              </w:rPr>
              <w:t>Annex 7: How problems could evolve with regard to the various issues – Madoff case</w:t>
            </w:r>
            <w:r>
              <w:rPr>
                <w:noProof/>
              </w:rPr>
              <w:tab/>
            </w:r>
            <w:r>
              <w:rPr>
                <w:noProof/>
              </w:rPr>
              <w:fldChar w:fldCharType="begin"/>
            </w:r>
            <w:r>
              <w:rPr>
                <w:noProof/>
              </w:rPr>
              <w:instrText>PAGEREF _Toc240991 \h</w:instrText>
            </w:r>
            <w:r>
              <w:rPr>
                <w:noProof/>
              </w:rPr>
            </w:r>
            <w:r>
              <w:rPr>
                <w:noProof/>
              </w:rPr>
              <w:fldChar w:fldCharType="separate"/>
            </w:r>
            <w:r w:rsidR="000D24C6">
              <w:rPr>
                <w:noProof/>
              </w:rPr>
              <w:t>92</w:t>
            </w:r>
            <w:r>
              <w:rPr>
                <w:noProof/>
              </w:rPr>
              <w:fldChar w:fldCharType="end"/>
            </w:r>
          </w:hyperlink>
        </w:p>
        <w:p w:rsidR="00BB52D7" w:rsidRDefault="00E33AE6">
          <w:pPr>
            <w:pStyle w:val="TOC2"/>
            <w:tabs>
              <w:tab w:val="right" w:leader="dot" w:pos="10772"/>
            </w:tabs>
            <w:rPr>
              <w:noProof/>
            </w:rPr>
          </w:pPr>
          <w:hyperlink w:anchor="_Toc240992">
            <w:r>
              <w:rPr>
                <w:noProof/>
              </w:rPr>
              <w:t xml:space="preserve">Annex 8: A practical example outlining the independence requirement between </w:t>
            </w:r>
            <w:r>
              <w:rPr>
                <w:noProof/>
              </w:rPr>
              <w:tab/>
            </w:r>
            <w:r>
              <w:rPr>
                <w:noProof/>
              </w:rPr>
              <w:fldChar w:fldCharType="begin"/>
            </w:r>
            <w:r>
              <w:rPr>
                <w:noProof/>
              </w:rPr>
              <w:instrText>PAGEREF _Toc240992 \h</w:instrText>
            </w:r>
            <w:r>
              <w:rPr>
                <w:noProof/>
              </w:rPr>
            </w:r>
            <w:r w:rsidR="000D24C6">
              <w:rPr>
                <w:noProof/>
              </w:rPr>
              <w:fldChar w:fldCharType="separate"/>
            </w:r>
            <w:r w:rsidR="000D24C6">
              <w:rPr>
                <w:noProof/>
              </w:rPr>
              <w:t>95</w:t>
            </w:r>
            <w:r>
              <w:rPr>
                <w:noProof/>
              </w:rPr>
              <w:fldChar w:fldCharType="end"/>
            </w:r>
          </w:hyperlink>
        </w:p>
        <w:p w:rsidR="00BB52D7" w:rsidRDefault="00E33AE6">
          <w:pPr>
            <w:pStyle w:val="TOC3"/>
            <w:tabs>
              <w:tab w:val="right" w:leader="dot" w:pos="10772"/>
            </w:tabs>
            <w:rPr>
              <w:noProof/>
            </w:rPr>
          </w:pPr>
          <w:hyperlink w:anchor="_Toc240993">
            <w:r>
              <w:rPr>
                <w:noProof/>
              </w:rPr>
              <w:t xml:space="preserve">the depositary </w:t>
            </w:r>
            <w:r>
              <w:rPr>
                <w:noProof/>
              </w:rPr>
              <w:t>and the fund's management company as applicable in the UK</w:t>
            </w:r>
            <w:r>
              <w:rPr>
                <w:noProof/>
              </w:rPr>
              <w:tab/>
            </w:r>
            <w:r>
              <w:rPr>
                <w:noProof/>
              </w:rPr>
              <w:fldChar w:fldCharType="begin"/>
            </w:r>
            <w:r>
              <w:rPr>
                <w:noProof/>
              </w:rPr>
              <w:instrText>PAGEREF _Toc240993 \h</w:instrText>
            </w:r>
            <w:r>
              <w:rPr>
                <w:noProof/>
              </w:rPr>
            </w:r>
            <w:r>
              <w:rPr>
                <w:noProof/>
              </w:rPr>
              <w:fldChar w:fldCharType="separate"/>
            </w:r>
            <w:r w:rsidR="000D24C6">
              <w:rPr>
                <w:noProof/>
              </w:rPr>
              <w:t>95</w:t>
            </w:r>
            <w:r>
              <w:rPr>
                <w:noProof/>
              </w:rPr>
              <w:fldChar w:fldCharType="end"/>
            </w:r>
          </w:hyperlink>
        </w:p>
        <w:p w:rsidR="00BB52D7" w:rsidRDefault="00E33AE6">
          <w:pPr>
            <w:pStyle w:val="TOC2"/>
            <w:tabs>
              <w:tab w:val="right" w:leader="dot" w:pos="10772"/>
            </w:tabs>
            <w:rPr>
              <w:noProof/>
            </w:rPr>
          </w:pPr>
          <w:hyperlink w:anchor="_Toc240994">
            <w:r>
              <w:rPr>
                <w:noProof/>
              </w:rPr>
              <w:t xml:space="preserve">Annex 9: Comparison of the UCITS Directive and AIFM Directive on </w:t>
            </w:r>
            <w:r>
              <w:rPr>
                <w:noProof/>
              </w:rPr>
              <w:tab/>
            </w:r>
            <w:r>
              <w:rPr>
                <w:noProof/>
              </w:rPr>
              <w:fldChar w:fldCharType="begin"/>
            </w:r>
            <w:r>
              <w:rPr>
                <w:noProof/>
              </w:rPr>
              <w:instrText>PAGEREF _</w:instrText>
            </w:r>
            <w:r>
              <w:rPr>
                <w:noProof/>
              </w:rPr>
              <w:instrText>Toc240994 \h</w:instrText>
            </w:r>
            <w:r>
              <w:rPr>
                <w:noProof/>
              </w:rPr>
            </w:r>
            <w:r w:rsidR="000D24C6">
              <w:rPr>
                <w:noProof/>
              </w:rPr>
              <w:fldChar w:fldCharType="separate"/>
            </w:r>
            <w:r w:rsidR="000D24C6">
              <w:rPr>
                <w:noProof/>
              </w:rPr>
              <w:t>97</w:t>
            </w:r>
            <w:r>
              <w:rPr>
                <w:noProof/>
              </w:rPr>
              <w:fldChar w:fldCharType="end"/>
            </w:r>
          </w:hyperlink>
        </w:p>
        <w:p w:rsidR="00BB52D7" w:rsidRDefault="00E33AE6">
          <w:pPr>
            <w:pStyle w:val="TOC3"/>
            <w:tabs>
              <w:tab w:val="right" w:leader="dot" w:pos="10772"/>
            </w:tabs>
            <w:rPr>
              <w:noProof/>
            </w:rPr>
          </w:pPr>
          <w:hyperlink w:anchor="_Toc240995">
            <w:r>
              <w:rPr>
                <w:noProof/>
              </w:rPr>
              <w:t>Depositary rules (Eligible Entities and discharge of liabilities)</w:t>
            </w:r>
            <w:r>
              <w:rPr>
                <w:noProof/>
              </w:rPr>
              <w:tab/>
            </w:r>
            <w:r>
              <w:rPr>
                <w:noProof/>
              </w:rPr>
              <w:fldChar w:fldCharType="begin"/>
            </w:r>
            <w:r>
              <w:rPr>
                <w:noProof/>
              </w:rPr>
              <w:instrText>PAGEREF _Toc240995 \h</w:instrText>
            </w:r>
            <w:r>
              <w:rPr>
                <w:noProof/>
              </w:rPr>
            </w:r>
            <w:r>
              <w:rPr>
                <w:noProof/>
              </w:rPr>
              <w:fldChar w:fldCharType="separate"/>
            </w:r>
            <w:r w:rsidR="000D24C6">
              <w:rPr>
                <w:noProof/>
              </w:rPr>
              <w:t>97</w:t>
            </w:r>
            <w:r>
              <w:rPr>
                <w:noProof/>
              </w:rPr>
              <w:fldChar w:fldCharType="end"/>
            </w:r>
          </w:hyperlink>
        </w:p>
        <w:p w:rsidR="00BB52D7" w:rsidRDefault="00E33AE6">
          <w:pPr>
            <w:pStyle w:val="TOC2"/>
            <w:tabs>
              <w:tab w:val="right" w:leader="dot" w:pos="10772"/>
            </w:tabs>
            <w:rPr>
              <w:noProof/>
            </w:rPr>
          </w:pPr>
          <w:hyperlink w:anchor="_Toc240996">
            <w:r>
              <w:rPr>
                <w:noProof/>
              </w:rPr>
              <w:t>Annex 10: Comparison of empowerments for delegated acts regarding depositaries in the UCITS V and AIFMD</w:t>
            </w:r>
            <w:r>
              <w:rPr>
                <w:noProof/>
              </w:rPr>
              <w:tab/>
            </w:r>
            <w:r>
              <w:rPr>
                <w:noProof/>
              </w:rPr>
              <w:fldChar w:fldCharType="begin"/>
            </w:r>
            <w:r>
              <w:rPr>
                <w:noProof/>
              </w:rPr>
              <w:instrText>PAGEREF _Toc240996 \h</w:instrText>
            </w:r>
            <w:r>
              <w:rPr>
                <w:noProof/>
              </w:rPr>
            </w:r>
            <w:r>
              <w:rPr>
                <w:noProof/>
              </w:rPr>
              <w:fldChar w:fldCharType="separate"/>
            </w:r>
            <w:r w:rsidR="000D24C6">
              <w:rPr>
                <w:noProof/>
              </w:rPr>
              <w:t>104</w:t>
            </w:r>
            <w:r>
              <w:rPr>
                <w:noProof/>
              </w:rPr>
              <w:fldChar w:fldCharType="end"/>
            </w:r>
          </w:hyperlink>
        </w:p>
        <w:p w:rsidR="00BB52D7" w:rsidRDefault="00E33AE6">
          <w:pPr>
            <w:pStyle w:val="TOC1"/>
            <w:tabs>
              <w:tab w:val="right" w:leader="dot" w:pos="10772"/>
            </w:tabs>
            <w:rPr>
              <w:noProof/>
            </w:rPr>
          </w:pPr>
          <w:hyperlink w:anchor="_Toc240997">
            <w:r>
              <w:rPr>
                <w:noProof/>
              </w:rPr>
              <w:t>Annex 11: Comments and Discrepancies between the provision, the AIFMD and the ESMA advice,</w:t>
            </w:r>
            <w:r>
              <w:rPr>
                <w:noProof/>
              </w:rPr>
              <w:tab/>
            </w:r>
            <w:r>
              <w:rPr>
                <w:noProof/>
              </w:rPr>
              <w:fldChar w:fldCharType="begin"/>
            </w:r>
            <w:r>
              <w:rPr>
                <w:noProof/>
              </w:rPr>
              <w:instrText>PAGEREF _Toc240997 \h</w:instrText>
            </w:r>
            <w:r>
              <w:rPr>
                <w:noProof/>
              </w:rPr>
            </w:r>
            <w:r>
              <w:rPr>
                <w:noProof/>
              </w:rPr>
              <w:fldChar w:fldCharType="separate"/>
            </w:r>
            <w:r w:rsidR="000D24C6">
              <w:rPr>
                <w:noProof/>
              </w:rPr>
              <w:t>105</w:t>
            </w:r>
            <w:r>
              <w:rPr>
                <w:noProof/>
              </w:rPr>
              <w:fldChar w:fldCharType="end"/>
            </w:r>
          </w:hyperlink>
        </w:p>
        <w:p w:rsidR="00BB52D7" w:rsidRDefault="00E33AE6">
          <w:pPr>
            <w:pStyle w:val="TOC1"/>
            <w:tabs>
              <w:tab w:val="right" w:leader="dot" w:pos="10772"/>
            </w:tabs>
            <w:rPr>
              <w:noProof/>
            </w:rPr>
          </w:pPr>
          <w:hyperlink w:anchor="_Toc240998">
            <w:r>
              <w:rPr>
                <w:noProof/>
              </w:rPr>
              <w:t>Annex 12: Summary of ESMA public consultation on UCITS advice</w:t>
            </w:r>
            <w:r>
              <w:rPr>
                <w:noProof/>
              </w:rPr>
              <w:tab/>
            </w:r>
            <w:r>
              <w:rPr>
                <w:noProof/>
              </w:rPr>
              <w:fldChar w:fldCharType="begin"/>
            </w:r>
            <w:r>
              <w:rPr>
                <w:noProof/>
              </w:rPr>
              <w:instrText>PAGEREF _Toc240998 \h</w:instrText>
            </w:r>
            <w:r>
              <w:rPr>
                <w:noProof/>
              </w:rPr>
            </w:r>
            <w:r>
              <w:rPr>
                <w:noProof/>
              </w:rPr>
              <w:fldChar w:fldCharType="separate"/>
            </w:r>
            <w:r w:rsidR="000D24C6">
              <w:rPr>
                <w:noProof/>
              </w:rPr>
              <w:t>109</w:t>
            </w:r>
            <w:r>
              <w:rPr>
                <w:noProof/>
              </w:rPr>
              <w:fldChar w:fldCharType="end"/>
            </w:r>
          </w:hyperlink>
        </w:p>
        <w:p w:rsidR="00BB52D7" w:rsidRDefault="00E33AE6">
          <w:pPr>
            <w:pStyle w:val="TOC1"/>
            <w:tabs>
              <w:tab w:val="right" w:leader="dot" w:pos="10772"/>
            </w:tabs>
            <w:rPr>
              <w:noProof/>
            </w:rPr>
          </w:pPr>
          <w:hyperlink w:anchor="_Toc240999">
            <w:r>
              <w:rPr>
                <w:noProof/>
              </w:rPr>
              <w:t>Annex 13: Summary of the US rules that would apply if asset managers an</w:t>
            </w:r>
            <w:r>
              <w:rPr>
                <w:noProof/>
              </w:rPr>
              <w:t>d custodians belong to a corporate group or have cross-shareholdings between each other</w:t>
            </w:r>
            <w:r>
              <w:rPr>
                <w:noProof/>
              </w:rPr>
              <w:tab/>
            </w:r>
            <w:r>
              <w:rPr>
                <w:noProof/>
              </w:rPr>
              <w:fldChar w:fldCharType="begin"/>
            </w:r>
            <w:r>
              <w:rPr>
                <w:noProof/>
              </w:rPr>
              <w:instrText>PAGEREF _Toc240999 \h</w:instrText>
            </w:r>
            <w:r>
              <w:rPr>
                <w:noProof/>
              </w:rPr>
            </w:r>
            <w:r>
              <w:rPr>
                <w:noProof/>
              </w:rPr>
              <w:fldChar w:fldCharType="separate"/>
            </w:r>
            <w:r w:rsidR="000D24C6">
              <w:rPr>
                <w:noProof/>
              </w:rPr>
              <w:t>110</w:t>
            </w:r>
            <w:r>
              <w:rPr>
                <w:noProof/>
              </w:rPr>
              <w:fldChar w:fldCharType="end"/>
            </w:r>
          </w:hyperlink>
        </w:p>
        <w:p w:rsidR="00BB52D7" w:rsidRDefault="00E33AE6">
          <w:pPr>
            <w:pStyle w:val="TOC1"/>
            <w:tabs>
              <w:tab w:val="right" w:leader="dot" w:pos="10772"/>
            </w:tabs>
            <w:rPr>
              <w:noProof/>
            </w:rPr>
          </w:pPr>
          <w:hyperlink w:anchor="_Toc241000">
            <w:r>
              <w:rPr>
                <w:noProof/>
              </w:rPr>
              <w:t>Annex 14 – Examples of supervision and sancti</w:t>
            </w:r>
            <w:r>
              <w:rPr>
                <w:noProof/>
              </w:rPr>
              <w:t>ons powers of national competent authorities</w:t>
            </w:r>
            <w:r>
              <w:rPr>
                <w:noProof/>
              </w:rPr>
              <w:tab/>
            </w:r>
            <w:r>
              <w:rPr>
                <w:noProof/>
              </w:rPr>
              <w:fldChar w:fldCharType="begin"/>
            </w:r>
            <w:r>
              <w:rPr>
                <w:noProof/>
              </w:rPr>
              <w:instrText>PAGEREF _Toc241000 \h</w:instrText>
            </w:r>
            <w:r>
              <w:rPr>
                <w:noProof/>
              </w:rPr>
            </w:r>
            <w:r>
              <w:rPr>
                <w:noProof/>
              </w:rPr>
              <w:fldChar w:fldCharType="separate"/>
            </w:r>
            <w:r w:rsidR="000D24C6">
              <w:rPr>
                <w:noProof/>
              </w:rPr>
              <w:t>112</w:t>
            </w:r>
            <w:r>
              <w:rPr>
                <w:noProof/>
              </w:rPr>
              <w:fldChar w:fldCharType="end"/>
            </w:r>
          </w:hyperlink>
        </w:p>
        <w:p w:rsidR="00BB52D7" w:rsidRDefault="00E33AE6">
          <w:pPr>
            <w:pStyle w:val="TOC1"/>
            <w:tabs>
              <w:tab w:val="right" w:leader="dot" w:pos="10772"/>
            </w:tabs>
            <w:rPr>
              <w:noProof/>
            </w:rPr>
          </w:pPr>
          <w:hyperlink w:anchor="_Toc241001">
            <w:r>
              <w:rPr>
                <w:noProof/>
              </w:rPr>
              <w:t>Annex 15 – Other impacts of Options 2.2 and 2.3</w:t>
            </w:r>
            <w:r>
              <w:rPr>
                <w:noProof/>
              </w:rPr>
              <w:tab/>
            </w:r>
            <w:r>
              <w:rPr>
                <w:noProof/>
              </w:rPr>
              <w:fldChar w:fldCharType="begin"/>
            </w:r>
            <w:r>
              <w:rPr>
                <w:noProof/>
              </w:rPr>
              <w:instrText>PAGEREF _Toc241001 \h</w:instrText>
            </w:r>
            <w:r>
              <w:rPr>
                <w:noProof/>
              </w:rPr>
            </w:r>
            <w:r>
              <w:rPr>
                <w:noProof/>
              </w:rPr>
              <w:fldChar w:fldCharType="separate"/>
            </w:r>
            <w:r w:rsidR="000D24C6">
              <w:rPr>
                <w:noProof/>
              </w:rPr>
              <w:t>117</w:t>
            </w:r>
            <w:r>
              <w:rPr>
                <w:noProof/>
              </w:rPr>
              <w:fldChar w:fldCharType="end"/>
            </w:r>
          </w:hyperlink>
        </w:p>
        <w:p w:rsidR="00BB52D7" w:rsidRDefault="00E33AE6">
          <w:r>
            <w:fldChar w:fldCharType="end"/>
          </w:r>
        </w:p>
      </w:sdtContent>
    </w:sdt>
    <w:p w:rsidR="00BB52D7" w:rsidRDefault="00E33AE6">
      <w:pPr>
        <w:spacing w:after="48"/>
        <w:ind w:left="1334" w:right="843" w:firstLine="595"/>
      </w:pPr>
      <w:r>
        <w:br w:type="page"/>
      </w:r>
    </w:p>
    <w:p w:rsidR="00BB52D7" w:rsidRDefault="00E33AE6">
      <w:pPr>
        <w:spacing w:after="312" w:line="259" w:lineRule="auto"/>
        <w:ind w:left="851" w:firstLine="0"/>
        <w:jc w:val="left"/>
      </w:pPr>
      <w:r>
        <w:rPr>
          <w:sz w:val="20"/>
        </w:rPr>
        <w:lastRenderedPageBreak/>
        <w:t xml:space="preserve"> </w:t>
      </w:r>
    </w:p>
    <w:p w:rsidR="00BB52D7" w:rsidRDefault="00E33AE6">
      <w:pPr>
        <w:spacing w:after="225" w:line="259" w:lineRule="auto"/>
        <w:ind w:left="1219"/>
        <w:jc w:val="left"/>
      </w:pPr>
      <w:r>
        <w:rPr>
          <w:b/>
        </w:rPr>
        <w:t>1.</w:t>
      </w:r>
      <w:r>
        <w:rPr>
          <w:b/>
          <w:sz w:val="19"/>
        </w:rPr>
        <w:t xml:space="preserve"> </w:t>
      </w:r>
      <w:r>
        <w:rPr>
          <w:b/>
        </w:rPr>
        <w:t>I</w:t>
      </w:r>
      <w:r>
        <w:rPr>
          <w:b/>
          <w:sz w:val="19"/>
        </w:rPr>
        <w:t>NTRODUCTION</w:t>
      </w:r>
      <w:r>
        <w:rPr>
          <w:b/>
          <w:sz w:val="25"/>
          <w:vertAlign w:val="superscript"/>
        </w:rPr>
        <w:footnoteReference w:id="1"/>
      </w:r>
      <w:r>
        <w:rPr>
          <w:b/>
        </w:rPr>
        <w:t xml:space="preserve"> </w:t>
      </w:r>
    </w:p>
    <w:p w:rsidR="00BB52D7" w:rsidRDefault="00E33AE6">
      <w:pPr>
        <w:ind w:left="846" w:right="843"/>
      </w:pPr>
      <w:r>
        <w:t xml:space="preserve">The financial crisis, and in particular the Madoff events, have put the spotlight on the duties and the liability of the investment funds depositaries.  </w:t>
      </w:r>
    </w:p>
    <w:p w:rsidR="00BB52D7" w:rsidRDefault="00E33AE6">
      <w:pPr>
        <w:ind w:left="846" w:right="843"/>
      </w:pPr>
      <w:r>
        <w:t>In order to address th</w:t>
      </w:r>
      <w:r>
        <w:t>ese issues, the European Commission, in July 2012, presented a proposal to amend the Undertakings for Collective Investments in Transferable Securities (UCITS) Directive. Following the adoption in co-decision, UCITS V</w:t>
      </w:r>
      <w:r>
        <w:rPr>
          <w:vertAlign w:val="superscript"/>
        </w:rPr>
        <w:footnoteReference w:id="2"/>
      </w:r>
      <w:r>
        <w:t xml:space="preserve"> Directive was published in the Offici</w:t>
      </w:r>
      <w:r>
        <w:t>al Journal of the European Union on 28 August 2014 and came into force on 17 September 2014. Member States must adopt and publish the laws and regulations necessary to comply with the UCITS V Directive by 18 March 2016. The UCITS V Directive amends and rep</w:t>
      </w:r>
      <w:r>
        <w:t>laces certain provisions of Directive 2009/65/EC (UCITS IV)</w:t>
      </w:r>
      <w:r>
        <w:rPr>
          <w:vertAlign w:val="superscript"/>
        </w:rPr>
        <w:footnoteReference w:id="3"/>
      </w:r>
      <w:r>
        <w:t xml:space="preserve"> therefore all references to the amended provision will be further refereed as to UCITS. </w:t>
      </w:r>
    </w:p>
    <w:p w:rsidR="00BB52D7" w:rsidRDefault="00E33AE6">
      <w:pPr>
        <w:spacing w:after="255"/>
        <w:ind w:left="846" w:right="843"/>
      </w:pPr>
      <w:r>
        <w:t>The UCITS V Directive mirrors, to a large extent, the provisions on depositaries that were introduced in the Alternative Investment Fund Managers Directive</w:t>
      </w:r>
      <w:r>
        <w:rPr>
          <w:vertAlign w:val="superscript"/>
        </w:rPr>
        <w:footnoteReference w:id="4"/>
      </w:r>
      <w:r>
        <w:t xml:space="preserve"> (AIFMD), which were further implemented through a Delegated Regulation 231/2013</w:t>
      </w:r>
      <w:r>
        <w:rPr>
          <w:vertAlign w:val="superscript"/>
        </w:rPr>
        <w:footnoteReference w:id="5"/>
      </w:r>
      <w:r>
        <w:t xml:space="preserve">. </w:t>
      </w:r>
    </w:p>
    <w:p w:rsidR="00BB52D7" w:rsidRDefault="00E33AE6">
      <w:pPr>
        <w:ind w:left="846" w:right="843"/>
      </w:pPr>
      <w:r>
        <w:t>This impact assessment focuses on two empowerments contained in the UCITS V Directive that are not part of the existing rules on fund depositaries contained in the AIFM Delegated Regulation, which are: (1) the insolvency protection of UCITS assets when the</w:t>
      </w:r>
      <w:r>
        <w:t xml:space="preserve"> depositary delegates safekeeping duties to a third party (Article 26b (e) UCITS) and (2) the requirement that the UCITS management/investment company and the UCITS depositary act independently (Article 26b (h) UCITS).  </w:t>
      </w:r>
    </w:p>
    <w:p w:rsidR="00BB52D7" w:rsidRDefault="00E33AE6">
      <w:pPr>
        <w:pStyle w:val="Heading6"/>
        <w:spacing w:after="229"/>
        <w:ind w:right="0"/>
        <w:jc w:val="both"/>
      </w:pPr>
      <w:r>
        <w:rPr>
          <w:i w:val="0"/>
          <w:u w:val="none"/>
        </w:rPr>
        <w:t>1.1</w:t>
      </w:r>
      <w:r>
        <w:rPr>
          <w:rFonts w:ascii="Arial" w:eastAsia="Arial" w:hAnsi="Arial" w:cs="Arial"/>
          <w:i w:val="0"/>
          <w:u w:val="none"/>
        </w:rPr>
        <w:t xml:space="preserve"> </w:t>
      </w:r>
      <w:r>
        <w:rPr>
          <w:i w:val="0"/>
          <w:u w:val="none"/>
        </w:rPr>
        <w:t xml:space="preserve">The UCITS Directive  </w:t>
      </w:r>
    </w:p>
    <w:p w:rsidR="00BB52D7" w:rsidRDefault="00E33AE6">
      <w:pPr>
        <w:spacing w:after="305"/>
        <w:ind w:left="846" w:right="843"/>
      </w:pPr>
      <w:r>
        <w:t>UCITS V n</w:t>
      </w:r>
      <w:r>
        <w:t>ew depositary requirements are meant to broadly align the UCITS Directive with the AIFM Directive in terms of rules on depositaries’ duties, delegation arrangements, and the liability regime for custodial assets. These rules aim at addressing non-market ri</w:t>
      </w:r>
      <w:r>
        <w:t>sks related to the depositaries activities. As a consequence, the empowerments for the Commission to adopt delegated acts on depositaries under UCITS V, with the exception of the two empowerments mentioned above, are identical to the ones that were foresee</w:t>
      </w:r>
      <w:r>
        <w:t>n by the AIFM Directive. The European Securities and Markets Authority (ESMA) provided its technical advice on these empowerments in 2011</w:t>
      </w:r>
      <w:r>
        <w:rPr>
          <w:vertAlign w:val="superscript"/>
        </w:rPr>
        <w:footnoteReference w:id="6"/>
      </w:r>
      <w:r>
        <w:t xml:space="preserve">.  </w:t>
      </w:r>
    </w:p>
    <w:p w:rsidR="00BB52D7" w:rsidRDefault="00E33AE6">
      <w:pPr>
        <w:spacing w:after="0" w:line="259" w:lineRule="auto"/>
        <w:ind w:left="851" w:firstLine="0"/>
        <w:jc w:val="left"/>
      </w:pPr>
      <w:r>
        <w:lastRenderedPageBreak/>
        <w:t xml:space="preserve"> </w:t>
      </w:r>
    </w:p>
    <w:p w:rsidR="00BB52D7" w:rsidRDefault="00E33AE6">
      <w:pPr>
        <w:pStyle w:val="Heading6"/>
        <w:spacing w:after="229"/>
        <w:ind w:right="0"/>
        <w:jc w:val="both"/>
      </w:pPr>
      <w:r>
        <w:rPr>
          <w:i w:val="0"/>
          <w:u w:val="none"/>
        </w:rPr>
        <w:t>1.2</w:t>
      </w:r>
      <w:r>
        <w:rPr>
          <w:rFonts w:ascii="Arial" w:eastAsia="Arial" w:hAnsi="Arial" w:cs="Arial"/>
          <w:i w:val="0"/>
          <w:u w:val="none"/>
        </w:rPr>
        <w:t xml:space="preserve"> </w:t>
      </w:r>
      <w:r>
        <w:rPr>
          <w:i w:val="0"/>
          <w:u w:val="none"/>
        </w:rPr>
        <w:t xml:space="preserve">UCITS investment funds and management companies </w:t>
      </w:r>
    </w:p>
    <w:p w:rsidR="00BB52D7" w:rsidRDefault="00E33AE6">
      <w:pPr>
        <w:ind w:left="846" w:right="843"/>
      </w:pPr>
      <w:r>
        <w:t>All investment funds in the EU fall into one of the followi</w:t>
      </w:r>
      <w:r>
        <w:t>ng two categories: undertakings for collective investment in transferable securities (UCITS) or alternative investment funds (AIFs).</w:t>
      </w:r>
      <w:r>
        <w:rPr>
          <w:vertAlign w:val="subscript"/>
        </w:rPr>
        <w:t xml:space="preserve"> </w:t>
      </w:r>
      <w:r>
        <w:t>UCITS funds are those that comply with harmonised rules (in particular product rules) as laid down in the UCITS Directive t</w:t>
      </w:r>
      <w:r>
        <w:t xml:space="preserve">hereby permitting their sale to the retail investors. AIFs are all investment funds other than UCITS and their managers are required to comply with rules laid down in the AIFM Directive. The latter are not subject to this impact assessment. </w:t>
      </w:r>
    </w:p>
    <w:p w:rsidR="00BB52D7" w:rsidRDefault="00E33AE6">
      <w:pPr>
        <w:ind w:left="846" w:right="843"/>
      </w:pPr>
      <w:r>
        <w:t xml:space="preserve">Institutional </w:t>
      </w:r>
      <w:r>
        <w:t>investors represent the largest client category of the European asset management industry – they account for 76% of total assets under management ("AuM") in Europe</w:t>
      </w:r>
      <w:r>
        <w:rPr>
          <w:vertAlign w:val="superscript"/>
        </w:rPr>
        <w:footnoteReference w:id="7"/>
      </w:r>
      <w:r>
        <w:t>. To note: the institutional investor base for UCITS does not only comprise the usual instit</w:t>
      </w:r>
      <w:r>
        <w:t xml:space="preserve">utional client base (banks, treasurers or corporates) but includes pension funds and insurance companies. Retail investors represent 24 % of total UCITS assets under management in Europe. </w:t>
      </w:r>
    </w:p>
    <w:p w:rsidR="00BB52D7" w:rsidRDefault="00E33AE6">
      <w:pPr>
        <w:ind w:left="846" w:right="843"/>
      </w:pPr>
      <w:r>
        <w:t>UCITS funds have been successful within Europe as well as in Asia a</w:t>
      </w:r>
      <w:r>
        <w:t>nd South America, resulting in a steady rise in UCITS assets under management over the years: from € 5,694 billion as of the end of 2010</w:t>
      </w:r>
      <w:r>
        <w:rPr>
          <w:vertAlign w:val="superscript"/>
        </w:rPr>
        <w:footnoteReference w:id="8"/>
      </w:r>
      <w:r>
        <w:t xml:space="preserve"> to € 6,455 billion as of the end of 2013</w:t>
      </w:r>
      <w:r>
        <w:rPr>
          <w:vertAlign w:val="superscript"/>
        </w:rPr>
        <w:footnoteReference w:id="9"/>
      </w:r>
      <w:r>
        <w:t xml:space="preserve"> to € 7,514 billion as of the end of 2014</w:t>
      </w:r>
      <w:r>
        <w:rPr>
          <w:vertAlign w:val="superscript"/>
        </w:rPr>
        <w:footnoteReference w:id="10"/>
      </w:r>
      <w:r>
        <w:t>. Annex 3 provides additional infor</w:t>
      </w:r>
      <w:r>
        <w:t xml:space="preserve">mation in the UCITS sectors especially the breakdown of UCITS investment asset classes and geographical allocation of funds. </w:t>
      </w:r>
    </w:p>
    <w:p w:rsidR="00BB52D7" w:rsidRDefault="00E33AE6">
      <w:pPr>
        <w:pStyle w:val="Heading6"/>
        <w:spacing w:after="229"/>
        <w:ind w:right="0"/>
        <w:jc w:val="both"/>
      </w:pPr>
      <w:r>
        <w:rPr>
          <w:i w:val="0"/>
          <w:u w:val="none"/>
        </w:rPr>
        <w:t>1.3</w:t>
      </w:r>
      <w:r>
        <w:rPr>
          <w:rFonts w:ascii="Arial" w:eastAsia="Arial" w:hAnsi="Arial" w:cs="Arial"/>
          <w:i w:val="0"/>
          <w:u w:val="none"/>
        </w:rPr>
        <w:t xml:space="preserve"> </w:t>
      </w:r>
      <w:r>
        <w:rPr>
          <w:i w:val="0"/>
          <w:u w:val="none"/>
        </w:rPr>
        <w:t xml:space="preserve">UCITS depositaries  </w:t>
      </w:r>
    </w:p>
    <w:p w:rsidR="00BB52D7" w:rsidRDefault="00E33AE6">
      <w:pPr>
        <w:ind w:left="846" w:right="843"/>
      </w:pPr>
      <w:r>
        <w:t>The UCITS Directive requires each UCITS to appoint a depositary which is entrusted with a duty of safekee</w:t>
      </w:r>
      <w:r>
        <w:t xml:space="preserve">ping compassing: controlling of the title of any assets received by the fund and keeping assets in custody or, where this is not possible, keeping records of ownership. UCITS depositaries also monitor cash flows and exercise additional oversight functions </w:t>
      </w:r>
      <w:r>
        <w:t>described below. The largest UCITS depositaries are large international banks</w:t>
      </w:r>
      <w:r>
        <w:rPr>
          <w:vertAlign w:val="superscript"/>
        </w:rPr>
        <w:footnoteReference w:id="11"/>
      </w:r>
      <w:r>
        <w:t xml:space="preserve"> or their subsidiaries. Depositaries provide custody (safekeeping) services</w:t>
      </w:r>
      <w:r>
        <w:rPr>
          <w:vertAlign w:val="superscript"/>
        </w:rPr>
        <w:footnoteReference w:id="12"/>
      </w:r>
      <w:r>
        <w:t xml:space="preserve"> to investment funds (UCITS and AIFs) but also to other investors, e.g. pension funds, insurance compa</w:t>
      </w:r>
      <w:r>
        <w:t xml:space="preserve">nies, or individual investors. </w:t>
      </w:r>
      <w:r>
        <w:lastRenderedPageBreak/>
        <w:t xml:space="preserve">Depositaries also provide additional (ancillary) services such as securities lending, brokerage and execution of foreign exchange trades.  </w:t>
      </w:r>
    </w:p>
    <w:p w:rsidR="00BB52D7" w:rsidRDefault="00E33AE6">
      <w:pPr>
        <w:spacing w:after="284"/>
        <w:ind w:left="846" w:right="843"/>
      </w:pPr>
      <w:r>
        <w:t>From a UCITS depositary perspective, keeping custody</w:t>
      </w:r>
      <w:r>
        <w:rPr>
          <w:vertAlign w:val="superscript"/>
        </w:rPr>
        <w:footnoteReference w:id="13"/>
      </w:r>
      <w:r>
        <w:t xml:space="preserve"> of the fund's assets is one int</w:t>
      </w:r>
      <w:r>
        <w:t>egral part of their overall function. However, the notion of "depositary" is wider than the notion of pure "custodian", in that the UCITS Directive requires a depositary to exercise specific oversight functions</w:t>
      </w:r>
      <w:r>
        <w:rPr>
          <w:vertAlign w:val="superscript"/>
        </w:rPr>
        <w:footnoteReference w:id="14"/>
      </w:r>
      <w:r>
        <w:t xml:space="preserve">, such as: </w:t>
      </w:r>
    </w:p>
    <w:p w:rsidR="00BB52D7" w:rsidRDefault="00E33AE6">
      <w:pPr>
        <w:numPr>
          <w:ilvl w:val="0"/>
          <w:numId w:val="1"/>
        </w:numPr>
        <w:spacing w:after="10"/>
        <w:ind w:right="843" w:hanging="360"/>
      </w:pPr>
      <w:r>
        <w:t>Monitoring compliance with the UC</w:t>
      </w:r>
      <w:r>
        <w:t xml:space="preserve">ITS rules and fund's investment limits; </w:t>
      </w:r>
    </w:p>
    <w:p w:rsidR="00BB52D7" w:rsidRDefault="00E33AE6">
      <w:pPr>
        <w:numPr>
          <w:ilvl w:val="0"/>
          <w:numId w:val="1"/>
        </w:numPr>
        <w:spacing w:after="11"/>
        <w:ind w:right="843" w:hanging="360"/>
      </w:pPr>
      <w:r>
        <w:t xml:space="preserve">Monitoring cash flows, i.e. ensuring that investor money and cash belonging to the UCITS is booked correctly in the fund's accounts (cash reconciliation); </w:t>
      </w:r>
    </w:p>
    <w:p w:rsidR="00BB52D7" w:rsidRDefault="00E33AE6">
      <w:pPr>
        <w:numPr>
          <w:ilvl w:val="0"/>
          <w:numId w:val="1"/>
        </w:numPr>
        <w:spacing w:after="11"/>
        <w:ind w:right="843" w:hanging="360"/>
      </w:pPr>
      <w:r>
        <w:t xml:space="preserve">Reconciling the depositary's holding register with the one </w:t>
      </w:r>
      <w:r>
        <w:t xml:space="preserve">provided by the fund administrator (holding reconciliation); </w:t>
      </w:r>
    </w:p>
    <w:p w:rsidR="00BB52D7" w:rsidRDefault="00E33AE6">
      <w:pPr>
        <w:numPr>
          <w:ilvl w:val="0"/>
          <w:numId w:val="1"/>
        </w:numPr>
        <w:spacing w:after="11"/>
        <w:ind w:right="843" w:hanging="360"/>
      </w:pPr>
      <w:r>
        <w:t xml:space="preserve">Ensuring that the net asset value (NAV) of the UCITS is calculated in accordance with applicable rules; </w:t>
      </w:r>
    </w:p>
    <w:p w:rsidR="00BB52D7" w:rsidRDefault="00E33AE6">
      <w:pPr>
        <w:numPr>
          <w:ilvl w:val="0"/>
          <w:numId w:val="1"/>
        </w:numPr>
        <w:ind w:right="843" w:hanging="360"/>
      </w:pPr>
      <w:r>
        <w:t>Ensuring that the sale, issue, repurchase, redemption and cancellation of shares of the U</w:t>
      </w:r>
      <w:r>
        <w:t xml:space="preserve">CITS takes place in accordance with national laws and the fund's rules. </w:t>
      </w:r>
    </w:p>
    <w:p w:rsidR="00BB52D7" w:rsidRDefault="00E33AE6">
      <w:pPr>
        <w:ind w:left="846" w:right="843"/>
      </w:pPr>
      <w:r>
        <w:t xml:space="preserve">Unlike safekeeping, the above functions cannot be delegated by the UCITS depositary to a third party; therefore some refer to these as the "core" depositary functions. </w:t>
      </w:r>
    </w:p>
    <w:p w:rsidR="00BB52D7" w:rsidRDefault="00E33AE6">
      <w:pPr>
        <w:ind w:left="846" w:right="843"/>
      </w:pPr>
      <w:r>
        <w:t>While custody originated with physical safekeeping of securities that existed only in paper form, custody nowadays comprises the processing and reconciling customers’ securities holdings and transactions involving these securities. Modern custody is comput</w:t>
      </w:r>
      <w:r>
        <w:t xml:space="preserve">er-based and requires large investments in information technology. </w:t>
      </w:r>
    </w:p>
    <w:p w:rsidR="00BB52D7" w:rsidRDefault="00E33AE6">
      <w:pPr>
        <w:ind w:left="846" w:right="843"/>
      </w:pPr>
      <w:r>
        <w:t xml:space="preserve">In addition, the custodian is often the only entity that can ensure the link between the central securities depositary (CSD) and a UCITS. This is because a UCITS is not eligible to become </w:t>
      </w:r>
      <w:r>
        <w:t>a member of the CSD. For most securities listed in regulated markets CSDs perform so-called ‘notary function’ by keeping a central register of a particular issue of securities for the purpose of enabling the settlement of transaction. Often the CSDs will o</w:t>
      </w:r>
      <w:r>
        <w:t xml:space="preserve">nly accept members that are regulated, financially sound, have robust operational capabilities, and have the ability to continuously invest in technology that ensures "straight-through" processing. Membership criteria, stipulated to minimise disruption to </w:t>
      </w:r>
      <w:r>
        <w:t xml:space="preserve">the functioning of a CSD, are a key driver for the investments a custodian has to expend in maintaining its information technology.  </w:t>
      </w:r>
    </w:p>
    <w:p w:rsidR="00BB52D7" w:rsidRDefault="00E33AE6">
      <w:pPr>
        <w:ind w:left="846" w:right="843"/>
      </w:pPr>
      <w:r>
        <w:t>Depositary services are nowadays primarily offered by banks and occasionally by brokers. These providers have developed sp</w:t>
      </w:r>
      <w:r>
        <w:t xml:space="preserve">ecialised services that cater to different customer segments. Section 1.4 of this impact assessment will identify the main providers of UCITS custody services in greater detail.  </w:t>
      </w:r>
    </w:p>
    <w:p w:rsidR="00BB52D7" w:rsidRDefault="00E33AE6">
      <w:pPr>
        <w:ind w:left="846" w:right="843"/>
      </w:pPr>
      <w:r>
        <w:lastRenderedPageBreak/>
        <w:t>As a depositary can provide a variety of services (See annex 4), clients are</w:t>
      </w:r>
      <w:r>
        <w:t xml:space="preserve"> generally charged on a per segment basis. This entails a fee for custody, transaction fees or depositary fees (fees related to the oversight function, the “supervisory” fees). In addition, a depositary who provides other services to a UCITS fund, such as </w:t>
      </w:r>
      <w:r>
        <w:t xml:space="preserve">fund accounting, fund administration, transfer agency, or foreign exchange management, will charge separate fees for these services.  </w:t>
      </w:r>
    </w:p>
    <w:p w:rsidR="00BB52D7" w:rsidRDefault="00E33AE6">
      <w:pPr>
        <w:ind w:left="846" w:right="843"/>
      </w:pPr>
      <w:r>
        <w:t>According to data submitted to the European Commission's services custody fees (calculated in basis points) are significa</w:t>
      </w:r>
      <w:r>
        <w:t xml:space="preserve">ntly lower than the fees a depositary charges for its depositary services or the transactions fees. As a rough guide, custody fees are a fraction of depositary fees while depositary fees are a fraction of transaction fees. </w:t>
      </w:r>
    </w:p>
    <w:p w:rsidR="00BB52D7" w:rsidRDefault="00E33AE6">
      <w:pPr>
        <w:ind w:left="846" w:right="843"/>
      </w:pPr>
      <w:r>
        <w:t>It results that the provision of</w:t>
      </w:r>
      <w:r>
        <w:t xml:space="preserve"> custody can only thrive on the basis of economies of scale and scope.  </w:t>
      </w:r>
    </w:p>
    <w:p w:rsidR="00BB52D7" w:rsidRDefault="00E33AE6">
      <w:pPr>
        <w:ind w:left="846" w:right="843"/>
      </w:pPr>
      <w:r>
        <w:t xml:space="preserve">Taking into account the above considerations, this impact assessment will also analyse potential risk of concentration that could result from certain regulatory requirements of these </w:t>
      </w:r>
      <w:r>
        <w:t xml:space="preserve">delegated acts.  </w:t>
      </w:r>
    </w:p>
    <w:p w:rsidR="00BB52D7" w:rsidRDefault="00E33AE6">
      <w:pPr>
        <w:ind w:left="846" w:right="843"/>
      </w:pPr>
      <w:r>
        <w:t xml:space="preserve">According to the data collected from Morningstar, 271 depositaries are active in the </w:t>
      </w:r>
      <w:r>
        <w:t xml:space="preserve">UCITS market in Europe. The list provided in Annex 5 classifies the 50 largest depositaries according to assets held in custody. Many of the larger depositaries are active in different Member States, often establishing local subsidiaries. All subsidiaries </w:t>
      </w:r>
      <w:r>
        <w:t>belonging to the same group have been consolidated to express the figures per group and at a European level. For example J.P. Morgan, including various subsidiaries, has €794 billion under custody spread over seven different Member States</w:t>
      </w:r>
      <w:r>
        <w:rPr>
          <w:vertAlign w:val="superscript"/>
        </w:rPr>
        <w:footnoteReference w:id="15"/>
      </w:r>
      <w:r>
        <w:t>. Smaller deposit</w:t>
      </w:r>
      <w:r>
        <w:t xml:space="preserve">aries, on the other hand, tend to focus on one national market. </w:t>
      </w:r>
    </w:p>
    <w:p w:rsidR="00BB52D7" w:rsidRDefault="00E33AE6">
      <w:pPr>
        <w:ind w:left="846" w:right="843"/>
      </w:pPr>
      <w:r>
        <w:t>As mentioned in Annex 5, the degree of concentration in the UCITS depositary market varies between national markets. This impact assessment considers the geographic market for custody service</w:t>
      </w:r>
      <w:r>
        <w:t xml:space="preserve">s nationally because (1) securities that are held in custody are issued nationally and (2) depositaries have to be located in the same Member State as the UCITS fund. </w:t>
      </w:r>
    </w:p>
    <w:p w:rsidR="00BB52D7" w:rsidRDefault="00E33AE6">
      <w:pPr>
        <w:spacing w:after="0" w:line="259" w:lineRule="auto"/>
        <w:ind w:left="851" w:firstLine="0"/>
        <w:jc w:val="left"/>
      </w:pPr>
      <w:r>
        <w:t xml:space="preserve"> </w:t>
      </w:r>
    </w:p>
    <w:p w:rsidR="00BB52D7" w:rsidRDefault="00E33AE6">
      <w:pPr>
        <w:pStyle w:val="Heading5"/>
        <w:ind w:left="846" w:right="488"/>
      </w:pPr>
      <w:r>
        <w:lastRenderedPageBreak/>
        <w:t>Chart 1: Market share (in term of assets hold in custody) by the 20 largest depositari</w:t>
      </w:r>
      <w:r>
        <w:t>es for</w:t>
      </w:r>
      <w:r>
        <w:rPr>
          <w:u w:val="none"/>
        </w:rPr>
        <w:t xml:space="preserve"> </w:t>
      </w:r>
      <w:r>
        <w:t>UCITS at the EU level</w:t>
      </w:r>
      <w:r>
        <w:rPr>
          <w:u w:val="none"/>
        </w:rPr>
        <w:t xml:space="preserve"> </w:t>
      </w:r>
    </w:p>
    <w:p w:rsidR="00BB52D7" w:rsidRDefault="00E33AE6">
      <w:pPr>
        <w:spacing w:after="5" w:line="259" w:lineRule="auto"/>
        <w:ind w:left="850" w:firstLine="0"/>
        <w:jc w:val="left"/>
      </w:pPr>
      <w:r>
        <w:rPr>
          <w:noProof/>
        </w:rPr>
        <w:drawing>
          <wp:inline distT="0" distB="0" distL="0" distR="0">
            <wp:extent cx="5956301" cy="3286760"/>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8"/>
                    <a:stretch>
                      <a:fillRect/>
                    </a:stretch>
                  </pic:blipFill>
                  <pic:spPr>
                    <a:xfrm>
                      <a:off x="0" y="0"/>
                      <a:ext cx="5956301" cy="3286760"/>
                    </a:xfrm>
                    <a:prstGeom prst="rect">
                      <a:avLst/>
                    </a:prstGeom>
                  </pic:spPr>
                </pic:pic>
              </a:graphicData>
            </a:graphic>
          </wp:inline>
        </w:drawing>
      </w:r>
    </w:p>
    <w:p w:rsidR="00BB52D7" w:rsidRDefault="00E33AE6">
      <w:pPr>
        <w:spacing w:after="257" w:line="259" w:lineRule="auto"/>
        <w:ind w:left="851" w:firstLine="0"/>
        <w:jc w:val="left"/>
      </w:pPr>
      <w:r>
        <w:rPr>
          <w:i/>
          <w:sz w:val="20"/>
        </w:rPr>
        <w:t xml:space="preserve">Source: Morningstar, </w:t>
      </w:r>
      <w:r>
        <w:rPr>
          <w:i/>
          <w:color w:val="222222"/>
          <w:sz w:val="20"/>
        </w:rPr>
        <w:t>EC staff calculations as of December 2014</w:t>
      </w:r>
      <w:r>
        <w:rPr>
          <w:sz w:val="20"/>
        </w:rPr>
        <w:t xml:space="preserve"> </w:t>
      </w:r>
    </w:p>
    <w:p w:rsidR="00BB52D7" w:rsidRDefault="00E33AE6">
      <w:pPr>
        <w:spacing w:after="279"/>
        <w:ind w:left="846" w:right="843"/>
      </w:pPr>
      <w:r>
        <w:t xml:space="preserve">The top five depositaries in the major fund domiciles usually comprise the same providers (State Street Bank, J.P. Morgan, Bank of New York Mellon, CACEIS Bank </w:t>
      </w:r>
      <w:r>
        <w:t>and BNP Paribas Securities Services) The predominance of the same providers in all major markets, as well as their global coverage, is an indicator that economies of scale result when a network of custody spans several national markets. In addition, the pr</w:t>
      </w:r>
      <w:r>
        <w:t>edominance of these five players can be explained by the entry barriers that characterise custody services: strict liability for the loss of financial instruments, capital requirements and the need to establish electronic custody networks.</w:t>
      </w:r>
      <w:r>
        <w:rPr>
          <w:vertAlign w:val="superscript"/>
        </w:rPr>
        <w:footnoteReference w:id="16"/>
      </w:r>
      <w:r>
        <w:t xml:space="preserve">  </w:t>
      </w:r>
    </w:p>
    <w:p w:rsidR="00BB52D7" w:rsidRDefault="00E33AE6">
      <w:pPr>
        <w:pStyle w:val="Heading6"/>
        <w:spacing w:after="229"/>
        <w:ind w:right="0"/>
        <w:jc w:val="both"/>
      </w:pPr>
      <w:r>
        <w:rPr>
          <w:i w:val="0"/>
          <w:u w:val="none"/>
        </w:rPr>
        <w:t>1.4</w:t>
      </w:r>
      <w:r>
        <w:rPr>
          <w:rFonts w:ascii="Arial" w:eastAsia="Arial" w:hAnsi="Arial" w:cs="Arial"/>
          <w:i w:val="0"/>
          <w:u w:val="none"/>
        </w:rPr>
        <w:t xml:space="preserve"> </w:t>
      </w:r>
      <w:r>
        <w:rPr>
          <w:i w:val="0"/>
          <w:u w:val="none"/>
        </w:rPr>
        <w:t xml:space="preserve">The link </w:t>
      </w:r>
      <w:r>
        <w:rPr>
          <w:i w:val="0"/>
          <w:u w:val="none"/>
        </w:rPr>
        <w:t xml:space="preserve">between the fund manager and the depositary </w:t>
      </w:r>
    </w:p>
    <w:p w:rsidR="00BB52D7" w:rsidRDefault="00E33AE6">
      <w:pPr>
        <w:ind w:left="846" w:right="843"/>
      </w:pPr>
      <w:r>
        <w:t>The UCITS management company is responsible for appointing a depositary for each fund in its portfolio. To be eligible, the depositaries must comply with all the requirements set out in the UCITS Directive. Depo</w:t>
      </w:r>
      <w:r>
        <w:t xml:space="preserve">sitaries need to be established in the same country as the UCITS fund. The UCITS rules do not prevent the fund manager to appoint a depositary that belongs to the same corporate group. Table 6 in Annex 5 contains a non-exhaustive list of examples of asset </w:t>
      </w:r>
      <w:r>
        <w:t xml:space="preserve">managers that appointed a depositary that belongs to the same corporate group. </w:t>
      </w:r>
    </w:p>
    <w:p w:rsidR="00BB52D7" w:rsidRDefault="00E33AE6">
      <w:pPr>
        <w:ind w:left="846" w:right="843"/>
      </w:pPr>
      <w:r>
        <w:t>Table 6 in Annex 5 reveals that asset managers that belong to a banking group tend to place a high percentage of their assets in custody with the depositary that belongs to the</w:t>
      </w:r>
      <w:r>
        <w:t xml:space="preserve"> same banking group.  </w:t>
      </w:r>
    </w:p>
    <w:p w:rsidR="00BB52D7" w:rsidRDefault="00E33AE6">
      <w:pPr>
        <w:ind w:left="846" w:right="843"/>
      </w:pPr>
      <w:r>
        <w:t>Asset managers that do not belong to a banking group must place assets in custody with a depositary outside the group. For example Blackrock, which is not a bank, manages approximately € 220 bn of UCITS assets in Europe. These assets</w:t>
      </w:r>
      <w:r>
        <w:t xml:space="preserve"> are placed in custody with JP Morgan in Ireland (€ 62 bn), with Bank of New York Mellon in the United Kingdom and </w:t>
      </w:r>
      <w:r>
        <w:lastRenderedPageBreak/>
        <w:t>Luxembourg (€ 146 bn) as well as with State Street (€ 12bn). Aberdeen, which is managing UCITS assets in France, Luxembourg, the United Kingd</w:t>
      </w:r>
      <w:r>
        <w:t>om and Ireland, has appointed BNP Paribas Securities Services and State Street to safe-keep € 53 bn and € 36 bn of assets respectively. These figures show that asset managers that do not form part of a banking group entrust custody to the big international</w:t>
      </w:r>
      <w:r>
        <w:t xml:space="preserve">ly focused depositaries that are all ranked as part of the "top 5" in the depositary rankings reproduced in Annex 5. </w:t>
      </w:r>
    </w:p>
    <w:p w:rsidR="00BB52D7" w:rsidRDefault="00E33AE6">
      <w:pPr>
        <w:spacing w:after="188"/>
        <w:ind w:left="846" w:right="843"/>
      </w:pPr>
      <w:r>
        <w:t>Indeed most asset managers favor internationally focused depository service providers because of their global custody network. This is due to the fact that management/investment companies not only invest in their national market, but also in the EU Members</w:t>
      </w:r>
      <w:r>
        <w:t xml:space="preserve"> States and outside the EU. Another reason is that UCITS management/investment companies manage several UCITS that are not domiciled in the same Member State. For example, a French management company can manage a UCITS domiciled in Luxembourg without havin</w:t>
      </w:r>
      <w:r>
        <w:t>g an office in Luxembourg. In consequence, when a management company will select a depositary, coverage of all relevant fund domiciles will be an important criterion in selecting the depositary (which has to establish a branch in each fund jurisdiction) an</w:t>
      </w:r>
      <w:r>
        <w:t xml:space="preserve">d thus avoiding appointing different depositaries in each Member State.  </w:t>
      </w:r>
    </w:p>
    <w:p w:rsidR="00BB52D7" w:rsidRDefault="00E33AE6">
      <w:pPr>
        <w:spacing w:after="210"/>
        <w:ind w:left="846" w:right="843"/>
      </w:pPr>
      <w:r>
        <w:t xml:space="preserve">For example, only the top nine depositaries listed in Annex 5 have a geographic coverage ranging from 3 to 9 Member States; all other operators are confined to the territory of one, </w:t>
      </w:r>
      <w:r>
        <w:t xml:space="preserve">at maximum two, Member States.  </w:t>
      </w:r>
    </w:p>
    <w:p w:rsidR="00BB52D7" w:rsidRDefault="00E33AE6">
      <w:pPr>
        <w:pStyle w:val="Heading5"/>
        <w:ind w:left="846" w:right="488"/>
      </w:pPr>
      <w:r>
        <w:t>Table 1- Custody network of the top nine custodians</w:t>
      </w:r>
      <w:r>
        <w:rPr>
          <w:vertAlign w:val="superscript"/>
        </w:rPr>
        <w:footnoteReference w:id="17"/>
      </w:r>
      <w:r>
        <w:rPr>
          <w:b w:val="0"/>
          <w:u w:val="none"/>
        </w:rPr>
        <w:t xml:space="preserve"> </w:t>
      </w:r>
    </w:p>
    <w:tbl>
      <w:tblPr>
        <w:tblStyle w:val="TableGrid"/>
        <w:tblW w:w="6661" w:type="dxa"/>
        <w:tblInd w:w="852" w:type="dxa"/>
        <w:tblCellMar>
          <w:top w:w="13" w:type="dxa"/>
          <w:left w:w="114" w:type="dxa"/>
          <w:bottom w:w="0" w:type="dxa"/>
          <w:right w:w="53" w:type="dxa"/>
        </w:tblCellMar>
        <w:tblLook w:val="04A0" w:firstRow="1" w:lastRow="0" w:firstColumn="1" w:lastColumn="0" w:noHBand="0" w:noVBand="1"/>
      </w:tblPr>
      <w:tblGrid>
        <w:gridCol w:w="1133"/>
        <w:gridCol w:w="2410"/>
        <w:gridCol w:w="1985"/>
        <w:gridCol w:w="1133"/>
      </w:tblGrid>
      <w:tr w:rsidR="00BB52D7">
        <w:trPr>
          <w:trHeight w:val="560"/>
        </w:trPr>
        <w:tc>
          <w:tcPr>
            <w:tcW w:w="113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11" w:firstLine="0"/>
              <w:jc w:val="left"/>
            </w:pPr>
            <w:r>
              <w:rPr>
                <w:b/>
              </w:rPr>
              <w:t xml:space="preserve">Ranking </w:t>
            </w:r>
          </w:p>
        </w:tc>
        <w:tc>
          <w:tcPr>
            <w:tcW w:w="241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60" w:firstLine="0"/>
              <w:jc w:val="center"/>
            </w:pPr>
            <w:r>
              <w:rPr>
                <w:b/>
              </w:rPr>
              <w:t xml:space="preserve">Custodian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center"/>
            </w:pPr>
            <w:r>
              <w:rPr>
                <w:b/>
              </w:rPr>
              <w:t xml:space="preserve">AuM (in Mio EURO)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center"/>
            </w:pPr>
            <w:r>
              <w:rPr>
                <w:b/>
              </w:rPr>
              <w:t xml:space="preserve">Country coverage </w:t>
            </w:r>
          </w:p>
        </w:tc>
      </w:tr>
      <w:tr w:rsidR="00BB52D7">
        <w:trPr>
          <w:trHeight w:val="312"/>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rPr>
                <w:b/>
              </w:rPr>
              <w:t xml:space="preserve">1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State Street Bank </w:t>
            </w:r>
          </w:p>
        </w:tc>
        <w:tc>
          <w:tcPr>
            <w:tcW w:w="1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959,361 </w:t>
            </w:r>
          </w:p>
        </w:tc>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9 </w:t>
            </w:r>
          </w:p>
        </w:tc>
      </w:tr>
      <w:tr w:rsidR="00BB52D7">
        <w:trPr>
          <w:trHeight w:val="310"/>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rPr>
                <w:b/>
              </w:rPr>
              <w:t xml:space="preserve">2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rPr>
                <w:b/>
              </w:rPr>
              <w:t xml:space="preserve">JPM </w:t>
            </w:r>
          </w:p>
        </w:tc>
        <w:tc>
          <w:tcPr>
            <w:tcW w:w="1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794,321 </w:t>
            </w:r>
          </w:p>
        </w:tc>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7 </w:t>
            </w:r>
          </w:p>
        </w:tc>
      </w:tr>
      <w:tr w:rsidR="00BB52D7">
        <w:trPr>
          <w:trHeight w:val="562"/>
        </w:trPr>
        <w:tc>
          <w:tcPr>
            <w:tcW w:w="113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62" w:firstLine="0"/>
              <w:jc w:val="center"/>
            </w:pPr>
            <w:r>
              <w:rPr>
                <w:b/>
              </w:rPr>
              <w:t xml:space="preserve">3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rPr>
                <w:b/>
              </w:rPr>
              <w:t xml:space="preserve">Bank of New York Mellon </w:t>
            </w:r>
          </w:p>
        </w:tc>
        <w:tc>
          <w:tcPr>
            <w:tcW w:w="1985"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61" w:firstLine="0"/>
              <w:jc w:val="center"/>
            </w:pPr>
            <w:r>
              <w:rPr>
                <w:b/>
              </w:rPr>
              <w:t xml:space="preserve">620,228 </w:t>
            </w:r>
          </w:p>
        </w:tc>
        <w:tc>
          <w:tcPr>
            <w:tcW w:w="113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61" w:firstLine="0"/>
              <w:jc w:val="center"/>
            </w:pPr>
            <w:r>
              <w:rPr>
                <w:b/>
              </w:rPr>
              <w:t xml:space="preserve">5 </w:t>
            </w:r>
          </w:p>
        </w:tc>
      </w:tr>
      <w:tr w:rsidR="00BB52D7">
        <w:trPr>
          <w:trHeight w:val="310"/>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rPr>
                <w:b/>
              </w:rPr>
              <w:t xml:space="preserve">4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CACEIS Bank</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408,888 </w:t>
            </w:r>
          </w:p>
        </w:tc>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4 </w:t>
            </w:r>
          </w:p>
        </w:tc>
      </w:tr>
      <w:tr w:rsidR="00BB52D7">
        <w:trPr>
          <w:trHeight w:val="563"/>
        </w:trPr>
        <w:tc>
          <w:tcPr>
            <w:tcW w:w="113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62" w:firstLine="0"/>
              <w:jc w:val="center"/>
            </w:pPr>
            <w:r>
              <w:rPr>
                <w:b/>
              </w:rPr>
              <w:t xml:space="preserve">5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BNP Paribas </w:t>
            </w:r>
          </w:p>
          <w:p w:rsidR="00BB52D7" w:rsidRDefault="00E33AE6">
            <w:pPr>
              <w:spacing w:after="0" w:line="259" w:lineRule="auto"/>
              <w:ind w:left="0" w:right="59" w:firstLine="0"/>
              <w:jc w:val="center"/>
            </w:pPr>
            <w:r>
              <w:rPr>
                <w:b/>
              </w:rPr>
              <w:t xml:space="preserve">Securities Services </w:t>
            </w:r>
          </w:p>
        </w:tc>
        <w:tc>
          <w:tcPr>
            <w:tcW w:w="1985"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61" w:firstLine="0"/>
              <w:jc w:val="center"/>
            </w:pPr>
            <w:r>
              <w:rPr>
                <w:b/>
              </w:rPr>
              <w:t xml:space="preserve">405,431 </w:t>
            </w:r>
          </w:p>
        </w:tc>
        <w:tc>
          <w:tcPr>
            <w:tcW w:w="113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61" w:firstLine="0"/>
              <w:jc w:val="center"/>
            </w:pPr>
            <w:r>
              <w:rPr>
                <w:b/>
              </w:rPr>
              <w:t xml:space="preserve">9 </w:t>
            </w:r>
          </w:p>
        </w:tc>
      </w:tr>
      <w:tr w:rsidR="00BB52D7">
        <w:trPr>
          <w:trHeight w:val="310"/>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t xml:space="preserve">6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t xml:space="preserve">BBH </w:t>
            </w:r>
          </w:p>
        </w:tc>
        <w:tc>
          <w:tcPr>
            <w:tcW w:w="1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340,189 </w:t>
            </w:r>
          </w:p>
        </w:tc>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3 </w:t>
            </w:r>
          </w:p>
        </w:tc>
      </w:tr>
      <w:tr w:rsidR="00BB52D7">
        <w:trPr>
          <w:trHeight w:val="310"/>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t xml:space="preserve">7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RBC </w:t>
            </w:r>
          </w:p>
        </w:tc>
        <w:tc>
          <w:tcPr>
            <w:tcW w:w="1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223,485 </w:t>
            </w:r>
          </w:p>
        </w:tc>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6 </w:t>
            </w:r>
          </w:p>
        </w:tc>
      </w:tr>
      <w:tr w:rsidR="00BB52D7">
        <w:trPr>
          <w:trHeight w:val="311"/>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t xml:space="preserve">8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center"/>
            </w:pPr>
            <w:r>
              <w:t xml:space="preserve">Société Générale </w:t>
            </w:r>
          </w:p>
        </w:tc>
        <w:tc>
          <w:tcPr>
            <w:tcW w:w="1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198,674 </w:t>
            </w:r>
          </w:p>
        </w:tc>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6 </w:t>
            </w:r>
          </w:p>
        </w:tc>
      </w:tr>
      <w:tr w:rsidR="00BB52D7">
        <w:trPr>
          <w:trHeight w:val="310"/>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2" w:firstLine="0"/>
              <w:jc w:val="center"/>
            </w:pPr>
            <w:r>
              <w:t xml:space="preserve">9 </w:t>
            </w:r>
          </w:p>
        </w:tc>
        <w:tc>
          <w:tcPr>
            <w:tcW w:w="241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center"/>
            </w:pPr>
            <w:r>
              <w:t xml:space="preserve">Citi </w:t>
            </w:r>
          </w:p>
        </w:tc>
        <w:tc>
          <w:tcPr>
            <w:tcW w:w="1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195,357 </w:t>
            </w:r>
          </w:p>
        </w:tc>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t xml:space="preserve">3 </w:t>
            </w:r>
          </w:p>
        </w:tc>
      </w:tr>
    </w:tbl>
    <w:p w:rsidR="00BB52D7" w:rsidRDefault="00E33AE6">
      <w:pPr>
        <w:spacing w:after="254" w:line="264" w:lineRule="auto"/>
        <w:ind w:left="846" w:right="9"/>
        <w:jc w:val="left"/>
      </w:pPr>
      <w:r>
        <w:rPr>
          <w:i/>
          <w:sz w:val="20"/>
        </w:rPr>
        <w:t xml:space="preserve">Source: Morningstar, Commission's own calculation as of December 2014. </w:t>
      </w:r>
    </w:p>
    <w:p w:rsidR="00BB52D7" w:rsidRDefault="00E33AE6">
      <w:pPr>
        <w:spacing w:after="274"/>
        <w:ind w:left="846" w:right="843"/>
      </w:pPr>
      <w:r>
        <w:t>By entrusting custody to the "big nine" operators, the asset manager has a higher level of assurance that, irrespective of the place of investment, the chosen depository will be able to delegate custody to a network of sub-custodians that belong to the sam</w:t>
      </w:r>
      <w:r>
        <w:t>e group. This allows maintaining certain business standards and a high level of protection against asset losses that could result from operational failures. Moreover, due to the considerable economies of scale that derive from operating a global network, c</w:t>
      </w:r>
      <w:r>
        <w:t xml:space="preserve">ustody rates may be negotiated at a lower level when compared to those charged by specialist operators whose lack of a custody network obliges them to work with third-party delegates. </w:t>
      </w:r>
    </w:p>
    <w:p w:rsidR="00BB52D7" w:rsidRDefault="00E33AE6">
      <w:pPr>
        <w:pStyle w:val="Heading1"/>
        <w:ind w:left="846"/>
      </w:pPr>
      <w:bookmarkStart w:id="1" w:name="_Toc240961"/>
      <w:r>
        <w:rPr>
          <w:sz w:val="24"/>
        </w:rPr>
        <w:lastRenderedPageBreak/>
        <w:t>2</w:t>
      </w:r>
      <w:r>
        <w:rPr>
          <w:rFonts w:ascii="Arial" w:eastAsia="Arial" w:hAnsi="Arial" w:cs="Arial"/>
          <w:sz w:val="24"/>
        </w:rPr>
        <w:t xml:space="preserve"> </w:t>
      </w:r>
      <w:r>
        <w:rPr>
          <w:sz w:val="24"/>
        </w:rPr>
        <w:t>P</w:t>
      </w:r>
      <w:r>
        <w:t xml:space="preserve">ROCEDURAL </w:t>
      </w:r>
      <w:r>
        <w:rPr>
          <w:sz w:val="24"/>
        </w:rPr>
        <w:t>I</w:t>
      </w:r>
      <w:r>
        <w:t xml:space="preserve">SSUES AND </w:t>
      </w:r>
      <w:r>
        <w:rPr>
          <w:sz w:val="24"/>
        </w:rPr>
        <w:t>C</w:t>
      </w:r>
      <w:r>
        <w:t xml:space="preserve">ONSULTATION OF </w:t>
      </w:r>
      <w:r>
        <w:rPr>
          <w:sz w:val="24"/>
        </w:rPr>
        <w:t>I</w:t>
      </w:r>
      <w:r>
        <w:t xml:space="preserve">NTERESTED </w:t>
      </w:r>
      <w:r>
        <w:rPr>
          <w:sz w:val="24"/>
        </w:rPr>
        <w:t>P</w:t>
      </w:r>
      <w:r>
        <w:t>ARTIES</w:t>
      </w:r>
      <w:r>
        <w:rPr>
          <w:sz w:val="24"/>
        </w:rPr>
        <w:t xml:space="preserve"> </w:t>
      </w:r>
      <w:bookmarkEnd w:id="1"/>
    </w:p>
    <w:p w:rsidR="00BB52D7" w:rsidRDefault="00E33AE6">
      <w:pPr>
        <w:pStyle w:val="Heading2"/>
        <w:spacing w:after="228" w:line="249" w:lineRule="auto"/>
        <w:ind w:left="846" w:right="576"/>
      </w:pPr>
      <w:bookmarkStart w:id="2" w:name="_Toc240962"/>
      <w:r>
        <w:rPr>
          <w:i w:val="0"/>
          <w:color w:val="222222"/>
          <w:u w:val="none"/>
        </w:rPr>
        <w:t>2.1</w:t>
      </w:r>
      <w:r>
        <w:rPr>
          <w:rFonts w:ascii="Arial" w:eastAsia="Arial" w:hAnsi="Arial" w:cs="Arial"/>
          <w:i w:val="0"/>
          <w:color w:val="222222"/>
          <w:u w:val="none"/>
        </w:rPr>
        <w:t xml:space="preserve"> </w:t>
      </w:r>
      <w:r>
        <w:rPr>
          <w:i w:val="0"/>
          <w:color w:val="222222"/>
          <w:u w:val="none"/>
        </w:rPr>
        <w:t xml:space="preserve">Procedural issues </w:t>
      </w:r>
      <w:bookmarkEnd w:id="2"/>
    </w:p>
    <w:p w:rsidR="00BB52D7" w:rsidRDefault="00E33AE6">
      <w:pPr>
        <w:ind w:left="846" w:right="843"/>
      </w:pPr>
      <w:r>
        <w:t>The UCITS Directive does not contain specific deadlines for the delivery of delegated acts concerning depositaries, it is however good practice to adopt implementing legislation sufficiently in advance before the end of the transition pe</w:t>
      </w:r>
      <w:r>
        <w:t xml:space="preserve">riod in March 2016, in order to allow sufficient time for transposition and implementation by Member States and the relevant sector. </w:t>
      </w:r>
    </w:p>
    <w:p w:rsidR="00BB52D7" w:rsidRDefault="00E33AE6">
      <w:pPr>
        <w:spacing w:after="276"/>
        <w:ind w:left="846" w:right="843"/>
      </w:pPr>
      <w:r>
        <w:t>On 26 June 2014, the European Commission sent a request for technical advice on the level 2 measures in the UCITS Directiv</w:t>
      </w:r>
      <w:r>
        <w:t>e to ESMA. ESMA transmitted its technical advice to the European Commission on 28 November 2014.</w:t>
      </w:r>
      <w:r>
        <w:rPr>
          <w:vertAlign w:val="superscript"/>
        </w:rPr>
        <w:footnoteReference w:id="18"/>
      </w:r>
      <w:r>
        <w:t xml:space="preserve"> </w:t>
      </w:r>
    </w:p>
    <w:p w:rsidR="00BB52D7" w:rsidRDefault="00E33AE6">
      <w:pPr>
        <w:pStyle w:val="Heading2"/>
        <w:spacing w:after="228" w:line="249" w:lineRule="auto"/>
        <w:ind w:left="846" w:right="576"/>
      </w:pPr>
      <w:bookmarkStart w:id="3" w:name="_Toc240963"/>
      <w:r>
        <w:rPr>
          <w:i w:val="0"/>
          <w:color w:val="222222"/>
          <w:u w:val="none"/>
        </w:rPr>
        <w:t>2.2</w:t>
      </w:r>
      <w:r>
        <w:rPr>
          <w:rFonts w:ascii="Arial" w:eastAsia="Arial" w:hAnsi="Arial" w:cs="Arial"/>
          <w:i w:val="0"/>
          <w:color w:val="222222"/>
          <w:u w:val="none"/>
        </w:rPr>
        <w:t xml:space="preserve"> </w:t>
      </w:r>
      <w:r>
        <w:rPr>
          <w:i w:val="0"/>
          <w:color w:val="222222"/>
          <w:u w:val="none"/>
        </w:rPr>
        <w:t xml:space="preserve">External expertise and consultation of interested parties  </w:t>
      </w:r>
      <w:bookmarkEnd w:id="3"/>
    </w:p>
    <w:p w:rsidR="00BB52D7" w:rsidRDefault="00E33AE6">
      <w:pPr>
        <w:ind w:left="846" w:right="843"/>
      </w:pPr>
      <w:r>
        <w:t>Throughout the process of drafting its advice, ESMA was in close contact with the relevant se</w:t>
      </w:r>
      <w:r>
        <w:t xml:space="preserve">ctor, through bilateral meetings, a stakeholder roundtable and a formal public consultation.  </w:t>
      </w:r>
    </w:p>
    <w:p w:rsidR="00BB52D7" w:rsidRDefault="00E33AE6">
      <w:pPr>
        <w:spacing w:after="306"/>
        <w:ind w:left="846" w:right="843"/>
      </w:pPr>
      <w:r>
        <w:t>The first written consultations on ESMA’s advice covering in particular depositary rules took place on during the preparation of the delegated regulation resulti</w:t>
      </w:r>
      <w:r>
        <w:t>ng from the AIFM Directive. ESMA organised three open hearings covering the Call for Evidence and the two parts of the draft technical advice, the first in January and the second two in September 2011. Summaries of these hearings as prepared by ESMA are at</w:t>
      </w:r>
      <w:r>
        <w:t>tached to the impact assessment report regarding Delegated Regulation 231/2013. Furthermore, ESMA organised a series of targeted workshops on the different parts of the AIFM Directive technical advice between March and May 2011. These workshops were not op</w:t>
      </w:r>
      <w:r>
        <w:t>en to the public but only upon invitation. They brought together some fifteen to twenty industry experts on the respective subjects as selected by ESMA.</w:t>
      </w:r>
      <w:r>
        <w:rPr>
          <w:vertAlign w:val="superscript"/>
        </w:rPr>
        <w:footnoteReference w:id="19"/>
      </w:r>
      <w:r>
        <w:t xml:space="preserve">  </w:t>
      </w:r>
    </w:p>
    <w:p w:rsidR="00BB52D7" w:rsidRDefault="00E33AE6">
      <w:pPr>
        <w:spacing w:after="0"/>
        <w:ind w:left="846" w:right="843"/>
      </w:pPr>
      <w:r>
        <w:t xml:space="preserve">The second written consultation on ESMA’s advice took place in September 2014 specifically on the two empowerments contained in the UCITS V that were not part of the AIFM </w:t>
      </w:r>
    </w:p>
    <w:p w:rsidR="00BB52D7" w:rsidRDefault="00E33AE6">
      <w:pPr>
        <w:spacing w:after="271"/>
        <w:ind w:left="846" w:right="843"/>
      </w:pPr>
      <w:r>
        <w:t>Directive</w:t>
      </w:r>
      <w:r>
        <w:rPr>
          <w:vertAlign w:val="superscript"/>
        </w:rPr>
        <w:footnoteReference w:id="20"/>
      </w:r>
      <w:r>
        <w:t xml:space="preserve">. </w:t>
      </w:r>
    </w:p>
    <w:p w:rsidR="00BB52D7" w:rsidRDefault="00E33AE6">
      <w:pPr>
        <w:ind w:left="846" w:right="843"/>
      </w:pPr>
      <w:r>
        <w:t>In addition to its written consultations ESMA organised a roundtable in</w:t>
      </w:r>
      <w:r>
        <w:t xml:space="preserve"> order to gather comments from market participants on 29 July 2014. ESMA has invited experts from among UCITS managers, depositaries, prime brokers and consumer representatives. </w:t>
      </w:r>
      <w:r>
        <w:rPr>
          <w:b/>
          <w:i/>
        </w:rPr>
        <w:t xml:space="preserve"> </w:t>
      </w:r>
    </w:p>
    <w:p w:rsidR="00BB52D7" w:rsidRDefault="00E33AE6">
      <w:pPr>
        <w:pStyle w:val="Heading5"/>
        <w:ind w:left="846" w:right="488"/>
      </w:pPr>
      <w:r>
        <w:t>Table 2- ESMA consultations</w:t>
      </w:r>
      <w:r>
        <w:rPr>
          <w:u w:val="none"/>
        </w:rPr>
        <w:t xml:space="preserve"> </w:t>
      </w:r>
      <w:r>
        <w:rPr>
          <w:b w:val="0"/>
          <w:i w:val="0"/>
          <w:u w:val="none"/>
        </w:rPr>
        <w:t xml:space="preserve"> </w:t>
      </w:r>
    </w:p>
    <w:tbl>
      <w:tblPr>
        <w:tblStyle w:val="TableGrid"/>
        <w:tblW w:w="8696" w:type="dxa"/>
        <w:tblInd w:w="852" w:type="dxa"/>
        <w:tblCellMar>
          <w:top w:w="12" w:type="dxa"/>
          <w:left w:w="0" w:type="dxa"/>
          <w:bottom w:w="0" w:type="dxa"/>
          <w:right w:w="48" w:type="dxa"/>
        </w:tblCellMar>
        <w:tblLook w:val="04A0" w:firstRow="1" w:lastRow="0" w:firstColumn="1" w:lastColumn="0" w:noHBand="0" w:noVBand="1"/>
      </w:tblPr>
      <w:tblGrid>
        <w:gridCol w:w="3222"/>
        <w:gridCol w:w="3392"/>
        <w:gridCol w:w="1787"/>
        <w:gridCol w:w="295"/>
      </w:tblGrid>
      <w:tr w:rsidR="00BB52D7">
        <w:trPr>
          <w:trHeight w:val="799"/>
        </w:trPr>
        <w:tc>
          <w:tcPr>
            <w:tcW w:w="3222"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107" w:firstLine="0"/>
              <w:jc w:val="left"/>
            </w:pPr>
            <w:r>
              <w:rPr>
                <w:i/>
              </w:rPr>
              <w:t xml:space="preserve">Consultation </w:t>
            </w:r>
          </w:p>
        </w:tc>
        <w:tc>
          <w:tcPr>
            <w:tcW w:w="3392"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108" w:firstLine="0"/>
              <w:jc w:val="left"/>
            </w:pPr>
            <w:r>
              <w:rPr>
                <w:i/>
              </w:rPr>
              <w:t xml:space="preserve">Consultation period </w:t>
            </w:r>
          </w:p>
        </w:tc>
        <w:tc>
          <w:tcPr>
            <w:tcW w:w="1787" w:type="dxa"/>
            <w:tcBorders>
              <w:top w:val="single" w:sz="4" w:space="0" w:color="000000"/>
              <w:left w:val="single" w:sz="4" w:space="0" w:color="000000"/>
              <w:bottom w:val="single" w:sz="4" w:space="0" w:color="000000"/>
              <w:right w:val="nil"/>
            </w:tcBorders>
            <w:shd w:val="clear" w:color="auto" w:fill="F2F2F2"/>
          </w:tcPr>
          <w:p w:rsidR="00BB52D7" w:rsidRDefault="00E33AE6">
            <w:pPr>
              <w:spacing w:after="0" w:line="259" w:lineRule="auto"/>
              <w:ind w:left="108" w:firstLine="0"/>
              <w:jc w:val="left"/>
            </w:pPr>
            <w:r>
              <w:rPr>
                <w:i/>
              </w:rPr>
              <w:t>Number resp</w:t>
            </w:r>
            <w:r>
              <w:rPr>
                <w:i/>
              </w:rPr>
              <w:t xml:space="preserve">onses </w:t>
            </w:r>
          </w:p>
        </w:tc>
        <w:tc>
          <w:tcPr>
            <w:tcW w:w="295" w:type="dxa"/>
            <w:tcBorders>
              <w:top w:val="single" w:sz="4" w:space="0" w:color="000000"/>
              <w:left w:val="nil"/>
              <w:bottom w:val="single" w:sz="4" w:space="0" w:color="000000"/>
              <w:right w:val="single" w:sz="4" w:space="0" w:color="000000"/>
            </w:tcBorders>
            <w:shd w:val="clear" w:color="auto" w:fill="F2F2F2"/>
          </w:tcPr>
          <w:p w:rsidR="00BB52D7" w:rsidRDefault="00E33AE6">
            <w:pPr>
              <w:spacing w:after="0" w:line="259" w:lineRule="auto"/>
              <w:ind w:left="0" w:firstLine="0"/>
            </w:pPr>
            <w:r>
              <w:rPr>
                <w:i/>
              </w:rPr>
              <w:t xml:space="preserve">of </w:t>
            </w:r>
          </w:p>
        </w:tc>
      </w:tr>
      <w:tr w:rsidR="00BB52D7">
        <w:trPr>
          <w:trHeight w:val="1355"/>
        </w:trPr>
        <w:tc>
          <w:tcPr>
            <w:tcW w:w="3222" w:type="dxa"/>
            <w:tcBorders>
              <w:top w:val="single" w:sz="4" w:space="0" w:color="000000"/>
              <w:left w:val="single" w:sz="4" w:space="0" w:color="000000"/>
              <w:bottom w:val="single" w:sz="4" w:space="0" w:color="000000"/>
              <w:right w:val="single" w:sz="4" w:space="0" w:color="000000"/>
            </w:tcBorders>
          </w:tcPr>
          <w:p w:rsidR="00BB52D7" w:rsidRDefault="00E33AE6">
            <w:pPr>
              <w:spacing w:after="6" w:line="259" w:lineRule="auto"/>
              <w:ind w:left="107" w:firstLine="0"/>
              <w:jc w:val="left"/>
            </w:pPr>
            <w:r>
              <w:lastRenderedPageBreak/>
              <w:t xml:space="preserve">Call for evidence on the </w:t>
            </w:r>
          </w:p>
          <w:p w:rsidR="00BB52D7" w:rsidRDefault="00E33AE6">
            <w:pPr>
              <w:spacing w:after="0" w:line="259" w:lineRule="auto"/>
              <w:ind w:left="107" w:firstLine="0"/>
              <w:jc w:val="left"/>
            </w:pPr>
            <w:r>
              <w:t xml:space="preserve">European </w:t>
            </w:r>
            <w:r>
              <w:tab/>
              <w:t xml:space="preserve">Commission’s request for advice on AIFMD level 2 measures </w:t>
            </w:r>
          </w:p>
        </w:tc>
        <w:tc>
          <w:tcPr>
            <w:tcW w:w="33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8" w:firstLine="0"/>
              <w:jc w:val="left"/>
            </w:pPr>
            <w:r>
              <w:t xml:space="preserve">3 December 2010 – 14 January </w:t>
            </w:r>
          </w:p>
          <w:p w:rsidR="00BB52D7" w:rsidRDefault="00E33AE6">
            <w:pPr>
              <w:spacing w:after="0" w:line="259" w:lineRule="auto"/>
              <w:ind w:left="108" w:firstLine="0"/>
              <w:jc w:val="left"/>
            </w:pPr>
            <w:r>
              <w:t xml:space="preserve">2011 </w:t>
            </w:r>
          </w:p>
        </w:tc>
        <w:tc>
          <w:tcPr>
            <w:tcW w:w="1787" w:type="dxa"/>
            <w:tcBorders>
              <w:top w:val="single" w:sz="4" w:space="0" w:color="000000"/>
              <w:left w:val="single" w:sz="4" w:space="0" w:color="000000"/>
              <w:bottom w:val="single" w:sz="4" w:space="0" w:color="000000"/>
              <w:right w:val="nil"/>
            </w:tcBorders>
          </w:tcPr>
          <w:p w:rsidR="00BB52D7" w:rsidRDefault="00E33AE6">
            <w:pPr>
              <w:spacing w:after="0" w:line="259" w:lineRule="auto"/>
              <w:ind w:left="108" w:firstLine="0"/>
              <w:jc w:val="left"/>
            </w:pPr>
            <w:r>
              <w:t xml:space="preserve">51 </w:t>
            </w:r>
          </w:p>
        </w:tc>
        <w:tc>
          <w:tcPr>
            <w:tcW w:w="295" w:type="dxa"/>
            <w:tcBorders>
              <w:top w:val="single" w:sz="4" w:space="0" w:color="000000"/>
              <w:left w:val="nil"/>
              <w:bottom w:val="single" w:sz="4" w:space="0" w:color="000000"/>
              <w:right w:val="single" w:sz="4" w:space="0" w:color="000000"/>
            </w:tcBorders>
            <w:vAlign w:val="center"/>
          </w:tcPr>
          <w:p w:rsidR="00BB52D7" w:rsidRDefault="00BB52D7">
            <w:pPr>
              <w:spacing w:after="160" w:line="259" w:lineRule="auto"/>
              <w:ind w:left="0" w:firstLine="0"/>
              <w:jc w:val="left"/>
            </w:pPr>
          </w:p>
        </w:tc>
      </w:tr>
      <w:tr w:rsidR="00BB52D7">
        <w:trPr>
          <w:trHeight w:val="803"/>
        </w:trPr>
        <w:tc>
          <w:tcPr>
            <w:tcW w:w="32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7" w:firstLine="0"/>
            </w:pPr>
            <w:r>
              <w:t>Draft technical advice on AIFMD level 2 measures</w:t>
            </w:r>
            <w:r>
              <w:rPr>
                <w:vertAlign w:val="superscript"/>
              </w:rPr>
              <w:footnoteReference w:id="21"/>
            </w:r>
            <w:r>
              <w:t xml:space="preserve"> </w:t>
            </w:r>
          </w:p>
        </w:tc>
        <w:tc>
          <w:tcPr>
            <w:tcW w:w="33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8" w:firstLine="0"/>
              <w:jc w:val="left"/>
            </w:pPr>
            <w:r>
              <w:t xml:space="preserve">13 July – 13 September 2011 </w:t>
            </w:r>
          </w:p>
        </w:tc>
        <w:tc>
          <w:tcPr>
            <w:tcW w:w="1787" w:type="dxa"/>
            <w:tcBorders>
              <w:top w:val="single" w:sz="4" w:space="0" w:color="000000"/>
              <w:left w:val="single" w:sz="4" w:space="0" w:color="000000"/>
              <w:bottom w:val="single" w:sz="4" w:space="0" w:color="000000"/>
              <w:right w:val="nil"/>
            </w:tcBorders>
          </w:tcPr>
          <w:p w:rsidR="00BB52D7" w:rsidRDefault="00E33AE6">
            <w:pPr>
              <w:spacing w:after="0" w:line="259" w:lineRule="auto"/>
              <w:ind w:left="108" w:firstLine="0"/>
              <w:jc w:val="left"/>
            </w:pPr>
            <w:r>
              <w:t xml:space="preserve">around 100 </w:t>
            </w:r>
          </w:p>
        </w:tc>
        <w:tc>
          <w:tcPr>
            <w:tcW w:w="295" w:type="dxa"/>
            <w:tcBorders>
              <w:top w:val="single" w:sz="4" w:space="0" w:color="000000"/>
              <w:left w:val="nil"/>
              <w:bottom w:val="single" w:sz="4" w:space="0" w:color="000000"/>
              <w:right w:val="single" w:sz="4" w:space="0" w:color="000000"/>
            </w:tcBorders>
            <w:vAlign w:val="center"/>
          </w:tcPr>
          <w:p w:rsidR="00BB52D7" w:rsidRDefault="00BB52D7">
            <w:pPr>
              <w:spacing w:after="160" w:line="259" w:lineRule="auto"/>
              <w:ind w:left="0" w:firstLine="0"/>
              <w:jc w:val="left"/>
            </w:pPr>
          </w:p>
        </w:tc>
      </w:tr>
      <w:tr w:rsidR="00BB52D7">
        <w:trPr>
          <w:trHeight w:val="802"/>
        </w:trPr>
        <w:tc>
          <w:tcPr>
            <w:tcW w:w="32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7" w:firstLine="0"/>
            </w:pPr>
            <w:r>
              <w:t>Draft technical advice on UCITS V level 2 measures</w:t>
            </w:r>
            <w:r>
              <w:rPr>
                <w:vertAlign w:val="superscript"/>
              </w:rPr>
              <w:footnoteReference w:id="22"/>
            </w:r>
            <w:r>
              <w:t xml:space="preserve"> </w:t>
            </w:r>
          </w:p>
        </w:tc>
        <w:tc>
          <w:tcPr>
            <w:tcW w:w="33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8" w:firstLine="0"/>
              <w:jc w:val="left"/>
            </w:pPr>
            <w:r>
              <w:t xml:space="preserve">26 September – 24 October </w:t>
            </w:r>
          </w:p>
          <w:p w:rsidR="00BB52D7" w:rsidRDefault="00E33AE6">
            <w:pPr>
              <w:spacing w:after="0" w:line="259" w:lineRule="auto"/>
              <w:ind w:left="108" w:firstLine="0"/>
              <w:jc w:val="left"/>
            </w:pPr>
            <w:r>
              <w:t xml:space="preserve">2014 </w:t>
            </w:r>
          </w:p>
        </w:tc>
        <w:tc>
          <w:tcPr>
            <w:tcW w:w="1787" w:type="dxa"/>
            <w:tcBorders>
              <w:top w:val="single" w:sz="4" w:space="0" w:color="000000"/>
              <w:left w:val="single" w:sz="4" w:space="0" w:color="000000"/>
              <w:bottom w:val="single" w:sz="4" w:space="0" w:color="000000"/>
              <w:right w:val="nil"/>
            </w:tcBorders>
          </w:tcPr>
          <w:p w:rsidR="00BB52D7" w:rsidRDefault="00E33AE6">
            <w:pPr>
              <w:spacing w:after="0" w:line="259" w:lineRule="auto"/>
              <w:ind w:left="108" w:firstLine="0"/>
              <w:jc w:val="left"/>
            </w:pPr>
            <w:r>
              <w:t xml:space="preserve">60 </w:t>
            </w:r>
          </w:p>
        </w:tc>
        <w:tc>
          <w:tcPr>
            <w:tcW w:w="295" w:type="dxa"/>
            <w:tcBorders>
              <w:top w:val="single" w:sz="4" w:space="0" w:color="000000"/>
              <w:left w:val="nil"/>
              <w:bottom w:val="single" w:sz="4" w:space="0" w:color="000000"/>
              <w:right w:val="single" w:sz="4" w:space="0" w:color="000000"/>
            </w:tcBorders>
            <w:vAlign w:val="center"/>
          </w:tcPr>
          <w:p w:rsidR="00BB52D7" w:rsidRDefault="00BB52D7">
            <w:pPr>
              <w:spacing w:after="160" w:line="259" w:lineRule="auto"/>
              <w:ind w:left="0" w:firstLine="0"/>
              <w:jc w:val="left"/>
            </w:pPr>
          </w:p>
        </w:tc>
      </w:tr>
    </w:tbl>
    <w:p w:rsidR="00BB52D7" w:rsidRDefault="00E33AE6">
      <w:pPr>
        <w:spacing w:after="221" w:line="259" w:lineRule="auto"/>
        <w:ind w:left="851" w:firstLine="0"/>
        <w:jc w:val="left"/>
      </w:pPr>
      <w:r>
        <w:t xml:space="preserve"> </w:t>
      </w:r>
    </w:p>
    <w:p w:rsidR="00BB52D7" w:rsidRDefault="00E33AE6">
      <w:pPr>
        <w:pStyle w:val="Heading2"/>
        <w:spacing w:after="228" w:line="249" w:lineRule="auto"/>
        <w:ind w:left="846" w:right="576"/>
      </w:pPr>
      <w:bookmarkStart w:id="4" w:name="_Toc240964"/>
      <w:r>
        <w:rPr>
          <w:i w:val="0"/>
          <w:color w:val="222222"/>
          <w:u w:val="none"/>
        </w:rPr>
        <w:t>2.3</w:t>
      </w:r>
      <w:r>
        <w:rPr>
          <w:rFonts w:ascii="Arial" w:eastAsia="Arial" w:hAnsi="Arial" w:cs="Arial"/>
          <w:i w:val="0"/>
          <w:color w:val="222222"/>
          <w:u w:val="none"/>
        </w:rPr>
        <w:t xml:space="preserve"> </w:t>
      </w:r>
      <w:r>
        <w:rPr>
          <w:i w:val="0"/>
          <w:color w:val="222222"/>
          <w:u w:val="none"/>
        </w:rPr>
        <w:t xml:space="preserve">Consultation with the Member States </w:t>
      </w:r>
      <w:bookmarkEnd w:id="4"/>
    </w:p>
    <w:p w:rsidR="00BB52D7" w:rsidRDefault="00E33AE6">
      <w:pPr>
        <w:ind w:left="846" w:right="843"/>
      </w:pPr>
      <w:r>
        <w:t xml:space="preserve">On 23 April 2015, the Commission services consulted the Member States in the expert group of the European Securities Committee. The Commission's consultation focused on the two main issues to be resolved in the Level 2 measures, independent action and the </w:t>
      </w:r>
      <w:r>
        <w:t>safeguards that apply when a UCITS depositary delegates custody of UCITS assets to a third party</w:t>
      </w:r>
      <w:r>
        <w:rPr>
          <w:b/>
        </w:rPr>
        <w:t xml:space="preserve">.  </w:t>
      </w:r>
    </w:p>
    <w:p w:rsidR="00BB52D7" w:rsidRDefault="00E33AE6">
      <w:pPr>
        <w:spacing w:after="222" w:line="253" w:lineRule="auto"/>
        <w:ind w:left="846" w:right="133"/>
        <w:jc w:val="left"/>
      </w:pPr>
      <w:r>
        <w:rPr>
          <w:i/>
        </w:rPr>
        <w:t>Topic 1: Independent boards and independent board members</w:t>
      </w:r>
      <w:r>
        <w:rPr>
          <w:b/>
        </w:rPr>
        <w:t xml:space="preserve">.  </w:t>
      </w:r>
    </w:p>
    <w:p w:rsidR="00BB52D7" w:rsidRDefault="00E33AE6">
      <w:pPr>
        <w:ind w:left="846" w:right="843"/>
      </w:pPr>
      <w:r>
        <w:t>With respect to the requirement that group entities should have at least two or one-third of bo</w:t>
      </w:r>
      <w:r>
        <w:t xml:space="preserve">ard members that are not affiliated to the group, the following concerns have been raised by Members States: </w:t>
      </w:r>
    </w:p>
    <w:p w:rsidR="00BB52D7" w:rsidRDefault="00E33AE6">
      <w:pPr>
        <w:numPr>
          <w:ilvl w:val="0"/>
          <w:numId w:val="2"/>
        </w:numPr>
        <w:ind w:right="843" w:hanging="360"/>
      </w:pPr>
      <w:r>
        <w:t>One Member State argues that the definition of independent board members was too strict. The Commission's services respond that a personal link (s</w:t>
      </w:r>
      <w:r>
        <w:t xml:space="preserve">pouse on the group board) or a contractual link (consulting contract) would result in a presumption of conflicts of interest which it would be incumbent on the persons involved to rebut. </w:t>
      </w:r>
    </w:p>
    <w:p w:rsidR="00BB52D7" w:rsidRDefault="00E33AE6">
      <w:pPr>
        <w:numPr>
          <w:ilvl w:val="0"/>
          <w:numId w:val="2"/>
        </w:numPr>
        <w:ind w:right="843" w:hanging="360"/>
      </w:pPr>
      <w:r>
        <w:t>One Member State argues that employee board members should only be r</w:t>
      </w:r>
      <w:r>
        <w:t>equired to have no personal or contractual links with the group if they have an executive function within the group. The Commission services respond that employees that are appointed to group boards should, by virtue of this appointment alone, be deemed to</w:t>
      </w:r>
      <w:r>
        <w:t xml:space="preserve"> exercise executive functions. </w:t>
      </w:r>
    </w:p>
    <w:p w:rsidR="00BB52D7" w:rsidRDefault="00E33AE6">
      <w:pPr>
        <w:numPr>
          <w:ilvl w:val="0"/>
          <w:numId w:val="2"/>
        </w:numPr>
        <w:ind w:right="843" w:hanging="360"/>
      </w:pPr>
      <w:r>
        <w:t>Three Members States argue that the strict board independence should not apply to the custodian to whom custody is delegated. The Commission's services point out that the co-</w:t>
      </w:r>
      <w:r>
        <w:t xml:space="preserve">legislators extended all requirements applicable to the depositary to a delegate. Hence, it would be difficult to exonerate the custodian in receipt of a delegation from some or all of the board independence requirements. </w:t>
      </w:r>
    </w:p>
    <w:p w:rsidR="00BB52D7" w:rsidRDefault="00E33AE6">
      <w:pPr>
        <w:numPr>
          <w:ilvl w:val="0"/>
          <w:numId w:val="2"/>
        </w:numPr>
        <w:ind w:right="843" w:hanging="360"/>
      </w:pPr>
      <w:r>
        <w:lastRenderedPageBreak/>
        <w:t>One Member State speaks out in fa</w:t>
      </w:r>
      <w:r>
        <w:t>vour of the structural separation between asset manager and the depositary (no ownership links) but not between asset manager and custodian to whom custody is delegated. The Commission's services respond that it is difficult to achieve this result as the U</w:t>
      </w:r>
      <w:r>
        <w:t>CITS V level 1 text applies all requirements applicable to the depositary to the delegate custodian as well. The assumption of the co-legislators was that conflicts of interest would not only arise with respect to the depositary's oversight function but al</w:t>
      </w:r>
      <w:r>
        <w:t xml:space="preserve">so with respect to custody of assets. These potential conflicts of interest are further described in Section 3.3.2). </w:t>
      </w:r>
    </w:p>
    <w:p w:rsidR="00BB52D7" w:rsidRDefault="00E33AE6">
      <w:pPr>
        <w:numPr>
          <w:ilvl w:val="0"/>
          <w:numId w:val="2"/>
        </w:numPr>
        <w:ind w:right="843" w:hanging="360"/>
      </w:pPr>
      <w:r>
        <w:t>One Member State points out that the Level 2 measures must be adopted before the summer 2015 so that the national implementation of the en</w:t>
      </w:r>
      <w:r>
        <w:t xml:space="preserve">tire UCITS V Level 1 and Level 2 package can run smoothly. Delays in adopting the Level 2 acts would invariably result in delays in adopting the overall UCITS V reforms. </w:t>
      </w:r>
    </w:p>
    <w:p w:rsidR="00BB52D7" w:rsidRDefault="00E33AE6">
      <w:pPr>
        <w:ind w:left="846" w:right="843"/>
      </w:pPr>
      <w:r>
        <w:rPr>
          <w:b/>
          <w:u w:val="single" w:color="000000"/>
        </w:rPr>
        <w:t>Conclusion on topic 1</w:t>
      </w:r>
      <w:r>
        <w:t xml:space="preserve">: Member States agree with the proposed approach not to require </w:t>
      </w:r>
      <w:r>
        <w:t>structural separation between management/investment company and their depositaries/custodians. They endorse the ESMA/Commission approach to seek independent action of these entities by means of prohibiting personal overlap on both entities' boards. They ag</w:t>
      </w:r>
      <w:r>
        <w:t xml:space="preserve">ree that - in case both entities' form part of the same group - at least two or one third of the board members should not be affiliated with the group. Affiliation would be defined as the existence of "business, family or any other links that give rise to </w:t>
      </w:r>
      <w:r>
        <w:t xml:space="preserve">potential conflicts of interest". </w:t>
      </w:r>
    </w:p>
    <w:p w:rsidR="00BB52D7" w:rsidRDefault="00E33AE6">
      <w:pPr>
        <w:spacing w:after="222" w:line="253" w:lineRule="auto"/>
        <w:ind w:left="846" w:right="133"/>
        <w:jc w:val="left"/>
      </w:pPr>
      <w:r>
        <w:rPr>
          <w:i/>
        </w:rPr>
        <w:t xml:space="preserve">Topic 2: Selection of delegates in third countries.  </w:t>
      </w:r>
    </w:p>
    <w:p w:rsidR="00BB52D7" w:rsidRDefault="00E33AE6">
      <w:pPr>
        <w:ind w:left="846" w:right="843"/>
      </w:pPr>
      <w:r>
        <w:t>One Member State contests the necessity that legal advice on the insolvency laws of third countries has to be provided by an independent entity. They argue that in-hou</w:t>
      </w:r>
      <w:r>
        <w:t>se lawyers can achieve independent advice as well. The Commission's services respond that the preponderance of stakeholders preferred independent advice to be provided by a third party and not the legal department of the depositary. The Commission's servic</w:t>
      </w:r>
      <w:r>
        <w:t xml:space="preserve">es also point out that cost implication of obtaining independent advice could be mitigated by allowing for the sharing of this advice among members of the relevant industry associations.  </w:t>
      </w:r>
    </w:p>
    <w:p w:rsidR="00BB52D7" w:rsidRDefault="00E33AE6">
      <w:pPr>
        <w:ind w:left="846" w:right="843"/>
      </w:pPr>
      <w:r>
        <w:rPr>
          <w:b/>
          <w:u w:val="single" w:color="000000"/>
        </w:rPr>
        <w:t>Conclusion on Topic 2</w:t>
      </w:r>
      <w:r>
        <w:t>: Member States agree with the proposed select</w:t>
      </w:r>
      <w:r>
        <w:t xml:space="preserve">ion criteria, including the requirement that legal advice is provided by an independent third party.  </w:t>
      </w:r>
    </w:p>
    <w:p w:rsidR="00BB52D7" w:rsidRDefault="00E33AE6">
      <w:pPr>
        <w:pStyle w:val="Heading2"/>
        <w:spacing w:after="228" w:line="249" w:lineRule="auto"/>
        <w:ind w:left="846" w:right="576"/>
      </w:pPr>
      <w:bookmarkStart w:id="5" w:name="_Toc240965"/>
      <w:r>
        <w:rPr>
          <w:i w:val="0"/>
          <w:color w:val="222222"/>
          <w:u w:val="none"/>
        </w:rPr>
        <w:t>2.4</w:t>
      </w:r>
      <w:r>
        <w:rPr>
          <w:rFonts w:ascii="Arial" w:eastAsia="Arial" w:hAnsi="Arial" w:cs="Arial"/>
          <w:i w:val="0"/>
          <w:color w:val="222222"/>
          <w:u w:val="none"/>
        </w:rPr>
        <w:t xml:space="preserve"> </w:t>
      </w:r>
      <w:r>
        <w:rPr>
          <w:i w:val="0"/>
          <w:color w:val="222222"/>
          <w:u w:val="none"/>
        </w:rPr>
        <w:t xml:space="preserve">Impact Assessment Steering Group and Impact Assessment Board (IAB) </w:t>
      </w:r>
      <w:bookmarkEnd w:id="5"/>
    </w:p>
    <w:p w:rsidR="00BB52D7" w:rsidRDefault="00E33AE6">
      <w:pPr>
        <w:spacing w:after="0"/>
        <w:ind w:left="846" w:right="843"/>
      </w:pPr>
      <w:r>
        <w:t xml:space="preserve">Work on the Impact Assessment started in June 2014 with the first meeting of the </w:t>
      </w:r>
      <w:r>
        <w:t>Steering group on 25 November 2014, followed by 3 further meetings, the last one taking place on 16 March 2015. The following Directorates General (DGs) and Commission services participated in the meetings: Financial Services and Capital Markets Union (FIS</w:t>
      </w:r>
      <w:r>
        <w:t xml:space="preserve">MA), Internal Market, Industry, Entrepreneurship and SMEs (GROW); Justice (JUST); Legal Services (SJ); Secretariat General (SG); and Trade. The report with the minutes of the last steering group was sent to the Impact Assessment Board on 19 May 2015. </w:t>
      </w:r>
    </w:p>
    <w:p w:rsidR="00BB52D7" w:rsidRDefault="00E33AE6">
      <w:pPr>
        <w:spacing w:after="0" w:line="259" w:lineRule="auto"/>
        <w:ind w:left="851" w:firstLine="0"/>
        <w:jc w:val="left"/>
      </w:pPr>
      <w:r>
        <w:t xml:space="preserve"> </w:t>
      </w:r>
    </w:p>
    <w:p w:rsidR="00BB52D7" w:rsidRDefault="00E33AE6">
      <w:pPr>
        <w:spacing w:after="10"/>
        <w:ind w:left="846" w:right="843"/>
      </w:pPr>
      <w:r>
        <w:t>Th</w:t>
      </w:r>
      <w:r>
        <w:t xml:space="preserve">e draft Impact Assessment (IA) report has been examined by the </w:t>
      </w:r>
      <w:r>
        <w:rPr>
          <w:color w:val="222222"/>
        </w:rPr>
        <w:t xml:space="preserve">Impact Assessment Board </w:t>
      </w:r>
    </w:p>
    <w:p w:rsidR="00BB52D7" w:rsidRDefault="00E33AE6">
      <w:pPr>
        <w:spacing w:after="254" w:line="252" w:lineRule="auto"/>
        <w:ind w:left="851" w:right="156" w:firstLine="0"/>
        <w:jc w:val="left"/>
      </w:pPr>
      <w:r>
        <w:rPr>
          <w:color w:val="222222"/>
        </w:rPr>
        <w:t>(IAB) by normal procedure as of 17 June 2015. On the basis of the IAB's opinion of 19 June 2015</w:t>
      </w:r>
      <w:r>
        <w:rPr>
          <w:color w:val="222222"/>
          <w:vertAlign w:val="superscript"/>
        </w:rPr>
        <w:footnoteReference w:id="23"/>
      </w:r>
      <w:r>
        <w:rPr>
          <w:color w:val="222222"/>
        </w:rPr>
        <w:t xml:space="preserve"> </w:t>
      </w:r>
      <w:r>
        <w:rPr>
          <w:color w:val="222222"/>
        </w:rPr>
        <w:t xml:space="preserve">the IA report has been revised in order to take into account the views of the IAB.  </w:t>
      </w:r>
    </w:p>
    <w:p w:rsidR="00BB52D7" w:rsidRDefault="00E33AE6">
      <w:pPr>
        <w:numPr>
          <w:ilvl w:val="0"/>
          <w:numId w:val="3"/>
        </w:numPr>
        <w:spacing w:after="12" w:line="248" w:lineRule="auto"/>
        <w:ind w:hanging="360"/>
      </w:pPr>
      <w:r>
        <w:rPr>
          <w:b/>
        </w:rPr>
        <w:lastRenderedPageBreak/>
        <w:t xml:space="preserve">Protection against insolvency - intervention logic: </w:t>
      </w:r>
      <w:r>
        <w:t xml:space="preserve"> </w:t>
      </w:r>
    </w:p>
    <w:p w:rsidR="00BB52D7" w:rsidRDefault="00E33AE6">
      <w:pPr>
        <w:spacing w:after="0" w:line="259" w:lineRule="auto"/>
        <w:ind w:left="1571" w:firstLine="0"/>
        <w:jc w:val="left"/>
      </w:pPr>
      <w:r>
        <w:rPr>
          <w:sz w:val="23"/>
        </w:rPr>
        <w:t xml:space="preserve"> </w:t>
      </w:r>
    </w:p>
    <w:p w:rsidR="00BB52D7" w:rsidRDefault="00E33AE6">
      <w:pPr>
        <w:spacing w:after="0"/>
        <w:ind w:left="846" w:right="843"/>
      </w:pPr>
      <w:r>
        <w:t>The problem of lack of protection against insolvency in third countries should be clarified in terms of objectives, options and impacts. Further evidence, beyond the Madoff case, should be provided to justify the need to act. This should include explaining</w:t>
      </w:r>
      <w:r>
        <w:t xml:space="preserve"> why the option of relying on in house lawyers is rejected and how the option of a requirement of independent legal advice will only take effect for certain third countries. It should also be made clear that the industry will be able to share the costs of </w:t>
      </w:r>
      <w:r>
        <w:t xml:space="preserve">independent legal advice, thus limiting the additional costs for individual UCITS. </w:t>
      </w:r>
    </w:p>
    <w:p w:rsidR="00BB52D7" w:rsidRDefault="00E33AE6">
      <w:pPr>
        <w:spacing w:after="0" w:line="259" w:lineRule="auto"/>
        <w:ind w:left="851" w:firstLine="0"/>
        <w:jc w:val="left"/>
      </w:pPr>
      <w:r>
        <w:rPr>
          <w:sz w:val="23"/>
        </w:rPr>
        <w:t xml:space="preserve"> </w:t>
      </w:r>
    </w:p>
    <w:p w:rsidR="00BB52D7" w:rsidRDefault="00E33AE6">
      <w:pPr>
        <w:numPr>
          <w:ilvl w:val="0"/>
          <w:numId w:val="3"/>
        </w:numPr>
        <w:spacing w:after="12" w:line="248" w:lineRule="auto"/>
        <w:ind w:hanging="360"/>
      </w:pPr>
      <w:r>
        <w:rPr>
          <w:b/>
        </w:rPr>
        <w:t xml:space="preserve">Clarification of independence options: </w:t>
      </w:r>
      <w:r>
        <w:t xml:space="preserve"> </w:t>
      </w:r>
    </w:p>
    <w:p w:rsidR="00BB52D7" w:rsidRDefault="00E33AE6">
      <w:pPr>
        <w:spacing w:after="0" w:line="259" w:lineRule="auto"/>
        <w:ind w:left="1571" w:firstLine="0"/>
        <w:jc w:val="left"/>
      </w:pPr>
      <w:r>
        <w:t xml:space="preserve"> </w:t>
      </w:r>
    </w:p>
    <w:p w:rsidR="00BB52D7" w:rsidRDefault="00E33AE6">
      <w:pPr>
        <w:spacing w:after="0"/>
        <w:ind w:left="846" w:right="843"/>
      </w:pPr>
      <w:r>
        <w:t>The role and effective powers of the independent board members should be clarified, in particular with regard to their relation</w:t>
      </w:r>
      <w:r>
        <w:t>ship with regulatory authorities and whistleblowing capacities. The role of the regulatory authorities should also be further explained, including their capacity to oversee boards and intervene on behalf of independent members to prevent any systematic iso</w:t>
      </w:r>
      <w:r>
        <w:t xml:space="preserve">lation of them. </w:t>
      </w:r>
    </w:p>
    <w:p w:rsidR="00BB52D7" w:rsidRDefault="00E33AE6">
      <w:pPr>
        <w:spacing w:after="0" w:line="259" w:lineRule="auto"/>
        <w:ind w:left="851" w:firstLine="0"/>
        <w:jc w:val="left"/>
      </w:pPr>
      <w:r>
        <w:rPr>
          <w:sz w:val="23"/>
        </w:rPr>
        <w:t xml:space="preserve"> </w:t>
      </w:r>
    </w:p>
    <w:p w:rsidR="00BB52D7" w:rsidRDefault="00E33AE6">
      <w:pPr>
        <w:numPr>
          <w:ilvl w:val="0"/>
          <w:numId w:val="3"/>
        </w:numPr>
        <w:spacing w:after="12" w:line="248" w:lineRule="auto"/>
        <w:ind w:hanging="360"/>
      </w:pPr>
      <w:r>
        <w:rPr>
          <w:b/>
        </w:rPr>
        <w:t>Analysis of impacts:</w:t>
      </w:r>
      <w:r>
        <w:t xml:space="preserve"> </w:t>
      </w:r>
    </w:p>
    <w:p w:rsidR="00BB52D7" w:rsidRDefault="00E33AE6">
      <w:pPr>
        <w:spacing w:after="0" w:line="259" w:lineRule="auto"/>
        <w:ind w:left="851" w:firstLine="0"/>
        <w:jc w:val="left"/>
      </w:pPr>
      <w:r>
        <w:rPr>
          <w:b/>
        </w:rPr>
        <w:t xml:space="preserve"> </w:t>
      </w:r>
    </w:p>
    <w:p w:rsidR="00BB52D7" w:rsidRDefault="00E33AE6">
      <w:pPr>
        <w:spacing w:after="0"/>
        <w:ind w:left="846" w:right="843"/>
      </w:pPr>
      <w:r>
        <w:t>The impact of the preferred option on the international competitiveness of the UCITS sector should be spelled out more clearly, in particular by explaining how the regulation would compare to that of other main tr</w:t>
      </w:r>
      <w:r>
        <w:t>ading partners. The objectives and expected impacts on the structure of the sector, market concentration and systemic financial risks should be clarified. Moreover, which balance is envisaged between exploiting economics of scale and scope and risks of inc</w:t>
      </w:r>
      <w:r>
        <w:t>reasing systemic risks and market power? The report should explain if the increased complexity of the preferred option could in itself be a factor adding to financial risks? The report should also spell out the administrative burdens impact more clearly, i</w:t>
      </w:r>
      <w:r>
        <w:t>ncluding by singling out and assessing those proposed rules and procedures, which will de facto add new administrative burdens to UCITS, while explaining why the others will not generate new burdens. This should include an assessment of whether smaller com</w:t>
      </w:r>
      <w:r>
        <w:t>panies are likely to be affected differently from larger ones. When assessing the costs for depositaries of moving assets to independent custodians, the report should clearly spell out whether the costs considered are one-off or repeated. Finally, the repo</w:t>
      </w:r>
      <w:r>
        <w:t xml:space="preserve">rt should better describe the views of different stakeholder groups collected in the consultation on the various options and their impacts. </w:t>
      </w:r>
    </w:p>
    <w:p w:rsidR="00BB52D7" w:rsidRDefault="00E33AE6">
      <w:pPr>
        <w:spacing w:after="0" w:line="259" w:lineRule="auto"/>
        <w:ind w:left="851" w:firstLine="0"/>
        <w:jc w:val="left"/>
      </w:pPr>
      <w:r>
        <w:t xml:space="preserve"> </w:t>
      </w:r>
    </w:p>
    <w:p w:rsidR="00BB52D7" w:rsidRDefault="00E33AE6">
      <w:pPr>
        <w:numPr>
          <w:ilvl w:val="0"/>
          <w:numId w:val="3"/>
        </w:numPr>
        <w:spacing w:after="12" w:line="248" w:lineRule="auto"/>
        <w:ind w:hanging="360"/>
      </w:pPr>
      <w:r>
        <w:rPr>
          <w:b/>
        </w:rPr>
        <w:t xml:space="preserve">Monitoring: </w:t>
      </w:r>
      <w:r>
        <w:t xml:space="preserve"> </w:t>
      </w:r>
    </w:p>
    <w:p w:rsidR="00BB52D7" w:rsidRDefault="00E33AE6">
      <w:pPr>
        <w:spacing w:after="0" w:line="259" w:lineRule="auto"/>
        <w:ind w:left="851" w:firstLine="0"/>
        <w:jc w:val="left"/>
      </w:pPr>
      <w:r>
        <w:rPr>
          <w:b/>
        </w:rPr>
        <w:t xml:space="preserve"> </w:t>
      </w:r>
    </w:p>
    <w:p w:rsidR="00BB52D7" w:rsidRDefault="00E33AE6">
      <w:pPr>
        <w:ind w:left="846" w:right="843"/>
      </w:pPr>
      <w:r>
        <w:t xml:space="preserve">In the monitoring and evaluation part, the report should specify a number of concrete monitoring </w:t>
      </w:r>
      <w:r>
        <w:t xml:space="preserve">indicators on the independent board members, such as whistleblowing incidences, regulator interventions and number of board members removed. </w:t>
      </w:r>
    </w:p>
    <w:p w:rsidR="00BB52D7" w:rsidRDefault="00E33AE6">
      <w:pPr>
        <w:pStyle w:val="Heading1"/>
        <w:ind w:left="846"/>
      </w:pPr>
      <w:bookmarkStart w:id="6" w:name="_Toc240966"/>
      <w:r>
        <w:rPr>
          <w:sz w:val="24"/>
        </w:rPr>
        <w:lastRenderedPageBreak/>
        <w:t>3</w:t>
      </w:r>
      <w:r>
        <w:rPr>
          <w:rFonts w:ascii="Arial" w:eastAsia="Arial" w:hAnsi="Arial" w:cs="Arial"/>
          <w:sz w:val="24"/>
        </w:rPr>
        <w:t xml:space="preserve"> </w:t>
      </w:r>
      <w:r>
        <w:rPr>
          <w:sz w:val="23"/>
        </w:rPr>
        <w:t>.</w:t>
      </w:r>
      <w:r>
        <w:rPr>
          <w:sz w:val="24"/>
        </w:rPr>
        <w:t>P</w:t>
      </w:r>
      <w:r>
        <w:t xml:space="preserve">ROBLEM </w:t>
      </w:r>
      <w:r>
        <w:rPr>
          <w:sz w:val="24"/>
        </w:rPr>
        <w:t>D</w:t>
      </w:r>
      <w:r>
        <w:t xml:space="preserve">ESCRIPTION </w:t>
      </w:r>
      <w:r>
        <w:rPr>
          <w:sz w:val="24"/>
        </w:rPr>
        <w:t xml:space="preserve"> </w:t>
      </w:r>
      <w:bookmarkEnd w:id="6"/>
    </w:p>
    <w:p w:rsidR="00BB52D7" w:rsidRDefault="00E33AE6">
      <w:pPr>
        <w:pStyle w:val="Heading2"/>
        <w:spacing w:after="228" w:line="249" w:lineRule="auto"/>
        <w:ind w:left="1352" w:right="576"/>
      </w:pPr>
      <w:bookmarkStart w:id="7" w:name="_Toc240967"/>
      <w:r>
        <w:rPr>
          <w:i w:val="0"/>
          <w:color w:val="222222"/>
          <w:u w:val="none"/>
        </w:rPr>
        <w:t>3.1</w:t>
      </w:r>
      <w:r>
        <w:rPr>
          <w:rFonts w:ascii="Arial" w:eastAsia="Arial" w:hAnsi="Arial" w:cs="Arial"/>
          <w:i w:val="0"/>
          <w:color w:val="222222"/>
          <w:u w:val="none"/>
        </w:rPr>
        <w:t xml:space="preserve"> </w:t>
      </w:r>
      <w:r>
        <w:rPr>
          <w:i w:val="0"/>
          <w:color w:val="222222"/>
          <w:u w:val="none"/>
        </w:rPr>
        <w:t xml:space="preserve">Problems identified in the level 1 impact assessment </w:t>
      </w:r>
      <w:bookmarkEnd w:id="7"/>
    </w:p>
    <w:p w:rsidR="00BB52D7" w:rsidRDefault="00E33AE6">
      <w:pPr>
        <w:spacing w:after="281"/>
        <w:ind w:left="846" w:right="843"/>
      </w:pPr>
      <w:r>
        <w:t xml:space="preserve">When considering the proposals </w:t>
      </w:r>
      <w:r>
        <w:t>on the duties and liability for depositaries in preparation of the UCITS V reform in July 2012, the following problems were identified</w:t>
      </w:r>
      <w:r>
        <w:rPr>
          <w:vertAlign w:val="superscript"/>
        </w:rPr>
        <w:footnoteReference w:id="24"/>
      </w:r>
      <w:r>
        <w:t xml:space="preserve">: </w:t>
      </w:r>
    </w:p>
    <w:p w:rsidR="00BB52D7" w:rsidRDefault="00E33AE6">
      <w:pPr>
        <w:numPr>
          <w:ilvl w:val="0"/>
          <w:numId w:val="4"/>
        </w:numPr>
        <w:spacing w:after="251"/>
        <w:ind w:right="843" w:hanging="360"/>
      </w:pPr>
      <w:r>
        <w:rPr>
          <w:u w:val="single" w:color="000000"/>
        </w:rPr>
        <w:t>Divergent criteria on eligibility to act as a depositary</w:t>
      </w:r>
      <w:r>
        <w:t xml:space="preserve">: The flexibility in choosing which entities can perform the depositaries functions that the Member States have had under Article 23(2) of the UCITS Directive has led to divergent national approaches creating legal uncertainty leading to suboptimal levels </w:t>
      </w:r>
      <w:r>
        <w:t xml:space="preserve">of investor protection.  </w:t>
      </w:r>
    </w:p>
    <w:p w:rsidR="00BB52D7" w:rsidRDefault="00E33AE6">
      <w:pPr>
        <w:numPr>
          <w:ilvl w:val="0"/>
          <w:numId w:val="4"/>
        </w:numPr>
        <w:ind w:right="843" w:hanging="360"/>
      </w:pPr>
      <w:r>
        <w:rPr>
          <w:u w:val="single" w:color="000000"/>
        </w:rPr>
        <w:t>Unclear rules on delegation of custody</w:t>
      </w:r>
      <w:r>
        <w:t>: The diversification and internationalisation of UCITS investment portfolios have increased sub-delegation of custody to a wide range of jurisdictions. Increased custody and insolvency risk f</w:t>
      </w:r>
      <w:r>
        <w:t>or those international assets made it necessary to define the conditions applicable in case a depositary further delegates safe-keeping of assets (e.g., objective reason for delegation, level of skill in selecting sub-custodian, intensity of ongoing monito</w:t>
      </w:r>
      <w:r>
        <w:t>ring of sub-custodian). As explained in the Impact Assessment accompanying the UCITS V proposal</w:t>
      </w:r>
      <w:r>
        <w:rPr>
          <w:vertAlign w:val="superscript"/>
        </w:rPr>
        <w:footnoteReference w:id="25"/>
      </w:r>
      <w:r>
        <w:t>, the Madoff case highlights the risks associated with the use of local third country subcustody networks, especially when the latter do not structurally separa</w:t>
      </w:r>
      <w:r>
        <w:t xml:space="preserve">te custody from the management of assets.  </w:t>
      </w:r>
    </w:p>
    <w:p w:rsidR="00BB52D7" w:rsidRDefault="00E33AE6">
      <w:pPr>
        <w:numPr>
          <w:ilvl w:val="0"/>
          <w:numId w:val="4"/>
        </w:numPr>
        <w:ind w:right="843" w:hanging="360"/>
      </w:pPr>
      <w:r>
        <w:rPr>
          <w:u w:val="single" w:color="000000"/>
        </w:rPr>
        <w:t>Unclear scope of liability in case of loss (including loss when custody has been</w:t>
      </w:r>
      <w:r>
        <w:t xml:space="preserve"> </w:t>
      </w:r>
      <w:r>
        <w:rPr>
          <w:u w:val="single" w:color="000000"/>
        </w:rPr>
        <w:t>delegated)</w:t>
      </w:r>
      <w:r>
        <w:t xml:space="preserve">: The interpretation of the depositary liability in the UCITS Directive has not been uniform which led to differences in investor protection; most notably in the case when a custodial instrument is lost after the delegation of custody. The consequences of </w:t>
      </w:r>
      <w:r>
        <w:t>these divergences came to the fore with the Madoff fraud. In some Member States the depositary was immediately liable to return assets in custody as a consequence of fraud at the level of the sub-custodian, in other Member States liability is based on faul</w:t>
      </w:r>
      <w:r>
        <w:t>t and is still subject to litigation.</w:t>
      </w:r>
      <w:r>
        <w:rPr>
          <w:color w:val="222222"/>
        </w:rPr>
        <w:t xml:space="preserve"> </w:t>
      </w:r>
    </w:p>
    <w:p w:rsidR="00BB52D7" w:rsidRDefault="00E33AE6">
      <w:pPr>
        <w:pStyle w:val="Heading2"/>
        <w:spacing w:after="228" w:line="249" w:lineRule="auto"/>
        <w:ind w:left="1352" w:right="576"/>
      </w:pPr>
      <w:bookmarkStart w:id="8" w:name="_Toc240968"/>
      <w:r>
        <w:rPr>
          <w:i w:val="0"/>
          <w:color w:val="222222"/>
          <w:u w:val="none"/>
        </w:rPr>
        <w:t>3.2</w:t>
      </w:r>
      <w:r>
        <w:rPr>
          <w:rFonts w:ascii="Arial" w:eastAsia="Arial" w:hAnsi="Arial" w:cs="Arial"/>
          <w:i w:val="0"/>
          <w:color w:val="222222"/>
          <w:u w:val="none"/>
        </w:rPr>
        <w:t xml:space="preserve"> </w:t>
      </w:r>
      <w:r>
        <w:rPr>
          <w:i w:val="0"/>
          <w:color w:val="222222"/>
          <w:u w:val="none"/>
        </w:rPr>
        <w:t xml:space="preserve">Scope of the relevant empowerments </w:t>
      </w:r>
      <w:bookmarkEnd w:id="8"/>
    </w:p>
    <w:p w:rsidR="00BB52D7" w:rsidRDefault="00E33AE6">
      <w:pPr>
        <w:ind w:left="846" w:right="843"/>
      </w:pPr>
      <w:r>
        <w:t>The UCITS Directive provides several empowerments for the Commission to adopt delegated acts covering rules on depositaries’ oversight duties, rules on delegation to a third par</w:t>
      </w:r>
      <w:r>
        <w:t xml:space="preserve">ty, insolvency protection and the requirement for depositary and UCITS management/investment company to act independently. </w:t>
      </w:r>
    </w:p>
    <w:p w:rsidR="00BB52D7" w:rsidRDefault="00E33AE6">
      <w:pPr>
        <w:ind w:left="846" w:right="843"/>
      </w:pPr>
      <w:r>
        <w:t xml:space="preserve">As a consequence, the empowerments for the Commission to adopt delegated acts on depositaries under the UCITS Directive are largely </w:t>
      </w:r>
      <w:r>
        <w:t xml:space="preserve">the same as the ones that were foreseen by the AIFM Directive and for which a Delegated Regulation has been already adopted (see list in Annex 2 and Annex 10 for the comparison of measures).  </w:t>
      </w:r>
    </w:p>
    <w:p w:rsidR="00BB52D7" w:rsidRDefault="00E33AE6">
      <w:pPr>
        <w:spacing w:after="269"/>
        <w:ind w:left="846" w:right="843"/>
      </w:pPr>
      <w:r>
        <w:t>The delegated acts were drafted to take into account the lesson</w:t>
      </w:r>
      <w:r>
        <w:t xml:space="preserve">s learned from the Madoff events. Many of the upgrades mirroring the AIFM Directive have already been introduced in the UCITS </w:t>
      </w:r>
      <w:r>
        <w:lastRenderedPageBreak/>
        <w:t>Directive, notably provisions on the entities eligible to act as depositaries and regarding their liability vis-à-vis the UCITS an</w:t>
      </w:r>
      <w:r>
        <w:t>d its investors. The list of entities that are eligible as depositary function for a UCITS is more limited than those eligible in the AIFM Directive (see Annex 9). Discharge of liability allowed in the AIFM Directive is not allowed for depositaries appoint</w:t>
      </w:r>
      <w:r>
        <w:t>ed to safeguard assets belonging to a UCITS. These modifications account for the fact that UCITS are highly regulated retail products.</w:t>
      </w:r>
      <w:r>
        <w:rPr>
          <w:vertAlign w:val="superscript"/>
        </w:rPr>
        <w:footnoteReference w:id="26"/>
      </w:r>
      <w:r>
        <w:t xml:space="preserve"> </w:t>
      </w:r>
    </w:p>
    <w:p w:rsidR="00BB52D7" w:rsidRDefault="00E33AE6">
      <w:pPr>
        <w:ind w:left="846" w:right="843"/>
      </w:pPr>
      <w:r>
        <w:t>The only differences in the empowerments for delegated acts between the AIFMD and the UCITS Directive concern the provi</w:t>
      </w:r>
      <w:r>
        <w:t>sions of the UCITS Directive regarding (1) steps that a depositary has to ensure that a third party takes to provide for insolvency protection of UCITS assets and (2) the "independent action" requirement. This impact assessment will focus on the substantiv</w:t>
      </w:r>
      <w:r>
        <w:t xml:space="preserve">e provision which were not addressed in the AIFMD. The other provisions will be cover in Annex 10 and will be based on the AIFMD impact assessment.  </w:t>
      </w:r>
    </w:p>
    <w:p w:rsidR="00BB52D7" w:rsidRDefault="00E33AE6">
      <w:pPr>
        <w:pStyle w:val="Heading5"/>
        <w:ind w:left="846" w:right="488"/>
      </w:pPr>
      <w:r>
        <w:t>Table 3 – Substantive provisions to be discussed in this impact assessment</w:t>
      </w:r>
      <w:r>
        <w:rPr>
          <w:u w:val="none"/>
        </w:rPr>
        <w:t xml:space="preserve"> </w:t>
      </w:r>
    </w:p>
    <w:tbl>
      <w:tblPr>
        <w:tblStyle w:val="TableGrid"/>
        <w:tblW w:w="9209" w:type="dxa"/>
        <w:tblInd w:w="744" w:type="dxa"/>
        <w:tblCellMar>
          <w:top w:w="13" w:type="dxa"/>
          <w:left w:w="107" w:type="dxa"/>
          <w:bottom w:w="0" w:type="dxa"/>
          <w:right w:w="0" w:type="dxa"/>
        </w:tblCellMar>
        <w:tblLook w:val="04A0" w:firstRow="1" w:lastRow="0" w:firstColumn="1" w:lastColumn="0" w:noHBand="0" w:noVBand="1"/>
      </w:tblPr>
      <w:tblGrid>
        <w:gridCol w:w="9209"/>
      </w:tblGrid>
      <w:tr w:rsidR="00BB52D7">
        <w:trPr>
          <w:trHeight w:val="523"/>
        </w:trPr>
        <w:tc>
          <w:tcPr>
            <w:tcW w:w="9209"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0" w:firstLine="0"/>
              <w:jc w:val="left"/>
            </w:pPr>
            <w:r>
              <w:rPr>
                <w:b/>
                <w:i/>
                <w:u w:val="single" w:color="000000"/>
              </w:rPr>
              <w:t>Article 22a(3) (d)</w:t>
            </w:r>
            <w:r>
              <w:rPr>
                <w:i/>
              </w:rPr>
              <w:t xml:space="preserve"> </w:t>
            </w:r>
          </w:p>
        </w:tc>
      </w:tr>
      <w:tr w:rsidR="00BB52D7">
        <w:trPr>
          <w:trHeight w:val="1632"/>
        </w:trPr>
        <w:tc>
          <w:tcPr>
            <w:tcW w:w="92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2" w:firstLine="0"/>
            </w:pPr>
            <w:r>
              <w:rPr>
                <w:i/>
              </w:rPr>
              <w:t>The functions referred to in Article 22(5) may be delegated by the depositary to a third party only where that third party at all times during the performance of the tasks delegated to it:  (d) takes all necessary steps to ensure that in the event of insol</w:t>
            </w:r>
            <w:r>
              <w:rPr>
                <w:i/>
              </w:rPr>
              <w:t xml:space="preserve">vency of the third party, assets of a UCITS held by the third party in custody are unavailable for distribution among, or realisation for the benefit of, creditors of the third party; </w:t>
            </w:r>
          </w:p>
        </w:tc>
      </w:tr>
      <w:tr w:rsidR="00BB52D7">
        <w:trPr>
          <w:trHeight w:val="526"/>
        </w:trPr>
        <w:tc>
          <w:tcPr>
            <w:tcW w:w="9209"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tabs>
                <w:tab w:val="center" w:pos="8995"/>
              </w:tabs>
              <w:spacing w:after="0" w:line="259" w:lineRule="auto"/>
              <w:ind w:left="0" w:firstLine="0"/>
              <w:jc w:val="left"/>
            </w:pPr>
            <w:r>
              <w:rPr>
                <w:b/>
                <w:i/>
                <w:u w:val="single" w:color="000000"/>
              </w:rPr>
              <w:t>Article 25(2)</w:t>
            </w:r>
            <w:r>
              <w:rPr>
                <w:i/>
              </w:rPr>
              <w:t xml:space="preserve"> </w:t>
            </w:r>
            <w:r>
              <w:rPr>
                <w:i/>
              </w:rPr>
              <w:tab/>
              <w:t xml:space="preserve"> </w:t>
            </w:r>
          </w:p>
        </w:tc>
      </w:tr>
      <w:tr w:rsidR="00BB52D7">
        <w:trPr>
          <w:trHeight w:val="1079"/>
        </w:trPr>
        <w:tc>
          <w:tcPr>
            <w:tcW w:w="92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2" w:firstLine="0"/>
            </w:pPr>
            <w:r>
              <w:rPr>
                <w:i/>
              </w:rPr>
              <w:t xml:space="preserve">In carrying out their respective functions, the management/investment company and the depositary shall act honestly, fairly, professionally, independently and solely in the interest of the UCITS and the investors of the UCITS.  </w:t>
            </w:r>
          </w:p>
        </w:tc>
      </w:tr>
    </w:tbl>
    <w:p w:rsidR="00BB52D7" w:rsidRDefault="00E33AE6">
      <w:pPr>
        <w:ind w:left="846" w:right="843"/>
      </w:pPr>
      <w:r>
        <w:t>Annex 10 provides an overv</w:t>
      </w:r>
      <w:r>
        <w:t xml:space="preserve">iew of the remaining UCITS empowerments that overlap with those in the AIFM Directive.  </w:t>
      </w:r>
    </w:p>
    <w:p w:rsidR="00BB52D7" w:rsidRDefault="00E33AE6">
      <w:pPr>
        <w:pStyle w:val="Heading2"/>
        <w:spacing w:after="228" w:line="249" w:lineRule="auto"/>
        <w:ind w:left="1352" w:right="576"/>
      </w:pPr>
      <w:bookmarkStart w:id="9" w:name="_Toc240969"/>
      <w:r>
        <w:rPr>
          <w:i w:val="0"/>
          <w:color w:val="222222"/>
          <w:u w:val="none"/>
        </w:rPr>
        <w:t>3.3</w:t>
      </w:r>
      <w:r>
        <w:rPr>
          <w:rFonts w:ascii="Arial" w:eastAsia="Arial" w:hAnsi="Arial" w:cs="Arial"/>
          <w:i w:val="0"/>
          <w:color w:val="222222"/>
          <w:u w:val="none"/>
        </w:rPr>
        <w:t xml:space="preserve"> </w:t>
      </w:r>
      <w:r>
        <w:rPr>
          <w:i w:val="0"/>
          <w:color w:val="222222"/>
          <w:u w:val="none"/>
        </w:rPr>
        <w:t xml:space="preserve"> Issues to be addressed with the two UCITS-specific empowerments  </w:t>
      </w:r>
      <w:bookmarkEnd w:id="9"/>
    </w:p>
    <w:p w:rsidR="00BB52D7" w:rsidRDefault="00E33AE6">
      <w:pPr>
        <w:spacing w:after="257" w:line="253" w:lineRule="auto"/>
        <w:ind w:left="846" w:right="133"/>
        <w:jc w:val="left"/>
      </w:pPr>
      <w:r>
        <w:rPr>
          <w:i/>
        </w:rPr>
        <w:t>Issue 1: Steps that the depositary has to ensure that a third party delegate takes to protect UC</w:t>
      </w:r>
      <w:r>
        <w:rPr>
          <w:i/>
        </w:rPr>
        <w:t>ITS assets against insolvency</w:t>
      </w:r>
      <w:r>
        <w:rPr>
          <w:i/>
          <w:vertAlign w:val="superscript"/>
        </w:rPr>
        <w:footnoteReference w:id="27"/>
      </w:r>
      <w:r>
        <w:t xml:space="preserve"> </w:t>
      </w:r>
    </w:p>
    <w:p w:rsidR="00BB52D7" w:rsidRDefault="00E33AE6">
      <w:pPr>
        <w:ind w:left="846" w:right="843"/>
      </w:pPr>
      <w:r>
        <w:t>On the issue of insolvency protection, the Commission's mandate to ESMA provided that ESMA should "specify those steps, in the form of a non-exhaustive list of the measures, arrangements and tasks, that the third party to wh</w:t>
      </w:r>
      <w:r>
        <w:t>om custody function has been delegated should put in place and perform on on-going basis in order to ensure that the UCITS assets are protected from distribution among or realisation for the benefit of creditors of the third party". In addition, ESMA was r</w:t>
      </w:r>
      <w:r>
        <w:t xml:space="preserve">equested to ensure that the required measures, arrangements and tasks take into account the legal framework of the country in which the third party operates, notably that country's insolvency laws and relevant jurisprudence.  </w:t>
      </w:r>
    </w:p>
    <w:p w:rsidR="00BB52D7" w:rsidRDefault="00E33AE6">
      <w:pPr>
        <w:ind w:left="846" w:right="843"/>
      </w:pPr>
      <w:r>
        <w:lastRenderedPageBreak/>
        <w:t xml:space="preserve">Article 22(8) of UCITS V provides that: “Member States shall ensure that in the event of insolvency of the depositary and/or any third party located in the Union to whom custody of UCITS assets has been delegated, the assets of a UCITS held in custody are </w:t>
      </w:r>
      <w:r>
        <w:t>unavailable for distribution among or realisation for the benefit of creditors of such depositary and/or such third party”. Taking into account that the UCITS Directive requires national insolvency laws to be aligned with the above-mentioned requirement, t</w:t>
      </w:r>
      <w:r>
        <w:t>he Commission agrees with ESMA's advice that obtaining a legal opinion on applicable insolvency laws in the EU Member States is not required. In its advice, ESMA rightly confined the requirement of independent legal advice on the applicable insolvency laws</w:t>
      </w:r>
      <w:r>
        <w:t xml:space="preserve"> to situations where custody over UCITS assets is delegated to third parties located outside the EU.  </w:t>
      </w:r>
    </w:p>
    <w:p w:rsidR="00BB52D7" w:rsidRDefault="00E33AE6">
      <w:pPr>
        <w:ind w:left="846" w:right="843"/>
      </w:pPr>
      <w:r>
        <w:t>The insolvency laws and relevant jurisprudence in a jurisdiction outside the European Union may or may not contain specific provisions that require segre</w:t>
      </w:r>
      <w:r>
        <w:t>gation of UCITS’ assets, thus helping to make them unavailable for distribution or realisation by creditors of an insolvent custodian of UCITS assets. Consequently, the delegating depositary has to ensure that the local custodian provides the delegating de</w:t>
      </w:r>
      <w:r>
        <w:t xml:space="preserve">positary with all necessary assurances so that the UCITS’ assets that are held in local custody are considered as segregated and not available to the creditors in case of an insolvency of the local custodian.  </w:t>
      </w:r>
    </w:p>
    <w:p w:rsidR="00BB52D7" w:rsidRDefault="00E33AE6">
      <w:pPr>
        <w:ind w:left="846" w:right="843"/>
      </w:pPr>
      <w:r>
        <w:t>The ESMA advice includes a list of steps to b</w:t>
      </w:r>
      <w:r>
        <w:t>e taken by the local custodian to ensure insolvency protection of UCITS’s assets. The advice rightly focuses on a series of due diligence requirements that apply both before the delegating depositary enters into delegation arrangements with the local custo</w:t>
      </w:r>
      <w:r>
        <w:t xml:space="preserve">dian and during the entire duration of these arrangements.  </w:t>
      </w:r>
    </w:p>
    <w:p w:rsidR="00BB52D7" w:rsidRDefault="00E33AE6">
      <w:pPr>
        <w:ind w:left="846" w:right="843"/>
      </w:pPr>
      <w:r>
        <w:t>In light of the above, this impact assessment endorses the advice delivered by ESMA which provides sufficient degree of details and analyses the impact of the options. The details of the ESMA adv</w:t>
      </w:r>
      <w:r>
        <w:t xml:space="preserve">ice and the proposal of the Commission are described in Annex 11. The Commission follows this advice subject to some adjustments of legal drafting because, the ESMA advice on this issue:  </w:t>
      </w:r>
    </w:p>
    <w:p w:rsidR="00BB52D7" w:rsidRDefault="00E33AE6">
      <w:pPr>
        <w:numPr>
          <w:ilvl w:val="0"/>
          <w:numId w:val="5"/>
        </w:numPr>
        <w:ind w:right="843" w:hanging="426"/>
      </w:pPr>
      <w:r>
        <w:t xml:space="preserve">is robust enough to rely on, </w:t>
      </w:r>
    </w:p>
    <w:p w:rsidR="00BB52D7" w:rsidRDefault="00E33AE6">
      <w:pPr>
        <w:numPr>
          <w:ilvl w:val="0"/>
          <w:numId w:val="5"/>
        </w:numPr>
        <w:ind w:right="843" w:hanging="426"/>
      </w:pPr>
      <w:r>
        <w:t>follows international standards on protection of client assets</w:t>
      </w:r>
      <w:r>
        <w:rPr>
          <w:vertAlign w:val="superscript"/>
        </w:rPr>
        <w:footnoteReference w:id="28"/>
      </w:r>
      <w:r>
        <w:t xml:space="preserve">.  </w:t>
      </w:r>
    </w:p>
    <w:p w:rsidR="00BB52D7" w:rsidRDefault="00E33AE6">
      <w:pPr>
        <w:numPr>
          <w:ilvl w:val="0"/>
          <w:numId w:val="5"/>
        </w:numPr>
        <w:ind w:right="843" w:hanging="426"/>
      </w:pPr>
      <w:r>
        <w:t xml:space="preserve">does not raise significant market impacts and was not controversial in the course of ESMA's stakeholder consultation. </w:t>
      </w:r>
    </w:p>
    <w:p w:rsidR="00BB52D7" w:rsidRDefault="00E33AE6">
      <w:pPr>
        <w:spacing w:after="222" w:line="253" w:lineRule="auto"/>
        <w:ind w:left="846" w:right="133"/>
        <w:jc w:val="left"/>
      </w:pPr>
      <w:r>
        <w:rPr>
          <w:i/>
        </w:rPr>
        <w:t xml:space="preserve">Issue 2: The independence of action requirement </w:t>
      </w:r>
    </w:p>
    <w:p w:rsidR="00BB52D7" w:rsidRDefault="00E33AE6">
      <w:pPr>
        <w:ind w:left="846" w:right="843"/>
      </w:pPr>
      <w:r>
        <w:t>Several UCITS funds s</w:t>
      </w:r>
      <w:r>
        <w:t>uffered several billions of euros in losses due to the Madoff fraud. This fraud arose in a situation where the management of the portfolio as well as custody of the portfolio was delegated to the same third party - Bernard L. Madoff Investment Securities L</w:t>
      </w:r>
      <w:r>
        <w:t>LC</w:t>
      </w:r>
      <w:r>
        <w:rPr>
          <w:vertAlign w:val="superscript"/>
        </w:rPr>
        <w:footnoteReference w:id="29"/>
      </w:r>
      <w:r>
        <w:t xml:space="preserve">. This lack of separation between the asset manager and the depositary functions, combined with a lack of transparency and due diligence, facilitated a fraudulent investment strategy to go undetected for several years.  </w:t>
      </w:r>
    </w:p>
    <w:p w:rsidR="00BB52D7" w:rsidRDefault="00E33AE6">
      <w:pPr>
        <w:ind w:left="846" w:right="843"/>
      </w:pPr>
      <w:r>
        <w:lastRenderedPageBreak/>
        <w:t>Moreover, a typical UCITS fund u</w:t>
      </w:r>
      <w:r>
        <w:t>ses several service providers (external or internal) to operate and execute its investment strategy. Normally, the fund relies on an investment manager to manage the assets, one or several brokers to execute trades, a fund administrator to calculate the va</w:t>
      </w:r>
      <w:r>
        <w:t>lue of the fund’s investments and a custodian to safe-keep financial instruments held by the fund. While being obliged to work together, these service providers must be independent of each other and the exercise of their respective tasks should be strictly</w:t>
      </w:r>
      <w:r>
        <w:t xml:space="preserve"> separate. In particular, the depositary which is entrusted with the central role of oversight over all UCITS assets should be able to exercise its tasks in line with applicable rules and be able to report cases of irregularities in full independence. To a</w:t>
      </w:r>
      <w:r>
        <w:t xml:space="preserve">ddress this problem, Article 25 of UCITS, already prior to the UCITS V reform, establishes the independence of both asset management and depositary functions: Article 25 of UCITS IV states that (1) no company shall act as management/investment company and </w:t>
      </w:r>
      <w:r>
        <w:t xml:space="preserve">depositary; and (2) in the context of their respective roles, the management/investment company and the depositary shall act independently and solely in the interest of the unit-holders. </w:t>
      </w:r>
    </w:p>
    <w:p w:rsidR="00BB52D7" w:rsidRDefault="00E33AE6">
      <w:pPr>
        <w:ind w:left="846" w:right="843"/>
      </w:pPr>
      <w:r>
        <w:t>UCITS V does not modify the above points mentioned in the Article 25</w:t>
      </w:r>
      <w:r>
        <w:t>. The basic rule remains that (1) no company shall act as both management/investment company and depositary; and (2) in carrying out their respective functions, the management/investment company and the depositary shall act honestly, fairly, professionally</w:t>
      </w:r>
      <w:r>
        <w:t>,</w:t>
      </w:r>
      <w:r>
        <w:rPr>
          <w:u w:val="single" w:color="000000"/>
        </w:rPr>
        <w:t xml:space="preserve"> independently </w:t>
      </w:r>
      <w:r>
        <w:t xml:space="preserve">and solely in the interest of the UCITS and the investors of the UCITS.  </w:t>
      </w:r>
    </w:p>
    <w:p w:rsidR="00BB52D7" w:rsidRDefault="00E33AE6">
      <w:pPr>
        <w:ind w:left="846" w:right="843"/>
      </w:pPr>
      <w:r>
        <w:t xml:space="preserve">While the substantial requirement that management/investment companies and the depositary act independently in performing their respective tasks has not been altered </w:t>
      </w:r>
      <w:r>
        <w:t xml:space="preserve">by the UCITS Directive, the reform introduces a new empowerment whereby the European Commission shall adopt a delegated act specifying the conditions for fulfilling the "independent action" requirement.  </w:t>
      </w:r>
    </w:p>
    <w:p w:rsidR="00BB52D7" w:rsidRDefault="00E33AE6">
      <w:pPr>
        <w:ind w:left="846" w:right="843"/>
      </w:pPr>
      <w:r>
        <w:t xml:space="preserve">In addition, paragraph 3(e) of Article 22a extends </w:t>
      </w:r>
      <w:r>
        <w:t xml:space="preserve">the general requirements applicable to depositaries also to the third party to whom the depositary has delegated custody of the UCITS assets. </w:t>
      </w:r>
    </w:p>
    <w:p w:rsidR="00BB52D7" w:rsidRDefault="00E33AE6">
      <w:pPr>
        <w:ind w:left="846" w:right="843"/>
      </w:pPr>
      <w:r>
        <w:t>Furthermore, the UCITS Directive addresses a specific case of the conflict of interest which might arise in cases</w:t>
      </w:r>
      <w:r>
        <w:t xml:space="preserve"> where depositaries offer services other</w:t>
      </w:r>
      <w:r>
        <w:rPr>
          <w:vertAlign w:val="superscript"/>
        </w:rPr>
        <w:footnoteReference w:id="30"/>
      </w:r>
      <w:r>
        <w:t xml:space="preserve"> than depositary or custody services</w:t>
      </w:r>
      <w:r>
        <w:rPr>
          <w:vertAlign w:val="superscript"/>
        </w:rPr>
        <w:footnoteReference w:id="31"/>
      </w:r>
      <w:r>
        <w:t>. It states that, the depository cannot carry out activities on behalf of the UCITS 'that may create conflicts of interests between the UCITS, the investors in the UCITS, the man</w:t>
      </w:r>
      <w:r>
        <w:t>agement company itself, unless the depositary has functionally and hierarchically separated the performance of its depositary tasks from its other potentially conflicting tasks and the potential conflicts of interest are properly identified, managed, monit</w:t>
      </w:r>
      <w:r>
        <w:t xml:space="preserve">ored and disclosed to the investors of the UCITS' (Article 25 (2) second subparagraph). </w:t>
      </w:r>
    </w:p>
    <w:p w:rsidR="00BB52D7" w:rsidRDefault="00E33AE6">
      <w:pPr>
        <w:ind w:left="846" w:right="843"/>
      </w:pPr>
      <w:r>
        <w:t>The following chart explores the different elements that are relevant when analysing whether depositaries on the one hand and management/investment companies on the ot</w:t>
      </w:r>
      <w:r>
        <w:t xml:space="preserve">her hand act independently. </w:t>
      </w:r>
      <w:r>
        <w:rPr>
          <w:i/>
        </w:rPr>
        <w:t xml:space="preserve"> </w:t>
      </w:r>
    </w:p>
    <w:p w:rsidR="00BB52D7" w:rsidRDefault="00E33AE6">
      <w:pPr>
        <w:spacing w:after="216"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pStyle w:val="Heading5"/>
        <w:spacing w:after="202"/>
        <w:ind w:left="846" w:right="488"/>
      </w:pPr>
      <w:r>
        <w:lastRenderedPageBreak/>
        <w:t>Chart 2 – Problem description – independence</w:t>
      </w:r>
      <w:r>
        <w:rPr>
          <w:b w:val="0"/>
          <w:u w:val="none"/>
        </w:rPr>
        <w:t xml:space="preserve">  </w:t>
      </w:r>
    </w:p>
    <w:p w:rsidR="00BB52D7" w:rsidRDefault="00E33AE6">
      <w:pPr>
        <w:tabs>
          <w:tab w:val="center" w:pos="3485"/>
          <w:tab w:val="center" w:pos="8334"/>
        </w:tabs>
        <w:spacing w:after="0"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3946525" cy="6569075"/>
                <wp:effectExtent l="0" t="0" r="0" b="0"/>
                <wp:docPr id="174417" name="Group 174417"/>
                <wp:cNvGraphicFramePr/>
                <a:graphic xmlns:a="http://schemas.openxmlformats.org/drawingml/2006/main">
                  <a:graphicData uri="http://schemas.microsoft.com/office/word/2010/wordprocessingGroup">
                    <wpg:wgp>
                      <wpg:cNvGrpSpPr/>
                      <wpg:grpSpPr>
                        <a:xfrm>
                          <a:off x="0" y="0"/>
                          <a:ext cx="3946525" cy="6569075"/>
                          <a:chOff x="0" y="0"/>
                          <a:chExt cx="3946525" cy="6569075"/>
                        </a:xfrm>
                      </wpg:grpSpPr>
                      <wps:wsp>
                        <wps:cNvPr id="2277" name="Rectangle 2277"/>
                        <wps:cNvSpPr/>
                        <wps:spPr>
                          <a:xfrm>
                            <a:off x="300609" y="14071"/>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78" name="Rectangle 2278"/>
                        <wps:cNvSpPr/>
                        <wps:spPr>
                          <a:xfrm>
                            <a:off x="300609" y="341731"/>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79" name="Rectangle 2279"/>
                        <wps:cNvSpPr/>
                        <wps:spPr>
                          <a:xfrm>
                            <a:off x="300609" y="669645"/>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0" name="Rectangle 2280"/>
                        <wps:cNvSpPr/>
                        <wps:spPr>
                          <a:xfrm>
                            <a:off x="300609" y="997305"/>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1" name="Rectangle 2281"/>
                        <wps:cNvSpPr/>
                        <wps:spPr>
                          <a:xfrm>
                            <a:off x="300609" y="132496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2" name="Rectangle 2282"/>
                        <wps:cNvSpPr/>
                        <wps:spPr>
                          <a:xfrm>
                            <a:off x="300609" y="165262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3" name="Rectangle 2283"/>
                        <wps:cNvSpPr/>
                        <wps:spPr>
                          <a:xfrm>
                            <a:off x="300609" y="1980285"/>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4" name="Rectangle 2284"/>
                        <wps:cNvSpPr/>
                        <wps:spPr>
                          <a:xfrm>
                            <a:off x="300609" y="2307945"/>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5" name="Rectangle 2285"/>
                        <wps:cNvSpPr/>
                        <wps:spPr>
                          <a:xfrm>
                            <a:off x="300609" y="2635605"/>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6" name="Rectangle 2286"/>
                        <wps:cNvSpPr/>
                        <wps:spPr>
                          <a:xfrm>
                            <a:off x="300609" y="296326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7" name="Rectangle 2287"/>
                        <wps:cNvSpPr/>
                        <wps:spPr>
                          <a:xfrm>
                            <a:off x="300609" y="329092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8" name="Rectangle 2288"/>
                        <wps:cNvSpPr/>
                        <wps:spPr>
                          <a:xfrm>
                            <a:off x="300609" y="361858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89" name="Rectangle 2289"/>
                        <wps:cNvSpPr/>
                        <wps:spPr>
                          <a:xfrm>
                            <a:off x="300609" y="394624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90" name="Rectangle 2290"/>
                        <wps:cNvSpPr/>
                        <wps:spPr>
                          <a:xfrm>
                            <a:off x="300609" y="4274160"/>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91" name="Rectangle 2291"/>
                        <wps:cNvSpPr/>
                        <wps:spPr>
                          <a:xfrm>
                            <a:off x="300609" y="4601820"/>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92" name="Rectangle 2292"/>
                        <wps:cNvSpPr/>
                        <wps:spPr>
                          <a:xfrm>
                            <a:off x="300609" y="4929480"/>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93" name="Rectangle 2293"/>
                        <wps:cNvSpPr/>
                        <wps:spPr>
                          <a:xfrm>
                            <a:off x="300609" y="5256378"/>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94" name="Rectangle 2294"/>
                        <wps:cNvSpPr/>
                        <wps:spPr>
                          <a:xfrm>
                            <a:off x="300609" y="5584038"/>
                            <a:ext cx="50673" cy="224379"/>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295" name="Rectangle 2295"/>
                        <wps:cNvSpPr/>
                        <wps:spPr>
                          <a:xfrm>
                            <a:off x="300609" y="5911698"/>
                            <a:ext cx="50673" cy="224381"/>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323" name="Shape 2323"/>
                        <wps:cNvSpPr/>
                        <wps:spPr>
                          <a:xfrm>
                            <a:off x="45720" y="0"/>
                            <a:ext cx="2514600" cy="2457450"/>
                          </a:xfrm>
                          <a:custGeom>
                            <a:avLst/>
                            <a:gdLst/>
                            <a:ahLst/>
                            <a:cxnLst/>
                            <a:rect l="0" t="0" r="0" b="0"/>
                            <a:pathLst>
                              <a:path w="2514600" h="2457450">
                                <a:moveTo>
                                  <a:pt x="409575" y="0"/>
                                </a:moveTo>
                                <a:cubicBezTo>
                                  <a:pt x="183401" y="0"/>
                                  <a:pt x="0" y="183388"/>
                                  <a:pt x="0" y="409575"/>
                                </a:cubicBezTo>
                                <a:lnTo>
                                  <a:pt x="0" y="2047875"/>
                                </a:lnTo>
                                <a:cubicBezTo>
                                  <a:pt x="0" y="2274062"/>
                                  <a:pt x="183401" y="2457450"/>
                                  <a:pt x="409575" y="2457450"/>
                                </a:cubicBezTo>
                                <a:lnTo>
                                  <a:pt x="2105025" y="2457450"/>
                                </a:lnTo>
                                <a:cubicBezTo>
                                  <a:pt x="2331212" y="2457450"/>
                                  <a:pt x="2514600" y="2274062"/>
                                  <a:pt x="2514600" y="2047875"/>
                                </a:cubicBezTo>
                                <a:lnTo>
                                  <a:pt x="2514600" y="409575"/>
                                </a:lnTo>
                                <a:cubicBezTo>
                                  <a:pt x="2514600" y="183388"/>
                                  <a:pt x="2331212" y="0"/>
                                  <a:pt x="21050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24" name="Rectangle 2324"/>
                        <wps:cNvSpPr/>
                        <wps:spPr>
                          <a:xfrm>
                            <a:off x="255651" y="169065"/>
                            <a:ext cx="2828470" cy="187357"/>
                          </a:xfrm>
                          <a:prstGeom prst="rect">
                            <a:avLst/>
                          </a:prstGeom>
                          <a:ln>
                            <a:noFill/>
                          </a:ln>
                        </wps:spPr>
                        <wps:txbx>
                          <w:txbxContent>
                            <w:p w:rsidR="00BB52D7" w:rsidRDefault="00E33AE6">
                              <w:pPr>
                                <w:spacing w:after="160" w:line="259" w:lineRule="auto"/>
                                <w:ind w:left="0" w:firstLine="0"/>
                                <w:jc w:val="left"/>
                              </w:pPr>
                              <w:r>
                                <w:rPr>
                                  <w:b/>
                                  <w:sz w:val="20"/>
                                </w:rPr>
                                <w:t xml:space="preserve">Links between management company </w:t>
                              </w:r>
                            </w:p>
                          </w:txbxContent>
                        </wps:txbx>
                        <wps:bodyPr horzOverflow="overflow" vert="horz" lIns="0" tIns="0" rIns="0" bIns="0" rtlCol="0">
                          <a:noAutofit/>
                        </wps:bodyPr>
                      </wps:wsp>
                      <wps:wsp>
                        <wps:cNvPr id="2325" name="Rectangle 2325"/>
                        <wps:cNvSpPr/>
                        <wps:spPr>
                          <a:xfrm>
                            <a:off x="255651" y="313845"/>
                            <a:ext cx="1966491" cy="187357"/>
                          </a:xfrm>
                          <a:prstGeom prst="rect">
                            <a:avLst/>
                          </a:prstGeom>
                          <a:ln>
                            <a:noFill/>
                          </a:ln>
                        </wps:spPr>
                        <wps:txbx>
                          <w:txbxContent>
                            <w:p w:rsidR="00BB52D7" w:rsidRDefault="00E33AE6">
                              <w:pPr>
                                <w:spacing w:after="160" w:line="259" w:lineRule="auto"/>
                                <w:ind w:left="0" w:firstLine="0"/>
                                <w:jc w:val="left"/>
                              </w:pPr>
                              <w:r>
                                <w:rPr>
                                  <w:b/>
                                  <w:sz w:val="20"/>
                                </w:rPr>
                                <w:t>and depositary/ third party</w:t>
                              </w:r>
                            </w:p>
                          </w:txbxContent>
                        </wps:txbx>
                        <wps:bodyPr horzOverflow="overflow" vert="horz" lIns="0" tIns="0" rIns="0" bIns="0" rtlCol="0">
                          <a:noAutofit/>
                        </wps:bodyPr>
                      </wps:wsp>
                      <wps:wsp>
                        <wps:cNvPr id="2326" name="Rectangle 2326"/>
                        <wps:cNvSpPr/>
                        <wps:spPr>
                          <a:xfrm>
                            <a:off x="1734947" y="313845"/>
                            <a:ext cx="328341" cy="187357"/>
                          </a:xfrm>
                          <a:prstGeom prst="rect">
                            <a:avLst/>
                          </a:prstGeom>
                          <a:ln>
                            <a:noFill/>
                          </a:ln>
                        </wps:spPr>
                        <wps:txbx>
                          <w:txbxContent>
                            <w:p w:rsidR="00BB52D7" w:rsidRDefault="00E33AE6">
                              <w:pPr>
                                <w:spacing w:after="160" w:line="259" w:lineRule="auto"/>
                                <w:ind w:left="0" w:firstLine="0"/>
                                <w:jc w:val="left"/>
                              </w:pPr>
                              <w:r>
                                <w:rPr>
                                  <w:sz w:val="20"/>
                                </w:rPr>
                                <w:t>, e.g.</w:t>
                              </w:r>
                            </w:p>
                          </w:txbxContent>
                        </wps:txbx>
                        <wps:bodyPr horzOverflow="overflow" vert="horz" lIns="0" tIns="0" rIns="0" bIns="0" rtlCol="0">
                          <a:noAutofit/>
                        </wps:bodyPr>
                      </wps:wsp>
                      <wps:wsp>
                        <wps:cNvPr id="2327" name="Rectangle 2327"/>
                        <wps:cNvSpPr/>
                        <wps:spPr>
                          <a:xfrm>
                            <a:off x="1981073" y="313845"/>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28" name="Rectangle 2328"/>
                        <wps:cNvSpPr/>
                        <wps:spPr>
                          <a:xfrm>
                            <a:off x="484505" y="612041"/>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29" name="Rectangle 2329"/>
                        <wps:cNvSpPr/>
                        <wps:spPr>
                          <a:xfrm>
                            <a:off x="527177" y="610259"/>
                            <a:ext cx="47022" cy="188711"/>
                          </a:xfrm>
                          <a:prstGeom prst="rect">
                            <a:avLst/>
                          </a:prstGeom>
                          <a:ln>
                            <a:noFill/>
                          </a:ln>
                        </wps:spPr>
                        <wps:txbx>
                          <w:txbxContent>
                            <w:p w:rsidR="00BB52D7" w:rsidRDefault="00E33AE6">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330" name="Rectangle 2330"/>
                        <wps:cNvSpPr/>
                        <wps:spPr>
                          <a:xfrm>
                            <a:off x="713105" y="612041"/>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31" name="Rectangle 2331"/>
                        <wps:cNvSpPr/>
                        <wps:spPr>
                          <a:xfrm>
                            <a:off x="755777" y="612041"/>
                            <a:ext cx="591548" cy="187357"/>
                          </a:xfrm>
                          <a:prstGeom prst="rect">
                            <a:avLst/>
                          </a:prstGeom>
                          <a:ln>
                            <a:noFill/>
                          </a:ln>
                        </wps:spPr>
                        <wps:txbx>
                          <w:txbxContent>
                            <w:p w:rsidR="00BB52D7" w:rsidRDefault="00E33AE6">
                              <w:pPr>
                                <w:spacing w:after="160" w:line="259" w:lineRule="auto"/>
                                <w:ind w:left="0" w:firstLine="0"/>
                                <w:jc w:val="left"/>
                              </w:pPr>
                              <w:r>
                                <w:rPr>
                                  <w:sz w:val="20"/>
                                </w:rPr>
                                <w:t>directors</w:t>
                              </w:r>
                            </w:p>
                          </w:txbxContent>
                        </wps:txbx>
                        <wps:bodyPr horzOverflow="overflow" vert="horz" lIns="0" tIns="0" rIns="0" bIns="0" rtlCol="0">
                          <a:noAutofit/>
                        </wps:bodyPr>
                      </wps:wsp>
                      <wps:wsp>
                        <wps:cNvPr id="2332" name="Rectangle 2332"/>
                        <wps:cNvSpPr/>
                        <wps:spPr>
                          <a:xfrm>
                            <a:off x="1200785" y="612041"/>
                            <a:ext cx="47022"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33" name="Rectangle 2333"/>
                        <wps:cNvSpPr/>
                        <wps:spPr>
                          <a:xfrm>
                            <a:off x="1235075" y="61204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34" name="Rectangle 2334"/>
                        <wps:cNvSpPr/>
                        <wps:spPr>
                          <a:xfrm>
                            <a:off x="484505" y="910745"/>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35" name="Rectangle 2335"/>
                        <wps:cNvSpPr/>
                        <wps:spPr>
                          <a:xfrm>
                            <a:off x="527177" y="908963"/>
                            <a:ext cx="47022" cy="188711"/>
                          </a:xfrm>
                          <a:prstGeom prst="rect">
                            <a:avLst/>
                          </a:prstGeom>
                          <a:ln>
                            <a:noFill/>
                          </a:ln>
                        </wps:spPr>
                        <wps:txbx>
                          <w:txbxContent>
                            <w:p w:rsidR="00BB52D7" w:rsidRDefault="00E33AE6">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336" name="Rectangle 2336"/>
                        <wps:cNvSpPr/>
                        <wps:spPr>
                          <a:xfrm>
                            <a:off x="713105" y="910745"/>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37" name="Rectangle 2337"/>
                        <wps:cNvSpPr/>
                        <wps:spPr>
                          <a:xfrm>
                            <a:off x="755777" y="910745"/>
                            <a:ext cx="830696" cy="187357"/>
                          </a:xfrm>
                          <a:prstGeom prst="rect">
                            <a:avLst/>
                          </a:prstGeom>
                          <a:ln>
                            <a:noFill/>
                          </a:ln>
                        </wps:spPr>
                        <wps:txbx>
                          <w:txbxContent>
                            <w:p w:rsidR="00BB52D7" w:rsidRDefault="00E33AE6">
                              <w:pPr>
                                <w:spacing w:after="160" w:line="259" w:lineRule="auto"/>
                                <w:ind w:left="0" w:firstLine="0"/>
                                <w:jc w:val="left"/>
                              </w:pPr>
                              <w:r>
                                <w:rPr>
                                  <w:sz w:val="20"/>
                                </w:rPr>
                                <w:t>group/ cross</w:t>
                              </w:r>
                            </w:p>
                          </w:txbxContent>
                        </wps:txbx>
                        <wps:bodyPr horzOverflow="overflow" vert="horz" lIns="0" tIns="0" rIns="0" bIns="0" rtlCol="0">
                          <a:noAutofit/>
                        </wps:bodyPr>
                      </wps:wsp>
                      <wps:wsp>
                        <wps:cNvPr id="2338" name="Rectangle 2338"/>
                        <wps:cNvSpPr/>
                        <wps:spPr>
                          <a:xfrm>
                            <a:off x="1379855" y="910745"/>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39" name="Rectangle 2339"/>
                        <wps:cNvSpPr/>
                        <wps:spPr>
                          <a:xfrm>
                            <a:off x="1422527" y="910745"/>
                            <a:ext cx="937660" cy="187357"/>
                          </a:xfrm>
                          <a:prstGeom prst="rect">
                            <a:avLst/>
                          </a:prstGeom>
                          <a:ln>
                            <a:noFill/>
                          </a:ln>
                        </wps:spPr>
                        <wps:txbx>
                          <w:txbxContent>
                            <w:p w:rsidR="00BB52D7" w:rsidRDefault="00E33AE6">
                              <w:pPr>
                                <w:spacing w:after="160" w:line="259" w:lineRule="auto"/>
                                <w:ind w:left="0" w:firstLine="0"/>
                                <w:jc w:val="left"/>
                              </w:pPr>
                              <w:r>
                                <w:rPr>
                                  <w:sz w:val="20"/>
                                </w:rPr>
                                <w:t>shareholdings</w:t>
                              </w:r>
                            </w:p>
                          </w:txbxContent>
                        </wps:txbx>
                        <wps:bodyPr horzOverflow="overflow" vert="horz" lIns="0" tIns="0" rIns="0" bIns="0" rtlCol="0">
                          <a:noAutofit/>
                        </wps:bodyPr>
                      </wps:wsp>
                      <wps:wsp>
                        <wps:cNvPr id="2340" name="Rectangle 2340"/>
                        <wps:cNvSpPr/>
                        <wps:spPr>
                          <a:xfrm>
                            <a:off x="2127377" y="910745"/>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41" name="Rectangle 2341"/>
                        <wps:cNvSpPr/>
                        <wps:spPr>
                          <a:xfrm>
                            <a:off x="484505" y="1209449"/>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42" name="Rectangle 2342"/>
                        <wps:cNvSpPr/>
                        <wps:spPr>
                          <a:xfrm>
                            <a:off x="527177" y="1207667"/>
                            <a:ext cx="47022" cy="188711"/>
                          </a:xfrm>
                          <a:prstGeom prst="rect">
                            <a:avLst/>
                          </a:prstGeom>
                          <a:ln>
                            <a:noFill/>
                          </a:ln>
                        </wps:spPr>
                        <wps:txbx>
                          <w:txbxContent>
                            <w:p w:rsidR="00BB52D7" w:rsidRDefault="00E33AE6">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343" name="Rectangle 2343"/>
                        <wps:cNvSpPr/>
                        <wps:spPr>
                          <a:xfrm>
                            <a:off x="713105" y="1209449"/>
                            <a:ext cx="652450" cy="187357"/>
                          </a:xfrm>
                          <a:prstGeom prst="rect">
                            <a:avLst/>
                          </a:prstGeom>
                          <a:ln>
                            <a:noFill/>
                          </a:ln>
                        </wps:spPr>
                        <wps:txbx>
                          <w:txbxContent>
                            <w:p w:rsidR="00BB52D7" w:rsidRDefault="00E33AE6">
                              <w:pPr>
                                <w:spacing w:after="160" w:line="259" w:lineRule="auto"/>
                                <w:ind w:left="0" w:firstLine="0"/>
                                <w:jc w:val="left"/>
                              </w:pPr>
                              <w:r>
                                <w:rPr>
                                  <w:sz w:val="20"/>
                                </w:rPr>
                                <w:t>contracts,</w:t>
                              </w:r>
                            </w:p>
                          </w:txbxContent>
                        </wps:txbx>
                        <wps:bodyPr horzOverflow="overflow" vert="horz" lIns="0" tIns="0" rIns="0" bIns="0" rtlCol="0">
                          <a:noAutofit/>
                        </wps:bodyPr>
                      </wps:wsp>
                      <wps:wsp>
                        <wps:cNvPr id="2344" name="Rectangle 2344"/>
                        <wps:cNvSpPr/>
                        <wps:spPr>
                          <a:xfrm>
                            <a:off x="1203071" y="1209449"/>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45" name="Rectangle 2345"/>
                        <wps:cNvSpPr/>
                        <wps:spPr>
                          <a:xfrm>
                            <a:off x="484505" y="1507391"/>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46" name="Rectangle 2346"/>
                        <wps:cNvSpPr/>
                        <wps:spPr>
                          <a:xfrm>
                            <a:off x="527177" y="1505609"/>
                            <a:ext cx="47022" cy="188711"/>
                          </a:xfrm>
                          <a:prstGeom prst="rect">
                            <a:avLst/>
                          </a:prstGeom>
                          <a:ln>
                            <a:noFill/>
                          </a:ln>
                        </wps:spPr>
                        <wps:txbx>
                          <w:txbxContent>
                            <w:p w:rsidR="00BB52D7" w:rsidRDefault="00E33AE6">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347" name="Rectangle 2347"/>
                        <wps:cNvSpPr/>
                        <wps:spPr>
                          <a:xfrm>
                            <a:off x="713105" y="1507391"/>
                            <a:ext cx="797467" cy="187357"/>
                          </a:xfrm>
                          <a:prstGeom prst="rect">
                            <a:avLst/>
                          </a:prstGeom>
                          <a:ln>
                            <a:noFill/>
                          </a:ln>
                        </wps:spPr>
                        <wps:txbx>
                          <w:txbxContent>
                            <w:p w:rsidR="00BB52D7" w:rsidRDefault="00E33AE6">
                              <w:pPr>
                                <w:spacing w:after="160" w:line="259" w:lineRule="auto"/>
                                <w:ind w:left="0" w:firstLine="0"/>
                                <w:jc w:val="left"/>
                              </w:pPr>
                              <w:r>
                                <w:rPr>
                                  <w:sz w:val="20"/>
                                </w:rPr>
                                <w:t>commercial</w:t>
                              </w:r>
                            </w:p>
                          </w:txbxContent>
                        </wps:txbx>
                        <wps:bodyPr horzOverflow="overflow" vert="horz" lIns="0" tIns="0" rIns="0" bIns="0" rtlCol="0">
                          <a:noAutofit/>
                        </wps:bodyPr>
                      </wps:wsp>
                      <wps:wsp>
                        <wps:cNvPr id="2348" name="Rectangle 2348"/>
                        <wps:cNvSpPr/>
                        <wps:spPr>
                          <a:xfrm>
                            <a:off x="1312799" y="150739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49" name="Rectangle 2349"/>
                        <wps:cNvSpPr/>
                        <wps:spPr>
                          <a:xfrm>
                            <a:off x="255651" y="1807619"/>
                            <a:ext cx="2828300" cy="187357"/>
                          </a:xfrm>
                          <a:prstGeom prst="rect">
                            <a:avLst/>
                          </a:prstGeom>
                          <a:ln>
                            <a:noFill/>
                          </a:ln>
                        </wps:spPr>
                        <wps:txbx>
                          <w:txbxContent>
                            <w:p w:rsidR="00BB52D7" w:rsidRDefault="00E33AE6">
                              <w:pPr>
                                <w:spacing w:after="160" w:line="259" w:lineRule="auto"/>
                                <w:ind w:left="0" w:firstLine="0"/>
                                <w:jc w:val="left"/>
                              </w:pPr>
                              <w:r>
                                <w:rPr>
                                  <w:b/>
                                  <w:sz w:val="20"/>
                                </w:rPr>
                                <w:t xml:space="preserve">reduce independence of the relevant </w:t>
                              </w:r>
                            </w:p>
                          </w:txbxContent>
                        </wps:txbx>
                        <wps:bodyPr horzOverflow="overflow" vert="horz" lIns="0" tIns="0" rIns="0" bIns="0" rtlCol="0">
                          <a:noAutofit/>
                        </wps:bodyPr>
                      </wps:wsp>
                      <wps:wsp>
                        <wps:cNvPr id="2350" name="Rectangle 2350"/>
                        <wps:cNvSpPr/>
                        <wps:spPr>
                          <a:xfrm>
                            <a:off x="255651" y="1953923"/>
                            <a:ext cx="497616" cy="187357"/>
                          </a:xfrm>
                          <a:prstGeom prst="rect">
                            <a:avLst/>
                          </a:prstGeom>
                          <a:ln>
                            <a:noFill/>
                          </a:ln>
                        </wps:spPr>
                        <wps:txbx>
                          <w:txbxContent>
                            <w:p w:rsidR="00BB52D7" w:rsidRDefault="00E33AE6">
                              <w:pPr>
                                <w:spacing w:after="160" w:line="259" w:lineRule="auto"/>
                                <w:ind w:left="0" w:firstLine="0"/>
                                <w:jc w:val="left"/>
                              </w:pPr>
                              <w:r>
                                <w:rPr>
                                  <w:b/>
                                  <w:sz w:val="20"/>
                                </w:rPr>
                                <w:t>parties</w:t>
                              </w:r>
                            </w:p>
                          </w:txbxContent>
                        </wps:txbx>
                        <wps:bodyPr horzOverflow="overflow" vert="horz" lIns="0" tIns="0" rIns="0" bIns="0" rtlCol="0">
                          <a:noAutofit/>
                        </wps:bodyPr>
                      </wps:wsp>
                      <wps:wsp>
                        <wps:cNvPr id="2351" name="Rectangle 2351"/>
                        <wps:cNvSpPr/>
                        <wps:spPr>
                          <a:xfrm>
                            <a:off x="630047" y="1953923"/>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352" name="Rectangle 2352"/>
                        <wps:cNvSpPr/>
                        <wps:spPr>
                          <a:xfrm>
                            <a:off x="713105" y="225034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54" name="Shape 2354"/>
                        <wps:cNvSpPr/>
                        <wps:spPr>
                          <a:xfrm>
                            <a:off x="2991485" y="37465"/>
                            <a:ext cx="955040" cy="2457450"/>
                          </a:xfrm>
                          <a:custGeom>
                            <a:avLst/>
                            <a:gdLst/>
                            <a:ahLst/>
                            <a:cxnLst/>
                            <a:rect l="0" t="0" r="0" b="0"/>
                            <a:pathLst>
                              <a:path w="955040" h="2457450">
                                <a:moveTo>
                                  <a:pt x="159131" y="0"/>
                                </a:moveTo>
                                <a:cubicBezTo>
                                  <a:pt x="71247" y="0"/>
                                  <a:pt x="0" y="71247"/>
                                  <a:pt x="0" y="159131"/>
                                </a:cubicBezTo>
                                <a:lnTo>
                                  <a:pt x="0" y="2298319"/>
                                </a:lnTo>
                                <a:cubicBezTo>
                                  <a:pt x="0" y="2386203"/>
                                  <a:pt x="71247" y="2457450"/>
                                  <a:pt x="159131" y="2457450"/>
                                </a:cubicBezTo>
                                <a:lnTo>
                                  <a:pt x="795909" y="2457450"/>
                                </a:lnTo>
                                <a:cubicBezTo>
                                  <a:pt x="883793" y="2457450"/>
                                  <a:pt x="955040" y="2386203"/>
                                  <a:pt x="955040" y="2298319"/>
                                </a:cubicBezTo>
                                <a:lnTo>
                                  <a:pt x="955040" y="159131"/>
                                </a:lnTo>
                                <a:cubicBezTo>
                                  <a:pt x="955040" y="71247"/>
                                  <a:pt x="883793" y="0"/>
                                  <a:pt x="79590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55" name="Rectangle 2355"/>
                        <wps:cNvSpPr/>
                        <wps:spPr>
                          <a:xfrm>
                            <a:off x="3125851" y="130203"/>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356" name="Rectangle 2356"/>
                        <wps:cNvSpPr/>
                        <wps:spPr>
                          <a:xfrm>
                            <a:off x="3125851" y="428907"/>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357" name="Rectangle 2357"/>
                        <wps:cNvSpPr/>
                        <wps:spPr>
                          <a:xfrm>
                            <a:off x="3125851" y="727865"/>
                            <a:ext cx="924601" cy="187357"/>
                          </a:xfrm>
                          <a:prstGeom prst="rect">
                            <a:avLst/>
                          </a:prstGeom>
                          <a:ln>
                            <a:noFill/>
                          </a:ln>
                        </wps:spPr>
                        <wps:txbx>
                          <w:txbxContent>
                            <w:p w:rsidR="00BB52D7" w:rsidRDefault="00E33AE6">
                              <w:pPr>
                                <w:spacing w:after="160" w:line="259" w:lineRule="auto"/>
                                <w:ind w:left="0" w:firstLine="0"/>
                                <w:jc w:val="left"/>
                              </w:pPr>
                              <w:r>
                                <w:rPr>
                                  <w:b/>
                                  <w:sz w:val="20"/>
                                </w:rPr>
                                <w:t xml:space="preserve">Fragmented </w:t>
                              </w:r>
                            </w:p>
                          </w:txbxContent>
                        </wps:txbx>
                        <wps:bodyPr horzOverflow="overflow" vert="horz" lIns="0" tIns="0" rIns="0" bIns="0" rtlCol="0">
                          <a:noAutofit/>
                        </wps:bodyPr>
                      </wps:wsp>
                      <wps:wsp>
                        <wps:cNvPr id="2358" name="Rectangle 2358"/>
                        <wps:cNvSpPr/>
                        <wps:spPr>
                          <a:xfrm>
                            <a:off x="3125851" y="873407"/>
                            <a:ext cx="314801" cy="187357"/>
                          </a:xfrm>
                          <a:prstGeom prst="rect">
                            <a:avLst/>
                          </a:prstGeom>
                          <a:ln>
                            <a:noFill/>
                          </a:ln>
                        </wps:spPr>
                        <wps:txbx>
                          <w:txbxContent>
                            <w:p w:rsidR="00BB52D7" w:rsidRDefault="00E33AE6">
                              <w:pPr>
                                <w:spacing w:after="160" w:line="259" w:lineRule="auto"/>
                                <w:ind w:left="0" w:firstLine="0"/>
                                <w:jc w:val="left"/>
                              </w:pPr>
                              <w:r>
                                <w:rPr>
                                  <w:b/>
                                  <w:sz w:val="20"/>
                                </w:rPr>
                                <w:t xml:space="preserve">and </w:t>
                              </w:r>
                            </w:p>
                          </w:txbxContent>
                        </wps:txbx>
                        <wps:bodyPr horzOverflow="overflow" vert="horz" lIns="0" tIns="0" rIns="0" bIns="0" rtlCol="0">
                          <a:noAutofit/>
                        </wps:bodyPr>
                      </wps:wsp>
                      <wps:wsp>
                        <wps:cNvPr id="2359" name="Rectangle 2359"/>
                        <wps:cNvSpPr/>
                        <wps:spPr>
                          <a:xfrm>
                            <a:off x="3125851" y="1019711"/>
                            <a:ext cx="727935" cy="187357"/>
                          </a:xfrm>
                          <a:prstGeom prst="rect">
                            <a:avLst/>
                          </a:prstGeom>
                          <a:ln>
                            <a:noFill/>
                          </a:ln>
                        </wps:spPr>
                        <wps:txbx>
                          <w:txbxContent>
                            <w:p w:rsidR="00BB52D7" w:rsidRDefault="00E33AE6">
                              <w:pPr>
                                <w:spacing w:after="160" w:line="259" w:lineRule="auto"/>
                                <w:ind w:left="0" w:firstLine="0"/>
                                <w:jc w:val="left"/>
                              </w:pPr>
                              <w:r>
                                <w:rPr>
                                  <w:b/>
                                  <w:sz w:val="20"/>
                                </w:rPr>
                                <w:t xml:space="preserve">diverging </w:t>
                              </w:r>
                            </w:p>
                          </w:txbxContent>
                        </wps:txbx>
                        <wps:bodyPr horzOverflow="overflow" vert="horz" lIns="0" tIns="0" rIns="0" bIns="0" rtlCol="0">
                          <a:noAutofit/>
                        </wps:bodyPr>
                      </wps:wsp>
                      <wps:wsp>
                        <wps:cNvPr id="2360" name="Rectangle 2360"/>
                        <wps:cNvSpPr/>
                        <wps:spPr>
                          <a:xfrm>
                            <a:off x="3125851" y="1169063"/>
                            <a:ext cx="888241" cy="187357"/>
                          </a:xfrm>
                          <a:prstGeom prst="rect">
                            <a:avLst/>
                          </a:prstGeom>
                          <a:ln>
                            <a:noFill/>
                          </a:ln>
                        </wps:spPr>
                        <wps:txbx>
                          <w:txbxContent>
                            <w:p w:rsidR="00BB52D7" w:rsidRDefault="00E33AE6">
                              <w:pPr>
                                <w:spacing w:after="160" w:line="259" w:lineRule="auto"/>
                                <w:ind w:left="0" w:firstLine="0"/>
                                <w:jc w:val="left"/>
                              </w:pPr>
                              <w:r>
                                <w:rPr>
                                  <w:b/>
                                  <w:sz w:val="20"/>
                                </w:rPr>
                                <w:t>national law</w:t>
                              </w:r>
                            </w:p>
                          </w:txbxContent>
                        </wps:txbx>
                        <wps:bodyPr horzOverflow="overflow" vert="horz" lIns="0" tIns="0" rIns="0" bIns="0" rtlCol="0">
                          <a:noAutofit/>
                        </wps:bodyPr>
                      </wps:wsp>
                      <wps:wsp>
                        <wps:cNvPr id="2361" name="Rectangle 2361"/>
                        <wps:cNvSpPr/>
                        <wps:spPr>
                          <a:xfrm>
                            <a:off x="3792601" y="1169063"/>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372" name="Shape 2372"/>
                        <wps:cNvSpPr/>
                        <wps:spPr>
                          <a:xfrm>
                            <a:off x="45720" y="2743835"/>
                            <a:ext cx="2609215" cy="2570480"/>
                          </a:xfrm>
                          <a:custGeom>
                            <a:avLst/>
                            <a:gdLst/>
                            <a:ahLst/>
                            <a:cxnLst/>
                            <a:rect l="0" t="0" r="0" b="0"/>
                            <a:pathLst>
                              <a:path w="2609215" h="2570480">
                                <a:moveTo>
                                  <a:pt x="428422" y="0"/>
                                </a:moveTo>
                                <a:cubicBezTo>
                                  <a:pt x="191834" y="0"/>
                                  <a:pt x="0" y="191897"/>
                                  <a:pt x="0" y="428371"/>
                                </a:cubicBezTo>
                                <a:lnTo>
                                  <a:pt x="0" y="2142109"/>
                                </a:lnTo>
                                <a:cubicBezTo>
                                  <a:pt x="0" y="2378583"/>
                                  <a:pt x="191834" y="2570480"/>
                                  <a:pt x="428422" y="2570480"/>
                                </a:cubicBezTo>
                                <a:lnTo>
                                  <a:pt x="2180844" y="2570480"/>
                                </a:lnTo>
                                <a:cubicBezTo>
                                  <a:pt x="2417318" y="2570480"/>
                                  <a:pt x="2609215" y="2378583"/>
                                  <a:pt x="2609215" y="2142109"/>
                                </a:cubicBezTo>
                                <a:lnTo>
                                  <a:pt x="2609215" y="428371"/>
                                </a:lnTo>
                                <a:cubicBezTo>
                                  <a:pt x="2609215" y="191897"/>
                                  <a:pt x="2417318" y="0"/>
                                  <a:pt x="21808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373" name="Rectangle 2373"/>
                        <wps:cNvSpPr/>
                        <wps:spPr>
                          <a:xfrm>
                            <a:off x="260223" y="2916329"/>
                            <a:ext cx="2103751" cy="187357"/>
                          </a:xfrm>
                          <a:prstGeom prst="rect">
                            <a:avLst/>
                          </a:prstGeom>
                          <a:ln>
                            <a:noFill/>
                          </a:ln>
                        </wps:spPr>
                        <wps:txbx>
                          <w:txbxContent>
                            <w:p w:rsidR="00BB52D7" w:rsidRDefault="00E33AE6">
                              <w:pPr>
                                <w:spacing w:after="160" w:line="259" w:lineRule="auto"/>
                                <w:ind w:left="0" w:firstLine="0"/>
                                <w:jc w:val="left"/>
                              </w:pPr>
                              <w:r>
                                <w:rPr>
                                  <w:b/>
                                  <w:sz w:val="20"/>
                                </w:rPr>
                                <w:t>Low degree of independence</w:t>
                              </w:r>
                            </w:p>
                          </w:txbxContent>
                        </wps:txbx>
                        <wps:bodyPr horzOverflow="overflow" vert="horz" lIns="0" tIns="0" rIns="0" bIns="0" rtlCol="0">
                          <a:noAutofit/>
                        </wps:bodyPr>
                      </wps:wsp>
                      <wps:wsp>
                        <wps:cNvPr id="2374" name="Rectangle 2374"/>
                        <wps:cNvSpPr/>
                        <wps:spPr>
                          <a:xfrm>
                            <a:off x="1842389" y="2916329"/>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75" name="Rectangle 2375"/>
                        <wps:cNvSpPr/>
                        <wps:spPr>
                          <a:xfrm>
                            <a:off x="1888109" y="2916329"/>
                            <a:ext cx="778371" cy="187357"/>
                          </a:xfrm>
                          <a:prstGeom prst="rect">
                            <a:avLst/>
                          </a:prstGeom>
                          <a:ln>
                            <a:noFill/>
                          </a:ln>
                        </wps:spPr>
                        <wps:txbx>
                          <w:txbxContent>
                            <w:p w:rsidR="00BB52D7" w:rsidRDefault="00E33AE6">
                              <w:pPr>
                                <w:spacing w:after="160" w:line="259" w:lineRule="auto"/>
                                <w:ind w:left="0" w:firstLine="0"/>
                                <w:jc w:val="left"/>
                              </w:pPr>
                              <w:r>
                                <w:rPr>
                                  <w:sz w:val="20"/>
                                </w:rPr>
                                <w:t xml:space="preserve">might lead </w:t>
                              </w:r>
                            </w:p>
                          </w:txbxContent>
                        </wps:txbx>
                        <wps:bodyPr horzOverflow="overflow" vert="horz" lIns="0" tIns="0" rIns="0" bIns="0" rtlCol="0">
                          <a:noAutofit/>
                        </wps:bodyPr>
                      </wps:wsp>
                      <wps:wsp>
                        <wps:cNvPr id="2376" name="Rectangle 2376"/>
                        <wps:cNvSpPr/>
                        <wps:spPr>
                          <a:xfrm>
                            <a:off x="260223" y="3061871"/>
                            <a:ext cx="178697" cy="187357"/>
                          </a:xfrm>
                          <a:prstGeom prst="rect">
                            <a:avLst/>
                          </a:prstGeom>
                          <a:ln>
                            <a:noFill/>
                          </a:ln>
                        </wps:spPr>
                        <wps:txbx>
                          <w:txbxContent>
                            <w:p w:rsidR="00BB52D7" w:rsidRDefault="00E33AE6">
                              <w:pPr>
                                <w:spacing w:after="160" w:line="259" w:lineRule="auto"/>
                                <w:ind w:left="0" w:firstLine="0"/>
                                <w:jc w:val="left"/>
                              </w:pPr>
                              <w:r>
                                <w:rPr>
                                  <w:sz w:val="20"/>
                                </w:rPr>
                                <w:t>to:</w:t>
                              </w:r>
                            </w:p>
                          </w:txbxContent>
                        </wps:txbx>
                        <wps:bodyPr horzOverflow="overflow" vert="horz" lIns="0" tIns="0" rIns="0" bIns="0" rtlCol="0">
                          <a:noAutofit/>
                        </wps:bodyPr>
                      </wps:wsp>
                      <wps:wsp>
                        <wps:cNvPr id="2377" name="Rectangle 2377"/>
                        <wps:cNvSpPr/>
                        <wps:spPr>
                          <a:xfrm>
                            <a:off x="394335" y="306187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78" name="Rectangle 2378"/>
                        <wps:cNvSpPr/>
                        <wps:spPr>
                          <a:xfrm>
                            <a:off x="489077" y="3360575"/>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79" name="Rectangle 2379"/>
                        <wps:cNvSpPr/>
                        <wps:spPr>
                          <a:xfrm>
                            <a:off x="531749" y="3358794"/>
                            <a:ext cx="47022" cy="188711"/>
                          </a:xfrm>
                          <a:prstGeom prst="rect">
                            <a:avLst/>
                          </a:prstGeom>
                          <a:ln>
                            <a:noFill/>
                          </a:ln>
                        </wps:spPr>
                        <wps:txbx>
                          <w:txbxContent>
                            <w:p w:rsidR="00BB52D7" w:rsidRDefault="00E33AE6">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36284" name="Rectangle 36284"/>
                        <wps:cNvSpPr/>
                        <wps:spPr>
                          <a:xfrm>
                            <a:off x="717677" y="3360575"/>
                            <a:ext cx="820484" cy="187357"/>
                          </a:xfrm>
                          <a:prstGeom prst="rect">
                            <a:avLst/>
                          </a:prstGeom>
                          <a:ln>
                            <a:noFill/>
                          </a:ln>
                        </wps:spPr>
                        <wps:txbx>
                          <w:txbxContent>
                            <w:p w:rsidR="00BB52D7" w:rsidRDefault="00E33AE6">
                              <w:pPr>
                                <w:spacing w:after="160" w:line="259" w:lineRule="auto"/>
                                <w:ind w:left="0" w:firstLine="0"/>
                                <w:jc w:val="left"/>
                              </w:pPr>
                              <w:r>
                                <w:rPr>
                                  <w:sz w:val="20"/>
                                </w:rPr>
                                <w:t xml:space="preserve">Insufficient </w:t>
                              </w:r>
                            </w:p>
                          </w:txbxContent>
                        </wps:txbx>
                        <wps:bodyPr horzOverflow="overflow" vert="horz" lIns="0" tIns="0" rIns="0" bIns="0" rtlCol="0">
                          <a:noAutofit/>
                        </wps:bodyPr>
                      </wps:wsp>
                      <wps:wsp>
                        <wps:cNvPr id="36285" name="Rectangle 36285"/>
                        <wps:cNvSpPr/>
                        <wps:spPr>
                          <a:xfrm>
                            <a:off x="1537317" y="3360575"/>
                            <a:ext cx="792211" cy="187357"/>
                          </a:xfrm>
                          <a:prstGeom prst="rect">
                            <a:avLst/>
                          </a:prstGeom>
                          <a:ln>
                            <a:noFill/>
                          </a:ln>
                        </wps:spPr>
                        <wps:txbx>
                          <w:txbxContent>
                            <w:p w:rsidR="00BB52D7" w:rsidRDefault="00E33AE6">
                              <w:pPr>
                                <w:spacing w:after="160" w:line="259" w:lineRule="auto"/>
                                <w:ind w:left="0" w:firstLine="0"/>
                                <w:jc w:val="left"/>
                              </w:pPr>
                              <w:r>
                                <w:rPr>
                                  <w:sz w:val="20"/>
                                </w:rPr>
                                <w:t xml:space="preserve">monitoring </w:t>
                              </w:r>
                            </w:p>
                          </w:txbxContent>
                        </wps:txbx>
                        <wps:bodyPr horzOverflow="overflow" vert="horz" lIns="0" tIns="0" rIns="0" bIns="0" rtlCol="0">
                          <a:noAutofit/>
                        </wps:bodyPr>
                      </wps:wsp>
                      <wps:wsp>
                        <wps:cNvPr id="36286" name="Rectangle 36286"/>
                        <wps:cNvSpPr/>
                        <wps:spPr>
                          <a:xfrm>
                            <a:off x="2335316" y="3360575"/>
                            <a:ext cx="183313" cy="187357"/>
                          </a:xfrm>
                          <a:prstGeom prst="rect">
                            <a:avLst/>
                          </a:prstGeom>
                          <a:ln>
                            <a:noFill/>
                          </a:ln>
                        </wps:spPr>
                        <wps:txbx>
                          <w:txbxContent>
                            <w:p w:rsidR="00BB52D7" w:rsidRDefault="00E33AE6">
                              <w:pPr>
                                <w:spacing w:after="160" w:line="259" w:lineRule="auto"/>
                                <w:ind w:left="0" w:firstLine="0"/>
                                <w:jc w:val="left"/>
                              </w:pPr>
                              <w:r>
                                <w:rPr>
                                  <w:sz w:val="20"/>
                                </w:rPr>
                                <w:t xml:space="preserve">of </w:t>
                              </w:r>
                            </w:p>
                          </w:txbxContent>
                        </wps:txbx>
                        <wps:bodyPr horzOverflow="overflow" vert="horz" lIns="0" tIns="0" rIns="0" bIns="0" rtlCol="0">
                          <a:noAutofit/>
                        </wps:bodyPr>
                      </wps:wsp>
                      <wps:wsp>
                        <wps:cNvPr id="2381" name="Rectangle 2381"/>
                        <wps:cNvSpPr/>
                        <wps:spPr>
                          <a:xfrm>
                            <a:off x="717677" y="3506879"/>
                            <a:ext cx="2335112" cy="187357"/>
                          </a:xfrm>
                          <a:prstGeom prst="rect">
                            <a:avLst/>
                          </a:prstGeom>
                          <a:ln>
                            <a:noFill/>
                          </a:ln>
                        </wps:spPr>
                        <wps:txbx>
                          <w:txbxContent>
                            <w:p w:rsidR="00BB52D7" w:rsidRDefault="00E33AE6">
                              <w:pPr>
                                <w:spacing w:after="160" w:line="259" w:lineRule="auto"/>
                                <w:ind w:left="0" w:firstLine="0"/>
                                <w:jc w:val="left"/>
                              </w:pPr>
                              <w:r>
                                <w:rPr>
                                  <w:sz w:val="20"/>
                                </w:rPr>
                                <w:t xml:space="preserve">management company (MC) by </w:t>
                              </w:r>
                            </w:p>
                          </w:txbxContent>
                        </wps:txbx>
                        <wps:bodyPr horzOverflow="overflow" vert="horz" lIns="0" tIns="0" rIns="0" bIns="0" rtlCol="0">
                          <a:noAutofit/>
                        </wps:bodyPr>
                      </wps:wsp>
                      <wps:wsp>
                        <wps:cNvPr id="2382" name="Rectangle 2382"/>
                        <wps:cNvSpPr/>
                        <wps:spPr>
                          <a:xfrm>
                            <a:off x="717677" y="3652421"/>
                            <a:ext cx="2334774" cy="187357"/>
                          </a:xfrm>
                          <a:prstGeom prst="rect">
                            <a:avLst/>
                          </a:prstGeom>
                          <a:ln>
                            <a:noFill/>
                          </a:ln>
                        </wps:spPr>
                        <wps:txbx>
                          <w:txbxContent>
                            <w:p w:rsidR="00BB52D7" w:rsidRDefault="00E33AE6">
                              <w:pPr>
                                <w:spacing w:after="160" w:line="259" w:lineRule="auto"/>
                                <w:ind w:left="0" w:firstLine="0"/>
                                <w:jc w:val="left"/>
                              </w:pPr>
                              <w:r>
                                <w:rPr>
                                  <w:sz w:val="20"/>
                                </w:rPr>
                                <w:t xml:space="preserve">depositary / third party (risk of </w:t>
                              </w:r>
                            </w:p>
                          </w:txbxContent>
                        </wps:txbx>
                        <wps:bodyPr horzOverflow="overflow" vert="horz" lIns="0" tIns="0" rIns="0" bIns="0" rtlCol="0">
                          <a:noAutofit/>
                        </wps:bodyPr>
                      </wps:wsp>
                      <wps:wsp>
                        <wps:cNvPr id="2383" name="Rectangle 2383"/>
                        <wps:cNvSpPr/>
                        <wps:spPr>
                          <a:xfrm>
                            <a:off x="717677" y="3798725"/>
                            <a:ext cx="412966" cy="187357"/>
                          </a:xfrm>
                          <a:prstGeom prst="rect">
                            <a:avLst/>
                          </a:prstGeom>
                          <a:ln>
                            <a:noFill/>
                          </a:ln>
                        </wps:spPr>
                        <wps:txbx>
                          <w:txbxContent>
                            <w:p w:rsidR="00BB52D7" w:rsidRDefault="00E33AE6">
                              <w:pPr>
                                <w:spacing w:after="160" w:line="259" w:lineRule="auto"/>
                                <w:ind w:left="0" w:firstLine="0"/>
                                <w:jc w:val="left"/>
                              </w:pPr>
                              <w:r>
                                <w:rPr>
                                  <w:sz w:val="20"/>
                                </w:rPr>
                                <w:t>fraud)</w:t>
                              </w:r>
                            </w:p>
                          </w:txbxContent>
                        </wps:txbx>
                        <wps:bodyPr horzOverflow="overflow" vert="horz" lIns="0" tIns="0" rIns="0" bIns="0" rtlCol="0">
                          <a:noAutofit/>
                        </wps:bodyPr>
                      </wps:wsp>
                      <wps:wsp>
                        <wps:cNvPr id="2384" name="Rectangle 2384"/>
                        <wps:cNvSpPr/>
                        <wps:spPr>
                          <a:xfrm>
                            <a:off x="1027811" y="3798725"/>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85" name="Rectangle 2385"/>
                        <wps:cNvSpPr/>
                        <wps:spPr>
                          <a:xfrm>
                            <a:off x="489077" y="4097429"/>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86" name="Rectangle 2386"/>
                        <wps:cNvSpPr/>
                        <wps:spPr>
                          <a:xfrm>
                            <a:off x="531749" y="4095647"/>
                            <a:ext cx="47022" cy="188711"/>
                          </a:xfrm>
                          <a:prstGeom prst="rect">
                            <a:avLst/>
                          </a:prstGeom>
                          <a:ln>
                            <a:noFill/>
                          </a:ln>
                        </wps:spPr>
                        <wps:txbx>
                          <w:txbxContent>
                            <w:p w:rsidR="00BB52D7" w:rsidRDefault="00E33AE6">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36379" name="Rectangle 36379"/>
                        <wps:cNvSpPr/>
                        <wps:spPr>
                          <a:xfrm>
                            <a:off x="2286111" y="4097429"/>
                            <a:ext cx="249096" cy="187357"/>
                          </a:xfrm>
                          <a:prstGeom prst="rect">
                            <a:avLst/>
                          </a:prstGeom>
                          <a:ln>
                            <a:noFill/>
                          </a:ln>
                        </wps:spPr>
                        <wps:txbx>
                          <w:txbxContent>
                            <w:p w:rsidR="00BB52D7" w:rsidRDefault="00E33AE6">
                              <w:pPr>
                                <w:spacing w:after="160" w:line="259" w:lineRule="auto"/>
                                <w:ind w:left="0" w:firstLine="0"/>
                                <w:jc w:val="left"/>
                              </w:pPr>
                              <w:r>
                                <w:rPr>
                                  <w:sz w:val="20"/>
                                </w:rPr>
                                <w:t xml:space="preserve">the </w:t>
                              </w:r>
                            </w:p>
                          </w:txbxContent>
                        </wps:txbx>
                        <wps:bodyPr horzOverflow="overflow" vert="horz" lIns="0" tIns="0" rIns="0" bIns="0" rtlCol="0">
                          <a:noAutofit/>
                        </wps:bodyPr>
                      </wps:wsp>
                      <wps:wsp>
                        <wps:cNvPr id="36378" name="Rectangle 36378"/>
                        <wps:cNvSpPr/>
                        <wps:spPr>
                          <a:xfrm>
                            <a:off x="1775848" y="4097429"/>
                            <a:ext cx="519376" cy="187357"/>
                          </a:xfrm>
                          <a:prstGeom prst="rect">
                            <a:avLst/>
                          </a:prstGeom>
                          <a:ln>
                            <a:noFill/>
                          </a:ln>
                        </wps:spPr>
                        <wps:txbx>
                          <w:txbxContent>
                            <w:p w:rsidR="00BB52D7" w:rsidRDefault="00E33AE6">
                              <w:pPr>
                                <w:spacing w:after="160" w:line="259" w:lineRule="auto"/>
                                <w:ind w:left="0" w:firstLine="0"/>
                                <w:jc w:val="left"/>
                              </w:pPr>
                              <w:r>
                                <w:rPr>
                                  <w:sz w:val="20"/>
                                </w:rPr>
                                <w:t xml:space="preserve">against </w:t>
                              </w:r>
                            </w:p>
                          </w:txbxContent>
                        </wps:txbx>
                        <wps:bodyPr horzOverflow="overflow" vert="horz" lIns="0" tIns="0" rIns="0" bIns="0" rtlCol="0">
                          <a:noAutofit/>
                        </wps:bodyPr>
                      </wps:wsp>
                      <wps:wsp>
                        <wps:cNvPr id="36375" name="Rectangle 36375"/>
                        <wps:cNvSpPr/>
                        <wps:spPr>
                          <a:xfrm>
                            <a:off x="717677" y="4097429"/>
                            <a:ext cx="662146" cy="187357"/>
                          </a:xfrm>
                          <a:prstGeom prst="rect">
                            <a:avLst/>
                          </a:prstGeom>
                          <a:ln>
                            <a:noFill/>
                          </a:ln>
                        </wps:spPr>
                        <wps:txbx>
                          <w:txbxContent>
                            <w:p w:rsidR="00BB52D7" w:rsidRDefault="00E33AE6">
                              <w:pPr>
                                <w:spacing w:after="160" w:line="259" w:lineRule="auto"/>
                                <w:ind w:left="0" w:firstLine="0"/>
                                <w:jc w:val="left"/>
                              </w:pPr>
                              <w:r>
                                <w:rPr>
                                  <w:sz w:val="20"/>
                                </w:rPr>
                                <w:t xml:space="preserve">Investors </w:t>
                              </w:r>
                            </w:p>
                          </w:txbxContent>
                        </wps:txbx>
                        <wps:bodyPr horzOverflow="overflow" vert="horz" lIns="0" tIns="0" rIns="0" bIns="0" rtlCol="0">
                          <a:noAutofit/>
                        </wps:bodyPr>
                      </wps:wsp>
                      <wps:wsp>
                        <wps:cNvPr id="36377" name="Rectangle 36377"/>
                        <wps:cNvSpPr/>
                        <wps:spPr>
                          <a:xfrm>
                            <a:off x="1334776" y="4097429"/>
                            <a:ext cx="427352" cy="187357"/>
                          </a:xfrm>
                          <a:prstGeom prst="rect">
                            <a:avLst/>
                          </a:prstGeom>
                          <a:ln>
                            <a:noFill/>
                          </a:ln>
                        </wps:spPr>
                        <wps:txbx>
                          <w:txbxContent>
                            <w:p w:rsidR="00BB52D7" w:rsidRDefault="00E33AE6">
                              <w:pPr>
                                <w:spacing w:after="160" w:line="259" w:lineRule="auto"/>
                                <w:ind w:left="0" w:firstLine="0"/>
                                <w:jc w:val="left"/>
                              </w:pPr>
                              <w:r>
                                <w:rPr>
                                  <w:sz w:val="20"/>
                                </w:rPr>
                                <w:t xml:space="preserve">rights </w:t>
                              </w:r>
                            </w:p>
                          </w:txbxContent>
                        </wps:txbx>
                        <wps:bodyPr horzOverflow="overflow" vert="horz" lIns="0" tIns="0" rIns="0" bIns="0" rtlCol="0">
                          <a:noAutofit/>
                        </wps:bodyPr>
                      </wps:wsp>
                      <wps:wsp>
                        <wps:cNvPr id="36383" name="Rectangle 36383"/>
                        <wps:cNvSpPr/>
                        <wps:spPr>
                          <a:xfrm>
                            <a:off x="1447474" y="4243225"/>
                            <a:ext cx="360988" cy="187357"/>
                          </a:xfrm>
                          <a:prstGeom prst="rect">
                            <a:avLst/>
                          </a:prstGeom>
                          <a:ln>
                            <a:noFill/>
                          </a:ln>
                        </wps:spPr>
                        <wps:txbx>
                          <w:txbxContent>
                            <w:p w:rsidR="00BB52D7" w:rsidRDefault="00E33AE6">
                              <w:pPr>
                                <w:spacing w:after="160" w:line="259" w:lineRule="auto"/>
                                <w:ind w:left="0" w:firstLine="0"/>
                                <w:jc w:val="left"/>
                              </w:pPr>
                              <w:r>
                                <w:rPr>
                                  <w:sz w:val="20"/>
                                </w:rPr>
                                <w:t xml:space="preserve">third </w:t>
                              </w:r>
                            </w:p>
                          </w:txbxContent>
                        </wps:txbx>
                        <wps:bodyPr horzOverflow="overflow" vert="horz" lIns="0" tIns="0" rIns="0" bIns="0" rtlCol="0">
                          <a:noAutofit/>
                        </wps:bodyPr>
                      </wps:wsp>
                      <wps:wsp>
                        <wps:cNvPr id="36385" name="Rectangle 36385"/>
                        <wps:cNvSpPr/>
                        <wps:spPr>
                          <a:xfrm>
                            <a:off x="2278194" y="4243225"/>
                            <a:ext cx="259456" cy="187357"/>
                          </a:xfrm>
                          <a:prstGeom prst="rect">
                            <a:avLst/>
                          </a:prstGeom>
                          <a:ln>
                            <a:noFill/>
                          </a:ln>
                        </wps:spPr>
                        <wps:txbx>
                          <w:txbxContent>
                            <w:p w:rsidR="00BB52D7" w:rsidRDefault="00E33AE6">
                              <w:pPr>
                                <w:spacing w:after="160" w:line="259" w:lineRule="auto"/>
                                <w:ind w:left="0" w:firstLine="0"/>
                                <w:jc w:val="left"/>
                              </w:pPr>
                              <w:r>
                                <w:rPr>
                                  <w:sz w:val="20"/>
                                </w:rPr>
                                <w:t xml:space="preserve">not </w:t>
                              </w:r>
                            </w:p>
                          </w:txbxContent>
                        </wps:txbx>
                        <wps:bodyPr horzOverflow="overflow" vert="horz" lIns="0" tIns="0" rIns="0" bIns="0" rtlCol="0">
                          <a:noAutofit/>
                        </wps:bodyPr>
                      </wps:wsp>
                      <wps:wsp>
                        <wps:cNvPr id="36384" name="Rectangle 36384"/>
                        <wps:cNvSpPr/>
                        <wps:spPr>
                          <a:xfrm>
                            <a:off x="1852652" y="4243225"/>
                            <a:ext cx="388581" cy="187357"/>
                          </a:xfrm>
                          <a:prstGeom prst="rect">
                            <a:avLst/>
                          </a:prstGeom>
                          <a:ln>
                            <a:noFill/>
                          </a:ln>
                        </wps:spPr>
                        <wps:txbx>
                          <w:txbxContent>
                            <w:p w:rsidR="00BB52D7" w:rsidRDefault="00E33AE6">
                              <w:pPr>
                                <w:spacing w:after="160" w:line="259" w:lineRule="auto"/>
                                <w:ind w:left="0" w:firstLine="0"/>
                                <w:jc w:val="left"/>
                              </w:pPr>
                              <w:r>
                                <w:rPr>
                                  <w:sz w:val="20"/>
                                </w:rPr>
                                <w:t xml:space="preserve">party </w:t>
                              </w:r>
                            </w:p>
                          </w:txbxContent>
                        </wps:txbx>
                        <wps:bodyPr horzOverflow="overflow" vert="horz" lIns="0" tIns="0" rIns="0" bIns="0" rtlCol="0">
                          <a:noAutofit/>
                        </wps:bodyPr>
                      </wps:wsp>
                      <wps:wsp>
                        <wps:cNvPr id="36382" name="Rectangle 36382"/>
                        <wps:cNvSpPr/>
                        <wps:spPr>
                          <a:xfrm>
                            <a:off x="717677" y="4243225"/>
                            <a:ext cx="793240" cy="187357"/>
                          </a:xfrm>
                          <a:prstGeom prst="rect">
                            <a:avLst/>
                          </a:prstGeom>
                          <a:ln>
                            <a:noFill/>
                          </a:ln>
                        </wps:spPr>
                        <wps:txbx>
                          <w:txbxContent>
                            <w:p w:rsidR="00BB52D7" w:rsidRDefault="00E33AE6">
                              <w:pPr>
                                <w:spacing w:after="160" w:line="259" w:lineRule="auto"/>
                                <w:ind w:left="0" w:firstLine="0"/>
                                <w:jc w:val="left"/>
                              </w:pPr>
                              <w:r>
                                <w:rPr>
                                  <w:sz w:val="20"/>
                                </w:rPr>
                                <w:t xml:space="preserve">depositary/ </w:t>
                              </w:r>
                            </w:p>
                          </w:txbxContent>
                        </wps:txbx>
                        <wps:bodyPr horzOverflow="overflow" vert="horz" lIns="0" tIns="0" rIns="0" bIns="0" rtlCol="0">
                          <a:noAutofit/>
                        </wps:bodyPr>
                      </wps:wsp>
                      <wps:wsp>
                        <wps:cNvPr id="2389" name="Rectangle 2389"/>
                        <wps:cNvSpPr/>
                        <wps:spPr>
                          <a:xfrm>
                            <a:off x="717677" y="4389529"/>
                            <a:ext cx="1106880" cy="187357"/>
                          </a:xfrm>
                          <a:prstGeom prst="rect">
                            <a:avLst/>
                          </a:prstGeom>
                          <a:ln>
                            <a:noFill/>
                          </a:ln>
                        </wps:spPr>
                        <wps:txbx>
                          <w:txbxContent>
                            <w:p w:rsidR="00BB52D7" w:rsidRDefault="00E33AE6">
                              <w:pPr>
                                <w:spacing w:after="160" w:line="259" w:lineRule="auto"/>
                                <w:ind w:left="0" w:firstLine="0"/>
                                <w:jc w:val="left"/>
                              </w:pPr>
                              <w:r>
                                <w:rPr>
                                  <w:sz w:val="20"/>
                                </w:rPr>
                                <w:t>enforced by MC</w:t>
                              </w:r>
                            </w:p>
                          </w:txbxContent>
                        </wps:txbx>
                        <wps:bodyPr horzOverflow="overflow" vert="horz" lIns="0" tIns="0" rIns="0" bIns="0" rtlCol="0">
                          <a:noAutofit/>
                        </wps:bodyPr>
                      </wps:wsp>
                      <wps:wsp>
                        <wps:cNvPr id="2390" name="Rectangle 2390"/>
                        <wps:cNvSpPr/>
                        <wps:spPr>
                          <a:xfrm>
                            <a:off x="1549781" y="4389529"/>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391" name="Rectangle 2391"/>
                        <wps:cNvSpPr/>
                        <wps:spPr>
                          <a:xfrm>
                            <a:off x="489077" y="4688233"/>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2392" name="Rectangle 2392"/>
                        <wps:cNvSpPr/>
                        <wps:spPr>
                          <a:xfrm>
                            <a:off x="531749" y="4686451"/>
                            <a:ext cx="47022" cy="188711"/>
                          </a:xfrm>
                          <a:prstGeom prst="rect">
                            <a:avLst/>
                          </a:prstGeom>
                          <a:ln>
                            <a:noFill/>
                          </a:ln>
                        </wps:spPr>
                        <wps:txbx>
                          <w:txbxContent>
                            <w:p w:rsidR="00BB52D7" w:rsidRDefault="00E33AE6">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393" name="Rectangle 2393"/>
                        <wps:cNvSpPr/>
                        <wps:spPr>
                          <a:xfrm>
                            <a:off x="717677" y="4688233"/>
                            <a:ext cx="263350" cy="187357"/>
                          </a:xfrm>
                          <a:prstGeom prst="rect">
                            <a:avLst/>
                          </a:prstGeom>
                          <a:ln>
                            <a:noFill/>
                          </a:ln>
                        </wps:spPr>
                        <wps:txbx>
                          <w:txbxContent>
                            <w:p w:rsidR="00BB52D7" w:rsidRDefault="00E33AE6">
                              <w:pPr>
                                <w:spacing w:after="160" w:line="259" w:lineRule="auto"/>
                                <w:ind w:left="0" w:firstLine="0"/>
                                <w:jc w:val="left"/>
                              </w:pPr>
                              <w:r>
                                <w:rPr>
                                  <w:sz w:val="20"/>
                                </w:rPr>
                                <w:t>Sub</w:t>
                              </w:r>
                            </w:p>
                          </w:txbxContent>
                        </wps:txbx>
                        <wps:bodyPr horzOverflow="overflow" vert="horz" lIns="0" tIns="0" rIns="0" bIns="0" rtlCol="0">
                          <a:noAutofit/>
                        </wps:bodyPr>
                      </wps:wsp>
                      <wps:wsp>
                        <wps:cNvPr id="2394" name="Rectangle 2394"/>
                        <wps:cNvSpPr/>
                        <wps:spPr>
                          <a:xfrm>
                            <a:off x="915797" y="4688233"/>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36387" name="Rectangle 36387"/>
                        <wps:cNvSpPr/>
                        <wps:spPr>
                          <a:xfrm>
                            <a:off x="1614988" y="4688233"/>
                            <a:ext cx="337801" cy="187357"/>
                          </a:xfrm>
                          <a:prstGeom prst="rect">
                            <a:avLst/>
                          </a:prstGeom>
                          <a:ln>
                            <a:noFill/>
                          </a:ln>
                        </wps:spPr>
                        <wps:txbx>
                          <w:txbxContent>
                            <w:p w:rsidR="00BB52D7" w:rsidRDefault="00E33AE6">
                              <w:pPr>
                                <w:spacing w:after="160" w:line="259" w:lineRule="auto"/>
                                <w:ind w:left="0" w:firstLine="0"/>
                                <w:jc w:val="left"/>
                              </w:pPr>
                              <w:r>
                                <w:rPr>
                                  <w:sz w:val="20"/>
                                </w:rPr>
                                <w:t>selec</w:t>
                              </w:r>
                            </w:p>
                          </w:txbxContent>
                        </wps:txbx>
                        <wps:bodyPr horzOverflow="overflow" vert="horz" lIns="0" tIns="0" rIns="0" bIns="0" rtlCol="0">
                          <a:noAutofit/>
                        </wps:bodyPr>
                      </wps:wsp>
                      <wps:wsp>
                        <wps:cNvPr id="36386" name="Rectangle 36386"/>
                        <wps:cNvSpPr/>
                        <wps:spPr>
                          <a:xfrm>
                            <a:off x="957707" y="4688233"/>
                            <a:ext cx="557463" cy="187357"/>
                          </a:xfrm>
                          <a:prstGeom prst="rect">
                            <a:avLst/>
                          </a:prstGeom>
                          <a:ln>
                            <a:noFill/>
                          </a:ln>
                        </wps:spPr>
                        <wps:txbx>
                          <w:txbxContent>
                            <w:p w:rsidR="00BB52D7" w:rsidRDefault="00E33AE6">
                              <w:pPr>
                                <w:spacing w:after="160" w:line="259" w:lineRule="auto"/>
                                <w:ind w:left="0" w:firstLine="0"/>
                                <w:jc w:val="left"/>
                              </w:pPr>
                              <w:r>
                                <w:rPr>
                                  <w:sz w:val="20"/>
                                </w:rPr>
                                <w:t xml:space="preserve">optimal </w:t>
                              </w:r>
                            </w:p>
                          </w:txbxContent>
                        </wps:txbx>
                        <wps:bodyPr horzOverflow="overflow" vert="horz" lIns="0" tIns="0" rIns="0" bIns="0" rtlCol="0">
                          <a:noAutofit/>
                        </wps:bodyPr>
                      </wps:wsp>
                      <wps:wsp>
                        <wps:cNvPr id="36389" name="Rectangle 36389"/>
                        <wps:cNvSpPr/>
                        <wps:spPr>
                          <a:xfrm>
                            <a:off x="2336071" y="4688233"/>
                            <a:ext cx="183309" cy="187357"/>
                          </a:xfrm>
                          <a:prstGeom prst="rect">
                            <a:avLst/>
                          </a:prstGeom>
                          <a:ln>
                            <a:noFill/>
                          </a:ln>
                        </wps:spPr>
                        <wps:txbx>
                          <w:txbxContent>
                            <w:p w:rsidR="00BB52D7" w:rsidRDefault="00E33AE6">
                              <w:pPr>
                                <w:spacing w:after="160" w:line="259" w:lineRule="auto"/>
                                <w:ind w:left="0" w:firstLine="0"/>
                                <w:jc w:val="left"/>
                              </w:pPr>
                              <w:r>
                                <w:rPr>
                                  <w:sz w:val="20"/>
                                </w:rPr>
                                <w:t xml:space="preserve">of </w:t>
                              </w:r>
                            </w:p>
                          </w:txbxContent>
                        </wps:txbx>
                        <wps:bodyPr horzOverflow="overflow" vert="horz" lIns="0" tIns="0" rIns="0" bIns="0" rtlCol="0">
                          <a:noAutofit/>
                        </wps:bodyPr>
                      </wps:wsp>
                      <wps:wsp>
                        <wps:cNvPr id="36388" name="Rectangle 36388"/>
                        <wps:cNvSpPr/>
                        <wps:spPr>
                          <a:xfrm>
                            <a:off x="1869059" y="4688233"/>
                            <a:ext cx="304780" cy="187357"/>
                          </a:xfrm>
                          <a:prstGeom prst="rect">
                            <a:avLst/>
                          </a:prstGeom>
                          <a:ln>
                            <a:noFill/>
                          </a:ln>
                        </wps:spPr>
                        <wps:txbx>
                          <w:txbxContent>
                            <w:p w:rsidR="00BB52D7" w:rsidRDefault="00E33AE6">
                              <w:pPr>
                                <w:spacing w:after="160" w:line="259" w:lineRule="auto"/>
                                <w:ind w:left="0" w:firstLine="0"/>
                                <w:jc w:val="left"/>
                              </w:pPr>
                              <w:r>
                                <w:rPr>
                                  <w:sz w:val="20"/>
                                </w:rPr>
                                <w:t xml:space="preserve">tion </w:t>
                              </w:r>
                            </w:p>
                          </w:txbxContent>
                        </wps:txbx>
                        <wps:bodyPr horzOverflow="overflow" vert="horz" lIns="0" tIns="0" rIns="0" bIns="0" rtlCol="0">
                          <a:noAutofit/>
                        </wps:bodyPr>
                      </wps:wsp>
                      <wps:wsp>
                        <wps:cNvPr id="2397" name="Rectangle 2397"/>
                        <wps:cNvSpPr/>
                        <wps:spPr>
                          <a:xfrm>
                            <a:off x="717677" y="4833775"/>
                            <a:ext cx="2335281" cy="187357"/>
                          </a:xfrm>
                          <a:prstGeom prst="rect">
                            <a:avLst/>
                          </a:prstGeom>
                          <a:ln>
                            <a:noFill/>
                          </a:ln>
                        </wps:spPr>
                        <wps:txbx>
                          <w:txbxContent>
                            <w:p w:rsidR="00BB52D7" w:rsidRDefault="00E33AE6">
                              <w:pPr>
                                <w:spacing w:after="160" w:line="259" w:lineRule="auto"/>
                                <w:ind w:left="0" w:firstLine="0"/>
                                <w:jc w:val="left"/>
                              </w:pPr>
                              <w:r>
                                <w:rPr>
                                  <w:sz w:val="20"/>
                                </w:rPr>
                                <w:t xml:space="preserve">depositary/third party assess by </w:t>
                              </w:r>
                            </w:p>
                          </w:txbxContent>
                        </wps:txbx>
                        <wps:bodyPr horzOverflow="overflow" vert="horz" lIns="0" tIns="0" rIns="0" bIns="0" rtlCol="0">
                          <a:noAutofit/>
                        </wps:bodyPr>
                      </wps:wsp>
                      <wps:wsp>
                        <wps:cNvPr id="2398" name="Rectangle 2398"/>
                        <wps:cNvSpPr/>
                        <wps:spPr>
                          <a:xfrm>
                            <a:off x="717677" y="4980079"/>
                            <a:ext cx="262879" cy="187357"/>
                          </a:xfrm>
                          <a:prstGeom prst="rect">
                            <a:avLst/>
                          </a:prstGeom>
                          <a:ln>
                            <a:noFill/>
                          </a:ln>
                        </wps:spPr>
                        <wps:txbx>
                          <w:txbxContent>
                            <w:p w:rsidR="00BB52D7" w:rsidRDefault="00E33AE6">
                              <w:pPr>
                                <w:spacing w:after="160" w:line="259" w:lineRule="auto"/>
                                <w:ind w:left="0" w:firstLine="0"/>
                                <w:jc w:val="left"/>
                              </w:pPr>
                              <w:r>
                                <w:rPr>
                                  <w:sz w:val="20"/>
                                </w:rPr>
                                <w:t>MC</w:t>
                              </w:r>
                            </w:p>
                          </w:txbxContent>
                        </wps:txbx>
                        <wps:bodyPr horzOverflow="overflow" vert="horz" lIns="0" tIns="0" rIns="0" bIns="0" rtlCol="0">
                          <a:noAutofit/>
                        </wps:bodyPr>
                      </wps:wsp>
                      <wps:wsp>
                        <wps:cNvPr id="2399" name="Rectangle 2399"/>
                        <wps:cNvSpPr/>
                        <wps:spPr>
                          <a:xfrm>
                            <a:off x="915035" y="4980079"/>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401" name="Shape 2401"/>
                        <wps:cNvSpPr/>
                        <wps:spPr>
                          <a:xfrm>
                            <a:off x="2946400" y="2743835"/>
                            <a:ext cx="938530" cy="2570480"/>
                          </a:xfrm>
                          <a:custGeom>
                            <a:avLst/>
                            <a:gdLst/>
                            <a:ahLst/>
                            <a:cxnLst/>
                            <a:rect l="0" t="0" r="0" b="0"/>
                            <a:pathLst>
                              <a:path w="938530" h="2570480">
                                <a:moveTo>
                                  <a:pt x="156464" y="0"/>
                                </a:moveTo>
                                <a:cubicBezTo>
                                  <a:pt x="70104" y="0"/>
                                  <a:pt x="0" y="70104"/>
                                  <a:pt x="0" y="156464"/>
                                </a:cubicBezTo>
                                <a:lnTo>
                                  <a:pt x="0" y="2414016"/>
                                </a:lnTo>
                                <a:cubicBezTo>
                                  <a:pt x="0" y="2500376"/>
                                  <a:pt x="70104" y="2570480"/>
                                  <a:pt x="156464" y="2570480"/>
                                </a:cubicBezTo>
                                <a:lnTo>
                                  <a:pt x="782066" y="2570480"/>
                                </a:lnTo>
                                <a:cubicBezTo>
                                  <a:pt x="868426" y="2570480"/>
                                  <a:pt x="938530" y="2500376"/>
                                  <a:pt x="938530" y="2414016"/>
                                </a:cubicBezTo>
                                <a:lnTo>
                                  <a:pt x="938530" y="156464"/>
                                </a:lnTo>
                                <a:cubicBezTo>
                                  <a:pt x="938530" y="70104"/>
                                  <a:pt x="868426" y="0"/>
                                  <a:pt x="7820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02" name="Rectangle 2402"/>
                        <wps:cNvSpPr/>
                        <wps:spPr>
                          <a:xfrm>
                            <a:off x="3080131" y="2836319"/>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03" name="Rectangle 2403"/>
                        <wps:cNvSpPr/>
                        <wps:spPr>
                          <a:xfrm>
                            <a:off x="3080131" y="3135023"/>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04" name="Rectangle 2404"/>
                        <wps:cNvSpPr/>
                        <wps:spPr>
                          <a:xfrm>
                            <a:off x="3080131" y="3432965"/>
                            <a:ext cx="446984" cy="187357"/>
                          </a:xfrm>
                          <a:prstGeom prst="rect">
                            <a:avLst/>
                          </a:prstGeom>
                          <a:ln>
                            <a:noFill/>
                          </a:ln>
                        </wps:spPr>
                        <wps:txbx>
                          <w:txbxContent>
                            <w:p w:rsidR="00BB52D7" w:rsidRDefault="00E33AE6">
                              <w:pPr>
                                <w:spacing w:after="160" w:line="259" w:lineRule="auto"/>
                                <w:ind w:left="0" w:firstLine="0"/>
                                <w:jc w:val="left"/>
                              </w:pPr>
                              <w:r>
                                <w:rPr>
                                  <w:b/>
                                  <w:sz w:val="20"/>
                                </w:rPr>
                                <w:t xml:space="preserve">Legal </w:t>
                              </w:r>
                            </w:p>
                          </w:txbxContent>
                        </wps:txbx>
                        <wps:bodyPr horzOverflow="overflow" vert="horz" lIns="0" tIns="0" rIns="0" bIns="0" rtlCol="0">
                          <a:noAutofit/>
                        </wps:bodyPr>
                      </wps:wsp>
                      <wps:wsp>
                        <wps:cNvPr id="2405" name="Rectangle 2405"/>
                        <wps:cNvSpPr/>
                        <wps:spPr>
                          <a:xfrm>
                            <a:off x="3080131" y="3579269"/>
                            <a:ext cx="891430" cy="187357"/>
                          </a:xfrm>
                          <a:prstGeom prst="rect">
                            <a:avLst/>
                          </a:prstGeom>
                          <a:ln>
                            <a:noFill/>
                          </a:ln>
                        </wps:spPr>
                        <wps:txbx>
                          <w:txbxContent>
                            <w:p w:rsidR="00BB52D7" w:rsidRDefault="00E33AE6">
                              <w:pPr>
                                <w:spacing w:after="160" w:line="259" w:lineRule="auto"/>
                                <w:ind w:left="0" w:firstLine="0"/>
                                <w:jc w:val="left"/>
                              </w:pPr>
                              <w:r>
                                <w:rPr>
                                  <w:b/>
                                  <w:sz w:val="20"/>
                                </w:rPr>
                                <w:t>uncertainty;</w:t>
                              </w:r>
                            </w:p>
                          </w:txbxContent>
                        </wps:txbx>
                        <wps:bodyPr horzOverflow="overflow" vert="horz" lIns="0" tIns="0" rIns="0" bIns="0" rtlCol="0">
                          <a:noAutofit/>
                        </wps:bodyPr>
                      </wps:wsp>
                      <wps:wsp>
                        <wps:cNvPr id="2406" name="Rectangle 2406"/>
                        <wps:cNvSpPr/>
                        <wps:spPr>
                          <a:xfrm>
                            <a:off x="3749929" y="3579269"/>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07" name="Rectangle 2407"/>
                        <wps:cNvSpPr/>
                        <wps:spPr>
                          <a:xfrm>
                            <a:off x="3080131" y="3877973"/>
                            <a:ext cx="802404" cy="187357"/>
                          </a:xfrm>
                          <a:prstGeom prst="rect">
                            <a:avLst/>
                          </a:prstGeom>
                          <a:ln>
                            <a:noFill/>
                          </a:ln>
                        </wps:spPr>
                        <wps:txbx>
                          <w:txbxContent>
                            <w:p w:rsidR="00BB52D7" w:rsidRDefault="00E33AE6">
                              <w:pPr>
                                <w:spacing w:after="160" w:line="259" w:lineRule="auto"/>
                                <w:ind w:left="0" w:firstLine="0"/>
                                <w:jc w:val="left"/>
                              </w:pPr>
                              <w:r>
                                <w:rPr>
                                  <w:b/>
                                  <w:sz w:val="20"/>
                                </w:rPr>
                                <w:t xml:space="preserve">Ineffective </w:t>
                              </w:r>
                            </w:p>
                          </w:txbxContent>
                        </wps:txbx>
                        <wps:bodyPr horzOverflow="overflow" vert="horz" lIns="0" tIns="0" rIns="0" bIns="0" rtlCol="0">
                          <a:noAutofit/>
                        </wps:bodyPr>
                      </wps:wsp>
                      <wps:wsp>
                        <wps:cNvPr id="2408" name="Rectangle 2408"/>
                        <wps:cNvSpPr/>
                        <wps:spPr>
                          <a:xfrm>
                            <a:off x="3080131" y="4023515"/>
                            <a:ext cx="784125" cy="187357"/>
                          </a:xfrm>
                          <a:prstGeom prst="rect">
                            <a:avLst/>
                          </a:prstGeom>
                          <a:ln>
                            <a:noFill/>
                          </a:ln>
                        </wps:spPr>
                        <wps:txbx>
                          <w:txbxContent>
                            <w:p w:rsidR="00BB52D7" w:rsidRDefault="00E33AE6">
                              <w:pPr>
                                <w:spacing w:after="160" w:line="259" w:lineRule="auto"/>
                                <w:ind w:left="0" w:firstLine="0"/>
                                <w:jc w:val="left"/>
                              </w:pPr>
                              <w:r>
                                <w:rPr>
                                  <w:b/>
                                  <w:sz w:val="20"/>
                                </w:rPr>
                                <w:t xml:space="preserve">regulation </w:t>
                              </w:r>
                            </w:p>
                          </w:txbxContent>
                        </wps:txbx>
                        <wps:bodyPr horzOverflow="overflow" vert="horz" lIns="0" tIns="0" rIns="0" bIns="0" rtlCol="0">
                          <a:noAutofit/>
                        </wps:bodyPr>
                      </wps:wsp>
                      <wps:wsp>
                        <wps:cNvPr id="2409" name="Rectangle 2409"/>
                        <wps:cNvSpPr/>
                        <wps:spPr>
                          <a:xfrm>
                            <a:off x="3080131" y="4170073"/>
                            <a:ext cx="314801" cy="187357"/>
                          </a:xfrm>
                          <a:prstGeom prst="rect">
                            <a:avLst/>
                          </a:prstGeom>
                          <a:ln>
                            <a:noFill/>
                          </a:ln>
                        </wps:spPr>
                        <wps:txbx>
                          <w:txbxContent>
                            <w:p w:rsidR="00BB52D7" w:rsidRDefault="00E33AE6">
                              <w:pPr>
                                <w:spacing w:after="160" w:line="259" w:lineRule="auto"/>
                                <w:ind w:left="0" w:firstLine="0"/>
                                <w:jc w:val="left"/>
                              </w:pPr>
                              <w:r>
                                <w:rPr>
                                  <w:b/>
                                  <w:sz w:val="20"/>
                                </w:rPr>
                                <w:t xml:space="preserve">and </w:t>
                              </w:r>
                            </w:p>
                          </w:txbxContent>
                        </wps:txbx>
                        <wps:bodyPr horzOverflow="overflow" vert="horz" lIns="0" tIns="0" rIns="0" bIns="0" rtlCol="0">
                          <a:noAutofit/>
                        </wps:bodyPr>
                      </wps:wsp>
                      <wps:wsp>
                        <wps:cNvPr id="2410" name="Rectangle 2410"/>
                        <wps:cNvSpPr/>
                        <wps:spPr>
                          <a:xfrm>
                            <a:off x="3080131" y="4320187"/>
                            <a:ext cx="826125" cy="187357"/>
                          </a:xfrm>
                          <a:prstGeom prst="rect">
                            <a:avLst/>
                          </a:prstGeom>
                          <a:ln>
                            <a:noFill/>
                          </a:ln>
                        </wps:spPr>
                        <wps:txbx>
                          <w:txbxContent>
                            <w:p w:rsidR="00BB52D7" w:rsidRDefault="00E33AE6">
                              <w:pPr>
                                <w:spacing w:after="160" w:line="259" w:lineRule="auto"/>
                                <w:ind w:left="0" w:firstLine="0"/>
                                <w:jc w:val="left"/>
                              </w:pPr>
                              <w:r>
                                <w:rPr>
                                  <w:b/>
                                  <w:sz w:val="20"/>
                                </w:rPr>
                                <w:t>supervision</w:t>
                              </w:r>
                            </w:p>
                          </w:txbxContent>
                        </wps:txbx>
                        <wps:bodyPr horzOverflow="overflow" vert="horz" lIns="0" tIns="0" rIns="0" bIns="0" rtlCol="0">
                          <a:noAutofit/>
                        </wps:bodyPr>
                      </wps:wsp>
                      <wps:wsp>
                        <wps:cNvPr id="2411" name="Rectangle 2411"/>
                        <wps:cNvSpPr/>
                        <wps:spPr>
                          <a:xfrm>
                            <a:off x="3701161" y="4320187"/>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20" name="Shape 2420"/>
                        <wps:cNvSpPr/>
                        <wps:spPr>
                          <a:xfrm>
                            <a:off x="191770" y="5765800"/>
                            <a:ext cx="3754755" cy="803275"/>
                          </a:xfrm>
                          <a:custGeom>
                            <a:avLst/>
                            <a:gdLst/>
                            <a:ahLst/>
                            <a:cxnLst/>
                            <a:rect l="0" t="0" r="0" b="0"/>
                            <a:pathLst>
                              <a:path w="3754755" h="803275">
                                <a:moveTo>
                                  <a:pt x="133883" y="0"/>
                                </a:moveTo>
                                <a:cubicBezTo>
                                  <a:pt x="59944" y="0"/>
                                  <a:pt x="0" y="59944"/>
                                  <a:pt x="0" y="133858"/>
                                </a:cubicBezTo>
                                <a:lnTo>
                                  <a:pt x="0" y="669417"/>
                                </a:lnTo>
                                <a:cubicBezTo>
                                  <a:pt x="0" y="743331"/>
                                  <a:pt x="59944" y="803275"/>
                                  <a:pt x="133883" y="803275"/>
                                </a:cubicBezTo>
                                <a:lnTo>
                                  <a:pt x="3620897" y="803275"/>
                                </a:lnTo>
                                <a:cubicBezTo>
                                  <a:pt x="3694811" y="803275"/>
                                  <a:pt x="3754755" y="743331"/>
                                  <a:pt x="3754755" y="669417"/>
                                </a:cubicBezTo>
                                <a:lnTo>
                                  <a:pt x="3754755" y="133858"/>
                                </a:lnTo>
                                <a:cubicBezTo>
                                  <a:pt x="3754755" y="59944"/>
                                  <a:pt x="3694811" y="0"/>
                                  <a:pt x="362089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21" name="Rectangle 2421"/>
                        <wps:cNvSpPr/>
                        <wps:spPr>
                          <a:xfrm>
                            <a:off x="322707" y="5856378"/>
                            <a:ext cx="4687657" cy="187358"/>
                          </a:xfrm>
                          <a:prstGeom prst="rect">
                            <a:avLst/>
                          </a:prstGeom>
                          <a:ln>
                            <a:noFill/>
                          </a:ln>
                        </wps:spPr>
                        <wps:txbx>
                          <w:txbxContent>
                            <w:p w:rsidR="00BB52D7" w:rsidRDefault="00E33AE6">
                              <w:pPr>
                                <w:spacing w:after="160" w:line="259" w:lineRule="auto"/>
                                <w:ind w:left="0" w:firstLine="0"/>
                                <w:jc w:val="left"/>
                              </w:pPr>
                              <w:r>
                                <w:rPr>
                                  <w:b/>
                                  <w:sz w:val="20"/>
                                </w:rPr>
                                <w:t xml:space="preserve">Adverse impact on investor protection, financial stability and </w:t>
                              </w:r>
                            </w:p>
                          </w:txbxContent>
                        </wps:txbx>
                        <wps:bodyPr horzOverflow="overflow" vert="horz" lIns="0" tIns="0" rIns="0" bIns="0" rtlCol="0">
                          <a:noAutofit/>
                        </wps:bodyPr>
                      </wps:wsp>
                      <wps:wsp>
                        <wps:cNvPr id="2422" name="Rectangle 2422"/>
                        <wps:cNvSpPr/>
                        <wps:spPr>
                          <a:xfrm>
                            <a:off x="322707" y="6001921"/>
                            <a:ext cx="2388426" cy="187357"/>
                          </a:xfrm>
                          <a:prstGeom prst="rect">
                            <a:avLst/>
                          </a:prstGeom>
                          <a:ln>
                            <a:noFill/>
                          </a:ln>
                        </wps:spPr>
                        <wps:txbx>
                          <w:txbxContent>
                            <w:p w:rsidR="00BB52D7" w:rsidRDefault="00E33AE6">
                              <w:pPr>
                                <w:spacing w:after="160" w:line="259" w:lineRule="auto"/>
                                <w:ind w:left="0" w:firstLine="0"/>
                                <w:jc w:val="left"/>
                              </w:pPr>
                              <w:r>
                                <w:rPr>
                                  <w:b/>
                                  <w:sz w:val="20"/>
                                </w:rPr>
                                <w:t xml:space="preserve">transparency of capital markets. </w:t>
                              </w:r>
                            </w:p>
                          </w:txbxContent>
                        </wps:txbx>
                        <wps:bodyPr horzOverflow="overflow" vert="horz" lIns="0" tIns="0" rIns="0" bIns="0" rtlCol="0">
                          <a:noAutofit/>
                        </wps:bodyPr>
                      </wps:wsp>
                      <wps:wsp>
                        <wps:cNvPr id="2423" name="Rectangle 2423"/>
                        <wps:cNvSpPr/>
                        <wps:spPr>
                          <a:xfrm>
                            <a:off x="2118233" y="6001921"/>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24" name="Rectangle 2424"/>
                        <wps:cNvSpPr/>
                        <wps:spPr>
                          <a:xfrm>
                            <a:off x="322707" y="6300625"/>
                            <a:ext cx="3875098" cy="187357"/>
                          </a:xfrm>
                          <a:prstGeom prst="rect">
                            <a:avLst/>
                          </a:prstGeom>
                          <a:ln>
                            <a:noFill/>
                          </a:ln>
                        </wps:spPr>
                        <wps:txbx>
                          <w:txbxContent>
                            <w:p w:rsidR="00BB52D7" w:rsidRDefault="00E33AE6">
                              <w:pPr>
                                <w:spacing w:after="160" w:line="259" w:lineRule="auto"/>
                                <w:ind w:left="0" w:firstLine="0"/>
                                <w:jc w:val="left"/>
                              </w:pPr>
                              <w:r>
                                <w:rPr>
                                  <w:b/>
                                  <w:sz w:val="20"/>
                                </w:rPr>
                                <w:t>Potential impact on the level of market concentration.</w:t>
                              </w:r>
                            </w:p>
                          </w:txbxContent>
                        </wps:txbx>
                        <wps:bodyPr horzOverflow="overflow" vert="horz" lIns="0" tIns="0" rIns="0" bIns="0" rtlCol="0">
                          <a:noAutofit/>
                        </wps:bodyPr>
                      </wps:wsp>
                      <wps:wsp>
                        <wps:cNvPr id="2425" name="Rectangle 2425"/>
                        <wps:cNvSpPr/>
                        <wps:spPr>
                          <a:xfrm>
                            <a:off x="3237103" y="6300625"/>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32" name="Shape 2432"/>
                        <wps:cNvSpPr/>
                        <wps:spPr>
                          <a:xfrm>
                            <a:off x="1307973" y="2451100"/>
                            <a:ext cx="76200" cy="292735"/>
                          </a:xfrm>
                          <a:custGeom>
                            <a:avLst/>
                            <a:gdLst/>
                            <a:ahLst/>
                            <a:cxnLst/>
                            <a:rect l="0" t="0" r="0" b="0"/>
                            <a:pathLst>
                              <a:path w="76200" h="292735">
                                <a:moveTo>
                                  <a:pt x="37592" y="0"/>
                                </a:moveTo>
                                <a:cubicBezTo>
                                  <a:pt x="41148" y="0"/>
                                  <a:pt x="43942" y="2794"/>
                                  <a:pt x="43942" y="6350"/>
                                </a:cubicBezTo>
                                <a:lnTo>
                                  <a:pt x="44421" y="216514"/>
                                </a:lnTo>
                                <a:lnTo>
                                  <a:pt x="76200" y="216408"/>
                                </a:lnTo>
                                <a:lnTo>
                                  <a:pt x="38227" y="292735"/>
                                </a:lnTo>
                                <a:lnTo>
                                  <a:pt x="0" y="216662"/>
                                </a:lnTo>
                                <a:lnTo>
                                  <a:pt x="31721" y="216556"/>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33" name="Shape 2433"/>
                        <wps:cNvSpPr/>
                        <wps:spPr>
                          <a:xfrm>
                            <a:off x="3392805" y="2488565"/>
                            <a:ext cx="76200" cy="292735"/>
                          </a:xfrm>
                          <a:custGeom>
                            <a:avLst/>
                            <a:gdLst/>
                            <a:ahLst/>
                            <a:cxnLst/>
                            <a:rect l="0" t="0" r="0" b="0"/>
                            <a:pathLst>
                              <a:path w="76200" h="292735">
                                <a:moveTo>
                                  <a:pt x="38100" y="0"/>
                                </a:moveTo>
                                <a:cubicBezTo>
                                  <a:pt x="41656" y="0"/>
                                  <a:pt x="44450" y="2794"/>
                                  <a:pt x="44450" y="6350"/>
                                </a:cubicBezTo>
                                <a:lnTo>
                                  <a:pt x="44450" y="216535"/>
                                </a:lnTo>
                                <a:lnTo>
                                  <a:pt x="76200" y="216535"/>
                                </a:lnTo>
                                <a:lnTo>
                                  <a:pt x="38100" y="292735"/>
                                </a:lnTo>
                                <a:lnTo>
                                  <a:pt x="0" y="216535"/>
                                </a:lnTo>
                                <a:lnTo>
                                  <a:pt x="31750" y="216535"/>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35" name="Shape 2435"/>
                        <wps:cNvSpPr/>
                        <wps:spPr>
                          <a:xfrm>
                            <a:off x="0" y="5423535"/>
                            <a:ext cx="3847465" cy="342265"/>
                          </a:xfrm>
                          <a:custGeom>
                            <a:avLst/>
                            <a:gdLst/>
                            <a:ahLst/>
                            <a:cxnLst/>
                            <a:rect l="0" t="0" r="0" b="0"/>
                            <a:pathLst>
                              <a:path w="3847465" h="342265">
                                <a:moveTo>
                                  <a:pt x="3847465" y="0"/>
                                </a:moveTo>
                                <a:cubicBezTo>
                                  <a:pt x="3847465" y="94488"/>
                                  <a:pt x="3703955" y="171069"/>
                                  <a:pt x="3526790" y="171069"/>
                                </a:cubicBezTo>
                                <a:lnTo>
                                  <a:pt x="2244344" y="171069"/>
                                </a:lnTo>
                                <a:cubicBezTo>
                                  <a:pt x="2067306" y="171069"/>
                                  <a:pt x="1923669" y="247777"/>
                                  <a:pt x="1923669" y="342265"/>
                                </a:cubicBezTo>
                                <a:cubicBezTo>
                                  <a:pt x="1923669" y="247777"/>
                                  <a:pt x="1780159" y="171069"/>
                                  <a:pt x="1603121" y="171069"/>
                                </a:cubicBezTo>
                                <a:lnTo>
                                  <a:pt x="320624" y="171069"/>
                                </a:lnTo>
                                <a:cubicBezTo>
                                  <a:pt x="143574" y="171069"/>
                                  <a:pt x="0" y="94488"/>
                                  <a:pt x="0" y="0"/>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74417" o:spid="_x0000_s1026" style="width:310.75pt;height:517.25pt;mso-position-horizontal-relative:char;mso-position-vertical-relative:line" coordsize="39465,6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">
                <v:rect id="Rectangle 2277" o:spid="_x0000_s1027" style="position:absolute;left:3006;top:1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ScMcA&#10;AADdAAAADwAAAGRycy9kb3ducmV2LnhtbESPQWvCQBSE74L/YXlCb7oxh6rRNQRbSY6tFqy3R/Y1&#10;Cc2+DdnVpP313UKhx2FmvmF26WhacafeNZYVLBcRCOLS6oYrBW/n43wNwnlkja1lUvBFDtL9dLLD&#10;RNuBX+l+8pUIEHYJKqi97xIpXVmTQbewHXHwPmxv0AfZV1L3OAS4aWUcRY/SYMNhocaODjWVn6eb&#10;UZCvu+y9sN9D1T5f88vLZfN03nilHmZjtgXhafT/4b92oRXE8WoF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qUnD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2278" o:spid="_x0000_s1028" style="position:absolute;left:3006;top:341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XGAsMA&#10;AADdAAAADwAAAGRycy9kb3ducmV2LnhtbERPy4rCMBTdD/gP4QruxnS6UNsxivhAl+MD1N2ludOW&#10;aW5KE2316ycLweXhvKfzzlTiTo0rLSv4GkYgiDOrS84VnI6bzwkI55E1VpZJwYMczGe9jymm2ra8&#10;p/vB5yKEsEtRQeF9nUrpsoIMuqGtiQP3axuDPsAml7rBNoSbSsZRNJIGSw4NBda0LCj7O9yMgu2k&#10;Xlx29tnm1fq6Pf+ck9Ux8UoN+t3iG4Snzr/FL/dOK4jjcZgb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XGAsMAAADdAAAADwAAAAAAAAAAAAAAAACYAgAAZHJzL2Rv&#10;d25yZXYueG1sUEsFBgAAAAAEAAQA9QAAAIgDAAAAAA==&#10;" filled="f" stroked="f">
                  <v:textbox inset="0,0,0,0">
                    <w:txbxContent>
                      <w:p w:rsidR="00BB52D7" w:rsidRDefault="00E33AE6">
                        <w:pPr>
                          <w:spacing w:after="160" w:line="259" w:lineRule="auto"/>
                          <w:ind w:left="0" w:firstLine="0"/>
                          <w:jc w:val="left"/>
                        </w:pPr>
                        <w:r>
                          <w:t xml:space="preserve"> </w:t>
                        </w:r>
                      </w:p>
                    </w:txbxContent>
                  </v:textbox>
                </v:rect>
                <v:rect id="Rectangle 2279" o:spid="_x0000_s1029" style="position:absolute;left:3006;top:669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jmc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45c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5Y5n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2280" o:spid="_x0000_s1030" style="position:absolute;left:3006;top:997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6I8IA&#10;AADdAAAADwAAAGRycy9kb3ducmV2LnhtbERPTYvCMBC9C/6HMII3Te1BajWK6C563FVBvQ3N2Bab&#10;SWmirfvrNwfB4+N9L1adqcSTGldaVjAZRyCIM6tLzhWcjt+jBITzyBory6TgRQ5Wy35vgam2Lf/S&#10;8+BzEULYpaig8L5OpXRZQQbd2NbEgbvZxqAPsMmlbrAN4aaScRRNpcGSQ0OBNW0Kyu6Hh1GwS+r1&#10;ZW//2rz6uu7OP+fZ9jjzSg0H3XoOwlPnP+K3e68VxHES9oc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1rojwgAAAN0AAAAPAAAAAAAAAAAAAAAAAJgCAABkcnMvZG93&#10;bnJldi54bWxQSwUGAAAAAAQABAD1AAAAhwMAAAAA&#10;" filled="f" stroked="f">
                  <v:textbox inset="0,0,0,0">
                    <w:txbxContent>
                      <w:p w:rsidR="00BB52D7" w:rsidRDefault="00E33AE6">
                        <w:pPr>
                          <w:spacing w:after="160" w:line="259" w:lineRule="auto"/>
                          <w:ind w:left="0" w:firstLine="0"/>
                          <w:jc w:val="left"/>
                        </w:pPr>
                        <w:r>
                          <w:t xml:space="preserve"> </w:t>
                        </w:r>
                      </w:p>
                    </w:txbxContent>
                  </v:textbox>
                </v:rect>
                <v:rect id="Rectangle 2281" o:spid="_x0000_s1031" style="position:absolute;left:3006;top:1324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fuMcA&#10;AADdAAAADwAAAGRycy9kb3ducmV2LnhtbESPzWrDMBCE74W+g9hCb7UcH4rjRgmhTYiP+Sm4vS3W&#10;1ja1VsZSbTdPHwUCOQ4z8w2zWE2mFQP1rrGsYBbFIIhLqxuuFHyeti8pCOeRNbaWScE/OVgtHx8W&#10;mGk78oGGo69EgLDLUEHtfZdJ6cqaDLrIdsTB+7G9QR9kX0nd4xjgppVJHL9Kgw2HhRo7eq+p/D3+&#10;GQW7tFt/5fY8Vu3me1fsi/nHae6Ven6a1m8gPE3+Hr61c60gSdIZ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7j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2282" o:spid="_x0000_s1032" style="position:absolute;left:3006;top:1652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iBz8YA&#10;AADdAAAADwAAAGRycy9kb3ducmV2LnhtbESPQWvCQBSE70L/w/IK3nTTHEpMXUVaJTlaI9jeHtnX&#10;JDT7NmS3SfTXdwsFj8PMfMOst5NpxUC9aywreFpGIIhLqxuuFJyLwyIB4TyyxtYyKbiSg+3mYbbG&#10;VNuR32k4+UoECLsUFdTed6mUrqzJoFvajjh4X7Y36IPsK6l7HAPctDKOomdpsOGwUGNHrzWV36cf&#10;oyBLut1Hbm9j1e4/s8vxsnorVl6p+eO0ewHhafL38H871wriOIn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iBz8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83" o:spid="_x0000_s1033" style="position:absolute;left:3006;top:198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kVMYA&#10;AADdAAAADwAAAGRycy9kb3ducmV2LnhtbESPQWvCQBSE7wX/w/KE3urGF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QkVM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84" o:spid="_x0000_s1034" style="position:absolute;left:3006;top:2307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8IMYA&#10;AADdAAAADwAAAGRycy9kb3ducmV2LnhtbESPQWvCQBSE7wX/w/KE3urGU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8IM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85" o:spid="_x0000_s1035" style="position:absolute;left:3006;top:26356;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u8YA&#10;AADdAAAADwAAAGRycy9kb3ducmV2LnhtbESPQWvCQBSE7wX/w/KE3urGQEt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EZu8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86" o:spid="_x0000_s1036" style="position:absolute;left:3006;top:2963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Hz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COky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OHzM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87" o:spid="_x0000_s1037" style="position:absolute;left:3006;top:3290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i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COkw+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iV8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88" o:spid="_x0000_s1038" style="position:absolute;left:3006;top:3618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2JcIA&#10;AADdAAAADwAAAGRycy9kb3ducmV2LnhtbERPTYvCMBC9C/6HMII3Te1BajWK6C563FVBvQ3N2Bab&#10;SWmirfvrNwfB4+N9L1adqcSTGldaVjAZRyCIM6tLzhWcjt+jBITzyBory6TgRQ5Wy35vgam2Lf/S&#10;8+BzEULYpaig8L5OpXRZQQbd2NbEgbvZxqAPsMmlbrAN4aaScRRNpcGSQ0OBNW0Kyu6Hh1GwS+r1&#10;ZW//2rz6uu7OP+fZ9jjzSg0H3XoOwlPnP+K3e68VxHES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LYlwgAAAN0AAAAPAAAAAAAAAAAAAAAAAJgCAABkcnMvZG93&#10;bnJldi54bWxQSwUGAAAAAAQABAD1AAAAhwMAAAAA&#10;" filled="f" stroked="f">
                  <v:textbox inset="0,0,0,0">
                    <w:txbxContent>
                      <w:p w:rsidR="00BB52D7" w:rsidRDefault="00E33AE6">
                        <w:pPr>
                          <w:spacing w:after="160" w:line="259" w:lineRule="auto"/>
                          <w:ind w:left="0" w:firstLine="0"/>
                          <w:jc w:val="left"/>
                        </w:pPr>
                        <w:r>
                          <w:t xml:space="preserve"> </w:t>
                        </w:r>
                      </w:p>
                    </w:txbxContent>
                  </v:textbox>
                </v:rect>
                <v:rect id="Rectangle 2289" o:spid="_x0000_s1039" style="position:absolute;left:3006;top:3946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TvsUA&#10;AADdAAAADwAAAGRycy9kb3ducmV2LnhtbESPQWvCQBSE7wX/w/IEb3VjDpJEVxFt0aPVgnp7ZJ9J&#10;MPs2ZFcT/fXdQqHHYWa+YebL3tTiQa2rLCuYjCMQxLnVFRcKvo+f7wkI55E11pZJwZMcLBeDtzlm&#10;2nb8RY+DL0SAsMtQQel9k0np8pIMurFtiIN3ta1BH2RbSN1iF+CmlnEUTaXBisNCiQ2tS8pvh7tR&#10;sE2a1XlnX11Rf1y2p/0p3RxTr9Ro2K9mIDz1/j/8195pBXGcp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7BO+xQAAAN0AAAAPAAAAAAAAAAAAAAAAAJgCAABkcnMv&#10;ZG93bnJldi54bWxQSwUGAAAAAAQABAD1AAAAigMAAAAA&#10;" filled="f" stroked="f">
                  <v:textbox inset="0,0,0,0">
                    <w:txbxContent>
                      <w:p w:rsidR="00BB52D7" w:rsidRDefault="00E33AE6">
                        <w:pPr>
                          <w:spacing w:after="160" w:line="259" w:lineRule="auto"/>
                          <w:ind w:left="0" w:firstLine="0"/>
                          <w:jc w:val="left"/>
                        </w:pPr>
                        <w:r>
                          <w:t xml:space="preserve"> </w:t>
                        </w:r>
                      </w:p>
                    </w:txbxContent>
                  </v:textbox>
                </v:rect>
                <v:rect id="Rectangle 2290" o:spid="_x0000_s1040" style="position:absolute;left:3006;top:4274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s/sIA&#10;AADdAAAADwAAAGRycy9kb3ducmV2LnhtbERPTYvCMBC9C/sfwizsTdPtQWw1iriKHtUK6m1oxrbY&#10;TEoTbddfbw4Le3y879miN7V4Uusqywq+RxEI4tzqigsFp2wznIBwHlljbZkU/JKDxfxjMMNU244P&#10;9Dz6QoQQdikqKL1vUildXpJBN7INceButjXoA2wLqVvsQripZRxFY2mw4tBQYkOrkvL78WEUbCfN&#10;8rKzr66o19fteX9OfrLEK/X12S+nIDz1/l/8595pBXGchP3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yz+wgAAAN0AAAAPAAAAAAAAAAAAAAAAAJgCAABkcnMvZG93&#10;bnJldi54bWxQSwUGAAAAAAQABAD1AAAAhwMAAAAA&#10;" filled="f" stroked="f">
                  <v:textbox inset="0,0,0,0">
                    <w:txbxContent>
                      <w:p w:rsidR="00BB52D7" w:rsidRDefault="00E33AE6">
                        <w:pPr>
                          <w:spacing w:after="160" w:line="259" w:lineRule="auto"/>
                          <w:ind w:left="0" w:firstLine="0"/>
                          <w:jc w:val="left"/>
                        </w:pPr>
                        <w:r>
                          <w:t xml:space="preserve"> </w:t>
                        </w:r>
                      </w:p>
                    </w:txbxContent>
                  </v:textbox>
                </v:rect>
                <v:rect id="Rectangle 2291" o:spid="_x0000_s1041" style="position:absolute;left:3006;top:4601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ZcYA&#10;AADdAAAADwAAAGRycy9kb3ducmV2LnhtbESPQWvCQBSE7wX/w/KE3uomOZQkuopoSzxaU7DeHtnX&#10;JDT7NmS3JvXXdwsFj8PMfMOsNpPpxJUG11pWEC8iEMSV1S3XCt7L16cUhPPIGjvLpOCHHGzWs4cV&#10;5tqO/EbXk69FgLDLUUHjfZ9L6aqGDLqF7YmD92kHgz7IoZZ6wDHATSeTKHqWBlsOCw32tGuo+jp9&#10;GwVF2m8/DvY21t3LpTgfz9m+zLxSj/NpuwThafL38H/7oBUkSRbD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JZc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92" o:spid="_x0000_s1042" style="position:absolute;left:3006;top:4929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XEsYA&#10;AADdAAAADwAAAGRycy9kb3ducmV2LnhtbESPQWvCQBSE7wX/w/IEb83GHEoSXUVqizlaLcTeHtnX&#10;JDT7NmS3Jvrru4VCj8PMfMOst5PpxJUG11pWsIxiEMSV1S3XCt7Pr48pCOeRNXaWScGNHGw3s4c1&#10;5tqO/EbXk69FgLDLUUHjfZ9L6aqGDLrI9sTB+7SDQR/kUEs94BjgppNJHD9Jgy2HhQZ7em6o+jp9&#10;GwWHtN9dCnsf6+7l41Aey2x/zrxSi/m0W4HwNPn/8F+70AqSJEv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EXEs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93" o:spid="_x0000_s1043" style="position:absolute;left:3006;top:525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yicYA&#10;AADdAAAADwAAAGRycy9kb3ducmV2LnhtbESPQWvCQBSE7wX/w/KE3urGFIpJsxHRFj1WI9jeHtnX&#10;JJh9G7Jbk/bXdwXB4zAz3zDZcjStuFDvGssK5rMIBHFpdcOVgmPx/rQA4TyyxtYyKfglB8t88pBh&#10;qu3Ae7ocfCUChF2KCmrvu1RKV9Zk0M1sRxy8b9sb9EH2ldQ9DgFuWhlH0Ys02HBYqLGjdU3l+fBj&#10;FGwX3epzZ/+Gqn372p4+TsmmSLxSj9Nx9QrC0+jv4Vt7pxXEcfI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2yic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94" o:spid="_x0000_s1044" style="position:absolute;left:3006;top:558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Qq/cYA&#10;AADdAAAADwAAAGRycy9kb3ducmV2LnhtbESPQWvCQBSE7wX/w/KE3urGUIpJsxHRFj1WI9jeHtnX&#10;JJh9G7Jbk/bXdwXB4zAz3zDZcjStuFDvGssK5rMIBHFpdcOVgmPx/rQA4TyyxtYyKfglB8t88pBh&#10;qu3Ae7ocfCUChF2KCmrvu1RKV9Zk0M1sRxy8b9sb9EH2ldQ9DgFuWhlH0Ys02HBYqLGjdU3l+fBj&#10;FGwX3epzZ/+Gqn372p4+TsmmSLxSj9Nx9QrC0+jv4Vt7pxXEcfI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Qq/c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2295" o:spid="_x0000_s1045" style="position:absolute;left:3006;top:5911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PZsYA&#10;AADdAAAADwAAAGRycy9kb3ducmV2LnhtbESPQWvCQBSE7wX/w/KE3urGQItJsxHRFj1WI9jeHtnX&#10;JJh9G7Jbk/bXdwXB4zAz3zDZcjStuFDvGssK5rMIBHFpdcOVgmPx/rQA4TyyxtYyKfglB8t88pBh&#10;qu3Ae7ocfCUChF2KCmrvu1RKV9Zk0M1sRxy8b9sb9EH2ldQ9DgFuWhlH0Ys02HBYqLGjdU3l+fBj&#10;FGwX3epzZ/+Gqn372p4+TsmmSLxSj9Nx9QrC0+jv4Vt7pxXEcfI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iPZs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shape id="Shape 2323" o:spid="_x0000_s1046" style="position:absolute;left:457;width:25146;height:24574;visibility:visible;mso-wrap-style:square;v-text-anchor:top" coordsize="2514600,245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L/MUA&#10;AADdAAAADwAAAGRycy9kb3ducmV2LnhtbESPT2vCQBTE74LfYXlCb7ox/mlJXaUIhV6EGtP7I/vM&#10;BrNvQ3abxG/fFQoeh5n5DbM7jLYRPXW+dqxguUhAEJdO11wpKC6f8zcQPiBrbByTgjt5OOynkx1m&#10;2g18pj4PlYgQ9hkqMCG0mZS+NGTRL1xLHL2r6yyGKLtK6g6HCLeNTJNkKy3WHBcMtnQ0VN7yX6tg&#10;+3M2RXr7PhabYX29vy4DnvqTUi+z8eMdRKAxPMP/7S+tIF2lK3i8iU9A7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Av8xQAAAN0AAAAPAAAAAAAAAAAAAAAAAJgCAABkcnMv&#10;ZG93bnJldi54bWxQSwUGAAAAAAQABAD1AAAAigMAAAAA&#10;" path="m409575,c183401,,,183388,,409575l,2047875v,226187,183401,409575,409575,409575l2105025,2457450v226187,,409575,-183388,409575,-409575l2514600,409575c2514600,183388,2331212,,2105025,l409575,xe" filled="f">
                  <v:stroke endcap="round"/>
                  <v:path arrowok="t" textboxrect="0,0,2514600,2457450"/>
                </v:shape>
                <v:rect id="Rectangle 2324" o:spid="_x0000_s1047" style="position:absolute;left:2556;top:1690;width:28285;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rsh8cA&#10;AADdAAAADwAAAGRycy9kb3ducmV2LnhtbESPQWvCQBSE74X+h+UVems2TU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9q7If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Links between management company </w:t>
                        </w:r>
                      </w:p>
                    </w:txbxContent>
                  </v:textbox>
                </v:rect>
                <v:rect id="Rectangle 2325" o:spid="_x0000_s1048" style="position:absolute;left:2556;top:3138;width:19665;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JHMcA&#10;AADdAAAADwAAAGRycy9kb3ducmV2LnhtbESPQWvCQBSE74X+h+UVems2TVF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mSRz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and depositary/ third party</w:t>
                        </w:r>
                      </w:p>
                    </w:txbxContent>
                  </v:textbox>
                </v:rect>
                <v:rect id="Rectangle 2326" o:spid="_x0000_s1049" style="position:absolute;left:17349;top:3138;width:328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TXa8cA&#10;AADdAAAADwAAAGRycy9kb3ducmV2LnhtbESPQWvCQBSE74L/YXlCb7oxBd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012v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e.g.</w:t>
                        </w:r>
                      </w:p>
                    </w:txbxContent>
                  </v:textbox>
                </v:rect>
                <v:rect id="Rectangle 2327" o:spid="_x0000_s1050" style="position:absolute;left:19810;top:3138;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y8McA&#10;AADdAAAADwAAAGRycy9kb3ducmV2LnhtbESPQWvCQBSE74X+h+UVems2TUFjdBWpih6tFlJvj+xr&#10;Epp9G7Krif31XUHocZiZb5jZYjCNuFDnassKXqMYBHFhdc2lgs/j5iUF4TyyxsYyKbiSg8X88WGG&#10;mbY9f9Dl4EsRIOwyVFB532ZSuqIigy6yLXHwvm1n0AfZlVJ32Ae4aWQSxyNpsOawUGFL7xUVP4ez&#10;UbBN2+XXzv72ZbM+bfN9PlkdJ16p56dhOQXhafD/4Xt7pxUkb8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cvD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28" o:spid="_x0000_s1051" style="position:absolute;left:4845;top:6120;width:56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mgsMA&#10;AADdAAAADwAAAGRycy9kb3ducmV2LnhtbERPy4rCMBTdD/gP4QruxnQqiO0YRXygy/EB6u7S3GnL&#10;NDelibb69ZOF4PJw3tN5Zypxp8aVlhV8DSMQxJnVJecKTsfN5wSE88gaK8uk4EEO5rPexxRTbVve&#10;0/3gcxFC2KWooPC+TqV0WUEG3dDWxIH7tY1BH2CTS91gG8JNJeMoGkuDJYeGAmtaFpT9HW5GwXZS&#10;Ly47+2zzan3dnn/OyeqYeKUG/W7xDcJT59/il3unFcSj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fmgs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w:t>
                        </w:r>
                      </w:p>
                    </w:txbxContent>
                  </v:textbox>
                </v:rect>
                <v:rect id="Rectangle 2329" o:spid="_x0000_s1052" style="position:absolute;left:5271;top:6102;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DGcYA&#10;AADdAAAADwAAAGRycy9kb3ducmV2LnhtbESPQWvCQBSE7wX/w/KE3urGFIpJsxHRFj1WI9jeHtnX&#10;JJh9G7Jbk/bXdwXB4zAz3zDZcjStuFDvGssK5rMIBHFpdcOVgmPx/rQA4TyyxtYyKfglB8t88pBh&#10;qu3Ae7ocfCUChF2KCmrvu1RKV9Zk0M1sRxy8b9sb9EH2ldQ9DgFuWhlH0Ys02HBYqLGjdU3l+fBj&#10;FGwX3epzZ/+Gqn372p4+TsmmSLxSj9Nx9QrC0+jv4Vt7pxXEz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tDGcYAAADdAAAADwAAAAAAAAAAAAAAAACYAgAAZHJz&#10;L2Rvd25yZXYueG1sUEsFBgAAAAAEAAQA9QAAAIsDAAAAAA==&#10;" filled="f" stroked="f">
                  <v:textbox inset="0,0,0,0">
                    <w:txbxContent>
                      <w:p w:rsidR="00BB52D7" w:rsidRDefault="00E33AE6">
                        <w:pPr>
                          <w:spacing w:after="160" w:line="259" w:lineRule="auto"/>
                          <w:ind w:left="0" w:firstLine="0"/>
                          <w:jc w:val="left"/>
                        </w:pPr>
                        <w:r>
                          <w:rPr>
                            <w:rFonts w:ascii="Arial" w:eastAsia="Arial" w:hAnsi="Arial" w:cs="Arial"/>
                            <w:sz w:val="20"/>
                          </w:rPr>
                          <w:t xml:space="preserve"> </w:t>
                        </w:r>
                      </w:p>
                    </w:txbxContent>
                  </v:textbox>
                </v:rect>
                <v:rect id="Rectangle 2330" o:spid="_x0000_s1053" style="position:absolute;left:7131;top:6120;width:56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8WcEA&#10;AADdAAAADwAAAGRycy9kb3ducmV2LnhtbERPy4rCMBTdC/5DuMLsNFVh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IfFnBAAAA3QAAAA8AAAAAAAAAAAAAAAAAmAIAAGRycy9kb3du&#10;cmV2LnhtbFBLBQYAAAAABAAEAPUAAACGAwAAAAA=&#10;" filled="f" stroked="f">
                  <v:textbox inset="0,0,0,0">
                    <w:txbxContent>
                      <w:p w:rsidR="00BB52D7" w:rsidRDefault="00E33AE6">
                        <w:pPr>
                          <w:spacing w:after="160" w:line="259" w:lineRule="auto"/>
                          <w:ind w:left="0" w:firstLine="0"/>
                          <w:jc w:val="left"/>
                        </w:pPr>
                        <w:r>
                          <w:rPr>
                            <w:sz w:val="20"/>
                          </w:rPr>
                          <w:t>-</w:t>
                        </w:r>
                      </w:p>
                    </w:txbxContent>
                  </v:textbox>
                </v:rect>
                <v:rect id="Rectangle 2331" o:spid="_x0000_s1054" style="position:absolute;left:7557;top:6120;width:5916;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ZwscA&#10;AADdAAAADwAAAGRycy9kb3ducmV2LnhtbESPQWvCQBSE7wX/w/IKvTWbKBS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E2cL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directors</w:t>
                        </w:r>
                      </w:p>
                    </w:txbxContent>
                  </v:textbox>
                </v:rect>
                <v:rect id="Rectangle 2332" o:spid="_x0000_s1055" style="position:absolute;left:12007;top:6120;width:471;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tccA&#10;AADdAAAADwAAAGRycy9kb3ducmV2LnhtbESPT2vCQBTE74V+h+UVvNVNExC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WR7X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w:t>
                        </w:r>
                      </w:p>
                    </w:txbxContent>
                  </v:textbox>
                </v:rect>
                <v:rect id="Rectangle 2333" o:spid="_x0000_s1056" style="position:absolute;left:12350;top:6120;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riLscA&#10;AADdAAAADwAAAGRycy9kb3ducmV2LnhtbESPQWvCQBSE74L/YXlCb7rRQN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a4i7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34" o:spid="_x0000_s1057" style="position:absolute;left:4845;top:9107;width:56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6WsYA&#10;AADdAAAADwAAAGRycy9kb3ducmV2LnhtbESPS4vCQBCE7wv+h6EFb+vEB4tGR5FdRY8+FtRbk2mT&#10;YKYnZEYT/fWOsLDHoqq+oqbzxhTiTpXLLSvodSMQxInVOacKfg+rzxEI55E1FpZJwYMczGetjynG&#10;2ta8o/vepyJA2MWoIPO+jKV0SUYGXdeWxMG72MqgD7JKpa6wDnBTyH4UfUmDOYeFDEv6zii57m9G&#10;wXpULk4b+6zTYnleH7fH8c9h7JXqtJvFBISnxv+H/9obraA/GAzh/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6W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w:t>
                        </w:r>
                      </w:p>
                    </w:txbxContent>
                  </v:textbox>
                </v:rect>
                <v:rect id="Rectangle 2335" o:spid="_x0000_s1058" style="position:absolute;left:5271;top:9089;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wcYA&#10;AADdAAAADwAAAGRycy9kb3ducmV2LnhtbESPT4vCMBTE7wt+h/AEb2uq4qLVKLKr6NE/C+rt0Tzb&#10;YvNSmmirn94IC3scZuY3zHTemELcqXK5ZQW9bgSCOLE651TB72H1OQLhPLLGwjIpeJCD+az1McVY&#10;25p3dN/7VAQIuxgVZN6XsZQuycig69qSOHgXWxn0QVap1BXWAW4K2Y+iL2kw57CQYUnfGSXX/c0o&#10;WI/KxWljn3VaLM/r4/Y4/jmMvVKddrOYgPDU+P/wX3ujFfQHgy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fwcYAAADdAAAADwAAAAAAAAAAAAAAAACYAgAAZHJz&#10;L2Rvd25yZXYueG1sUEsFBgAAAAAEAAQA9QAAAIsDAAAAAA==&#10;" filled="f" stroked="f">
                  <v:textbox inset="0,0,0,0">
                    <w:txbxContent>
                      <w:p w:rsidR="00BB52D7" w:rsidRDefault="00E33AE6">
                        <w:pPr>
                          <w:spacing w:after="160" w:line="259" w:lineRule="auto"/>
                          <w:ind w:left="0" w:firstLine="0"/>
                          <w:jc w:val="left"/>
                        </w:pPr>
                        <w:r>
                          <w:rPr>
                            <w:rFonts w:ascii="Arial" w:eastAsia="Arial" w:hAnsi="Arial" w:cs="Arial"/>
                            <w:sz w:val="20"/>
                          </w:rPr>
                          <w:t xml:space="preserve"> </w:t>
                        </w:r>
                      </w:p>
                    </w:txbxContent>
                  </v:textbox>
                </v:rect>
                <v:rect id="Rectangle 2336" o:spid="_x0000_s1059" style="position:absolute;left:7131;top:9107;width:56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1BtsUA&#10;AADdAAAADwAAAGRycy9kb3ducmV2LnhtbESPQYvCMBSE74L/ITxhb5qugm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UG2xQAAAN0AAAAPAAAAAAAAAAAAAAAAAJgCAABkcnMv&#10;ZG93bnJldi54bWxQSwUGAAAAAAQABAD1AAAAigMAAAAA&#10;" filled="f" stroked="f">
                  <v:textbox inset="0,0,0,0">
                    <w:txbxContent>
                      <w:p w:rsidR="00BB52D7" w:rsidRDefault="00E33AE6">
                        <w:pPr>
                          <w:spacing w:after="160" w:line="259" w:lineRule="auto"/>
                          <w:ind w:left="0" w:firstLine="0"/>
                          <w:jc w:val="left"/>
                        </w:pPr>
                        <w:r>
                          <w:rPr>
                            <w:sz w:val="20"/>
                          </w:rPr>
                          <w:t>-</w:t>
                        </w:r>
                      </w:p>
                    </w:txbxContent>
                  </v:textbox>
                </v:rect>
                <v:rect id="Rectangle 2337" o:spid="_x0000_s1060" style="position:absolute;left:7557;top:9107;width:8307;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kLcYA&#10;AADdAAAADwAAAGRycy9kb3ducmV2LnhtbESPT4vCMBTE7wt+h/AEb2uqgqvVKLKr6NE/C+rt0Tzb&#10;YvNSmmirn94IC3scZuY3zHTemELcqXK5ZQW9bgSCOLE651TB72H1OQLhPLLGwjIpeJCD+az1McVY&#10;25p3dN/7VAQIuxgVZN6XsZQuycig69qSOHgXWxn0QVap1BXWAW4K2Y+ioTSYc1jIsKTvjJLr/mYU&#10;rEfl4rSxzzotluf1cXsc/xzGXqlOu1lMQHhq/H/4r73RCvqD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HkLc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group/ cross</w:t>
                        </w:r>
                      </w:p>
                    </w:txbxContent>
                  </v:textbox>
                </v:rect>
                <v:rect id="Rectangle 2338" o:spid="_x0000_s1061" style="position:absolute;left:13798;top:9107;width:56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X8EA&#10;AADdAAAADwAAAGRycy9kb3ducmV2LnhtbERPy4rCMBTdC/5DuMLsNFVh0GoU8YEufYG6uzTXttjc&#10;lCbazny9WQguD+c9nTemEC+qXG5ZQb8XgSBOrM45VXA+bbojEM4jaywsk4I/cjCftVtTjLWt+UCv&#10;o09FCGEXo4LM+zKW0iUZGXQ9WxIH7m4rgz7AKpW6wjqEm0IOouhXGsw5NGRY0jKj5HF8GgXbUbm4&#10;7ux/nRbr2/ayv4xXp7FX6qfTLCYgPDX+K/64d1rBYDgM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cF/BAAAA3QAAAA8AAAAAAAAAAAAAAAAAmAIAAGRycy9kb3du&#10;cmV2LnhtbFBLBQYAAAAABAAEAPUAAACGAwAAAAA=&#10;" filled="f" stroked="f">
                  <v:textbox inset="0,0,0,0">
                    <w:txbxContent>
                      <w:p w:rsidR="00BB52D7" w:rsidRDefault="00E33AE6">
                        <w:pPr>
                          <w:spacing w:after="160" w:line="259" w:lineRule="auto"/>
                          <w:ind w:left="0" w:firstLine="0"/>
                          <w:jc w:val="left"/>
                        </w:pPr>
                        <w:r>
                          <w:rPr>
                            <w:sz w:val="20"/>
                          </w:rPr>
                          <w:t>-</w:t>
                        </w:r>
                      </w:p>
                    </w:txbxContent>
                  </v:textbox>
                </v:rect>
                <v:rect id="Rectangle 2339" o:spid="_x0000_s1062" style="position:absolute;left:14225;top:9107;width:9376;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Vx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qP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stXExQAAAN0AAAAPAAAAAAAAAAAAAAAAAJgCAABkcnMv&#10;ZG93bnJldi54bWxQSwUGAAAAAAQABAD1AAAAigMAAAAA&#10;" filled="f" stroked="f">
                  <v:textbox inset="0,0,0,0">
                    <w:txbxContent>
                      <w:p w:rsidR="00BB52D7" w:rsidRDefault="00E33AE6">
                        <w:pPr>
                          <w:spacing w:after="160" w:line="259" w:lineRule="auto"/>
                          <w:ind w:left="0" w:firstLine="0"/>
                          <w:jc w:val="left"/>
                        </w:pPr>
                        <w:r>
                          <w:rPr>
                            <w:sz w:val="20"/>
                          </w:rPr>
                          <w:t>shareholdings</w:t>
                        </w:r>
                      </w:p>
                    </w:txbxContent>
                  </v:textbox>
                </v:rect>
                <v:rect id="Rectangle 2340" o:spid="_x0000_s1063" style="position:absolute;left:21273;top:9107;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PJMMA&#10;AADdAAAADwAAAGRycy9kb3ducmV2LnhtbERPTYvCMBC9C/sfwix403RdEa1GEV3Ro1sX1NvQjG3Z&#10;ZlKaaKu/3hwEj4/3PVu0phQ3ql1hWcFXPwJBnFpdcKbg77DpjUE4j6yxtEwK7uRgMf/ozDDWtuFf&#10;uiU+EyGEXYwKcu+rWEqX5mTQ9W1FHLiLrQ36AOtM6hqbEG5KOYiikTRYcGjIsaJVTul/cjUKtuNq&#10;edrZR5OVP+ftcX+crA8Tr1T3s11OQXhq/Vv8cu+0gsH3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4PJM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41" o:spid="_x0000_s1064" style="position:absolute;left:4845;top:12094;width:56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qv8YA&#10;AADdAAAADwAAAGRycy9kb3ducmV2LnhtbESPS4vCQBCE78L+h6EXvOnEB6LRUWRV9Ohjwd1bk2mT&#10;sJmekBlN9Nc7grDHoqq+omaLxhTiRpXLLSvodSMQxInVOacKvk+bzhiE88gaC8uk4E4OFvOP1gxj&#10;bWs+0O3oUxEg7GJUkHlfxlK6JCODrmtL4uBdbGXQB1mlUldYB7gpZD+KRtJgzmEhw5K+Mkr+jlej&#10;YDsulz87+6jTYv27Pe/Pk9Vp4pVqfzbLKQhPjf8Pv9s7raA/GPb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Kqv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w:t>
                        </w:r>
                      </w:p>
                    </w:txbxContent>
                  </v:textbox>
                </v:rect>
                <v:rect id="Rectangle 2342" o:spid="_x0000_s1065" style="position:absolute;left:5271;top:12076;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0yMcA&#10;AADdAAAADwAAAGRycy9kb3ducmV2LnhtbESPQWvCQBSE74X+h+UVems2TUV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QNMjHAAAA3QAAAA8AAAAAAAAAAAAAAAAAmAIAAGRy&#10;cy9kb3ducmV2LnhtbFBLBQYAAAAABAAEAPUAAACMAwAAAAA=&#10;" filled="f" stroked="f">
                  <v:textbox inset="0,0,0,0">
                    <w:txbxContent>
                      <w:p w:rsidR="00BB52D7" w:rsidRDefault="00E33AE6">
                        <w:pPr>
                          <w:spacing w:after="160" w:line="259" w:lineRule="auto"/>
                          <w:ind w:left="0" w:firstLine="0"/>
                          <w:jc w:val="left"/>
                        </w:pPr>
                        <w:r>
                          <w:rPr>
                            <w:rFonts w:ascii="Arial" w:eastAsia="Arial" w:hAnsi="Arial" w:cs="Arial"/>
                            <w:sz w:val="20"/>
                          </w:rPr>
                          <w:t xml:space="preserve"> </w:t>
                        </w:r>
                      </w:p>
                    </w:txbxContent>
                  </v:textbox>
                </v:rect>
                <v:rect id="Rectangle 2343" o:spid="_x0000_s1066" style="position:absolute;left:7131;top:12094;width:652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RU8YA&#10;AADdAAAADwAAAGRycy9kb3ducmV2LnhtbESPS4vCQBCE7wv+h6EFb+vEB4tGR5FdRY8+FtRbk2mT&#10;YKYnZEYT/fWOsLDHoqq+oqbzxhTiTpXLLSvodSMQxInVOacKfg+rzxEI55E1FpZJwYMczGetjynG&#10;2ta8o/vepyJA2MWoIPO+jKV0SUYGXdeWxMG72MqgD7JKpa6wDnBTyH4UfUmDOYeFDEv6zii57m9G&#10;wXpULk4b+6zTYnleH7fH8c9h7JXqtJvFBISnxv+H/9obraA/GA7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yRU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contracts,</w:t>
                        </w:r>
                      </w:p>
                    </w:txbxContent>
                  </v:textbox>
                </v:rect>
                <v:rect id="Rectangle 2344" o:spid="_x0000_s1067" style="position:absolute;left:12030;top:12094;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UJJ8YA&#10;AADdAAAADwAAAGRycy9kb3ducmV2LnhtbESPT4vCMBTE74LfITzBm6brimg1iuiKHv2z4O7t0Tzb&#10;ss1LaaKtfnojCHscZuY3zGzRmELcqHK5ZQUf/QgEcWJ1zqmC79OmNwbhPLLGwjIpuJODxbzdmmGs&#10;bc0Huh19KgKEXYwKMu/LWEqXZGTQ9W1JHLyLrQz6IKtU6grrADeFHETRSBrMOSxkWNIqo+TveDUK&#10;tuNy+bOzjzotvn635/15sj5NvFLdTrOcgvDU+P/wu73TCgaf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UJJ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45" o:spid="_x0000_s1068" style="position:absolute;left:4845;top:15073;width:56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svMcA&#10;AADdAAAADwAAAGRycy9kb3ducmV2LnhtbESPQWvCQBSE74X+h+UVequbWi2auopoJTlqLKi3R/Y1&#10;Cc2+DdmtSfvrXUHwOMzMN8xs0ZtanKl1lWUFr4MIBHFudcWFgq/95mUCwnlkjbVlUvBHDhbzx4cZ&#10;xtp2vKNz5gsRIOxiVFB638RSurwkg25gG+LgfdvWoA+yLaRusQtwU8thFL1LgxWHhRIbWpWU/2S/&#10;RkEyaZbH1P53Rf15Sg7bw3S9n3qlnp/65QcIT72/h2/tVCsYvo3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5rLz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w:t>
                        </w:r>
                      </w:p>
                    </w:txbxContent>
                  </v:textbox>
                </v:rect>
                <v:rect id="Rectangle 2346" o:spid="_x0000_s1069" style="position:absolute;left:5271;top:15056;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yy8cA&#10;AADdAAAADwAAAGRycy9kb3ducmV2LnhtbESPQWvCQBSE7wX/w/KE3uqmtohGVxFtSY41Cra3R/aZ&#10;hGbfhuw2SfvrXaHgcZiZb5jVZjC16Kh1lWUFz5MIBHFudcWFgtPx/WkOwnlkjbVlUvBLDjbr0cMK&#10;Y217PlCX+UIECLsYFZTeN7GULi/JoJvYhjh4F9sa9EG2hdQt9gFuajmNopk0WHFYKLGhXUn5d/Zj&#10;FCTzZvuZ2r++qN++kvPHebE/LrxSj+NhuwThafD38H871QqmL6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rMsvHAAAA3QAAAA8AAAAAAAAAAAAAAAAAmAIAAGRy&#10;cy9kb3ducmV2LnhtbFBLBQYAAAAABAAEAPUAAACMAwAAAAA=&#10;" filled="f" stroked="f">
                  <v:textbox inset="0,0,0,0">
                    <w:txbxContent>
                      <w:p w:rsidR="00BB52D7" w:rsidRDefault="00E33AE6">
                        <w:pPr>
                          <w:spacing w:after="160" w:line="259" w:lineRule="auto"/>
                          <w:ind w:left="0" w:firstLine="0"/>
                          <w:jc w:val="left"/>
                        </w:pPr>
                        <w:r>
                          <w:rPr>
                            <w:rFonts w:ascii="Arial" w:eastAsia="Arial" w:hAnsi="Arial" w:cs="Arial"/>
                            <w:sz w:val="20"/>
                          </w:rPr>
                          <w:t xml:space="preserve"> </w:t>
                        </w:r>
                      </w:p>
                    </w:txbxContent>
                  </v:textbox>
                </v:rect>
                <v:rect id="Rectangle 2347" o:spid="_x0000_s1070" style="position:absolute;left:7131;top:15073;width:797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XUMcA&#10;AADdAAAADwAAAGRycy9kb3ducmV2LnhtbESPQWvCQBSE74X+h+UVequbWrGauopoJTlqLKi3R/Y1&#10;Cc2+DdmtSfvrXUHwOMzMN8xs0ZtanKl1lWUFr4MIBHFudcWFgq/95mUCwnlkjbVlUvBHDhbzx4cZ&#10;xtp2vKNz5gsRIOxiVFB638RSurwkg25gG+LgfdvWoA+yLaRusQtwU8thFI2lwYrDQokNrUrKf7Jf&#10;oyCZNMtjav+7ov48JYftYbreT71Sz0/98gOEp97fw7d2qhUM30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nl1D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commercial</w:t>
                        </w:r>
                      </w:p>
                    </w:txbxContent>
                  </v:textbox>
                </v:rect>
                <v:rect id="Rectangle 2348" o:spid="_x0000_s1071" style="position:absolute;left:13127;top:15073;width:42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IsMA&#10;AADdAAAADwAAAGRycy9kb3ducmV2LnhtbERPTYvCMBC9C/sfwix403RdEa1GEV3Ro1sX1NvQjG3Z&#10;ZlKaaKu/3hwEj4/3PVu0phQ3ql1hWcFXPwJBnFpdcKbg77DpjUE4j6yxtEwK7uRgMf/ozDDWtuFf&#10;uiU+EyGEXYwKcu+rWEqX5mTQ9W1FHLiLrQ36AOtM6hqbEG5KOYiikTRYcGjIsaJVTul/cjUKtuNq&#10;edrZR5OVP+ftcX+crA8Tr1T3s11OQXhq/Vv8cu+0gsH3M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DIs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49" o:spid="_x0000_s1072" style="position:absolute;left:2556;top:18076;width:2828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mucYA&#10;AADdAAAADwAAAGRycy9kb3ducmV2LnhtbESPQWvCQBSE74L/YXkFb7qpFjExq4it6LFqIfX2yL4m&#10;odm3IbuatL++WxA8DjPzDZOue1OLG7WusqzgeRKBIM6trrhQ8HHejRcgnEfWWFsmBT/kYL0aDlJM&#10;tO34SLeTL0SAsEtQQel9k0jp8pIMuoltiIP3ZVuDPsi2kLrFLsBNLadRNJcGKw4LJTa0LSn/Pl2N&#10;gv2i2Xwe7G9X1G+Xffaexa/n2Cs1euo3SxCeev8I39sHrWA6e4n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Smuc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reduce independence of the relevant </w:t>
                        </w:r>
                      </w:p>
                    </w:txbxContent>
                  </v:textbox>
                </v:rect>
                <v:rect id="Rectangle 2350" o:spid="_x0000_s1073" style="position:absolute;left:2556;top:19539;width:4976;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Z+cMA&#10;AADdAAAADwAAAGRycy9kb3ducmV2LnhtbERPTYvCMBC9C/sfwix403RdFK1GEV3Ro1sX1NvQjG3Z&#10;ZlKaaKu/3hwEj4/3PVu0phQ3ql1hWcFXPwJBnFpdcKbg77DpjUE4j6yxtEwK7uRgMf/ozDDWtuFf&#10;uiU+EyGEXYwKcu+rWEqX5mTQ9W1FHLiLrQ36AOtM6hqbEG5KOYiikTRYcGjIsaJVTul/cjUKtuNq&#10;edrZR5OVP+ftcX+crA8Tr1T3s11OQXhq/Vv8cu+0gsH3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eZ+cMAAADdAAAADwAAAAAAAAAAAAAAAACYAgAAZHJzL2Rv&#10;d25yZXYueG1sUEsFBgAAAAAEAAQA9QAAAIgDAAAAAA==&#10;" filled="f" stroked="f">
                  <v:textbox inset="0,0,0,0">
                    <w:txbxContent>
                      <w:p w:rsidR="00BB52D7" w:rsidRDefault="00E33AE6">
                        <w:pPr>
                          <w:spacing w:after="160" w:line="259" w:lineRule="auto"/>
                          <w:ind w:left="0" w:firstLine="0"/>
                          <w:jc w:val="left"/>
                        </w:pPr>
                        <w:r>
                          <w:rPr>
                            <w:b/>
                            <w:sz w:val="20"/>
                          </w:rPr>
                          <w:t>parties</w:t>
                        </w:r>
                      </w:p>
                    </w:txbxContent>
                  </v:textbox>
                </v:rect>
                <v:rect id="Rectangle 2351" o:spid="_x0000_s1074" style="position:absolute;left:6300;top:19539;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8YsYA&#10;AADdAAAADwAAAGRycy9kb3ducmV2LnhtbESPT4vCMBTE78J+h/AWvGmqomg1iqyKHv2z4O7t0Tzb&#10;ss1LaaKtfnojCHscZuY3zGzRmELcqHK5ZQW9bgSCOLE651TB92nTGYNwHlljYZkU3MnBYv7RmmGs&#10;bc0Huh19KgKEXYwKMu/LWEqXZGTQdW1JHLyLrQz6IKtU6grrADeF7EfRSBrMOSxkWNJXRsnf8WoU&#10;bMfl8mdnH3VarH+35/15sjpNvFLtz2Y5BeGp8f/hd3unFfQH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s8Ys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352" o:spid="_x0000_s1075" style="position:absolute;left:7131;top:22503;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iFccA&#10;AADdAAAADwAAAGRycy9kb3ducmV2LnhtbESPQWvCQBSE74X+h+UVems2TVF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JohX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v:shape id="Shape 2354" o:spid="_x0000_s1076" style="position:absolute;left:29914;top:374;width:9551;height:24575;visibility:visible;mso-wrap-style:square;v-text-anchor:top" coordsize="955040,245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y+0MUA&#10;AADdAAAADwAAAGRycy9kb3ducmV2LnhtbESPQYvCMBSE78L+h/AW9qapuorWRpEFQVZQrHp/NM+2&#10;2LyUJlvrv98IgsdhZr5hklVnKtFS40rLCoaDCARxZnXJuYLzadOfgXAeWWNlmRQ8yMFq+dFLMNb2&#10;zkdqU5+LAGEXo4LC+zqW0mUFGXQDWxMH72obgz7IJpe6wXuAm0qOomgqDZYcFgqs6aeg7Jb+GQU7&#10;ud+Mt2t7m85+T91xbh+XwyRV6uuzWy9AeOr8O/xqb7WC0XjyDc8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L7QxQAAAN0AAAAPAAAAAAAAAAAAAAAAAJgCAABkcnMv&#10;ZG93bnJldi54bWxQSwUGAAAAAAQABAD1AAAAigMAAAAA&#10;" path="m159131,c71247,,,71247,,159131l,2298319v,87884,71247,159131,159131,159131l795909,2457450v87884,,159131,-71247,159131,-159131l955040,159131c955040,71247,883793,,795909,l159131,xe" filled="f">
                  <v:stroke endcap="round"/>
                  <v:path arrowok="t" textboxrect="0,0,955040,2457450"/>
                </v:shape>
                <v:rect id="Rectangle 2355" o:spid="_x0000_s1077" style="position:absolute;left:31258;top:1302;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6YcYA&#10;AADdAAAADwAAAGRycy9kb3ducmV2LnhtbESPT4vCMBTE74LfITzBm6bromg1iuiKHv2z4O7t0Tzb&#10;ss1LaaKtfnojCHscZuY3zGzRmELcqHK5ZQUf/QgEcWJ1zqmC79OmNwbhPLLGwjIpuJODxbzdmmGs&#10;bc0Huh19KgKEXYwKMu/LWEqXZGTQ9W1JHLyLrQz6IKtU6grrADeFHETRSBrMOSxkWNIqo+TveDUK&#10;tuNy+bOzjzotvn635/15sj5NvFLdTrOcgvDU+P/wu73TCgaf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A6Yc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356" o:spid="_x0000_s1078" style="position:absolute;left:31258;top:4289;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FscA&#10;AADdAAAADwAAAGRycy9kb3ducmV2LnhtbESPQWvCQBSE7wX/w/KE3uqmlopGVxFtSY41Cra3R/aZ&#10;hGbfhuw2SfvrXaHgcZiZb5jVZjC16Kh1lWUFz5MIBHFudcWFgtPx/WkOwnlkjbVlUvBLDjbr0cMK&#10;Y217PlCX+UIECLsYFZTeN7GULi/JoJvYhjh4F9sa9EG2hdQt9gFuajmNopk0WHFYKLGhXUn5d/Zj&#10;FCTzZvuZ2r++qN++kvPHebE/LrxSj+NhuwThafD38H871QqmL6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ypBb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357" o:spid="_x0000_s1079" style="position:absolute;left:31258;top:7278;width:9246;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4BjccA&#10;AADdAAAADwAAAGRycy9kb3ducmV2LnhtbESPQWvCQBSE74X+h+UVequbWrSauopoJTlqLKi3R/Y1&#10;Cc2+DdmtSfvrXUHwOMzMN8xs0ZtanKl1lWUFr4MIBHFudcWFgq/95mUCwnlkjbVlUvBHDhbzx4cZ&#10;xtp2vKNz5gsRIOxiVFB638RSurwkg25gG+LgfdvWoA+yLaRusQtwU8thFI2lwYrDQokNrUrKf7Jf&#10;oyCZNMtjav+7ov48JYftYbreT71Sz0/98gOEp97fw7d2qhUM30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AY3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Fragmented </w:t>
                        </w:r>
                      </w:p>
                    </w:txbxContent>
                  </v:textbox>
                </v:rect>
                <v:rect id="Rectangle 2358" o:spid="_x0000_s1080" style="position:absolute;left:31258;top:8734;width:3148;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GV/8MA&#10;AADdAAAADwAAAGRycy9kb3ducmV2LnhtbERPTYvCMBC9C/sfwix403RdFK1GEV3Ro1sX1NvQjG3Z&#10;ZlKaaKu/3hwEj4/3PVu0phQ3ql1hWcFXPwJBnFpdcKbg77DpjUE4j6yxtEwK7uRgMf/ozDDWtuFf&#10;uiU+EyGEXYwKcu+rWEqX5mTQ9W1FHLiLrQ36AOtM6hqbEG5KOYiikTRYcGjIsaJVTul/cjUKtuNq&#10;edrZR5OVP+ftcX+crA8Tr1T3s11OQXhq/Vv8cu+0gsH3M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GV/8MAAADdAAAADwAAAAAAAAAAAAAAAACYAgAAZHJzL2Rv&#10;d25yZXYueG1sUEsFBgAAAAAEAAQA9QAAAIgDAAAAAA==&#10;" filled="f" stroked="f">
                  <v:textbox inset="0,0,0,0">
                    <w:txbxContent>
                      <w:p w:rsidR="00BB52D7" w:rsidRDefault="00E33AE6">
                        <w:pPr>
                          <w:spacing w:after="160" w:line="259" w:lineRule="auto"/>
                          <w:ind w:left="0" w:firstLine="0"/>
                          <w:jc w:val="left"/>
                        </w:pPr>
                        <w:r>
                          <w:rPr>
                            <w:b/>
                            <w:sz w:val="20"/>
                          </w:rPr>
                          <w:t xml:space="preserve">and </w:t>
                        </w:r>
                      </w:p>
                    </w:txbxContent>
                  </v:textbox>
                </v:rect>
                <v:rect id="Rectangle 2359" o:spid="_x0000_s1081" style="position:absolute;left:31258;top:10197;width:7279;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wZMYA&#10;AADdAAAADwAAAGRycy9kb3ducmV2LnhtbESPQWvCQBSE74L/YXkFb7qpUjExq4it6LFqIfX2yL4m&#10;odm3IbuatL++WxA8DjPzDZOue1OLG7WusqzgeRKBIM6trrhQ8HHejRcgnEfWWFsmBT/kYL0aDlJM&#10;tO34SLeTL0SAsEtQQel9k0jp8pIMuoltiIP3ZVuDPsi2kLrFLsBNLadRNJcGKw4LJTa0LSn/Pl2N&#10;gv2i2Xwe7G9X1G+Xffaexa/n2Cs1euo3SxCeev8I39sHrWA6e4n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0wZM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diverging </w:t>
                        </w:r>
                      </w:p>
                    </w:txbxContent>
                  </v:textbox>
                </v:rect>
                <v:rect id="Rectangle 2360" o:spid="_x0000_s1082" style="position:absolute;left:31258;top:11690;width:8882;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TRMMA&#10;AADdAAAADwAAAGRycy9kb3ducmV2LnhtbERPTWvCQBC9F/wPywje6sYIoqmrBFtJjlYF7W3ITpPQ&#10;7GzIribtr3cPBY+P973eDqYRd+pcbVnBbBqBIC6srrlUcD7tX5cgnEfW2FgmBb/kYLsZvawx0bbn&#10;T7offSlCCLsEFVTet4mUrqjIoJvaljhw37Yz6APsSqk77EO4aWQcRQtpsObQUGFLu4qKn+PNKMiW&#10;bXrN7V9fNh9f2eVwWb2fVl6pyXhI30B4GvxT/O/OtYJ4vgj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tTRMMAAADdAAAADwAAAAAAAAAAAAAAAACYAgAAZHJzL2Rv&#10;d25yZXYueG1sUEsFBgAAAAAEAAQA9QAAAIgDAAAAAA==&#10;" filled="f" stroked="f">
                  <v:textbox inset="0,0,0,0">
                    <w:txbxContent>
                      <w:p w:rsidR="00BB52D7" w:rsidRDefault="00E33AE6">
                        <w:pPr>
                          <w:spacing w:after="160" w:line="259" w:lineRule="auto"/>
                          <w:ind w:left="0" w:firstLine="0"/>
                          <w:jc w:val="left"/>
                        </w:pPr>
                        <w:r>
                          <w:rPr>
                            <w:b/>
                            <w:sz w:val="20"/>
                          </w:rPr>
                          <w:t>national law</w:t>
                        </w:r>
                      </w:p>
                    </w:txbxContent>
                  </v:textbox>
                </v:rect>
                <v:rect id="Rectangle 2361" o:spid="_x0000_s1083" style="position:absolute;left:37926;top:11690;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238YA&#10;AADdAAAADwAAAGRycy9kb3ducmV2LnhtbESPQWvCQBSE70L/w/KE3swmFkSjq4S2osdWC9HbI/tM&#10;gtm3IbuatL++WxB6HGbmG2a1GUwj7tS52rKCJIpBEBdW11wq+DpuJ3MQziNrbCyTgm9ysFk/jVaY&#10;atvzJ90PvhQBwi5FBZX3bSqlKyoy6CLbEgfvYjuDPsiulLrDPsBNI6dxPJMGaw4LFbb0WlFxPdyM&#10;gt28zU57+9OXzft5l3/ki7fjwiv1PB6yJQhPg/8PP9p7rWD6Mkv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f238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shape id="Shape 2372" o:spid="_x0000_s1084" style="position:absolute;left:457;top:27438;width:26092;height:25705;visibility:visible;mso-wrap-style:square;v-text-anchor:top" coordsize="2609215,257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DMQA&#10;AADdAAAADwAAAGRycy9kb3ducmV2LnhtbESPQWvCQBSE70L/w/IKvenGiKakrhIFoeCpUTw/sq9J&#10;aPZt3F1j+u+7QsHjMDPfMOvtaDoxkPOtZQXzWQKCuLK65VrB+XSYvoPwAVljZ5kU/JKH7eZlssZc&#10;2zt/0VCGWkQI+xwVNCH0uZS+asign9meOHrf1hkMUbpaaof3CDedTJNkJQ22HBca7GnfUPVT3oyC&#10;XbHcFWN7uV3P1z3N3TIr5XBU6u11LD5ABBrDM/zf/tQK0kWWwuNNf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qQzEAAAA3QAAAA8AAAAAAAAAAAAAAAAAmAIAAGRycy9k&#10;b3ducmV2LnhtbFBLBQYAAAAABAAEAPUAAACJAwAAAAA=&#10;" path="m428422,c191834,,,191897,,428371l,2142109v,236474,191834,428371,428422,428371l2180844,2570480v236474,,428371,-191897,428371,-428371l2609215,428371c2609215,191897,2417318,,2180844,l428422,xe" filled="f">
                  <v:stroke endcap="round"/>
                  <v:path arrowok="t" textboxrect="0,0,2609215,2570480"/>
                </v:shape>
                <v:rect id="Rectangle 2373" o:spid="_x0000_s1085" style="position:absolute;left:2602;top:29163;width:21037;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b7sYA&#10;AADdAAAADwAAAGRycy9kb3ducmV2LnhtbESPT4vCMBTE7wt+h/AEb2uqgq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b7s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Low degree of independence</w:t>
                        </w:r>
                      </w:p>
                    </w:txbxContent>
                  </v:textbox>
                </v:rect>
                <v:rect id="Rectangle 2374" o:spid="_x0000_s1086" style="position:absolute;left:18423;top:29163;width:42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DmscA&#10;AADdAAAADwAAAGRycy9kb3ducmV2LnhtbESPQWvCQBSE74X+h+UVequbWrGauopoJTlqLKi3R/Y1&#10;Cc2+DdmtSfvrXUHwOMzMN8xs0ZtanKl1lWUFr4MIBHFudcWFgq/95mUCwnlkjbVlUvBHDhbzx4cZ&#10;xtp2vKNz5gsRIOxiVFB638RSurwkg25gG+LgfdvWoA+yLaRusQtwU8thFI2lwYrDQokNrUrKf7Jf&#10;oyCZNMtjav+7ov48JYftYbreT71Sz0/98gOEp97fw7d2qhUM395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Zw5r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75" o:spid="_x0000_s1087" style="position:absolute;left:18881;top:29163;width:778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mAccA&#10;AADdAAAADwAAAGRycy9kb3ducmV2LnhtbESPQWvCQBSE74X+h+UVequbWrSauopoJTlqLKi3R/Y1&#10;Cc2+DdmtSfvrXUHwOMzMN8xs0ZtanKl1lWUFr4MIBHFudcWFgq/95mUCwnlkjbVlUvBHDhbzx4cZ&#10;xtp2vKNz5gsRIOxiVFB638RSurwkg25gG+LgfdvWoA+yLaRusQtwU8thFI2lwYrDQokNrUrKf7Jf&#10;oyCZNMtjav+7ov48JYftYbreT71Sz0/98gOEp97fw7d2qhUM395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VZgH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might lead </w:t>
                        </w:r>
                      </w:p>
                    </w:txbxContent>
                  </v:textbox>
                </v:rect>
                <v:rect id="Rectangle 2376" o:spid="_x0000_s1088" style="position:absolute;left:2602;top:30618;width:1787;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4dsYA&#10;AADdAAAADwAAAGRycy9kb3ducmV2LnhtbESPS4vCQBCE74L/YWjBm07WBR/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4d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to:</w:t>
                        </w:r>
                      </w:p>
                    </w:txbxContent>
                  </v:textbox>
                </v:rect>
                <v:rect id="Rectangle 2377" o:spid="_x0000_s1089" style="position:absolute;left:3943;top:30618;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d7ccA&#10;AADdAAAADwAAAGRycy9kb3ducmV2LnhtbESPQWvCQBSE7wX/w/KE3uqmFqp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LXe3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78" o:spid="_x0000_s1090" style="position:absolute;left:4890;top:33605;width:56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Jn8MA&#10;AADdAAAADwAAAGRycy9kb3ducmV2LnhtbERPy4rCMBTdC/MP4Q6403Qc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TJn8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w:t>
                        </w:r>
                      </w:p>
                    </w:txbxContent>
                  </v:textbox>
                </v:rect>
                <v:rect id="Rectangle 2379" o:spid="_x0000_s1091" style="position:absolute;left:5317;top:33587;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sBMYA&#10;AADdAAAADwAAAGRycy9kb3ducmV2LnhtbESPQWvCQBSE74L/YXkFb7qpQj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hsBMYAAADdAAAADwAAAAAAAAAAAAAAAACYAgAAZHJz&#10;L2Rvd25yZXYueG1sUEsFBgAAAAAEAAQA9QAAAIsDAAAAAA==&#10;" filled="f" stroked="f">
                  <v:textbox inset="0,0,0,0">
                    <w:txbxContent>
                      <w:p w:rsidR="00BB52D7" w:rsidRDefault="00E33AE6">
                        <w:pPr>
                          <w:spacing w:after="160" w:line="259" w:lineRule="auto"/>
                          <w:ind w:left="0" w:firstLine="0"/>
                          <w:jc w:val="left"/>
                        </w:pPr>
                        <w:r>
                          <w:rPr>
                            <w:rFonts w:ascii="Arial" w:eastAsia="Arial" w:hAnsi="Arial" w:cs="Arial"/>
                            <w:sz w:val="20"/>
                          </w:rPr>
                          <w:t xml:space="preserve"> </w:t>
                        </w:r>
                      </w:p>
                    </w:txbxContent>
                  </v:textbox>
                </v:rect>
                <v:rect id="Rectangle 36284" o:spid="_x0000_s1092" style="position:absolute;left:7176;top:33605;width:8205;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JMMgA&#10;AADeAAAADwAAAGRycy9kb3ducmV2LnhtbESPQWvCQBSE7wX/w/KE3upGWySmriLakhw1Fmxvj+xr&#10;Esy+DdmtSfvrXUHocZiZb5jlejCNuFDnassKppMIBHFhdc2lgo/j+1MMwnlkjY1lUvBLDtar0cMS&#10;E217PtAl96UIEHYJKqi8bxMpXVGRQTexLXHwvm1n0AfZlVJ32Ae4aeQsiubSYM1hocKWthUV5/zH&#10;KEjjdvOZ2b++bN6+0tP+tNgdF16px/GweQXhafD/4Xs70wqe57P4BW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9IkwyAAAAN4AAAAPAAAAAAAAAAAAAAAAAJgCAABk&#10;cnMvZG93bnJldi54bWxQSwUGAAAAAAQABAD1AAAAjQMAAAAA&#10;" filled="f" stroked="f">
                  <v:textbox inset="0,0,0,0">
                    <w:txbxContent>
                      <w:p w:rsidR="00BB52D7" w:rsidRDefault="00E33AE6">
                        <w:pPr>
                          <w:spacing w:after="160" w:line="259" w:lineRule="auto"/>
                          <w:ind w:left="0" w:firstLine="0"/>
                          <w:jc w:val="left"/>
                        </w:pPr>
                        <w:r>
                          <w:rPr>
                            <w:sz w:val="20"/>
                          </w:rPr>
                          <w:t xml:space="preserve">Insufficient </w:t>
                        </w:r>
                      </w:p>
                    </w:txbxContent>
                  </v:textbox>
                </v:rect>
                <v:rect id="Rectangle 36285" o:spid="_x0000_s1093" style="position:absolute;left:15373;top:33605;width:7922;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sq8gA&#10;AADeAAAADwAAAGRycy9kb3ducmV2LnhtbESPQWvCQBSE7wX/w/KE3upGSyWmriLakhw1Fmxvj+xr&#10;Esy+DdmtSfvrXUHocZiZb5jlejCNuFDnassKppMIBHFhdc2lgo/j+1MMwnlkjY1lUvBLDtar0cMS&#10;E217PtAl96UIEHYJKqi8bxMpXVGRQTexLXHwvm1n0AfZlVJ32Ae4aeQsiubSYM1hocKWthUV5/zH&#10;KEjjdvOZ2b++bN6+0tP+tNgdF16px/GweQXhafD/4Xs70wqe57P4BW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uCyryAAAAN4AAAAPAAAAAAAAAAAAAAAAAJgCAABk&#10;cnMvZG93bnJldi54bWxQSwUGAAAAAAQABAD1AAAAjQMAAAAA&#10;" filled="f" stroked="f">
                  <v:textbox inset="0,0,0,0">
                    <w:txbxContent>
                      <w:p w:rsidR="00BB52D7" w:rsidRDefault="00E33AE6">
                        <w:pPr>
                          <w:spacing w:after="160" w:line="259" w:lineRule="auto"/>
                          <w:ind w:left="0" w:firstLine="0"/>
                          <w:jc w:val="left"/>
                        </w:pPr>
                        <w:r>
                          <w:rPr>
                            <w:sz w:val="20"/>
                          </w:rPr>
                          <w:t xml:space="preserve">monitoring </w:t>
                        </w:r>
                      </w:p>
                    </w:txbxContent>
                  </v:textbox>
                </v:rect>
                <v:rect id="Rectangle 36286" o:spid="_x0000_s1094" style="position:absolute;left:23353;top:33605;width:183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qy3MYA&#10;AADeAAAADwAAAGRycy9kb3ducmV2LnhtbESPT2vCQBTE74V+h+UVvNVNFUKMriJtRY/+A/X2yL4m&#10;odm3Ibua6Kd3BcHjMDO/YSazzlTiQo0rLSv46kcgiDOrS84V7HeLzwSE88gaK8uk4EoOZtP3twmm&#10;2ra8ocvW5yJA2KWooPC+TqV0WUEGXd/WxMH7s41BH2STS91gG+CmkoMoiqXBksNCgTV9F5T9b89G&#10;wTKp58eVvbV59XtaHtaH0c9u5JXqfXTzMQhPnX+Fn+2VVjCMB0kM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qy3MYAAADe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of </w:t>
                        </w:r>
                      </w:p>
                    </w:txbxContent>
                  </v:textbox>
                </v:rect>
                <v:rect id="Rectangle 2381" o:spid="_x0000_s1095" style="position:absolute;left:7176;top:35068;width:23351;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QJccA&#10;AADdAAAADwAAAGRycy9kb3ducmV2LnhtbESPQWvCQBSE7wX/w/KE3upGCy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7ECX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management company (MC) by </w:t>
                        </w:r>
                      </w:p>
                    </w:txbxContent>
                  </v:textbox>
                </v:rect>
                <v:rect id="Rectangle 2382" o:spid="_x0000_s1096" style="position:absolute;left:7176;top:36524;width:23348;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UsYA&#10;AADdAAAADwAAAGRycy9kb3ducmV2LnhtbESPQWvCQBSE7wX/w/KE3urGFEp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OU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depositary / third party (risk of </w:t>
                        </w:r>
                      </w:p>
                    </w:txbxContent>
                  </v:textbox>
                </v:rect>
                <v:rect id="Rectangle 2383" o:spid="_x0000_s1097" style="position:absolute;left:7176;top:37987;width:4130;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rycUA&#10;AADdAAAADwAAAGRycy9kb3ducmV2LnhtbESPQYvCMBSE74L/ITxhb5qqsNRqFHFX9OiqoN4ezbMt&#10;Ni+liba7v94sCB6HmfmGmS1aU4oH1a6wrGA4iEAQp1YXnCk4Htb9GITzyBpLy6Tglxws5t3ODBNt&#10;G/6hx95nIkDYJagg975KpHRpTgbdwFbEwbva2qAPss6krrEJcFPKURR9SoMFh4UcK1rllN72d6Ng&#10;E1fL89b+NVn5fdmcdqfJ12HilfrotcspCE+tf4df7a1WMB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SvJxQAAAN0AAAAPAAAAAAAAAAAAAAAAAJgCAABkcnMv&#10;ZG93bnJldi54bWxQSwUGAAAAAAQABAD1AAAAigMAAAAA&#10;" filled="f" stroked="f">
                  <v:textbox inset="0,0,0,0">
                    <w:txbxContent>
                      <w:p w:rsidR="00BB52D7" w:rsidRDefault="00E33AE6">
                        <w:pPr>
                          <w:spacing w:after="160" w:line="259" w:lineRule="auto"/>
                          <w:ind w:left="0" w:firstLine="0"/>
                          <w:jc w:val="left"/>
                        </w:pPr>
                        <w:r>
                          <w:rPr>
                            <w:sz w:val="20"/>
                          </w:rPr>
                          <w:t>fraud)</w:t>
                        </w:r>
                      </w:p>
                    </w:txbxContent>
                  </v:textbox>
                </v:rect>
                <v:rect id="Rectangle 2384" o:spid="_x0000_s1098" style="position:absolute;left:10278;top:37987;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zvcYA&#10;AADdAAAADwAAAGRycy9kb3ducmV2LnhtbESPT2vCQBTE74V+h+UJvdWNtki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zvc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85" o:spid="_x0000_s1099" style="position:absolute;left:4890;top:40974;width:56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JsYA&#10;AADdAAAADwAAAGRycy9kb3ducmV2LnhtbESPT2vCQBTE74V+h+UJvdWNlkq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WJ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w:t>
                        </w:r>
                      </w:p>
                    </w:txbxContent>
                  </v:textbox>
                </v:rect>
                <v:rect id="Rectangle 2386" o:spid="_x0000_s1100" style="position:absolute;left:5317;top:40956;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IUc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SiFHHAAAA3QAAAA8AAAAAAAAAAAAAAAAAmAIAAGRy&#10;cy9kb3ducmV2LnhtbFBLBQYAAAAABAAEAPUAAACMAwAAAAA=&#10;" filled="f" stroked="f">
                  <v:textbox inset="0,0,0,0">
                    <w:txbxContent>
                      <w:p w:rsidR="00BB52D7" w:rsidRDefault="00E33AE6">
                        <w:pPr>
                          <w:spacing w:after="160" w:line="259" w:lineRule="auto"/>
                          <w:ind w:left="0" w:firstLine="0"/>
                          <w:jc w:val="left"/>
                        </w:pPr>
                        <w:r>
                          <w:rPr>
                            <w:rFonts w:ascii="Arial" w:eastAsia="Arial" w:hAnsi="Arial" w:cs="Arial"/>
                            <w:sz w:val="20"/>
                          </w:rPr>
                          <w:t xml:space="preserve"> </w:t>
                        </w:r>
                      </w:p>
                    </w:txbxContent>
                  </v:textbox>
                </v:rect>
                <v:rect id="Rectangle 36379" o:spid="_x0000_s1101" style="position:absolute;left:22861;top:40974;width:2491;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FZFMcA&#10;AADeAAAADwAAAGRycy9kb3ducmV2LnhtbESPT2vCQBTE70K/w/IK3nTTCpqkriJV0aN/Cra3R/Y1&#10;Cc2+DdnVRD+9Kwg9DjPzG2Y670wlLtS40rKCt2EEgjizuuRcwddxPYhBOI+ssbJMCq7kYD576U0x&#10;1bblPV0OPhcBwi5FBYX3dSqlywoy6Ia2Jg7er20M+iCbXOoG2wA3lXyPorE0WHJYKLCmz4Kyv8PZ&#10;KNjE9eJ7a29tXq1+NqfdKVkeE69U/7VbfIDw1Pn/8LO91QpG49Ekgc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BWRT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the </w:t>
                        </w:r>
                      </w:p>
                    </w:txbxContent>
                  </v:textbox>
                </v:rect>
                <v:rect id="Rectangle 36378" o:spid="_x0000_s1102" style="position:absolute;left:17758;top:40974;width:519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8j8MA&#10;AADeAAAADwAAAGRycy9kb3ducmV2LnhtbERPTYvCMBC9C/6HMII3TVVwtRpF1EWPbhXU29CMbbGZ&#10;lCZru/vrzWFhj4/3vVy3phQvql1hWcFoGIEgTq0uOFNwOX8OZiCcR9ZYWiYFP+Rgvep2lhhr2/AX&#10;vRKfiRDCLkYFufdVLKVLczLohrYiDtzD1gZ9gHUmdY1NCDelHEfRVBosODTkWNE2p/SZfBsFh1m1&#10;uR3tb5OV+/vherrOd+e5V6rfazcLEJ5a/y/+cx+1gsl08hH2hjvhCs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38j8MAAADe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against </w:t>
                        </w:r>
                      </w:p>
                    </w:txbxContent>
                  </v:textbox>
                </v:rect>
                <v:rect id="Rectangle 36375" o:spid="_x0000_s1103" style="position:absolute;left:7176;top:40974;width:6622;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TEcgA&#10;AADeAAAADwAAAGRycy9kb3ducmV2LnhtbESPW2vCQBSE3wv+h+UIvtWNSr1EV5FW0cd6AfXtkD0m&#10;wezZkF1N2l/vFoQ+DjPzDTNbNKYQD6pcbllBrxuBIE6szjlVcDys38cgnEfWWFgmBT/kYDFvvc0w&#10;1rbmHT32PhUBwi5GBZn3ZSylSzIy6Lq2JA7e1VYGfZBVKnWFdYCbQvajaCgN5hwWMizpM6Pktr8b&#10;BZtxuTxv7W+dFqvL5vR9mnwdJl6pTrtZTkF4avx/+NXeagWD4WD0AX9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jFMRyAAAAN4AAAAPAAAAAAAAAAAAAAAAAJgCAABk&#10;cnMvZG93bnJldi54bWxQSwUGAAAAAAQABAD1AAAAjQMAAAAA&#10;" filled="f" stroked="f">
                  <v:textbox inset="0,0,0,0">
                    <w:txbxContent>
                      <w:p w:rsidR="00BB52D7" w:rsidRDefault="00E33AE6">
                        <w:pPr>
                          <w:spacing w:after="160" w:line="259" w:lineRule="auto"/>
                          <w:ind w:left="0" w:firstLine="0"/>
                          <w:jc w:val="left"/>
                        </w:pPr>
                        <w:r>
                          <w:rPr>
                            <w:sz w:val="20"/>
                          </w:rPr>
                          <w:t xml:space="preserve">Investors </w:t>
                        </w:r>
                      </w:p>
                    </w:txbxContent>
                  </v:textbox>
                </v:rect>
                <v:rect id="Rectangle 36377" o:spid="_x0000_s1104" style="position:absolute;left:13347;top:40974;width:427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o/cgA&#10;AADeAAAADwAAAGRycy9kb3ducmV2LnhtbESPQWvCQBSE7wX/w/IEb3VjAzFGVxFr0WOrgnp7ZF+T&#10;0OzbkN0maX99t1DocZiZb5jVZjC16Kh1lWUFs2kEgji3uuJCweX88piCcB5ZY22ZFHyRg8169LDC&#10;TNue36g7+UIECLsMFZTeN5mULi/JoJvahjh477Y16INsC6lb7APc1PIpihJpsOKwUGJDu5Lyj9On&#10;UXBIm+3taL/7ot7fD9fX6+L5vPBKTcbDdgnC0+D/w3/to1YQJ/F8Dr93w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Emj9yAAAAN4AAAAPAAAAAAAAAAAAAAAAAJgCAABk&#10;cnMvZG93bnJldi54bWxQSwUGAAAAAAQABAD1AAAAjQMAAAAA&#10;" filled="f" stroked="f">
                  <v:textbox inset="0,0,0,0">
                    <w:txbxContent>
                      <w:p w:rsidR="00BB52D7" w:rsidRDefault="00E33AE6">
                        <w:pPr>
                          <w:spacing w:after="160" w:line="259" w:lineRule="auto"/>
                          <w:ind w:left="0" w:firstLine="0"/>
                          <w:jc w:val="left"/>
                        </w:pPr>
                        <w:r>
                          <w:rPr>
                            <w:sz w:val="20"/>
                          </w:rPr>
                          <w:t xml:space="preserve">rights </w:t>
                        </w:r>
                      </w:p>
                    </w:txbxContent>
                  </v:textbox>
                </v:rect>
                <v:rect id="Rectangle 36383" o:spid="_x0000_s1105" style="position:absolute;left:14474;top:42432;width:3610;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2ccA&#10;AADeAAAADwAAAGRycy9kb3ducmV2LnhtbESPQWvCQBSE74X+h+UVequbGpAYXUVqix7VCOrtkX1N&#10;QrNvQ3Zror/eFQSPw8x8w0znvanFmVpXWVbwOYhAEOdWV1wo2Gc/HwkI55E11pZJwYUczGevL1NM&#10;te14S+edL0SAsEtRQel9k0rp8pIMuoFtiIP3a1uDPsi2kLrFLsBNLYdRNJIGKw4LJTb0VVL+t/s3&#10;ClZJsziu7bUr6u/T6rA5jJfZ2Cv1/tYvJiA89f4ZfrTXWkE8ipMY7nfCF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8Htn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third </w:t>
                        </w:r>
                      </w:p>
                    </w:txbxContent>
                  </v:textbox>
                </v:rect>
                <v:rect id="Rectangle 36385" o:spid="_x0000_s1106" style="position:absolute;left:22781;top:42432;width:2595;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kjNscA&#10;AADeAAAADwAAAGRycy9kb3ducmV2LnhtbESPT2vCQBTE70K/w/IK3nTTihKjq0hV9Fj/gHp7ZJ9J&#10;aPZtyK4m+um7hYLHYWZ+w0znrSnFnWpXWFbw0Y9AEKdWF5wpOB7WvRiE88gaS8uk4EEO5rO3zhQT&#10;bRve0X3vMxEg7BJUkHtfJVK6NCeDrm8r4uBdbW3QB1lnUtfYBLgp5WcUjaTBgsNCjhV95ZT+7G9G&#10;wSauFuetfTZZubpsTt+n8fIw9kp139vFBISn1r/C/+2tVjAYDeIh/N0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ZIzb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not </w:t>
                        </w:r>
                      </w:p>
                    </w:txbxContent>
                  </v:textbox>
                </v:rect>
                <v:rect id="Rectangle 36384" o:spid="_x0000_s1107" style="position:absolute;left:18526;top:42432;width:3886;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GrccA&#10;AADeAAAADwAAAGRycy9kb3ducmV2LnhtbESPT2vCQBTE70K/w/IK3nTTKhKjq0hV9Fj/gHp7ZJ9J&#10;aPZtyK4m+um7hYLHYWZ+w0znrSnFnWpXWFbw0Y9AEKdWF5wpOB7WvRiE88gaS8uk4EEO5rO3zhQT&#10;bRve0X3vMxEg7BJUkHtfJVK6NCeDrm8r4uBdbW3QB1lnUtfYBLgp5WcUjaTBgsNCjhV95ZT+7G9G&#10;wSauFuetfTZZubpsTt+n8fIw9kp139vFBISn1r/C/+2tVjAYDeIh/N0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Vhq3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party </w:t>
                        </w:r>
                      </w:p>
                    </w:txbxContent>
                  </v:textbox>
                </v:rect>
                <v:rect id="Rectangle 36382" o:spid="_x0000_s1108" style="position:absolute;left:7176;top:42432;width:793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C7QsYA&#10;AADeAAAADwAAAGRycy9kb3ducmV2LnhtbESPT4vCMBTE78J+h/AWvGm6ClKrUWRX0aN/FtTbo3m2&#10;ZZuX0kRb/fRGEPY4zMxvmOm8NaW4Ue0Kywq++hEI4tTqgjMFv4dVLwbhPLLG0jIpuJOD+eyjM8VE&#10;24Z3dNv7TAQIuwQV5N5XiZQuzcmg69uKOHgXWxv0QdaZ1DU2AW5KOYiikTRYcFjIsaLvnNK//dUo&#10;WMfV4rSxjyYrl+f1cXsc/xzGXqnuZ7uYgPDU+v/wu73RCoajYTyA151wBeTs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C7QsYAAADe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depositary/ </w:t>
                        </w:r>
                      </w:p>
                    </w:txbxContent>
                  </v:textbox>
                </v:rect>
                <v:rect id="Rectangle 2389" o:spid="_x0000_s1109" style="position:absolute;left:7176;top:43895;width:11069;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8YA&#10;AADdAAAADwAAAGRycy9kb3ducmV2LnhtbESPT2vCQBTE74LfYXlCb7pRoSSpq4h/0KNVwfb2yL4m&#10;wezbkF1N2k/vFgSPw8z8hpktOlOJOzWutKxgPIpAEGdWl5wrOJ+2wxiE88gaK8uk4JccLOb93gxT&#10;bVv+pPvR5yJA2KWooPC+TqV0WUEG3cjWxMH7sY1BH2STS91gG+CmkpMoepcGSw4LBda0Kii7Hm9G&#10;wS6ul197+9fm1eZ7dzlckvUp8Uq9DbrlBwhPnX+Fn+29VjCZx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0cI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enforced by MC</w:t>
                        </w:r>
                      </w:p>
                    </w:txbxContent>
                  </v:textbox>
                </v:rect>
                <v:rect id="Rectangle 2390" o:spid="_x0000_s1110" style="position:absolute;left:15497;top:43895;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jY8IA&#10;AADdAAAADwAAAGRycy9kb3ducmV2LnhtbERPTYvCMBC9C/6HMMLeNFVBbDWK6IoeXRXU29CMbbGZ&#10;lCZru/56c1jw+Hjf82VrSvGk2hWWFQwHEQji1OqCMwXn07Y/BeE8ssbSMin4IwfLRbczx0Tbhn/o&#10;efSZCCHsElSQe18lUro0J4NuYCviwN1tbdAHWGdS19iEcFPKURRNpMGCQ0OOFa1zSh/HX6NgN61W&#10;1719NVn5fdtdDpd4c4q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7iNjwgAAAN0AAAAPAAAAAAAAAAAAAAAAAJgCAABkcnMvZG93&#10;bnJldi54bWxQSwUGAAAAAAQABAD1AAAAhwM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2391" o:spid="_x0000_s1111" style="position:absolute;left:4890;top:46882;width:56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G+McA&#10;AADdAAAADwAAAGRycy9kb3ducmV2LnhtbESPQWvCQBSE7wX/w/KE3upGC8VE1xC0RY+tEaK3R/aZ&#10;BLNvQ3Zr0v76bqHQ4zAz3zDrdDStuFPvGssK5rMIBHFpdcOVglP+9rQE4TyyxtYyKfgiB+lm8rDG&#10;RNuBP+h+9JUIEHYJKqi97xIpXVmTQTezHXHwrrY36IPsK6l7HALctHIRRS/SYMNhocaOtjWVt+On&#10;UbBfdtn5YL+Hqn297Iv3It7lsVfqcTpmKxCeRv8f/msf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ihvj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w:t>
                        </w:r>
                      </w:p>
                    </w:txbxContent>
                  </v:textbox>
                </v:rect>
                <v:rect id="Rectangle 2392" o:spid="_x0000_s1112" style="position:absolute;left:5317;top:46864;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Yj8YA&#10;AADdAAAADwAAAGRycy9kb3ducmV2LnhtbESPQWvCQBSE7wX/w/KE3urGFIp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AYj8YAAADdAAAADwAAAAAAAAAAAAAAAACYAgAAZHJz&#10;L2Rvd25yZXYueG1sUEsFBgAAAAAEAAQA9QAAAIsDAAAAAA==&#10;" filled="f" stroked="f">
                  <v:textbox inset="0,0,0,0">
                    <w:txbxContent>
                      <w:p w:rsidR="00BB52D7" w:rsidRDefault="00E33AE6">
                        <w:pPr>
                          <w:spacing w:after="160" w:line="259" w:lineRule="auto"/>
                          <w:ind w:left="0" w:firstLine="0"/>
                          <w:jc w:val="left"/>
                        </w:pPr>
                        <w:r>
                          <w:rPr>
                            <w:rFonts w:ascii="Arial" w:eastAsia="Arial" w:hAnsi="Arial" w:cs="Arial"/>
                            <w:sz w:val="20"/>
                          </w:rPr>
                          <w:t xml:space="preserve"> </w:t>
                        </w:r>
                      </w:p>
                    </w:txbxContent>
                  </v:textbox>
                </v:rect>
                <v:rect id="Rectangle 2393" o:spid="_x0000_s1113" style="position:absolute;left:7176;top:46882;width:263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9F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B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L0UxQAAAN0AAAAPAAAAAAAAAAAAAAAAAJgCAABkcnMv&#10;ZG93bnJldi54bWxQSwUGAAAAAAQABAD1AAAAigMAAAAA&#10;" filled="f" stroked="f">
                  <v:textbox inset="0,0,0,0">
                    <w:txbxContent>
                      <w:p w:rsidR="00BB52D7" w:rsidRDefault="00E33AE6">
                        <w:pPr>
                          <w:spacing w:after="160" w:line="259" w:lineRule="auto"/>
                          <w:ind w:left="0" w:firstLine="0"/>
                          <w:jc w:val="left"/>
                        </w:pPr>
                        <w:r>
                          <w:rPr>
                            <w:sz w:val="20"/>
                          </w:rPr>
                          <w:t>Sub</w:t>
                        </w:r>
                      </w:p>
                    </w:txbxContent>
                  </v:textbox>
                </v:rect>
                <v:rect id="Rectangle 2394" o:spid="_x0000_s1114" style="position:absolute;left:9157;top:46882;width:56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lYMYA&#10;AADdAAAADwAAAGRycy9kb3ducmV2LnhtbESPQWvCQBSE74L/YXkFb7qpFjExq4it6LFqIfX2yL4m&#10;odm3IbuatL++WxA8DjPzDZOue1OLG7WusqzgeRKBIM6trrhQ8HHejRcgnEfWWFsmBT/kYL0aDlJM&#10;tO34SLeTL0SAsEtQQel9k0jp8pIMuoltiIP3ZVuDPsi2kLrFLsBNLadRNJcGKw4LJTa0LSn/Pl2N&#10;gv2i2Xwe7G9X1G+Xffaexa/n2Cs1euo3SxCeev8I39sHrWA6i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UlY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w:t>
                        </w:r>
                      </w:p>
                    </w:txbxContent>
                  </v:textbox>
                </v:rect>
                <v:rect id="Rectangle 36387" o:spid="_x0000_s1115" style="position:absolute;left:16149;top:46882;width:3378;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2scA&#10;AADeAAAADwAAAGRycy9kb3ducmV2LnhtbESPQWvCQBSE70L/w/IK3nTTChpTV5Gq6FFjwfb2yL4m&#10;odm3Ibua6K93BaHHYWa+YWaLzlTiQo0rLSt4G0YgiDOrS84VfB03gxiE88gaK8uk4EoOFvOX3gwT&#10;bVs+0CX1uQgQdgkqKLyvEyldVpBBN7Q1cfB+bWPQB9nkUjfYBrip5HsUjaXBksNCgTV9FpT9pWej&#10;YBvXy++dvbV5tf7Znvan6eo49Ur1X7vlBwhPnf8PP9s7rWA0HsUTeNwJV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HGNr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selec</w:t>
                        </w:r>
                      </w:p>
                    </w:txbxContent>
                  </v:textbox>
                </v:rect>
                <v:rect id="Rectangle 36386" o:spid="_x0000_s1116" style="position:absolute;left:9577;top:46882;width:557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9QcYA&#10;AADeAAAADwAAAGRycy9kb3ducmV2LnhtbESPT2vCQBTE74V+h+UVvNVNK4QYXUVaRY/+A/X2yL4m&#10;odm3Ibua6Kd3BcHjMDO/YcbTzlTiQo0rLSv46kcgiDOrS84V7HeLzwSE88gaK8uk4EoOppP3tzGm&#10;2ra8ocvW5yJA2KWooPC+TqV0WUEGXd/WxMH7s41BH2STS91gG+Cmkt9RFEuDJYeFAmv6KSj7356N&#10;gmVSz44re2vzan5aHtaH4e9u6JXqfXSzEQhPnX+Fn+2VVjCIB0kMjzvhCs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u9QcYAAADe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optimal </w:t>
                        </w:r>
                      </w:p>
                    </w:txbxContent>
                  </v:textbox>
                </v:rect>
                <v:rect id="Rectangle 36389" o:spid="_x0000_s1117" style="position:absolute;left:23360;top:46882;width:183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pM8cA&#10;AADeAAAADwAAAGRycy9kb3ducmV2LnhtbESPQWvCQBSE74X+h+UVequbKkgSXUVqix7VCOrtkX1N&#10;QrNvQ3Zror/eFQSPw8x8w0znvanFmVpXWVbwOYhAEOdWV1wo2Gc/HzEI55E11pZJwYUczGevL1NM&#10;te14S+edL0SAsEtRQel9k0rp8pIMuoFtiIP3a1uDPsi2kLrFLsBNLYdRNJYGKw4LJTb0VVL+t/s3&#10;ClZxsziu7bUr6u/T6rA5JMss8Uq9v/WLCQhPvX+GH+21VjAaj+IE7nfCF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UKTP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of </w:t>
                        </w:r>
                      </w:p>
                    </w:txbxContent>
                  </v:textbox>
                </v:rect>
                <v:rect id="Rectangle 36388" o:spid="_x0000_s1118" style="position:absolute;left:18690;top:46882;width:3048;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MqMMA&#10;AADeAAAADwAAAGRycy9kb3ducmV2LnhtbERPy4rCMBTdD/gP4QruxlQFqdUo4gNdjg9Qd5fm2hab&#10;m9JE25mvnywEl4fzni1aU4oX1a6wrGDQj0AQp1YXnCk4n7bfMQjnkTWWlknBLzlYzDtfM0y0bfhA&#10;r6PPRAhhl6CC3PsqkdKlORl0fVsRB+5ua4M+wDqTusYmhJtSDqNoLA0WHBpyrGiVU/o4Po2CXVwt&#10;r3v712Tl5ra7/Fwm69PEK9XrtsspCE+t/4jf7r1WMBqP4rA33AlX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iMqMMAAADe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tion </w:t>
                        </w:r>
                      </w:p>
                    </w:txbxContent>
                  </v:textbox>
                </v:rect>
                <v:rect id="Rectangle 2397" o:spid="_x0000_s1119" style="position:absolute;left:7176;top:48337;width:2335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7F8YA&#10;AADdAAAADwAAAGRycy9kb3ducmV2LnhtbESPQWvCQBSE74L/YXkFb7qpQjUxq4it6LFqIfX2yL4m&#10;odm3IbuatL++WxA8DjPzDZOue1OLG7WusqzgeRKBIM6trrhQ8HHejRcgnEfWWFsmBT/kYL0aDlJM&#10;tO34SLeTL0SAsEtQQel9k0jp8pIMuoltiIP3ZVuDPsi2kLrFLsBNLadR9CINVhwWSmxoW1L+fboa&#10;BftFs/k82N+uqN8u++w9i1/PsVdq9NRvliA89f4RvrcPWsF0F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7F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depositary/third party assess by </w:t>
                        </w:r>
                      </w:p>
                    </w:txbxContent>
                  </v:textbox>
                </v:rect>
                <v:rect id="Rectangle 2398" o:spid="_x0000_s1120" style="position:absolute;left:7176;top:49800;width:2629;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vZcIA&#10;AADdAAAADwAAAGRycy9kb3ducmV2LnhtbERPTYvCMBC9C/6HMMLeNFVB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C9lwgAAAN0AAAAPAAAAAAAAAAAAAAAAAJgCAABkcnMvZG93&#10;bnJldi54bWxQSwUGAAAAAAQABAD1AAAAhwMAAAAA&#10;" filled="f" stroked="f">
                  <v:textbox inset="0,0,0,0">
                    <w:txbxContent>
                      <w:p w:rsidR="00BB52D7" w:rsidRDefault="00E33AE6">
                        <w:pPr>
                          <w:spacing w:after="160" w:line="259" w:lineRule="auto"/>
                          <w:ind w:left="0" w:firstLine="0"/>
                          <w:jc w:val="left"/>
                        </w:pPr>
                        <w:r>
                          <w:rPr>
                            <w:sz w:val="20"/>
                          </w:rPr>
                          <w:t>MC</w:t>
                        </w:r>
                      </w:p>
                    </w:txbxContent>
                  </v:textbox>
                </v:rect>
                <v:rect id="Rectangle 2399" o:spid="_x0000_s1121" style="position:absolute;left:9150;top:49800;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K/sYA&#10;AADdAAAADwAAAGRycy9kb3ducmV2LnhtbESPQWvCQBSE70L/w/IK3nTTFIq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SK/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shape id="Shape 2401" o:spid="_x0000_s1122" style="position:absolute;left:29464;top:27438;width:9385;height:25705;visibility:visible;mso-wrap-style:square;v-text-anchor:top" coordsize="938530,257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yrMYA&#10;AADdAAAADwAAAGRycy9kb3ducmV2LnhtbESPQWsCMRSE74X+h/AKvRTNakOV1ShSKHjopVoovT02&#10;z83SzcuSZNf13xtB6HGYmW+Y9XZ0rRgoxMazhtm0AEFcedNwreH7+DFZgogJ2WDrmTRcKMJ28/iw&#10;xtL4M3/RcEi1yBCOJWqwKXWllLGy5DBOfUecvZMPDlOWoZYm4DnDXSvnRfEmHTacFyx29G6p+jv0&#10;TsPvi+o/x0v7uhzUT7+rOVilFlo/P427FYhEY/oP39t7o2Guihnc3uQnID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0yrMYAAADdAAAADwAAAAAAAAAAAAAAAACYAgAAZHJz&#10;L2Rvd25yZXYueG1sUEsFBgAAAAAEAAQA9QAAAIsDAAAAAA==&#10;" path="m156464,c70104,,,70104,,156464l,2414016v,86360,70104,156464,156464,156464l782066,2570480v86360,,156464,-70104,156464,-156464l938530,156464c938530,70104,868426,,782066,l156464,xe" filled="f">
                  <v:stroke endcap="round"/>
                  <v:path arrowok="t" textboxrect="0,0,938530,2570480"/>
                </v:shape>
                <v:rect id="Rectangle 2402" o:spid="_x0000_s1123" style="position:absolute;left:30801;top:28363;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AbcUA&#10;AADdAAAADwAAAGRycy9kb3ducmV2LnhtbESPT4vCMBTE74LfITxhb5paZNFqFPEPetxVQb09mmdb&#10;bF5KE213P/1mQfA4zMxvmNmiNaV4Uu0KywqGgwgEcWp1wZmC03HbH4NwHlljaZkU/JCDxbzbmWGi&#10;bcPf9Dz4TAQIuwQV5N5XiZQuzcmgG9iKOHg3Wxv0QdaZ1DU2AW5KGUfRpzRYcFjIsaJVTun98DAK&#10;duNqednb3yYrN9fd+es8WR8nXqmPXrucgvDU+nf41d5rBfEo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EBtxQAAAN0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403" o:spid="_x0000_s1124" style="position:absolute;left:30801;top:31350;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zl9scA&#10;AADdAAAADwAAAGRycy9kb3ducmV2LnhtbESPQWvCQBSE74L/YXlCb7rRF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c5fb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404" o:spid="_x0000_s1125" style="position:absolute;left:30801;top:34329;width:4470;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9gsUA&#10;AADdAAAADwAAAGRycy9kb3ducmV2LnhtbESPT4vCMBTE74LfIbwFb5quiGjXKOIf9Kh2wd3bo3nb&#10;lm1eShNt9dMbQfA4zMxvmNmiNaW4Uu0Kywo+BxEI4tTqgjMF38m2PwHhPLLG0jIpuJGDxbzbmWGs&#10;bcNHup58JgKEXYwKcu+rWEqX5mTQDWxFHLw/Wxv0QdaZ1DU2AW5KOYyisTRYcFjIsaJVTun/6WIU&#10;7CbV8mdv701Wbn5358N5uk6mXqneR7v8AuGp9e/wq73XCoaj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X2CxQAAAN0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rPr>
                          <w:t xml:space="preserve">Legal </w:t>
                        </w:r>
                      </w:p>
                    </w:txbxContent>
                  </v:textbox>
                </v:rect>
                <v:rect id="Rectangle 2405" o:spid="_x0000_s1126" style="position:absolute;left:30801;top:35792;width:891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YGccA&#10;AADdAAAADwAAAGRycy9kb3ducmV2LnhtbESPQWvCQBSE74L/YXlCb7pRWtHUVUQtydHGgu3tkX1N&#10;QrNvQ3abpP31XUHocZiZb5jNbjC16Kh1lWUF81kEgji3uuJCwdvlZboC4TyyxtoyKfghB7vteLTB&#10;WNueX6nLfCEChF2MCkrvm1hKl5dk0M1sQxy8T9sa9EG2hdQt9gFuarmIoqU0WHFYKLGhQ0n5V/Zt&#10;FCSrZv+e2t++qE8fyfV8XR8va6/Uw2TYP4PwNPj/8L2dagWLx+g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52Bn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uncertainty;</w:t>
                        </w:r>
                      </w:p>
                    </w:txbxContent>
                  </v:textbox>
                </v:rect>
                <v:rect id="Rectangle 2406" o:spid="_x0000_s1127" style="position:absolute;left:37499;top:35792;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bsYA&#10;AADdAAAADwAAAGRycy9kb3ducmV2LnhtbESPQWvCQBSE74L/YXlCb7pRStDoKmJbkmMbBfX2yD6T&#10;YPZtyG5N2l/fLRR6HGbmG2azG0wjHtS52rKC+SwCQVxYXXOp4HR8my5BOI+ssbFMCr7IwW47Hm0w&#10;0bbnD3rkvhQBwi5BBZX3bSKlKyoy6Ga2JQ7ezXYGfZBdKXWHfYCbRi6iKJYGaw4LFbZ0qKi4559G&#10;Qbps95fMfvdl83pNz+/n1ctx5ZV6mgz7NQhPg/8P/7UzrWDxHM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Gbs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407" o:spid="_x0000_s1128" style="position:absolute;left:30801;top:38779;width:802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fj9c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j9E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n4/X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Ineffective </w:t>
                        </w:r>
                      </w:p>
                    </w:txbxContent>
                  </v:textbox>
                </v:rect>
                <v:rect id="Rectangle 2408" o:spid="_x0000_s1129" style="position:absolute;left:30801;top:40235;width:7841;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3h8QA&#10;AADdAAAADwAAAGRycy9kb3ducmV2LnhtbERPTWvCQBC9C/6HZYTedNNQio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4d4fEAAAA3QAAAA8AAAAAAAAAAAAAAAAAmAIAAGRycy9k&#10;b3ducmV2LnhtbFBLBQYAAAAABAAEAPUAAACJAwAAAAA=&#10;" filled="f" stroked="f">
                  <v:textbox inset="0,0,0,0">
                    <w:txbxContent>
                      <w:p w:rsidR="00BB52D7" w:rsidRDefault="00E33AE6">
                        <w:pPr>
                          <w:spacing w:after="160" w:line="259" w:lineRule="auto"/>
                          <w:ind w:left="0" w:firstLine="0"/>
                          <w:jc w:val="left"/>
                        </w:pPr>
                        <w:r>
                          <w:rPr>
                            <w:b/>
                            <w:sz w:val="20"/>
                          </w:rPr>
                          <w:t xml:space="preserve">regulation </w:t>
                        </w:r>
                      </w:p>
                    </w:txbxContent>
                  </v:textbox>
                </v:rect>
                <v:rect id="Rectangle 2409" o:spid="_x0000_s1130" style="position:absolute;left:30801;top:41700;width:3148;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SHMUA&#10;AADdAAAADwAAAGRycy9kb3ducmV2LnhtbESPT4vCMBTE78J+h/AWvGmqLGKrUWTXRY/+WVBvj+bZ&#10;FpuX0kRb/fRGEPY4zMxvmOm8NaW4Ue0KywoG/QgEcWp1wZmCv/1vbwzCeWSNpWVScCcH89lHZ4qJ&#10;tg1v6bbzmQgQdgkqyL2vEildmpNB17cVcfDOtjbog6wzqWtsAtyUchhFI2mw4LCQY0XfOaWX3dUo&#10;WI2rxXFtH01WLk+rw+YQ/+xjr1T3s11MQHhq/X/43V5rBcOv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NIcxQAAAN0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rPr>
                          <w:t xml:space="preserve">and </w:t>
                        </w:r>
                      </w:p>
                    </w:txbxContent>
                  </v:textbox>
                </v:rect>
                <v:rect id="Rectangle 2410" o:spid="_x0000_s1131" style="position:absolute;left:30801;top:43201;width:8261;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tXMEA&#10;AADdAAAADwAAAGRycy9kb3ducmV2LnhtbERPy4rCMBTdC/5DuMLsNFVEtBpFdESXvkDdXZprW2xu&#10;SpOxHb/eLASXh/OeLRpTiCdVLresoN+LQBAnVuecKjifNt0xCOeRNRaWScE/OVjM260ZxtrWfKDn&#10;0acihLCLUUHmfRlL6ZKMDLqeLYkDd7eVQR9glUpdYR3CTSEHUTSSBnMODRmWtMooeRz/jILtuFxe&#10;d/ZVp8XvbXvZXybr08Qr9dNpllMQnhr/FX/cO61gMO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7VzBAAAA3QAAAA8AAAAAAAAAAAAAAAAAmAIAAGRycy9kb3du&#10;cmV2LnhtbFBLBQYAAAAABAAEAPUAAACGAwAAAAA=&#10;" filled="f" stroked="f">
                  <v:textbox inset="0,0,0,0">
                    <w:txbxContent>
                      <w:p w:rsidR="00BB52D7" w:rsidRDefault="00E33AE6">
                        <w:pPr>
                          <w:spacing w:after="160" w:line="259" w:lineRule="auto"/>
                          <w:ind w:left="0" w:firstLine="0"/>
                          <w:jc w:val="left"/>
                        </w:pPr>
                        <w:r>
                          <w:rPr>
                            <w:b/>
                            <w:sz w:val="20"/>
                          </w:rPr>
                          <w:t>supervision</w:t>
                        </w:r>
                      </w:p>
                    </w:txbxContent>
                  </v:textbox>
                </v:rect>
                <v:rect id="Rectangle 2411" o:spid="_x0000_s1132" style="position:absolute;left:37011;top:43201;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Ix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voh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SMf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 </w:t>
                        </w:r>
                      </w:p>
                    </w:txbxContent>
                  </v:textbox>
                </v:rect>
                <v:shape id="Shape 2420" o:spid="_x0000_s1133" style="position:absolute;left:1917;top:57658;width:37548;height:8032;visibility:visible;mso-wrap-style:square;v-text-anchor:top" coordsize="3754755,80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KmMMA&#10;AADdAAAADwAAAGRycy9kb3ducmV2LnhtbERPy2rCQBTdC/2H4RbciE4MRdLoKOKDFhctVT/gMnOb&#10;hGbuhMzk4d93FoUuD+e92Y22Fj21vnKsYLlIQBBrZyouFNxv53kGwgdkg7VjUvAgD7vt02SDuXED&#10;f1F/DYWIIexzVFCG0ORSel2SRb9wDXHkvl1rMUTYFtK0OMRwW8s0SVbSYsWxocSGDiXpn2tnFXx8&#10;nl4Hf+nfMtsdM41dNhudVmr6PO7XIAKN4V/85343CtKXNO6Pb+IT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KmMMAAADdAAAADwAAAAAAAAAAAAAAAACYAgAAZHJzL2Rv&#10;d25yZXYueG1sUEsFBgAAAAAEAAQA9QAAAIgDAAAAAA==&#10;" path="m133883,c59944,,,59944,,133858l,669417v,73914,59944,133858,133883,133858l3620897,803275v73914,,133858,-59944,133858,-133858l3754755,133858c3754755,59944,3694811,,3620897,l133883,xe" filled="f">
                  <v:stroke endcap="round"/>
                  <v:path arrowok="t" textboxrect="0,0,3754755,803275"/>
                </v:shape>
                <v:rect id="Rectangle 2421" o:spid="_x0000_s1134" style="position:absolute;left:3227;top:58563;width:46876;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eCesUA&#10;AADdAAAADwAAAGRycy9kb3ducmV2LnhtbESPT4vCMBTE78J+h/AWvGlqEdFqFNlV9OifBdfbo3nb&#10;lm1eShNt9dMbQfA4zMxvmNmiNaW4Uu0KywoG/QgEcWp1wZmCn+O6NwbhPLLG0jIpuJGDxfyjM8NE&#10;24b3dD34TAQIuwQV5N5XiZQuzcmg69uKOHh/tjbog6wzqWtsAtyUMo6ikTRYcFjIsaKvnNL/w8Uo&#10;2Iyr5e/W3pusXJ03p91p8n2ceKW6n+1yCsJT69/hV3urFcTD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4J6xQAAAN0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rPr>
                          <w:t xml:space="preserve">Adverse impact on investor protection, financial stability and </w:t>
                        </w:r>
                      </w:p>
                    </w:txbxContent>
                  </v:textbox>
                </v:rect>
                <v:rect id="Rectangle 2422" o:spid="_x0000_s1135" style="position:absolute;left:3227;top:60019;width:2388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cDcUA&#10;AADdAAAADwAAAGRycy9kb3ducmV2LnhtbESPT4vCMBTE78J+h/AWvGlqWUS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RwNxQAAAN0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rPr>
                          <w:t xml:space="preserve">transparency of capital markets. </w:t>
                        </w:r>
                      </w:p>
                    </w:txbxContent>
                  </v:textbox>
                </v:rect>
                <v:rect id="Rectangle 2423" o:spid="_x0000_s1136" style="position:absolute;left:21182;top:60019;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5l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uZb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424" o:spid="_x0000_s1137" style="position:absolute;left:3227;top:63006;width:38751;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4scA&#10;AADdAAAADwAAAGRycy9kb3ducmV2LnhtbESPT2vCQBTE74V+h+UVvNVNQxC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IeL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Potential impact on the level of market concentration.</w:t>
                        </w:r>
                      </w:p>
                    </w:txbxContent>
                  </v:textbox>
                </v:rect>
                <v:rect id="Rectangle 2425" o:spid="_x0000_s1138" style="position:absolute;left:32371;top:63006;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Eec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hHn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 </w:t>
                        </w:r>
                      </w:p>
                    </w:txbxContent>
                  </v:textbox>
                </v:rect>
                <v:shape id="Shape 2432" o:spid="_x0000_s1139" style="position:absolute;left:13079;top:24511;width:762;height:2927;visibility:visible;mso-wrap-style:square;v-text-anchor:top" coordsize="76200,29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IOcQA&#10;AADdAAAADwAAAGRycy9kb3ducmV2LnhtbESPQWvCQBSE70L/w/IKvenGtFiJrlJKhXqsDQFvj91n&#10;Npp9G7Jbk/57t1DwOMzMN8x6O7pWXKkPjWcF81kGglh703CtoPzeTZcgQkQ22HomBb8UYLt5mKyx&#10;MH7gL7oeYi0ShEOBCmyMXSFl0JYchpnviJN38r3DmGRfS9PjkOCulXmWLaTDhtOCxY7eLenL4ccp&#10;2NXnk5Zjaavq9aPKB95rG49KPT2ObysQkcZ4D/+3P42C/OU5h7836Qn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GSDnEAAAA3QAAAA8AAAAAAAAAAAAAAAAAmAIAAGRycy9k&#10;b3ducmV2LnhtbFBLBQYAAAAABAAEAPUAAACJAwAAAAA=&#10;" path="m37592,v3556,,6350,2794,6350,6350l44421,216514r31779,-106l38227,292735,,216662r31721,-106l31242,6350c31242,2794,34036,,37592,xe" fillcolor="black" stroked="f" strokeweight="0">
                  <v:stroke endcap="round"/>
                  <v:path arrowok="t" textboxrect="0,0,76200,292735"/>
                </v:shape>
                <v:shape id="Shape 2433" o:spid="_x0000_s1140" style="position:absolute;left:33928;top:24885;width:762;height:2928;visibility:visible;mso-wrap-style:square;v-text-anchor:top" coordsize="76200,29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tosQA&#10;AADdAAAADwAAAGRycy9kb3ducmV2LnhtbESPQWsCMRSE7wX/Q3iCt5p1lVq2RpFSwR6rsuDtkTw3&#10;225elk1013/fCIUeh5n5hlltBteIG3Wh9qxgNs1AEGtvaq4UnI6751cQISIbbDyTgjsF2KxHTyss&#10;jO/5i26HWIkE4VCgAhtjW0gZtCWHYepb4uRdfOcwJtlV0nTYJ7hrZJ5lL9JhzWnBYkvvlvTP4eoU&#10;7Krvi5bDyZbl8qPMe/7UNp6VmoyH7RuISEP8D/+190ZBvpjP4fEmP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K7aLEAAAA3QAAAA8AAAAAAAAAAAAAAAAAmAIAAGRycy9k&#10;b3ducmV2LnhtbFBLBQYAAAAABAAEAPUAAACJAwAAAAA=&#10;" path="m38100,v3556,,6350,2794,6350,6350l44450,216535r31750,l38100,292735,,216535r31750,l31750,6350c31750,2794,34544,,38100,xe" fillcolor="black" stroked="f" strokeweight="0">
                  <v:stroke endcap="round"/>
                  <v:path arrowok="t" textboxrect="0,0,76200,292735"/>
                </v:shape>
                <v:shape id="Shape 2435" o:spid="_x0000_s1141" style="position:absolute;top:54235;width:38474;height:3423;visibility:visible;mso-wrap-style:square;v-text-anchor:top" coordsize="3847465,34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udcMA&#10;AADdAAAADwAAAGRycy9kb3ducmV2LnhtbESPQUsDMRSE74L/ITzBm81m1SLbpkWEUm/Vrd6fm9ds&#10;cPOyJHG7/nsjCB6HmfmGWW9nP4iJYnKBNahFBYK4C8ax1fB23N08gEgZ2eAQmDR8U4Lt5vJijY0J&#10;Z36lqc1WFAinBjX0OY+NlKnryWNahJG4eKcQPeYio5Um4rnA/SDrqlpKj47LQo8jPfXUfbZfXoON&#10;B/eu9ubwUdtW7d1RvUw7pfX11fy4ApFpzv/hv/az0VDf3d7D75vy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WudcMAAADdAAAADwAAAAAAAAAAAAAAAACYAgAAZHJzL2Rv&#10;d25yZXYueG1sUEsFBgAAAAAEAAQA9QAAAIgDAAAAAA==&#10;" path="m3847465,v,94488,-143510,171069,-320675,171069l2244344,171069v-177038,,-320675,76708,-320675,171196c1923669,247777,1780159,171069,1603121,171069r-1282497,c143574,171069,,94488,,e" filled="f">
                  <v:stroke endcap="round"/>
                  <v:path arrowok="t" textboxrect="0,0,3847465,342265"/>
                </v:shape>
                <w10:anchorlock/>
              </v:group>
            </w:pict>
          </mc:Fallback>
        </mc:AlternateContent>
      </w:r>
      <w:r>
        <w:t xml:space="preserve"> </w:t>
      </w:r>
      <w:r>
        <w:tab/>
      </w:r>
      <w:r>
        <w:rPr>
          <w:rFonts w:ascii="Calibri" w:eastAsia="Calibri" w:hAnsi="Calibri" w:cs="Calibri"/>
          <w:noProof/>
          <w:sz w:val="22"/>
        </w:rPr>
        <mc:AlternateContent>
          <mc:Choice Requires="wpg">
            <w:drawing>
              <wp:inline distT="0" distB="0" distL="0" distR="0">
                <wp:extent cx="1116330" cy="6339840"/>
                <wp:effectExtent l="0" t="0" r="0" b="0"/>
                <wp:docPr id="174418" name="Group 174418"/>
                <wp:cNvGraphicFramePr/>
                <a:graphic xmlns:a="http://schemas.openxmlformats.org/drawingml/2006/main">
                  <a:graphicData uri="http://schemas.microsoft.com/office/word/2010/wordprocessingGroup">
                    <wpg:wgp>
                      <wpg:cNvGrpSpPr/>
                      <wpg:grpSpPr>
                        <a:xfrm>
                          <a:off x="0" y="0"/>
                          <a:ext cx="1116330" cy="6339840"/>
                          <a:chOff x="0" y="0"/>
                          <a:chExt cx="1116330" cy="6339840"/>
                        </a:xfrm>
                      </wpg:grpSpPr>
                      <wps:wsp>
                        <wps:cNvPr id="2362" name="Shape 2362"/>
                        <wps:cNvSpPr/>
                        <wps:spPr>
                          <a:xfrm>
                            <a:off x="12700" y="25400"/>
                            <a:ext cx="1103630" cy="2457450"/>
                          </a:xfrm>
                          <a:custGeom>
                            <a:avLst/>
                            <a:gdLst/>
                            <a:ahLst/>
                            <a:cxnLst/>
                            <a:rect l="0" t="0" r="0" b="0"/>
                            <a:pathLst>
                              <a:path w="1103630" h="2457450">
                                <a:moveTo>
                                  <a:pt x="183896" y="0"/>
                                </a:moveTo>
                                <a:lnTo>
                                  <a:pt x="919734" y="0"/>
                                </a:lnTo>
                                <a:cubicBezTo>
                                  <a:pt x="1021207" y="0"/>
                                  <a:pt x="1103630" y="82423"/>
                                  <a:pt x="1103630" y="183896"/>
                                </a:cubicBezTo>
                                <a:lnTo>
                                  <a:pt x="1103630" y="2273554"/>
                                </a:lnTo>
                                <a:cubicBezTo>
                                  <a:pt x="1103630" y="2375027"/>
                                  <a:pt x="1021207" y="2457450"/>
                                  <a:pt x="919734" y="2457450"/>
                                </a:cubicBezTo>
                                <a:lnTo>
                                  <a:pt x="183896" y="2457450"/>
                                </a:lnTo>
                                <a:cubicBezTo>
                                  <a:pt x="82423" y="2457450"/>
                                  <a:pt x="0" y="2375027"/>
                                  <a:pt x="0" y="2273554"/>
                                </a:cubicBezTo>
                                <a:lnTo>
                                  <a:pt x="0" y="183896"/>
                                </a:lnTo>
                                <a:cubicBezTo>
                                  <a:pt x="0" y="82423"/>
                                  <a:pt x="82423" y="0"/>
                                  <a:pt x="183896" y="0"/>
                                </a:cubicBezTo>
                                <a:close/>
                              </a:path>
                            </a:pathLst>
                          </a:custGeom>
                          <a:ln w="0" cap="rnd">
                            <a:round/>
                          </a:ln>
                        </wps:spPr>
                        <wps:style>
                          <a:lnRef idx="0">
                            <a:srgbClr val="000000">
                              <a:alpha val="0"/>
                            </a:srgbClr>
                          </a:lnRef>
                          <a:fillRef idx="1">
                            <a:srgbClr val="7F7F7F">
                              <a:alpha val="50196"/>
                            </a:srgbClr>
                          </a:fillRef>
                          <a:effectRef idx="0">
                            <a:scrgbClr r="0" g="0" b="0"/>
                          </a:effectRef>
                          <a:fontRef idx="none"/>
                        </wps:style>
                        <wps:bodyPr/>
                      </wps:wsp>
                      <pic:pic xmlns:pic="http://schemas.openxmlformats.org/drawingml/2006/picture">
                        <pic:nvPicPr>
                          <pic:cNvPr id="233890" name="Picture 233890"/>
                          <pic:cNvPicPr/>
                        </pic:nvPicPr>
                        <pic:blipFill>
                          <a:blip r:embed="rId9"/>
                          <a:stretch>
                            <a:fillRect/>
                          </a:stretch>
                        </pic:blipFill>
                        <pic:spPr>
                          <a:xfrm>
                            <a:off x="-3428" y="-4825"/>
                            <a:ext cx="1109472" cy="2462784"/>
                          </a:xfrm>
                          <a:prstGeom prst="rect">
                            <a:avLst/>
                          </a:prstGeom>
                        </pic:spPr>
                      </pic:pic>
                      <wps:wsp>
                        <wps:cNvPr id="2364" name="Shape 2364"/>
                        <wps:cNvSpPr/>
                        <wps:spPr>
                          <a:xfrm>
                            <a:off x="0" y="0"/>
                            <a:ext cx="1103630" cy="2457450"/>
                          </a:xfrm>
                          <a:custGeom>
                            <a:avLst/>
                            <a:gdLst/>
                            <a:ahLst/>
                            <a:cxnLst/>
                            <a:rect l="0" t="0" r="0" b="0"/>
                            <a:pathLst>
                              <a:path w="1103630" h="2457450">
                                <a:moveTo>
                                  <a:pt x="183896" y="0"/>
                                </a:moveTo>
                                <a:cubicBezTo>
                                  <a:pt x="82423" y="0"/>
                                  <a:pt x="0" y="82423"/>
                                  <a:pt x="0" y="183896"/>
                                </a:cubicBezTo>
                                <a:lnTo>
                                  <a:pt x="0" y="2273554"/>
                                </a:lnTo>
                                <a:cubicBezTo>
                                  <a:pt x="0" y="2375027"/>
                                  <a:pt x="82423" y="2457450"/>
                                  <a:pt x="183896" y="2457450"/>
                                </a:cubicBezTo>
                                <a:lnTo>
                                  <a:pt x="919734" y="2457450"/>
                                </a:lnTo>
                                <a:cubicBezTo>
                                  <a:pt x="1021207" y="2457450"/>
                                  <a:pt x="1103630" y="2375027"/>
                                  <a:pt x="1103630" y="2273554"/>
                                </a:cubicBezTo>
                                <a:lnTo>
                                  <a:pt x="1103630" y="183896"/>
                                </a:lnTo>
                                <a:cubicBezTo>
                                  <a:pt x="1103630" y="82423"/>
                                  <a:pt x="1021207" y="0"/>
                                  <a:pt x="919734" y="0"/>
                                </a:cubicBezTo>
                                <a:close/>
                              </a:path>
                            </a:pathLst>
                          </a:custGeom>
                          <a:ln w="12700" cap="rnd">
                            <a:round/>
                          </a:ln>
                        </wps:spPr>
                        <wps:style>
                          <a:lnRef idx="1">
                            <a:srgbClr val="666666"/>
                          </a:lnRef>
                          <a:fillRef idx="0">
                            <a:srgbClr val="000000">
                              <a:alpha val="0"/>
                            </a:srgbClr>
                          </a:fillRef>
                          <a:effectRef idx="0">
                            <a:scrgbClr r="0" g="0" b="0"/>
                          </a:effectRef>
                          <a:fontRef idx="none"/>
                        </wps:style>
                        <wps:bodyPr/>
                      </wps:wsp>
                      <wps:wsp>
                        <wps:cNvPr id="2365" name="Rectangle 2365"/>
                        <wps:cNvSpPr/>
                        <wps:spPr>
                          <a:xfrm>
                            <a:off x="552577" y="101247"/>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366" name="Rectangle 2366"/>
                        <wps:cNvSpPr/>
                        <wps:spPr>
                          <a:xfrm>
                            <a:off x="552577" y="399951"/>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367" name="Rectangle 2367"/>
                        <wps:cNvSpPr/>
                        <wps:spPr>
                          <a:xfrm>
                            <a:off x="552577" y="698147"/>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368" name="Rectangle 2368"/>
                        <wps:cNvSpPr/>
                        <wps:spPr>
                          <a:xfrm>
                            <a:off x="319405" y="996851"/>
                            <a:ext cx="662774" cy="187357"/>
                          </a:xfrm>
                          <a:prstGeom prst="rect">
                            <a:avLst/>
                          </a:prstGeom>
                          <a:ln>
                            <a:noFill/>
                          </a:ln>
                        </wps:spPr>
                        <wps:txbx>
                          <w:txbxContent>
                            <w:p w:rsidR="00BB52D7" w:rsidRDefault="00E33AE6">
                              <w:pPr>
                                <w:spacing w:after="160" w:line="259" w:lineRule="auto"/>
                                <w:ind w:left="0" w:firstLine="0"/>
                                <w:jc w:val="left"/>
                              </w:pPr>
                              <w:r>
                                <w:rPr>
                                  <w:b/>
                                  <w:sz w:val="20"/>
                                </w:rPr>
                                <w:t xml:space="preserve">Problem </w:t>
                              </w:r>
                            </w:p>
                          </w:txbxContent>
                        </wps:txbx>
                        <wps:bodyPr horzOverflow="overflow" vert="horz" lIns="0" tIns="0" rIns="0" bIns="0" rtlCol="0">
                          <a:noAutofit/>
                        </wps:bodyPr>
                      </wps:wsp>
                      <wps:wsp>
                        <wps:cNvPr id="2369" name="Rectangle 2369"/>
                        <wps:cNvSpPr/>
                        <wps:spPr>
                          <a:xfrm>
                            <a:off x="383413" y="1146965"/>
                            <a:ext cx="451189" cy="187357"/>
                          </a:xfrm>
                          <a:prstGeom prst="rect">
                            <a:avLst/>
                          </a:prstGeom>
                          <a:ln>
                            <a:noFill/>
                          </a:ln>
                        </wps:spPr>
                        <wps:txbx>
                          <w:txbxContent>
                            <w:p w:rsidR="00BB52D7" w:rsidRDefault="00E33AE6">
                              <w:pPr>
                                <w:spacing w:after="160" w:line="259" w:lineRule="auto"/>
                                <w:ind w:left="0" w:firstLine="0"/>
                                <w:jc w:val="left"/>
                              </w:pPr>
                              <w:r>
                                <w:rPr>
                                  <w:b/>
                                  <w:sz w:val="20"/>
                                </w:rPr>
                                <w:t>driver</w:t>
                              </w:r>
                            </w:p>
                          </w:txbxContent>
                        </wps:txbx>
                        <wps:bodyPr horzOverflow="overflow" vert="horz" lIns="0" tIns="0" rIns="0" bIns="0" rtlCol="0">
                          <a:noAutofit/>
                        </wps:bodyPr>
                      </wps:wsp>
                      <wps:wsp>
                        <wps:cNvPr id="2370" name="Rectangle 2370"/>
                        <wps:cNvSpPr/>
                        <wps:spPr>
                          <a:xfrm>
                            <a:off x="721741" y="1146965"/>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12" name="Shape 2412"/>
                        <wps:cNvSpPr/>
                        <wps:spPr>
                          <a:xfrm>
                            <a:off x="12700" y="2769235"/>
                            <a:ext cx="1047115" cy="2570480"/>
                          </a:xfrm>
                          <a:custGeom>
                            <a:avLst/>
                            <a:gdLst/>
                            <a:ahLst/>
                            <a:cxnLst/>
                            <a:rect l="0" t="0" r="0" b="0"/>
                            <a:pathLst>
                              <a:path w="1047115" h="2570480">
                                <a:moveTo>
                                  <a:pt x="174498" y="0"/>
                                </a:moveTo>
                                <a:lnTo>
                                  <a:pt x="872617" y="0"/>
                                </a:lnTo>
                                <a:cubicBezTo>
                                  <a:pt x="969010" y="0"/>
                                  <a:pt x="1047115" y="78105"/>
                                  <a:pt x="1047115" y="174498"/>
                                </a:cubicBezTo>
                                <a:lnTo>
                                  <a:pt x="1047115" y="2395982"/>
                                </a:lnTo>
                                <a:cubicBezTo>
                                  <a:pt x="1047115" y="2492375"/>
                                  <a:pt x="969010" y="2570480"/>
                                  <a:pt x="872617" y="2570480"/>
                                </a:cubicBezTo>
                                <a:lnTo>
                                  <a:pt x="174498" y="2570480"/>
                                </a:lnTo>
                                <a:cubicBezTo>
                                  <a:pt x="78105" y="2570480"/>
                                  <a:pt x="0" y="2492375"/>
                                  <a:pt x="0" y="2395982"/>
                                </a:cubicBezTo>
                                <a:lnTo>
                                  <a:pt x="0" y="174498"/>
                                </a:lnTo>
                                <a:cubicBezTo>
                                  <a:pt x="0" y="78105"/>
                                  <a:pt x="78105" y="0"/>
                                  <a:pt x="174498" y="0"/>
                                </a:cubicBezTo>
                                <a:close/>
                              </a:path>
                            </a:pathLst>
                          </a:custGeom>
                          <a:ln w="0" cap="rnd">
                            <a:round/>
                          </a:ln>
                        </wps:spPr>
                        <wps:style>
                          <a:lnRef idx="0">
                            <a:srgbClr val="000000">
                              <a:alpha val="0"/>
                            </a:srgbClr>
                          </a:lnRef>
                          <a:fillRef idx="1">
                            <a:srgbClr val="7F7F7F">
                              <a:alpha val="50196"/>
                            </a:srgbClr>
                          </a:fillRef>
                          <a:effectRef idx="0">
                            <a:scrgbClr r="0" g="0" b="0"/>
                          </a:effectRef>
                          <a:fontRef idx="none"/>
                        </wps:style>
                        <wps:bodyPr/>
                      </wps:wsp>
                      <pic:pic xmlns:pic="http://schemas.openxmlformats.org/drawingml/2006/picture">
                        <pic:nvPicPr>
                          <pic:cNvPr id="233891" name="Picture 233891"/>
                          <pic:cNvPicPr/>
                        </pic:nvPicPr>
                        <pic:blipFill>
                          <a:blip r:embed="rId10"/>
                          <a:stretch>
                            <a:fillRect/>
                          </a:stretch>
                        </pic:blipFill>
                        <pic:spPr>
                          <a:xfrm>
                            <a:off x="-3428" y="2738374"/>
                            <a:ext cx="1051560" cy="2578608"/>
                          </a:xfrm>
                          <a:prstGeom prst="rect">
                            <a:avLst/>
                          </a:prstGeom>
                        </pic:spPr>
                      </pic:pic>
                      <wps:wsp>
                        <wps:cNvPr id="2414" name="Shape 2414"/>
                        <wps:cNvSpPr/>
                        <wps:spPr>
                          <a:xfrm>
                            <a:off x="0" y="2743835"/>
                            <a:ext cx="1047115" cy="2570480"/>
                          </a:xfrm>
                          <a:custGeom>
                            <a:avLst/>
                            <a:gdLst/>
                            <a:ahLst/>
                            <a:cxnLst/>
                            <a:rect l="0" t="0" r="0" b="0"/>
                            <a:pathLst>
                              <a:path w="1047115" h="2570480">
                                <a:moveTo>
                                  <a:pt x="174498" y="0"/>
                                </a:moveTo>
                                <a:cubicBezTo>
                                  <a:pt x="78105" y="0"/>
                                  <a:pt x="0" y="78105"/>
                                  <a:pt x="0" y="174498"/>
                                </a:cubicBezTo>
                                <a:lnTo>
                                  <a:pt x="0" y="2395982"/>
                                </a:lnTo>
                                <a:cubicBezTo>
                                  <a:pt x="0" y="2492375"/>
                                  <a:pt x="78105" y="2570480"/>
                                  <a:pt x="174498" y="2570480"/>
                                </a:cubicBezTo>
                                <a:lnTo>
                                  <a:pt x="872617" y="2570480"/>
                                </a:lnTo>
                                <a:cubicBezTo>
                                  <a:pt x="969010" y="2570480"/>
                                  <a:pt x="1047115" y="2492375"/>
                                  <a:pt x="1047115" y="2395982"/>
                                </a:cubicBezTo>
                                <a:lnTo>
                                  <a:pt x="1047115" y="174498"/>
                                </a:lnTo>
                                <a:cubicBezTo>
                                  <a:pt x="1047115" y="78105"/>
                                  <a:pt x="969010" y="0"/>
                                  <a:pt x="872617" y="0"/>
                                </a:cubicBezTo>
                                <a:close/>
                              </a:path>
                            </a:pathLst>
                          </a:custGeom>
                          <a:ln w="12700" cap="rnd">
                            <a:round/>
                          </a:ln>
                        </wps:spPr>
                        <wps:style>
                          <a:lnRef idx="1">
                            <a:srgbClr val="666666"/>
                          </a:lnRef>
                          <a:fillRef idx="0">
                            <a:srgbClr val="000000">
                              <a:alpha val="0"/>
                            </a:srgbClr>
                          </a:fillRef>
                          <a:effectRef idx="0">
                            <a:scrgbClr r="0" g="0" b="0"/>
                          </a:effectRef>
                          <a:fontRef idx="none"/>
                        </wps:style>
                        <wps:bodyPr/>
                      </wps:wsp>
                      <wps:wsp>
                        <wps:cNvPr id="2415" name="Rectangle 2415"/>
                        <wps:cNvSpPr/>
                        <wps:spPr>
                          <a:xfrm>
                            <a:off x="524383" y="2843177"/>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16" name="Rectangle 2416"/>
                        <wps:cNvSpPr/>
                        <wps:spPr>
                          <a:xfrm>
                            <a:off x="524383" y="3141119"/>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17" name="Rectangle 2417"/>
                        <wps:cNvSpPr/>
                        <wps:spPr>
                          <a:xfrm>
                            <a:off x="291211" y="3443633"/>
                            <a:ext cx="620464" cy="187357"/>
                          </a:xfrm>
                          <a:prstGeom prst="rect">
                            <a:avLst/>
                          </a:prstGeom>
                          <a:ln>
                            <a:noFill/>
                          </a:ln>
                        </wps:spPr>
                        <wps:txbx>
                          <w:txbxContent>
                            <w:p w:rsidR="00BB52D7" w:rsidRDefault="00E33AE6">
                              <w:pPr>
                                <w:spacing w:after="160" w:line="259" w:lineRule="auto"/>
                                <w:ind w:left="0" w:firstLine="0"/>
                                <w:jc w:val="left"/>
                              </w:pPr>
                              <w:r>
                                <w:rPr>
                                  <w:b/>
                                  <w:sz w:val="20"/>
                                </w:rPr>
                                <w:t>Problem</w:t>
                              </w:r>
                            </w:p>
                          </w:txbxContent>
                        </wps:txbx>
                        <wps:bodyPr horzOverflow="overflow" vert="horz" lIns="0" tIns="0" rIns="0" bIns="0" rtlCol="0">
                          <a:noAutofit/>
                        </wps:bodyPr>
                      </wps:wsp>
                      <wps:wsp>
                        <wps:cNvPr id="2418" name="Rectangle 2418"/>
                        <wps:cNvSpPr/>
                        <wps:spPr>
                          <a:xfrm>
                            <a:off x="756793" y="3443633"/>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27" name="Shape 2427"/>
                        <wps:cNvSpPr/>
                        <wps:spPr>
                          <a:xfrm>
                            <a:off x="12700" y="5902325"/>
                            <a:ext cx="1047115" cy="437515"/>
                          </a:xfrm>
                          <a:custGeom>
                            <a:avLst/>
                            <a:gdLst/>
                            <a:ahLst/>
                            <a:cxnLst/>
                            <a:rect l="0" t="0" r="0" b="0"/>
                            <a:pathLst>
                              <a:path w="1047115" h="437515">
                                <a:moveTo>
                                  <a:pt x="72898" y="0"/>
                                </a:moveTo>
                                <a:lnTo>
                                  <a:pt x="974217" y="0"/>
                                </a:lnTo>
                                <a:cubicBezTo>
                                  <a:pt x="1014476" y="0"/>
                                  <a:pt x="1047115" y="32639"/>
                                  <a:pt x="1047115" y="72898"/>
                                </a:cubicBezTo>
                                <a:lnTo>
                                  <a:pt x="1047115" y="364617"/>
                                </a:lnTo>
                                <a:cubicBezTo>
                                  <a:pt x="1047115" y="404876"/>
                                  <a:pt x="1014476" y="437515"/>
                                  <a:pt x="974217" y="437515"/>
                                </a:cubicBezTo>
                                <a:lnTo>
                                  <a:pt x="72898" y="437515"/>
                                </a:lnTo>
                                <a:cubicBezTo>
                                  <a:pt x="32639" y="437515"/>
                                  <a:pt x="0" y="404876"/>
                                  <a:pt x="0" y="364617"/>
                                </a:cubicBezTo>
                                <a:lnTo>
                                  <a:pt x="0" y="72898"/>
                                </a:lnTo>
                                <a:cubicBezTo>
                                  <a:pt x="0" y="32639"/>
                                  <a:pt x="32639" y="0"/>
                                  <a:pt x="72898" y="0"/>
                                </a:cubicBezTo>
                                <a:close/>
                              </a:path>
                            </a:pathLst>
                          </a:custGeom>
                          <a:ln w="0" cap="rnd">
                            <a:round/>
                          </a:ln>
                        </wps:spPr>
                        <wps:style>
                          <a:lnRef idx="0">
                            <a:srgbClr val="000000">
                              <a:alpha val="0"/>
                            </a:srgbClr>
                          </a:lnRef>
                          <a:fillRef idx="1">
                            <a:srgbClr val="7F7F7F">
                              <a:alpha val="50196"/>
                            </a:srgbClr>
                          </a:fillRef>
                          <a:effectRef idx="0">
                            <a:scrgbClr r="0" g="0" b="0"/>
                          </a:effectRef>
                          <a:fontRef idx="none"/>
                        </wps:style>
                        <wps:bodyPr/>
                      </wps:wsp>
                      <pic:pic xmlns:pic="http://schemas.openxmlformats.org/drawingml/2006/picture">
                        <pic:nvPicPr>
                          <pic:cNvPr id="233892" name="Picture 233892"/>
                          <pic:cNvPicPr/>
                        </pic:nvPicPr>
                        <pic:blipFill>
                          <a:blip r:embed="rId11"/>
                          <a:stretch>
                            <a:fillRect/>
                          </a:stretch>
                        </pic:blipFill>
                        <pic:spPr>
                          <a:xfrm>
                            <a:off x="-3428" y="5871719"/>
                            <a:ext cx="1051560" cy="445008"/>
                          </a:xfrm>
                          <a:prstGeom prst="rect">
                            <a:avLst/>
                          </a:prstGeom>
                        </pic:spPr>
                      </pic:pic>
                      <wps:wsp>
                        <wps:cNvPr id="2429" name="Shape 2429"/>
                        <wps:cNvSpPr/>
                        <wps:spPr>
                          <a:xfrm>
                            <a:off x="0" y="5876925"/>
                            <a:ext cx="1047115" cy="437515"/>
                          </a:xfrm>
                          <a:custGeom>
                            <a:avLst/>
                            <a:gdLst/>
                            <a:ahLst/>
                            <a:cxnLst/>
                            <a:rect l="0" t="0" r="0" b="0"/>
                            <a:pathLst>
                              <a:path w="1047115" h="437515">
                                <a:moveTo>
                                  <a:pt x="72898" y="0"/>
                                </a:moveTo>
                                <a:cubicBezTo>
                                  <a:pt x="32639" y="0"/>
                                  <a:pt x="0" y="32639"/>
                                  <a:pt x="0" y="72898"/>
                                </a:cubicBezTo>
                                <a:lnTo>
                                  <a:pt x="0" y="364617"/>
                                </a:lnTo>
                                <a:cubicBezTo>
                                  <a:pt x="0" y="404876"/>
                                  <a:pt x="32639" y="437515"/>
                                  <a:pt x="72898" y="437515"/>
                                </a:cubicBezTo>
                                <a:lnTo>
                                  <a:pt x="974217" y="437515"/>
                                </a:lnTo>
                                <a:cubicBezTo>
                                  <a:pt x="1014476" y="437515"/>
                                  <a:pt x="1047115" y="404876"/>
                                  <a:pt x="1047115" y="364617"/>
                                </a:cubicBezTo>
                                <a:lnTo>
                                  <a:pt x="1047115" y="72898"/>
                                </a:lnTo>
                                <a:cubicBezTo>
                                  <a:pt x="1047115" y="32639"/>
                                  <a:pt x="1014476" y="0"/>
                                  <a:pt x="974217" y="0"/>
                                </a:cubicBezTo>
                                <a:close/>
                              </a:path>
                            </a:pathLst>
                          </a:custGeom>
                          <a:ln w="12700" cap="rnd">
                            <a:round/>
                          </a:ln>
                        </wps:spPr>
                        <wps:style>
                          <a:lnRef idx="1">
                            <a:srgbClr val="666666"/>
                          </a:lnRef>
                          <a:fillRef idx="0">
                            <a:srgbClr val="000000">
                              <a:alpha val="0"/>
                            </a:srgbClr>
                          </a:fillRef>
                          <a:effectRef idx="0">
                            <a:scrgbClr r="0" g="0" b="0"/>
                          </a:effectRef>
                          <a:fontRef idx="none"/>
                        </wps:style>
                        <wps:bodyPr/>
                      </wps:wsp>
                      <wps:wsp>
                        <wps:cNvPr id="2430" name="Rectangle 2430"/>
                        <wps:cNvSpPr/>
                        <wps:spPr>
                          <a:xfrm>
                            <a:off x="115189" y="5950867"/>
                            <a:ext cx="948778" cy="187357"/>
                          </a:xfrm>
                          <a:prstGeom prst="rect">
                            <a:avLst/>
                          </a:prstGeom>
                          <a:ln>
                            <a:noFill/>
                          </a:ln>
                        </wps:spPr>
                        <wps:txbx>
                          <w:txbxContent>
                            <w:p w:rsidR="00BB52D7" w:rsidRDefault="00E33AE6">
                              <w:pPr>
                                <w:spacing w:after="160" w:line="259" w:lineRule="auto"/>
                                <w:ind w:left="0" w:firstLine="0"/>
                                <w:jc w:val="left"/>
                              </w:pPr>
                              <w:r>
                                <w:rPr>
                                  <w:b/>
                                  <w:sz w:val="20"/>
                                </w:rPr>
                                <w:t>Consequence</w:t>
                              </w:r>
                            </w:p>
                          </w:txbxContent>
                        </wps:txbx>
                        <wps:bodyPr horzOverflow="overflow" vert="horz" lIns="0" tIns="0" rIns="0" bIns="0" rtlCol="0">
                          <a:noAutofit/>
                        </wps:bodyPr>
                      </wps:wsp>
                      <wps:wsp>
                        <wps:cNvPr id="2431" name="Rectangle 2431"/>
                        <wps:cNvSpPr/>
                        <wps:spPr>
                          <a:xfrm>
                            <a:off x="827659" y="5950867"/>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434" name="Shape 2434"/>
                        <wps:cNvSpPr/>
                        <wps:spPr>
                          <a:xfrm>
                            <a:off x="502793" y="2451100"/>
                            <a:ext cx="76200" cy="292735"/>
                          </a:xfrm>
                          <a:custGeom>
                            <a:avLst/>
                            <a:gdLst/>
                            <a:ahLst/>
                            <a:cxnLst/>
                            <a:rect l="0" t="0" r="0" b="0"/>
                            <a:pathLst>
                              <a:path w="76200" h="292735">
                                <a:moveTo>
                                  <a:pt x="37592" y="0"/>
                                </a:moveTo>
                                <a:cubicBezTo>
                                  <a:pt x="41021" y="0"/>
                                  <a:pt x="43942" y="2794"/>
                                  <a:pt x="43942" y="6350"/>
                                </a:cubicBezTo>
                                <a:lnTo>
                                  <a:pt x="44421" y="216514"/>
                                </a:lnTo>
                                <a:lnTo>
                                  <a:pt x="76200" y="216408"/>
                                </a:lnTo>
                                <a:lnTo>
                                  <a:pt x="38227" y="292735"/>
                                </a:lnTo>
                                <a:lnTo>
                                  <a:pt x="0" y="216662"/>
                                </a:lnTo>
                                <a:lnTo>
                                  <a:pt x="31721" y="216556"/>
                                </a:lnTo>
                                <a:lnTo>
                                  <a:pt x="31242" y="6350"/>
                                </a:lnTo>
                                <a:cubicBezTo>
                                  <a:pt x="31242" y="2794"/>
                                  <a:pt x="34036" y="0"/>
                                  <a:pt x="3759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36" name="Shape 2436"/>
                        <wps:cNvSpPr/>
                        <wps:spPr>
                          <a:xfrm>
                            <a:off x="496824" y="5307965"/>
                            <a:ext cx="76200" cy="568960"/>
                          </a:xfrm>
                          <a:custGeom>
                            <a:avLst/>
                            <a:gdLst/>
                            <a:ahLst/>
                            <a:cxnLst/>
                            <a:rect l="0" t="0" r="0" b="0"/>
                            <a:pathLst>
                              <a:path w="76200" h="568960">
                                <a:moveTo>
                                  <a:pt x="43688" y="0"/>
                                </a:moveTo>
                                <a:cubicBezTo>
                                  <a:pt x="47117" y="0"/>
                                  <a:pt x="49911" y="2921"/>
                                  <a:pt x="49911" y="6477"/>
                                </a:cubicBezTo>
                                <a:lnTo>
                                  <a:pt x="44466" y="492824"/>
                                </a:lnTo>
                                <a:lnTo>
                                  <a:pt x="76200" y="493141"/>
                                </a:lnTo>
                                <a:lnTo>
                                  <a:pt x="37211" y="568960"/>
                                </a:lnTo>
                                <a:lnTo>
                                  <a:pt x="0" y="492380"/>
                                </a:lnTo>
                                <a:lnTo>
                                  <a:pt x="31765" y="492697"/>
                                </a:lnTo>
                                <a:lnTo>
                                  <a:pt x="37211" y="6223"/>
                                </a:lnTo>
                                <a:cubicBezTo>
                                  <a:pt x="37211" y="2794"/>
                                  <a:pt x="40132" y="0"/>
                                  <a:pt x="4368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74418" o:spid="_x0000_s1142" style="width:87.9pt;height:499.2pt;mso-position-horizontal-relative:char;mso-position-vertical-relative:line" coordsize="11163,63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">
                <v:shape id="Shape 2362" o:spid="_x0000_s1143" style="position:absolute;left:127;top:254;width:11036;height:24574;visibility:visible;mso-wrap-style:square;v-text-anchor:top" coordsize="1103630,245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UWcQA&#10;AADdAAAADwAAAGRycy9kb3ducmV2LnhtbESPQWvCQBSE74X+h+UJ3pqNEYKkWUVsFWlPsYVeH9ln&#10;Esy+Dbtbjf56t1DwOMzMN0y5Gk0vzuR8Z1nBLElBENdWd9wo+P7avixA+ICssbdMCq7kYbV8fiqx&#10;0PbCFZ0PoRERwr5ABW0IQyGlr1sy6BM7EEfvaJ3BEKVrpHZ4iXDTyyxNc2mw47jQ4kCblurT4dco&#10;+HiXt2Pd4Zv10mXV5y6sf1ArNZ2M61cQgcbwCP+391pBNs8z+HsTn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FFnEAAAA3QAAAA8AAAAAAAAAAAAAAAAAmAIAAGRycy9k&#10;b3ducmV2LnhtbFBLBQYAAAAABAAEAPUAAACJAwAAAAA=&#10;" path="m183896,l919734,v101473,,183896,82423,183896,183896l1103630,2273554v,101473,-82423,183896,-183896,183896l183896,2457450c82423,2457450,,2375027,,2273554l,183896c,82423,82423,,183896,xe" fillcolor="#7f7f7f" stroked="f" strokeweight="0">
                  <v:fill opacity="32896f"/>
                  <v:stroke endcap="round"/>
                  <v:path arrowok="t" textboxrect="0,0,1103630,24574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3890" o:spid="_x0000_s1144" type="#_x0000_t75" style="position:absolute;left:-34;top:-48;width:11094;height:24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5CJTGAAAA3wAAAA8AAABkcnMvZG93bnJldi54bWxEj8uKwjAUhveC7xCO4E7TqaCdapRBGNTF&#10;LLww4O7QHNs6zUltorZvP1kILn/+G99i1ZpKPKhxpWUFH+MIBHFmdcm5gtPxe5SAcB5ZY2WZFHTk&#10;YLXs9xaYavvkPT0OPhdhhF2KCgrv61RKlxVk0I1tTRy8i20M+iCbXOoGn2HcVDKOoqk0WHJ4KLCm&#10;dUHZ3+FuFOz49ju77Tt5Xp/b8sfEV9ltrkoNB+3XHISn1r/Dr/ZWK4gnk+QzEASewAJy+Q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kIlMYAAADfAAAADwAAAAAAAAAAAAAA&#10;AACfAgAAZHJzL2Rvd25yZXYueG1sUEsFBgAAAAAEAAQA9wAAAJIDAAAAAA==&#10;">
                  <v:imagedata r:id="rId12" o:title=""/>
                </v:shape>
                <v:shape id="Shape 2364" o:spid="_x0000_s1145" style="position:absolute;width:11036;height:24574;visibility:visible;mso-wrap-style:square;v-text-anchor:top" coordsize="1103630,2457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0LRcUA&#10;AADdAAAADwAAAGRycy9kb3ducmV2LnhtbESPQUvDQBSE74L/YXmCN7sxSqix21IKBQ96sC30+si+&#10;bILZt+m+tY3+elcQPA4z8w2zWE1+UGeK0gc2cD8rQBE3wfbsDBz227s5KEnIFofAZOCLBFbL66sF&#10;1jZc+J3Ou+RUhrDUaKBLaay1lqYjjzILI3H22hA9piyj0zbiJcP9oMuiqLTHnvNChyNtOmo+dp/e&#10;wFN7PLWh2H6Xp0qcK2Ue5e3VmNubaf0MKtGU/sN/7RdroHyoHuH3TX4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QtFxQAAAN0AAAAPAAAAAAAAAAAAAAAAAJgCAABkcnMv&#10;ZG93bnJldi54bWxQSwUGAAAAAAQABAD1AAAAigMAAAAA&#10;" path="m183896,c82423,,,82423,,183896l,2273554v,101473,82423,183896,183896,183896l919734,2457450v101473,,183896,-82423,183896,-183896l1103630,183896c1103630,82423,1021207,,919734,l183896,xe" filled="f" strokecolor="#666" strokeweight="1pt">
                  <v:stroke endcap="round"/>
                  <v:path arrowok="t" textboxrect="0,0,1103630,2457450"/>
                </v:shape>
                <v:rect id="Rectangle 2365" o:spid="_x0000_s1146" style="position:absolute;left:5525;top:1012;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w3McA&#10;AADdAAAADwAAAGRycy9kb3ducmV2LnhtbESPQWvCQBSE7wX/w/KE3uqmlopGVxFtSY41Cra3R/aZ&#10;hGbfhuw2SfvrXaHgcZiZb5jVZjC16Kh1lWUFz5MIBHFudcWFgtPx/WkOwnlkjbVlUvBLDjbr0cMK&#10;Y217PlCX+UIECLsYFZTeN7GULi/JoJvYhjh4F9sa9EG2hdQt9gFuajmNopk0WHFYKLGhXUn5d/Zj&#10;FCTzZvuZ2r++qN++kvPHebE/LrxSj+NhuwThafD38H871QqmL7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M8Nz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366" o:spid="_x0000_s1147" style="position:absolute;left:5525;top:3999;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uq8UA&#10;AADdAAAADwAAAGRycy9kb3ducmV2LnhtbESPT4vCMBTE7wv7HcJb8Lamq1C0GkVWFz36D9Tbo3m2&#10;xealNFlb/fRGEDwOM/MbZjxtTSmuVLvCsoKfbgSCOLW64EzBfvf3PQDhPLLG0jIpuJGD6eTzY4yJ&#10;tg1v6Lr1mQgQdgkqyL2vEildmpNB17UVcfDOtjbog6wzqWtsAtyUshdFsTRYcFjIsaLfnNLL9t8o&#10;WA6q2XFl701WLk7Lw/ownO+GXqnOVzsbgfDU+nf41V5pBb1+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nm6rxQAAAN0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367" o:spid="_x0000_s1148" style="position:absolute;left:5525;top:6981;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LMMYA&#10;AADdAAAADwAAAGRycy9kb3ducmV2LnhtbESPS4vCQBCE74L/YWjBm07WBR/RUURX9Ohjwd1bk2mT&#10;sJmekBlN9Nc7grDHoqq+omaLxhTiRpXLLSv46EcgiBOrc04VfJ82vTEI55E1FpZJwZ0cLObt1gxj&#10;bWs+0O3oUxEg7GJUkHlfxlK6JCODrm9L4uBdbGXQB1mlUldYB7gp5CCKhtJgzmEhw5JWGSV/x6tR&#10;sB2Xy5+dfdRp8fW7Pe/Pk/Vp4pXqdprlFISnxv+H3+2dVjD4H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LLMM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368" o:spid="_x0000_s1149" style="position:absolute;left:3194;top:9968;width:6627;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fQsMA&#10;AADdAAAADwAAAGRycy9kb3ducmV2LnhtbERPTWvCQBC9F/wPywje6sYIoqmrBFtJjlYF7W3ITpPQ&#10;7GzIribtr3cPBY+P973eDqYRd+pcbVnBbBqBIC6srrlUcD7tX5cgnEfW2FgmBb/kYLsZvawx0bbn&#10;T7offSlCCLsEFVTet4mUrqjIoJvaljhw37Yz6APsSqk77EO4aWQcRQtpsObQUGFLu4qKn+PNKMiW&#10;bXrN7V9fNh9f2eVwWb2fVl6pyXhI30B4GvxT/O/OtYJ4vgh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1fQsMAAADdAAAADwAAAAAAAAAAAAAAAACYAgAAZHJzL2Rv&#10;d25yZXYueG1sUEsFBgAAAAAEAAQA9QAAAIgDAAAAAA==&#10;" filled="f" stroked="f">
                  <v:textbox inset="0,0,0,0">
                    <w:txbxContent>
                      <w:p w:rsidR="00BB52D7" w:rsidRDefault="00E33AE6">
                        <w:pPr>
                          <w:spacing w:after="160" w:line="259" w:lineRule="auto"/>
                          <w:ind w:left="0" w:firstLine="0"/>
                          <w:jc w:val="left"/>
                        </w:pPr>
                        <w:r>
                          <w:rPr>
                            <w:b/>
                            <w:sz w:val="20"/>
                          </w:rPr>
                          <w:t xml:space="preserve">Problem </w:t>
                        </w:r>
                      </w:p>
                    </w:txbxContent>
                  </v:textbox>
                </v:rect>
                <v:rect id="Rectangle 2369" o:spid="_x0000_s1150" style="position:absolute;left:3834;top:11469;width:4512;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62cUA&#10;AADdAAAADwAAAGRycy9kb3ducmV2LnhtbESPT4vCMBTE7wv7HcJb8LamqyC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frZxQAAAN0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rPr>
                          <w:t>driver</w:t>
                        </w:r>
                      </w:p>
                    </w:txbxContent>
                  </v:textbox>
                </v:rect>
                <v:rect id="Rectangle 2370" o:spid="_x0000_s1151" style="position:absolute;left:7217;top:11469;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mcMA&#10;AADdAAAADwAAAGRycy9kb3ducmV2LnhtbERPy4rCMBTdC/MP4Q6403Qc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FmcMAAADdAAAADwAAAAAAAAAAAAAAAACYAgAAZHJzL2Rv&#10;d25yZXYueG1sUEsFBgAAAAAEAAQA9QAAAIgDAAAAAA==&#10;" filled="f" stroked="f">
                  <v:textbox inset="0,0,0,0">
                    <w:txbxContent>
                      <w:p w:rsidR="00BB52D7" w:rsidRDefault="00E33AE6">
                        <w:pPr>
                          <w:spacing w:after="160" w:line="259" w:lineRule="auto"/>
                          <w:ind w:left="0" w:firstLine="0"/>
                          <w:jc w:val="left"/>
                        </w:pPr>
                        <w:r>
                          <w:rPr>
                            <w:b/>
                            <w:sz w:val="20"/>
                          </w:rPr>
                          <w:t xml:space="preserve"> </w:t>
                        </w:r>
                      </w:p>
                    </w:txbxContent>
                  </v:textbox>
                </v:rect>
                <v:shape id="Shape 2412" o:spid="_x0000_s1152" style="position:absolute;left:127;top:27692;width:10471;height:25705;visibility:visible;mso-wrap-style:square;v-text-anchor:top" coordsize="1047115,257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5L28YA&#10;AADdAAAADwAAAGRycy9kb3ducmV2LnhtbESPQWvCQBSE7wX/w/IKvTUbY1GJboKKhSK5GEt7fc0+&#10;k9Ds25DdavrvuwXB4zAz3zDrfDSduNDgWssKplEMgriyuuVawfvp9XkJwnlkjZ1lUvBLDvJs8rDG&#10;VNsrH+lS+loECLsUFTTe96mUrmrIoItsTxy8sx0M+iCHWuoBrwFuOpnE8VwabDksNNjTrqHqu/wx&#10;Cg5ysy0P++NX8lktHX9si8WsKJR6ehw3KxCeRn8P39pvWkHyMk3g/01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5L28YAAADdAAAADwAAAAAAAAAAAAAAAACYAgAAZHJz&#10;L2Rvd25yZXYueG1sUEsFBgAAAAAEAAQA9QAAAIsDAAAAAA==&#10;" path="m174498,l872617,v96393,,174498,78105,174498,174498l1047115,2395982v,96393,-78105,174498,-174498,174498l174498,2570480c78105,2570480,,2492375,,2395982l,174498c,78105,78105,,174498,xe" fillcolor="#7f7f7f" stroked="f" strokeweight="0">
                  <v:fill opacity="32896f"/>
                  <v:stroke endcap="round"/>
                  <v:path arrowok="t" textboxrect="0,0,1047115,2570480"/>
                </v:shape>
                <v:shape id="Picture 233891" o:spid="_x0000_s1153" type="#_x0000_t75" style="position:absolute;left:-34;top:27383;width:10515;height:25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pPjnIAAAA3wAAAA8AAABkcnMvZG93bnJldi54bWxEj0FrwkAUhO+C/2F5gre6UaHE1DUUQZFC&#10;K8aWXh/Z1yQk+zZkV5P6691CweMwM98w63QwjbhS5yrLCuazCARxbnXFhYLP8+4pBuE8ssbGMin4&#10;JQfpZjxaY6Jtzye6Zr4QAcIuQQWl920ipctLMuhmtiUO3o/tDPogu0LqDvsAN41cRNGzNFhxWCix&#10;pW1JeZ1djIKv456i/tZ8O5m974a6+ojfjhelppPh9QWEp8E/wv/tg1awWC7j1Rz+/oQvIDd3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c6T45yAAAAN8AAAAPAAAAAAAAAAAA&#10;AAAAAJ8CAABkcnMvZG93bnJldi54bWxQSwUGAAAAAAQABAD3AAAAlAMAAAAA&#10;">
                  <v:imagedata r:id="rId13" o:title=""/>
                </v:shape>
                <v:shape id="Shape 2414" o:spid="_x0000_s1154" style="position:absolute;top:27438;width:10471;height:25705;visibility:visible;mso-wrap-style:square;v-text-anchor:top" coordsize="1047115,257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kt8YA&#10;AADdAAAADwAAAGRycy9kb3ducmV2LnhtbESPzWrDMBCE74G+g9hCLyGRbUJo3SihPym0l0DdXHpb&#10;rK1kYq2MpDru21eFQo7DzHzDbHaT68VIIXaeFZTLAgRx63XHRsHx42VxCyImZI29Z1LwQxF226vZ&#10;Bmvtz/xOY5OMyBCONSqwKQ21lLG15DAu/UCcvS8fHKYsg5E64DnDXS+rolhLhx3nBYsDPVlqT823&#10;U/Ds55+2CQfSd868jWY87R+LvVI319PDPYhEU7qE/9uvWkG1Klf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skt8YAAADdAAAADwAAAAAAAAAAAAAAAACYAgAAZHJz&#10;L2Rvd25yZXYueG1sUEsFBgAAAAAEAAQA9QAAAIsDAAAAAA==&#10;" path="m174498,c78105,,,78105,,174498l,2395982v,96393,78105,174498,174498,174498l872617,2570480v96393,,174498,-78105,174498,-174498l1047115,174498c1047115,78105,969010,,872617,l174498,xe" filled="f" strokecolor="#666" strokeweight="1pt">
                  <v:stroke endcap="round"/>
                  <v:path arrowok="t" textboxrect="0,0,1047115,2570480"/>
                </v:shape>
                <v:rect id="Rectangle 2415" o:spid="_x0000_s1155" style="position:absolute;left:5243;top:28431;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OxM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OxM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416" o:spid="_x0000_s1156" style="position:absolute;left:5243;top:31411;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Qs8YA&#10;AADdAAAADwAAAGRycy9kb3ducmV2LnhtbESPQWvCQBSE70L/w/KE3swmUkS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LQs8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2417" o:spid="_x0000_s1157" style="position:absolute;left:2912;top:34436;width:620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1KMYA&#10;AADdAAAADwAAAGRycy9kb3ducmV2LnhtbESPS4vCQBCE78L+h6EXvOlEER/RUWRV9Ohjwd1bk2mT&#10;sJmekBlN9Nc7grDHoqq+omaLxhTiRpXLLSvodSMQxInVOacKvk+bzhiE88gaC8uk4E4OFvOP1gxj&#10;bWs+0O3oUxEg7GJUkHlfxlK6JCODrmtL4uBdbGXQB1mlUldYB7gpZD+KhtJgzmEhw5K+Mkr+jlej&#10;YDsulz87+6jTYv27Pe/Pk9Vp4pVqfzbLKQhPjf8Pv9s7raA/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51KM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Problem</w:t>
                        </w:r>
                      </w:p>
                    </w:txbxContent>
                  </v:textbox>
                </v:rect>
                <v:rect id="Rectangle 2418" o:spid="_x0000_s1158" style="position:absolute;left:7567;top:34436;width:42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hWsEA&#10;AADdAAAADwAAAGRycy9kb3ducmV2LnhtbERPy4rCMBTdC/5DuMLsNFVEtBpFdESXvkDdXZprW2xu&#10;SpOxHb/eLASXh/OeLRpTiCdVLresoN+LQBAnVuecKjifNt0xCOeRNRaWScE/OVjM260ZxtrWfKDn&#10;0acihLCLUUHmfRlL6ZKMDLqeLYkDd7eVQR9glUpdYR3CTSEHUTSSBnMODRmWtMooeRz/jILtuFxe&#10;d/ZVp8XvbXvZXybr08Qr9dNpllMQnhr/FX/cO61gMO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h4VrBAAAA3QAAAA8AAAAAAAAAAAAAAAAAmAIAAGRycy9kb3du&#10;cmV2LnhtbFBLBQYAAAAABAAEAPUAAACGAwAAAAA=&#10;" filled="f" stroked="f">
                  <v:textbox inset="0,0,0,0">
                    <w:txbxContent>
                      <w:p w:rsidR="00BB52D7" w:rsidRDefault="00E33AE6">
                        <w:pPr>
                          <w:spacing w:after="160" w:line="259" w:lineRule="auto"/>
                          <w:ind w:left="0" w:firstLine="0"/>
                          <w:jc w:val="left"/>
                        </w:pPr>
                        <w:r>
                          <w:rPr>
                            <w:b/>
                            <w:sz w:val="20"/>
                          </w:rPr>
                          <w:t xml:space="preserve"> </w:t>
                        </w:r>
                      </w:p>
                    </w:txbxContent>
                  </v:textbox>
                </v:rect>
                <v:shape id="Shape 2427" o:spid="_x0000_s1159" style="position:absolute;left:127;top:59023;width:10471;height:4375;visibility:visible;mso-wrap-style:square;v-text-anchor:top" coordsize="1047115,43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lF8YA&#10;AADdAAAADwAAAGRycy9kb3ducmV2LnhtbESPUWvCMBSF3wf7D+EKe5GZWnSTzihDHMyBDzp/wKW5&#10;S4vNTUmi7frrjTDY4+Gc8x3Oct3bRlzJh9qxgukkA0FcOl2zUXD6/nhegAgRWWPjmBT8UoD16vFh&#10;iYV2HR/oeoxGJAiHAhVUMbaFlKGsyGKYuJY4eT/OW4xJeiO1xy7BbSPzLHuRFmtOCxW2tKmoPB8v&#10;VsEw3pp55rt8u6Mw9c0w7L/MoNTTqH9/AxGpj//hv/anVpDP8le4v0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wlF8YAAADdAAAADwAAAAAAAAAAAAAAAACYAgAAZHJz&#10;L2Rvd25yZXYueG1sUEsFBgAAAAAEAAQA9QAAAIsDAAAAAA==&#10;" path="m72898,l974217,v40259,,72898,32639,72898,72898l1047115,364617v,40259,-32639,72898,-72898,72898l72898,437515c32639,437515,,404876,,364617l,72898c,32639,32639,,72898,xe" fillcolor="#7f7f7f" stroked="f" strokeweight="0">
                  <v:fill opacity="32896f"/>
                  <v:stroke endcap="round"/>
                  <v:path arrowok="t" textboxrect="0,0,1047115,437515"/>
                </v:shape>
                <v:shape id="Picture 233892" o:spid="_x0000_s1160" type="#_x0000_t75" style="position:absolute;left:-34;top:58717;width:10515;height:44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RTv/IAAAA3wAAAA8AAABkcnMvZG93bnJldi54bWxEj0FrwkAUhO+F/oflFXozGyOIja5iSy0e&#10;FDT1oLdH9pkEs29Ddhvjv3cFocdhZr5hZove1KKj1lWWFQyjGARxbnXFhYLD72owAeE8ssbaMim4&#10;kYPF/PVlhqm2V95Tl/lCBAi7FBWU3jeplC4vyaCLbEMcvLNtDfog20LqFq8BbmqZxPFYGqw4LJTY&#10;0FdJ+SX7Mwp+PjN33Cb99667xCvcnEy9PRil3t/65RSEp97/h5/ttVaQjEaTjwQef8IXkPM7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qEU7/yAAAAN8AAAAPAAAAAAAAAAAA&#10;AAAAAJ8CAABkcnMvZG93bnJldi54bWxQSwUGAAAAAAQABAD3AAAAlAMAAAAA&#10;">
                  <v:imagedata r:id="rId14" o:title=""/>
                </v:shape>
                <v:shape id="Shape 2429" o:spid="_x0000_s1161" style="position:absolute;top:58769;width:10471;height:4375;visibility:visible;mso-wrap-style:square;v-text-anchor:top" coordsize="1047115,43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PcMgA&#10;AADdAAAADwAAAGRycy9kb3ducmV2LnhtbESPT2vCQBTE70K/w/IKXopuDG3R1FVEFOzB0qrYHh/Z&#10;lz80+zZk1xj99G6h4HGYmd8w03lnKtFS40rLCkbDCARxanXJuYLDfj0Yg3AeWWNlmRRcyMF89tCb&#10;YqLtmb+o3flcBAi7BBUU3teJlC4tyKAb2po4eJltDPogm1zqBs8BbioZR9GrNFhyWCiwpmVB6e/u&#10;ZBRsN9XH93vdvrjsaZVmo5/P6HjNleo/dos3EJ46fw//tzdaQfwcT+DvTXgCcn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e49wyAAAAN0AAAAPAAAAAAAAAAAAAAAAAJgCAABk&#10;cnMvZG93bnJldi54bWxQSwUGAAAAAAQABAD1AAAAjQMAAAAA&#10;" path="m72898,c32639,,,32639,,72898l,364617v,40259,32639,72898,72898,72898l974217,437515v40259,,72898,-32639,72898,-72898l1047115,72898c1047115,32639,1014476,,974217,l72898,xe" filled="f" strokecolor="#666" strokeweight="1pt">
                  <v:stroke endcap="round"/>
                  <v:path arrowok="t" textboxrect="0,0,1047115,437515"/>
                </v:shape>
                <v:rect id="Rectangle 2430" o:spid="_x0000_s1162" style="position:absolute;left:1151;top:59508;width:9488;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xPMMA&#10;AADdAAAADwAAAGRycy9kb3ducmV2LnhtbERPTYvCMBC9C/sfwix403RdE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xPMMAAADdAAAADwAAAAAAAAAAAAAAAACYAgAAZHJzL2Rv&#10;d25yZXYueG1sUEsFBgAAAAAEAAQA9QAAAIgDAAAAAA==&#10;" filled="f" stroked="f">
                  <v:textbox inset="0,0,0,0">
                    <w:txbxContent>
                      <w:p w:rsidR="00BB52D7" w:rsidRDefault="00E33AE6">
                        <w:pPr>
                          <w:spacing w:after="160" w:line="259" w:lineRule="auto"/>
                          <w:ind w:left="0" w:firstLine="0"/>
                          <w:jc w:val="left"/>
                        </w:pPr>
                        <w:r>
                          <w:rPr>
                            <w:b/>
                            <w:sz w:val="20"/>
                          </w:rPr>
                          <w:t>Consequence</w:t>
                        </w:r>
                      </w:p>
                    </w:txbxContent>
                  </v:textbox>
                </v:rect>
                <v:rect id="Rectangle 2431" o:spid="_x0000_s1163" style="position:absolute;left:8276;top:59508;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Up8YA&#10;AADdAAAADwAAAGRycy9kb3ducmV2LnhtbESPS4vCQBCE78L+h6EXvOnEB6LRUWRV9Ohjwd1bk2mT&#10;sJmekBlN9Nc7grDHoqq+omaLxhTiRpXLLSvodSMQxInVOacKvk+bzhiE88gaC8uk4E4OFvOP1gxj&#10;bWs+0O3oUxEg7GJUkHlfxlK6JCODrmtL4uBdbGXQB1mlUldYB7gpZD+KRtJgzmEhw5K+Mkr+jlej&#10;YDsulz87+6jTYv27Pe/Pk9Vp4pVqfzbLKQhPjf8Pv9s7raA/H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4Up8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shape id="Shape 2434" o:spid="_x0000_s1164" style="position:absolute;left:5027;top:24511;width:762;height:2927;visibility:visible;mso-wrap-style:square;v-text-anchor:top" coordsize="76200,29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11sQA&#10;AADdAAAADwAAAGRycy9kb3ducmV2LnhtbESPQWsCMRSE7wX/Q3iCt5p1lVq2RpFSwR6rsuDtkTw3&#10;225elk10139vCoUeh5n5hlltBteIG3Wh9qxgNs1AEGtvaq4UnI6751cQISIbbDyTgjsF2KxHTyss&#10;jO/5i26HWIkE4VCgAhtjW0gZtCWHYepb4uRdfOcwJtlV0nTYJ7hrZJ5lL9JhzWnBYkvvlvTP4eoU&#10;7Krvi5bDyZbl8qPMe/7UNp6VmoyH7RuISEP8D/+190ZBvpgv4PdNeg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jddbEAAAA3QAAAA8AAAAAAAAAAAAAAAAAmAIAAGRycy9k&#10;b3ducmV2LnhtbFBLBQYAAAAABAAEAPUAAACJAwAAAAA=&#10;" path="m37592,v3429,,6350,2794,6350,6350l44421,216514r31779,-106l38227,292735,,216662r31721,-106l31242,6350c31242,2794,34036,,37592,xe" fillcolor="black" stroked="f" strokeweight="0">
                  <v:stroke endcap="round"/>
                  <v:path arrowok="t" textboxrect="0,0,76200,292735"/>
                </v:shape>
                <v:shape id="Shape 2436" o:spid="_x0000_s1165" style="position:absolute;left:4968;top:53079;width:762;height:5690;visibility:visible;mso-wrap-style:square;v-text-anchor:top" coordsize="76200,56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S4sYA&#10;AADdAAAADwAAAGRycy9kb3ducmV2LnhtbESPQWsCMRSE74L/ITyhF6lZbZF2axRRlIKCaKXn183r&#10;ZnHzsiRRt//eCAWPw8x8w0xmra3FhXyoHCsYDjIQxIXTFZcKjl+r5zcQISJrrB2Tgj8KMJt2OxPM&#10;tbvyni6HWIoE4ZCjAhNjk0sZCkMWw8A1xMn7dd5iTNKXUnu8Jrit5SjLxtJixWnBYEMLQ8XpcLYK&#10;3rerdf+Mph5uNuXPcb9bL33xrdRTr51/gIjUxkf4v/2pFYxeX8Zwf5Oe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gS4sYAAADdAAAADwAAAAAAAAAAAAAAAACYAgAAZHJz&#10;L2Rvd25yZXYueG1sUEsFBgAAAAAEAAQA9QAAAIsDAAAAAA==&#10;" path="m43688,v3429,,6223,2921,6223,6477l44466,492824r31734,317l37211,568960,,492380r31765,317l37211,6223c37211,2794,40132,,43688,xe" fillcolor="black" stroked="f" strokeweight="0">
                  <v:stroke endcap="round"/>
                  <v:path arrowok="t" textboxrect="0,0,76200,568960"/>
                </v:shape>
                <w10:anchorlock/>
              </v:group>
            </w:pict>
          </mc:Fallback>
        </mc:AlternateContent>
      </w:r>
    </w:p>
    <w:p w:rsidR="00BB52D7" w:rsidRDefault="00E33AE6">
      <w:pPr>
        <w:spacing w:after="216" w:line="259" w:lineRule="auto"/>
        <w:ind w:left="2051" w:firstLine="0"/>
        <w:jc w:val="left"/>
      </w:pPr>
      <w:r>
        <w:rPr>
          <w:i/>
        </w:rPr>
        <w:t xml:space="preserve"> </w:t>
      </w:r>
    </w:p>
    <w:p w:rsidR="00BB52D7" w:rsidRDefault="00E33AE6">
      <w:pPr>
        <w:pStyle w:val="Heading3"/>
        <w:spacing w:after="222" w:line="253" w:lineRule="auto"/>
        <w:ind w:left="2061" w:right="133"/>
      </w:pPr>
      <w:bookmarkStart w:id="10" w:name="_Toc240970"/>
      <w:r>
        <w:rPr>
          <w:b w:val="0"/>
          <w:u w:val="none"/>
        </w:rPr>
        <w:t xml:space="preserve">3.3.1Problem drivers </w:t>
      </w:r>
      <w:bookmarkEnd w:id="10"/>
    </w:p>
    <w:p w:rsidR="00BB52D7" w:rsidRDefault="00E33AE6">
      <w:pPr>
        <w:ind w:left="846" w:right="843"/>
      </w:pPr>
      <w:r>
        <w:t xml:space="preserve">The independence of the UCITS management/investment company and the UCITS depositary / third party to whom the custody function has been delegated might be undermined by existence of various </w:t>
      </w:r>
      <w:r>
        <w:rPr>
          <w:u w:val="single" w:color="000000"/>
        </w:rPr>
        <w:t>links between the two entities</w:t>
      </w:r>
      <w:r>
        <w:rPr>
          <w:vertAlign w:val="superscript"/>
        </w:rPr>
        <w:footnoteReference w:id="32"/>
      </w:r>
      <w:r>
        <w:rPr>
          <w:u w:val="single" w:color="000000"/>
        </w:rPr>
        <w:t xml:space="preserve"> </w:t>
      </w:r>
      <w:r>
        <w:rPr>
          <w:u w:val="single" w:color="000000"/>
        </w:rPr>
        <w:t>as illustrated in the Madoff scandal</w:t>
      </w:r>
      <w:r>
        <w:t xml:space="preserve">.  </w:t>
      </w:r>
    </w:p>
    <w:p w:rsidR="00BB52D7" w:rsidRDefault="00E33AE6">
      <w:pPr>
        <w:ind w:left="846" w:right="843"/>
      </w:pPr>
      <w:r>
        <w:lastRenderedPageBreak/>
        <w:t>This issue is identified in the consultation report of IOSCO on principles regarding the Custody of Collective Investment Scheme’s Assets</w:t>
      </w:r>
      <w:r>
        <w:rPr>
          <w:vertAlign w:val="superscript"/>
        </w:rPr>
        <w:footnoteReference w:id="33"/>
      </w:r>
      <w:r>
        <w:t>. IOSCO recommends, in its principle 4 that, “the custodian should be function</w:t>
      </w:r>
      <w:r>
        <w:t>ally independent from the responsible entity”. IOSCO recognised that this functional independence may be achieved in a variety of ways. A functional separation should necessarily imply a hierarchical separation, which will involve assessing where key decis</w:t>
      </w:r>
      <w:r>
        <w:t xml:space="preserve">ions are taken.  </w:t>
      </w:r>
    </w:p>
    <w:p w:rsidR="00BB52D7" w:rsidRDefault="00E33AE6">
      <w:pPr>
        <w:ind w:left="846" w:right="843"/>
      </w:pPr>
      <w:r>
        <w:t>There are at least four relevant links between the relevant parties: (i) common directors; (ii) affiliated directors</w:t>
      </w:r>
      <w:r>
        <w:rPr>
          <w:vertAlign w:val="superscript"/>
        </w:rPr>
        <w:footnoteReference w:id="34"/>
      </w:r>
      <w:r>
        <w:t>; (iii) group membership/cross-shareholdings; and (iv) contractual links. The independence of the relevant parties is aff</w:t>
      </w:r>
      <w:r>
        <w:t>ected if one party can control action of the other or if one party can control the action of the asset manager and the depositary concurrently (the parent company of a group) by means of (i) executive power in the case of common directors</w:t>
      </w:r>
      <w:r>
        <w:rPr>
          <w:vertAlign w:val="superscript"/>
        </w:rPr>
        <w:footnoteReference w:id="35"/>
      </w:r>
      <w:r>
        <w:t>; (ii) shareholde</w:t>
      </w:r>
      <w:r>
        <w:t xml:space="preserve">rs' vote in the case of group membership/cross-shareholdings; or (iii) contractual commitments in the case of contractual links. </w:t>
      </w:r>
    </w:p>
    <w:p w:rsidR="00BB52D7" w:rsidRDefault="00E33AE6">
      <w:pPr>
        <w:ind w:left="846" w:right="843"/>
      </w:pPr>
      <w:r>
        <w:t>The independence of the depositary/third party (to whom the custody has been delegated) or the management/investment company m</w:t>
      </w:r>
      <w:r>
        <w:t>ay also be affected by commercial links. The entity which acts as a depositary/third party (to whom the custody has been delegated) might provide additional/ancillary services to the management company such as securities lending and collateral management o</w:t>
      </w:r>
      <w:r>
        <w:t>r execution of foreign exchange transactions. The interest in the revenue associated with providing additional services to the management company might conflict with the depositary's duty to monitor the management/investment company and spot irregularities</w:t>
      </w:r>
      <w:r>
        <w:t xml:space="preserve"> in its activities (e.g., Article 22(3)(c) UCITS states the depositary has to: "carry out the instructions of the management company, unless they conflict with the applicable national law or the fund rules" and according to Article 22(3)(e) the depositary </w:t>
      </w:r>
      <w:r>
        <w:t xml:space="preserve">has to "ensure that a UCITS’s income is applied in accordance with the applicable national law and the fund rules"). </w:t>
      </w:r>
    </w:p>
    <w:p w:rsidR="00BB52D7" w:rsidRDefault="00E33AE6">
      <w:pPr>
        <w:ind w:left="846" w:right="843"/>
      </w:pPr>
      <w:r>
        <w:t>National laws vary widely across the Member States both in terms of interpretation of permissible links and in terms of the condition of c</w:t>
      </w:r>
      <w:r>
        <w:t>orporate rule applicable to depositary business</w:t>
      </w:r>
      <w:r>
        <w:rPr>
          <w:vertAlign w:val="superscript"/>
        </w:rPr>
        <w:footnoteReference w:id="36"/>
      </w:r>
      <w:r>
        <w:t xml:space="preserve">. A number of Member States limit the possibility of common directors and/or senior managers (IT, DE, UK, FI, LU, RO, AT, MT, BE, IE, LT) or impose some form of 'functional' independence (CY, SE). Two Member </w:t>
      </w:r>
      <w:r>
        <w:t>States limit corporate cross-shareholdings between the two entities (UK, SL). Two Member States prevent directors of the depositary from managing/supervising certain activities provided by the depositary to the management company (e.g. brokerage) – RO, SI.</w:t>
      </w:r>
      <w:r>
        <w:t xml:space="preserve"> Several Member States do not have specific provisions in their national law. </w:t>
      </w:r>
    </w:p>
    <w:p w:rsidR="00BB52D7" w:rsidRDefault="00E33AE6">
      <w:pPr>
        <w:ind w:left="846" w:right="843"/>
      </w:pPr>
      <w:r>
        <w:lastRenderedPageBreak/>
        <w:t>In terms of group structure, most Member States (except UK</w:t>
      </w:r>
      <w:r>
        <w:rPr>
          <w:vertAlign w:val="superscript"/>
        </w:rPr>
        <w:footnoteReference w:id="37"/>
      </w:r>
      <w:r>
        <w:t xml:space="preserve"> and SL) permit the management company and the depositary to be part of the same (usually banking) group. However, mos</w:t>
      </w:r>
      <w:r>
        <w:t>t of these jurisdictions, including the UK and SL, have no structural separation requirement that applies to the third party to whom the custody has been delegated. This implies that the third party custodian can belong to the same corporate group as the m</w:t>
      </w:r>
      <w:r>
        <w:t xml:space="preserve">anagement company. </w:t>
      </w:r>
    </w:p>
    <w:p w:rsidR="00BB52D7" w:rsidRDefault="00E33AE6">
      <w:pPr>
        <w:pStyle w:val="Heading4"/>
        <w:ind w:left="2061" w:right="133"/>
      </w:pPr>
      <w:bookmarkStart w:id="11" w:name="_Toc240971"/>
      <w:r>
        <w:t xml:space="preserve">3.3.2 Problems </w:t>
      </w:r>
      <w:bookmarkEnd w:id="11"/>
    </w:p>
    <w:p w:rsidR="00BB52D7" w:rsidRDefault="00E33AE6">
      <w:pPr>
        <w:spacing w:after="251"/>
        <w:ind w:left="846" w:right="843"/>
      </w:pPr>
      <w:r>
        <w:t xml:space="preserve">The above links between a depositary/third party to whom the custody has been delegated and a management/investment company could give rise to the following conflict of interests: </w:t>
      </w:r>
    </w:p>
    <w:p w:rsidR="00BB52D7" w:rsidRDefault="00E33AE6">
      <w:pPr>
        <w:numPr>
          <w:ilvl w:val="0"/>
          <w:numId w:val="6"/>
        </w:numPr>
        <w:spacing w:after="271"/>
        <w:ind w:right="843" w:hanging="360"/>
      </w:pPr>
      <w:r>
        <w:t>Risk of fraud if both depositary and asset manager belong to the same corporate group; in this scenario irregularities in the accounts may not reported to the competent authorities as this would affect the reputation of the banking group (</w:t>
      </w:r>
      <w:r>
        <w:rPr>
          <w:b/>
        </w:rPr>
        <w:t>fraud risk</w:t>
      </w:r>
      <w:r>
        <w:t>)</w:t>
      </w:r>
      <w:r>
        <w:rPr>
          <w:vertAlign w:val="superscript"/>
        </w:rPr>
        <w:footnoteReference w:id="38"/>
      </w:r>
      <w:r>
        <w:t xml:space="preserve">; </w:t>
      </w:r>
    </w:p>
    <w:p w:rsidR="00BB52D7" w:rsidRDefault="00E33AE6">
      <w:pPr>
        <w:numPr>
          <w:ilvl w:val="0"/>
          <w:numId w:val="6"/>
        </w:numPr>
        <w:spacing w:after="251"/>
        <w:ind w:right="843" w:hanging="360"/>
      </w:pPr>
      <w:r>
        <w:t>Ri</w:t>
      </w:r>
      <w:r>
        <w:t>sk of investor detriment in case UCITS assets are lost in a group depositary's custody; in this scenario the management company might prove reluctant (or even be prevented by its rules of incorporation) to take legal steps against the depositary in order t</w:t>
      </w:r>
      <w:r>
        <w:t>o obtain restitution of the lost assets or compensation for the benefit of the UCITS or the UCITS investors (</w:t>
      </w:r>
      <w:r>
        <w:rPr>
          <w:b/>
        </w:rPr>
        <w:t>legal recourse risk</w:t>
      </w:r>
      <w:r>
        <w:t xml:space="preserve">); </w:t>
      </w:r>
    </w:p>
    <w:p w:rsidR="00BB52D7" w:rsidRDefault="00E33AE6">
      <w:pPr>
        <w:numPr>
          <w:ilvl w:val="0"/>
          <w:numId w:val="6"/>
        </w:numPr>
        <w:spacing w:after="273"/>
        <w:ind w:right="843" w:hanging="360"/>
      </w:pPr>
      <w:r>
        <w:t>Risk of investor detriment if the management company selects a depositary within the same group: this choice might be influe</w:t>
      </w:r>
      <w:r>
        <w:t>nced by factors other than quality and price (</w:t>
      </w:r>
      <w:r>
        <w:rPr>
          <w:b/>
        </w:rPr>
        <w:t>selection bias</w:t>
      </w:r>
      <w:r>
        <w:t xml:space="preserve">); </w:t>
      </w:r>
    </w:p>
    <w:p w:rsidR="00BB52D7" w:rsidRDefault="00E33AE6">
      <w:pPr>
        <w:numPr>
          <w:ilvl w:val="0"/>
          <w:numId w:val="6"/>
        </w:numPr>
        <w:ind w:right="843" w:hanging="360"/>
      </w:pPr>
      <w:r>
        <w:t>Privileging an intra-group depositary</w:t>
      </w:r>
      <w:r>
        <w:rPr>
          <w:vertAlign w:val="superscript"/>
        </w:rPr>
        <w:footnoteReference w:id="39"/>
      </w:r>
      <w:r>
        <w:t xml:space="preserve"> might lead to lower standards in asset segregation and/or reduced vigilance or laxer safeguards against the insolvency of the depositary or its delegates</w:t>
      </w:r>
      <w:r>
        <w:t xml:space="preserve"> (</w:t>
      </w:r>
      <w:r>
        <w:rPr>
          <w:b/>
        </w:rPr>
        <w:t>insolvency risk</w:t>
      </w:r>
      <w:r>
        <w:t xml:space="preserve">);  </w:t>
      </w:r>
    </w:p>
    <w:p w:rsidR="00BB52D7" w:rsidRDefault="00E33AE6">
      <w:pPr>
        <w:numPr>
          <w:ilvl w:val="0"/>
          <w:numId w:val="6"/>
        </w:numPr>
        <w:ind w:right="843" w:hanging="360"/>
      </w:pPr>
      <w:r>
        <w:t>Appointing an intra-group depositary is often associated with UCITS that invest in financial instruments</w:t>
      </w:r>
      <w:r>
        <w:rPr>
          <w:vertAlign w:val="superscript"/>
        </w:rPr>
        <w:footnoteReference w:id="40"/>
      </w:r>
      <w:r>
        <w:t xml:space="preserve"> that are issued by the group; in this scenario there is a risk of excessive "single group" exposure as the manager, the deposita</w:t>
      </w:r>
      <w:r>
        <w:t>ry and the investment assets are all reunited within one corporate group (</w:t>
      </w:r>
      <w:r>
        <w:rPr>
          <w:b/>
        </w:rPr>
        <w:t>single group exposure risk</w:t>
      </w:r>
      <w:r>
        <w:t xml:space="preserve">).  </w:t>
      </w:r>
    </w:p>
    <w:p w:rsidR="00BB52D7" w:rsidRDefault="00E33AE6">
      <w:pPr>
        <w:ind w:left="846" w:right="843"/>
      </w:pPr>
      <w:r>
        <w:t>In addition, diverging rules on the permissible links between depositaries/third party to whom the custody has been delegated and management/investment</w:t>
      </w:r>
      <w:r>
        <w:t xml:space="preserve"> companies across Member States may create legal uncertainty in many cross-border situations, e.g. when the management company and the depositary are not in the same Member State or when management/custody of UCITS assets is delegated to entities domiciled</w:t>
      </w:r>
      <w:r>
        <w:t xml:space="preserve"> in other Member States. </w:t>
      </w:r>
    </w:p>
    <w:p w:rsidR="00BB52D7" w:rsidRDefault="00E33AE6">
      <w:pPr>
        <w:pStyle w:val="Heading4"/>
        <w:ind w:left="2061" w:right="133"/>
      </w:pPr>
      <w:bookmarkStart w:id="12" w:name="_Toc240972"/>
      <w:r>
        <w:lastRenderedPageBreak/>
        <w:t xml:space="preserve">3.3.3 Consequences </w:t>
      </w:r>
      <w:bookmarkEnd w:id="12"/>
    </w:p>
    <w:p w:rsidR="00BB52D7" w:rsidRDefault="00E33AE6">
      <w:pPr>
        <w:ind w:left="846" w:right="843"/>
      </w:pPr>
      <w:r>
        <w:t>The persistence of the above-mentioned conflicts of interest could have adverse impacts on consumer protection, financial stability</w:t>
      </w:r>
      <w:r>
        <w:rPr>
          <w:vertAlign w:val="superscript"/>
        </w:rPr>
        <w:footnoteReference w:id="41"/>
      </w:r>
      <w:r>
        <w:t xml:space="preserve"> and the functioning of the capital markets. The lack of clarity would leave U</w:t>
      </w:r>
      <w:r>
        <w:t xml:space="preserve">CITS management companies, depositaries/third party delegates and national competent authorities with an unclear framework in which to assess whether the UCITS management/investment company and depositary/third party delegate act independently in carrying </w:t>
      </w:r>
      <w:r>
        <w:t xml:space="preserve">out their respective functions.  </w:t>
      </w:r>
    </w:p>
    <w:p w:rsidR="00BB52D7" w:rsidRDefault="00E33AE6">
      <w:pPr>
        <w:pStyle w:val="Heading2"/>
        <w:spacing w:after="228" w:line="249" w:lineRule="auto"/>
        <w:ind w:left="1352" w:right="576"/>
      </w:pPr>
      <w:bookmarkStart w:id="13" w:name="_Toc240973"/>
      <w:r>
        <w:rPr>
          <w:i w:val="0"/>
          <w:color w:val="222222"/>
          <w:u w:val="none"/>
        </w:rPr>
        <w:t>3.4</w:t>
      </w:r>
      <w:r>
        <w:rPr>
          <w:rFonts w:ascii="Arial" w:eastAsia="Arial" w:hAnsi="Arial" w:cs="Arial"/>
          <w:i w:val="0"/>
          <w:color w:val="222222"/>
          <w:u w:val="none"/>
        </w:rPr>
        <w:t xml:space="preserve"> </w:t>
      </w:r>
      <w:r>
        <w:rPr>
          <w:i w:val="0"/>
          <w:color w:val="222222"/>
          <w:u w:val="none"/>
        </w:rPr>
        <w:t xml:space="preserve">How would problems evolve without action? </w:t>
      </w:r>
      <w:bookmarkEnd w:id="13"/>
    </w:p>
    <w:p w:rsidR="00BB52D7" w:rsidRDefault="00E33AE6">
      <w:pPr>
        <w:ind w:left="846" w:right="843"/>
      </w:pPr>
      <w:r>
        <w:t>The large scale of the Madoff fraud went undetected for a long period because the depositary responsible for the safekeeping of the fund assets delegated custody over these as</w:t>
      </w:r>
      <w:r>
        <w:t>sets to the same entity run by Bernard Madoff to which the management of investments was delegated. Moreover, information regarding the delegation has never been disclosed to investors. In this case, the relationship between the asset manager and the depos</w:t>
      </w:r>
      <w:r>
        <w:t xml:space="preserve">itary / third party (to whom the custody has been delegated) has created the situation of clear conflict of interests and increased the operational risk. </w:t>
      </w:r>
    </w:p>
    <w:p w:rsidR="00BB52D7" w:rsidRDefault="00E33AE6">
      <w:pPr>
        <w:ind w:left="846" w:right="843"/>
      </w:pPr>
      <w:r>
        <w:t>The UCITS Directive already provides for mitigation measures to address major risks related to the sa</w:t>
      </w:r>
      <w:r>
        <w:t xml:space="preserve">fekeeping of assets (strict liability regime for the depositary, clarification of the depositary duties, clear rules on sub-delegation of custody and the prohibition of the reuse of assets for the depositary’s own account). If nothing were done to specify </w:t>
      </w:r>
      <w:r>
        <w:t>the requirement of what constitutes independent action of the depositary/third party to whom the custody has been delegated and the management/investment company, certain operational risk mentioned in the problem description would still remain. In particul</w:t>
      </w:r>
      <w:r>
        <w:t>ar, the oversight functions of the depositary could not be exercised in full independence in case of potential failures in the trading, valuation or cash flows monitoring. On the other hand, if structural and personal links that could give rise to the conf</w:t>
      </w:r>
      <w:r>
        <w:t xml:space="preserve">licts of interest mentioned above are not properly covered, this will not ensure enough safeguard to investors.  </w:t>
      </w:r>
    </w:p>
    <w:p w:rsidR="00BB52D7" w:rsidRDefault="00E33AE6">
      <w:pPr>
        <w:pStyle w:val="Heading2"/>
        <w:spacing w:after="228" w:line="249" w:lineRule="auto"/>
        <w:ind w:left="1352" w:right="576"/>
      </w:pPr>
      <w:bookmarkStart w:id="14" w:name="_Toc240974"/>
      <w:r>
        <w:rPr>
          <w:i w:val="0"/>
          <w:color w:val="222222"/>
          <w:u w:val="none"/>
        </w:rPr>
        <w:t>3.5</w:t>
      </w:r>
      <w:r>
        <w:rPr>
          <w:rFonts w:ascii="Arial" w:eastAsia="Arial" w:hAnsi="Arial" w:cs="Arial"/>
          <w:i w:val="0"/>
          <w:color w:val="222222"/>
          <w:u w:val="none"/>
        </w:rPr>
        <w:t xml:space="preserve"> </w:t>
      </w:r>
      <w:r>
        <w:rPr>
          <w:i w:val="0"/>
          <w:color w:val="222222"/>
          <w:u w:val="none"/>
        </w:rPr>
        <w:t xml:space="preserve"> Subsidiarity and proportionality  </w:t>
      </w:r>
      <w:bookmarkEnd w:id="14"/>
    </w:p>
    <w:p w:rsidR="00BB52D7" w:rsidRDefault="00E33AE6">
      <w:pPr>
        <w:spacing w:after="186"/>
        <w:ind w:left="846" w:right="843"/>
      </w:pPr>
      <w:r>
        <w:t xml:space="preserve">Due account was taken of the principles of subsidiarity and proportionality.  </w:t>
      </w:r>
    </w:p>
    <w:p w:rsidR="00BB52D7" w:rsidRDefault="00E33AE6">
      <w:pPr>
        <w:ind w:left="846" w:right="843"/>
      </w:pPr>
      <w:r>
        <w:t>The empowerments to adopt delegated acts in order to further specify several provisions concerning depositary rules are contained in the UCITS Directive. By introducing these empowerments, the co-legislator aims to increase the degree of harmonisation acro</w:t>
      </w:r>
      <w:r>
        <w:t>ss the Union. It was felt that the issues covered by the empowerments should not be left to potentially divergent national approaches. The requirement that an asset manager and its depositary act independently is a requirement where Member States took diff</w:t>
      </w:r>
      <w:r>
        <w:t>erent approaches (see Section 3.3.1). The mapping of national measures ensuring independent action of depositaries and management/investment companies conducted by ESMA showed that national measures enacting this principle are not homogeneous and in some c</w:t>
      </w:r>
      <w:r>
        <w:t>ases no measures were in place. There is therefore a clear indication that leaving the issue of defining independent action to Member States will not achieve a common level of investor protection. Therefore, exercising this empowerment respects the princip</w:t>
      </w:r>
      <w:r>
        <w:t xml:space="preserve">le of subsidiarity.  </w:t>
      </w:r>
    </w:p>
    <w:p w:rsidR="00BB52D7" w:rsidRDefault="00E33AE6">
      <w:pPr>
        <w:spacing w:after="267"/>
        <w:ind w:left="846" w:right="843"/>
      </w:pPr>
      <w:r>
        <w:lastRenderedPageBreak/>
        <w:t>In accordance with the principle of proportionality Union measures do not go beyond what is necessary in order to achieve the stated objectives. The proposed measure respects deal with both the issue of insolvency protection and independent action in a pro</w:t>
      </w:r>
      <w:r>
        <w:t>portionate manner. More incisive measures that bring little added value, such as the requirement of a strict structural separation between asset manager and its depositary were discarded in favour of less incisive, but equally efficient, requirements as to</w:t>
      </w:r>
      <w:r>
        <w:t xml:space="preserve"> the independence of the management boards of both entities. Equally, in relation to the "insolvency proofing" of assets in case of delegation to a third party, the strict requirement of an independent legal opinion is mitigated by allowing the sharing of </w:t>
      </w:r>
      <w:r>
        <w:t xml:space="preserve">such opinions between several members of an industry federation.  </w:t>
      </w:r>
    </w:p>
    <w:p w:rsidR="00BB52D7" w:rsidRDefault="00E33AE6">
      <w:pPr>
        <w:spacing w:after="225" w:line="259" w:lineRule="auto"/>
        <w:ind w:left="846"/>
        <w:jc w:val="left"/>
      </w:pPr>
      <w:r>
        <w:rPr>
          <w:b/>
        </w:rPr>
        <w:t>4</w:t>
      </w:r>
      <w:r>
        <w:rPr>
          <w:rFonts w:ascii="Arial" w:eastAsia="Arial" w:hAnsi="Arial" w:cs="Arial"/>
          <w:b/>
        </w:rPr>
        <w:t xml:space="preserve"> </w:t>
      </w:r>
      <w:r>
        <w:rPr>
          <w:b/>
          <w:sz w:val="19"/>
        </w:rPr>
        <w:t xml:space="preserve"> </w:t>
      </w:r>
      <w:r>
        <w:rPr>
          <w:b/>
        </w:rPr>
        <w:t>O</w:t>
      </w:r>
      <w:r>
        <w:rPr>
          <w:b/>
          <w:sz w:val="19"/>
        </w:rPr>
        <w:t xml:space="preserve">BJECTIVES </w:t>
      </w:r>
      <w:r>
        <w:rPr>
          <w:b/>
        </w:rPr>
        <w:t xml:space="preserve"> </w:t>
      </w:r>
    </w:p>
    <w:p w:rsidR="00BB52D7" w:rsidRDefault="00E33AE6">
      <w:pPr>
        <w:pStyle w:val="Heading5"/>
        <w:ind w:left="846" w:right="488"/>
      </w:pPr>
      <w:r>
        <w:t>Table 4- General, specific and operational objectives in the depositary rules</w:t>
      </w:r>
      <w:r>
        <w:rPr>
          <w:u w:val="none"/>
        </w:rPr>
        <w:t xml:space="preserve"> </w:t>
      </w:r>
    </w:p>
    <w:p w:rsidR="00BB52D7" w:rsidRDefault="00E33AE6">
      <w:pPr>
        <w:spacing w:after="0" w:line="259" w:lineRule="auto"/>
        <w:ind w:left="851" w:firstLine="0"/>
        <w:jc w:val="left"/>
      </w:pPr>
      <w:r>
        <w:rPr>
          <w:b/>
          <w:i/>
        </w:rPr>
        <w:t xml:space="preserve"> </w:t>
      </w:r>
    </w:p>
    <w:p w:rsidR="00BB52D7" w:rsidRDefault="00E33AE6">
      <w:pPr>
        <w:pStyle w:val="Heading1"/>
        <w:spacing w:after="12" w:line="248" w:lineRule="auto"/>
        <w:ind w:left="861"/>
        <w:jc w:val="both"/>
      </w:pPr>
      <w:bookmarkStart w:id="15" w:name="_Toc240975"/>
      <w:r>
        <w:rPr>
          <w:sz w:val="24"/>
        </w:rPr>
        <w:t xml:space="preserve">General objectives </w:t>
      </w:r>
      <w:bookmarkEnd w:id="15"/>
    </w:p>
    <w:p w:rsidR="00BB52D7" w:rsidRDefault="00E33AE6">
      <w:pPr>
        <w:spacing w:after="0" w:line="259" w:lineRule="auto"/>
        <w:ind w:left="851" w:firstLine="0"/>
        <w:jc w:val="left"/>
      </w:pPr>
      <w:r>
        <w:t xml:space="preserve"> </w:t>
      </w:r>
    </w:p>
    <w:p w:rsidR="00BB52D7" w:rsidRDefault="00E33AE6">
      <w:pPr>
        <w:numPr>
          <w:ilvl w:val="0"/>
          <w:numId w:val="7"/>
        </w:numPr>
        <w:spacing w:after="0"/>
        <w:ind w:right="843" w:hanging="360"/>
      </w:pPr>
      <w:r>
        <w:t>Increase the level of UCITS investor protection, aligning the UCITS an</w:t>
      </w:r>
      <w:r>
        <w:t xml:space="preserve">d AIFMD standards on the duties and responsibilities of fund depositaries. </w:t>
      </w:r>
    </w:p>
    <w:p w:rsidR="00BB52D7" w:rsidRDefault="00E33AE6">
      <w:pPr>
        <w:spacing w:after="0" w:line="259" w:lineRule="auto"/>
        <w:ind w:left="851" w:firstLine="0"/>
        <w:jc w:val="left"/>
      </w:pPr>
      <w:r>
        <w:t xml:space="preserve"> </w:t>
      </w:r>
    </w:p>
    <w:p w:rsidR="00BB52D7" w:rsidRDefault="00E33AE6">
      <w:pPr>
        <w:numPr>
          <w:ilvl w:val="0"/>
          <w:numId w:val="7"/>
        </w:numPr>
        <w:spacing w:after="0"/>
        <w:ind w:right="843" w:hanging="360"/>
      </w:pPr>
      <w:r>
        <w:t xml:space="preserve">Design a framework on the duties and responsibilities of UCITS depositaries that takes into account that UCITS is a retail investment scheme. </w:t>
      </w:r>
    </w:p>
    <w:p w:rsidR="00BB52D7" w:rsidRDefault="00E33AE6">
      <w:pPr>
        <w:spacing w:after="0" w:line="259" w:lineRule="auto"/>
        <w:ind w:left="851" w:firstLine="0"/>
        <w:jc w:val="left"/>
      </w:pPr>
      <w:r>
        <w:t xml:space="preserve"> </w:t>
      </w:r>
    </w:p>
    <w:p w:rsidR="00BB52D7" w:rsidRDefault="00E33AE6">
      <w:pPr>
        <w:numPr>
          <w:ilvl w:val="0"/>
          <w:numId w:val="7"/>
        </w:numPr>
        <w:spacing w:after="0"/>
        <w:ind w:right="843" w:hanging="360"/>
      </w:pPr>
      <w:r>
        <w:t>Ensure financial stability and tr</w:t>
      </w:r>
      <w:r>
        <w:t xml:space="preserve">ansparency of capital markets while avoiding negative repercussions on the level of market concentration. </w:t>
      </w:r>
    </w:p>
    <w:p w:rsidR="00BB52D7" w:rsidRDefault="00E33AE6">
      <w:pPr>
        <w:spacing w:after="0" w:line="259" w:lineRule="auto"/>
        <w:ind w:left="851" w:firstLine="0"/>
        <w:jc w:val="left"/>
      </w:pPr>
      <w:r>
        <w:t xml:space="preserve"> </w:t>
      </w:r>
    </w:p>
    <w:p w:rsidR="00BB52D7" w:rsidRDefault="00E33AE6">
      <w:pPr>
        <w:pStyle w:val="Heading6"/>
        <w:spacing w:after="12"/>
        <w:ind w:right="0"/>
        <w:jc w:val="both"/>
      </w:pPr>
      <w:r>
        <w:rPr>
          <w:i w:val="0"/>
          <w:u w:val="none"/>
        </w:rPr>
        <w:t xml:space="preserve">Specific objectives  </w:t>
      </w:r>
    </w:p>
    <w:p w:rsidR="00BB52D7" w:rsidRDefault="00E33AE6">
      <w:pPr>
        <w:spacing w:after="0" w:line="259" w:lineRule="auto"/>
        <w:ind w:left="851" w:firstLine="0"/>
        <w:jc w:val="left"/>
      </w:pPr>
      <w:r>
        <w:t xml:space="preserve"> </w:t>
      </w:r>
    </w:p>
    <w:p w:rsidR="00BB52D7" w:rsidRDefault="00E33AE6">
      <w:pPr>
        <w:numPr>
          <w:ilvl w:val="0"/>
          <w:numId w:val="8"/>
        </w:numPr>
        <w:spacing w:after="0"/>
        <w:ind w:right="843" w:hanging="360"/>
      </w:pPr>
      <w:r>
        <w:t>Ensure adequate protection for UCITS assets that are held in custody with a UCITS depositary and its network of sub-custodi</w:t>
      </w:r>
      <w:r>
        <w:t xml:space="preserve">ans </w:t>
      </w:r>
    </w:p>
    <w:p w:rsidR="00BB52D7" w:rsidRDefault="00E33AE6">
      <w:pPr>
        <w:spacing w:after="0" w:line="259" w:lineRule="auto"/>
        <w:ind w:left="851" w:firstLine="0"/>
        <w:jc w:val="left"/>
      </w:pPr>
      <w:r>
        <w:t xml:space="preserve"> </w:t>
      </w:r>
    </w:p>
    <w:p w:rsidR="00BB52D7" w:rsidRDefault="00E33AE6">
      <w:pPr>
        <w:numPr>
          <w:ilvl w:val="0"/>
          <w:numId w:val="8"/>
        </w:numPr>
        <w:spacing w:after="0"/>
        <w:ind w:right="843" w:hanging="360"/>
      </w:pPr>
      <w:r>
        <w:t>Ensure that UCITS asset manager and UCITS depositaries act independently: Avoid conflicts of interests that arise when a UCITS asset manager and a UCITS depositary are linked by cross-</w:t>
      </w:r>
      <w:r>
        <w:t xml:space="preserve">shareholdings or belong to the same corporate group, especially when asset managers select a depositary for the safe-keeping of UCITS assets </w:t>
      </w:r>
    </w:p>
    <w:p w:rsidR="00BB52D7" w:rsidRDefault="00E33AE6">
      <w:pPr>
        <w:spacing w:after="0" w:line="259" w:lineRule="auto"/>
        <w:ind w:left="851" w:firstLine="0"/>
        <w:jc w:val="left"/>
      </w:pPr>
      <w:r>
        <w:t xml:space="preserve"> </w:t>
      </w:r>
    </w:p>
    <w:p w:rsidR="00BB52D7" w:rsidRDefault="00E33AE6">
      <w:pPr>
        <w:numPr>
          <w:ilvl w:val="0"/>
          <w:numId w:val="8"/>
        </w:numPr>
        <w:spacing w:after="0"/>
        <w:ind w:right="843" w:hanging="360"/>
      </w:pPr>
      <w:r>
        <w:t>Achieve the above specific objectives whilst ensuring that the market for asset management, depositary and custo</w:t>
      </w:r>
      <w:r>
        <w:t xml:space="preserve">dy services remains competitive  </w:t>
      </w:r>
    </w:p>
    <w:p w:rsidR="00BB52D7" w:rsidRDefault="00E33AE6">
      <w:pPr>
        <w:spacing w:after="0" w:line="259" w:lineRule="auto"/>
        <w:ind w:left="851" w:firstLine="0"/>
        <w:jc w:val="left"/>
      </w:pPr>
      <w:r>
        <w:t xml:space="preserve"> </w:t>
      </w:r>
    </w:p>
    <w:p w:rsidR="00BB52D7" w:rsidRDefault="00E33AE6">
      <w:pPr>
        <w:pStyle w:val="Heading6"/>
        <w:spacing w:after="12"/>
        <w:ind w:right="0"/>
        <w:jc w:val="both"/>
      </w:pPr>
      <w:r>
        <w:rPr>
          <w:i w:val="0"/>
          <w:u w:val="none"/>
        </w:rPr>
        <w:t xml:space="preserve">Operational objectives </w:t>
      </w:r>
    </w:p>
    <w:p w:rsidR="00BB52D7" w:rsidRDefault="00E33AE6">
      <w:pPr>
        <w:spacing w:after="0" w:line="259" w:lineRule="auto"/>
        <w:ind w:left="851" w:firstLine="0"/>
        <w:jc w:val="left"/>
      </w:pPr>
      <w:r>
        <w:t xml:space="preserve"> </w:t>
      </w:r>
    </w:p>
    <w:p w:rsidR="00BB52D7" w:rsidRDefault="00E33AE6">
      <w:pPr>
        <w:numPr>
          <w:ilvl w:val="0"/>
          <w:numId w:val="9"/>
        </w:numPr>
        <w:spacing w:after="0"/>
        <w:ind w:right="843" w:hanging="360"/>
      </w:pPr>
      <w:r>
        <w:t xml:space="preserve">Ensure that delegation arrangements provide for protection of UCITS assets in case custody is delegated to third parties </w:t>
      </w:r>
    </w:p>
    <w:p w:rsidR="00BB52D7" w:rsidRDefault="00E33AE6">
      <w:pPr>
        <w:spacing w:after="0" w:line="259" w:lineRule="auto"/>
        <w:ind w:left="851" w:firstLine="0"/>
        <w:jc w:val="left"/>
      </w:pPr>
      <w:r>
        <w:t xml:space="preserve"> </w:t>
      </w:r>
    </w:p>
    <w:p w:rsidR="00BB52D7" w:rsidRDefault="00E33AE6">
      <w:pPr>
        <w:numPr>
          <w:ilvl w:val="0"/>
          <w:numId w:val="9"/>
        </w:numPr>
        <w:spacing w:after="0"/>
        <w:ind w:right="843" w:hanging="360"/>
      </w:pPr>
      <w:r>
        <w:t xml:space="preserve">Ensure that goverance arrangements are in place, both at the level of </w:t>
      </w:r>
      <w:r>
        <w:t xml:space="preserve">the UCITS asset manager and at the level of the UCITS depositary that ensure independent behaviour of both entities, especially when these entities are linked by cross-shareholdings or when  both entities belong to the same corporate group.  </w:t>
      </w:r>
    </w:p>
    <w:p w:rsidR="00BB52D7" w:rsidRDefault="00E33AE6">
      <w:pPr>
        <w:spacing w:after="0" w:line="259" w:lineRule="auto"/>
        <w:ind w:left="851" w:firstLine="0"/>
        <w:jc w:val="left"/>
      </w:pPr>
      <w:r>
        <w:t xml:space="preserve"> </w:t>
      </w:r>
    </w:p>
    <w:p w:rsidR="00BB52D7" w:rsidRDefault="00E33AE6">
      <w:pPr>
        <w:numPr>
          <w:ilvl w:val="0"/>
          <w:numId w:val="9"/>
        </w:numPr>
        <w:ind w:right="843" w:hanging="360"/>
      </w:pPr>
      <w:r>
        <w:lastRenderedPageBreak/>
        <w:t>Achieve the</w:t>
      </w:r>
      <w:r>
        <w:t xml:space="preserve"> above objectives operational objectives while ensuring the existence of a diversified range of UCITS depositaries so that a UCITS asset manager always has a choice of several competing depositaries (avoiding further concentration of the markets for deposi</w:t>
      </w:r>
      <w:r>
        <w:t xml:space="preserve">tary and custody services). </w:t>
      </w:r>
    </w:p>
    <w:p w:rsidR="00BB52D7" w:rsidRDefault="00E33AE6">
      <w:pPr>
        <w:pStyle w:val="Heading1"/>
        <w:ind w:left="846"/>
      </w:pPr>
      <w:bookmarkStart w:id="16" w:name="_Toc240976"/>
      <w:r>
        <w:rPr>
          <w:sz w:val="24"/>
        </w:rPr>
        <w:t>5</w:t>
      </w:r>
      <w:r>
        <w:rPr>
          <w:rFonts w:ascii="Arial" w:eastAsia="Arial" w:hAnsi="Arial" w:cs="Arial"/>
          <w:sz w:val="24"/>
        </w:rPr>
        <w:t xml:space="preserve"> </w:t>
      </w:r>
      <w:r>
        <w:rPr>
          <w:sz w:val="24"/>
        </w:rPr>
        <w:t>A</w:t>
      </w:r>
      <w:r>
        <w:t xml:space="preserve">NALYSIS OF </w:t>
      </w:r>
      <w:r>
        <w:rPr>
          <w:sz w:val="24"/>
        </w:rPr>
        <w:t>O</w:t>
      </w:r>
      <w:r>
        <w:t xml:space="preserve">PTIONS </w:t>
      </w:r>
      <w:r>
        <w:rPr>
          <w:sz w:val="24"/>
        </w:rPr>
        <w:t xml:space="preserve"> </w:t>
      </w:r>
      <w:bookmarkEnd w:id="16"/>
    </w:p>
    <w:p w:rsidR="00BB52D7" w:rsidRDefault="00E33AE6">
      <w:pPr>
        <w:ind w:left="846" w:right="843"/>
      </w:pPr>
      <w:r>
        <w:t xml:space="preserve">The objective of Article 25 of the UCITS </w:t>
      </w:r>
      <w:r>
        <w:t>Directive is to ensure the protection of UCITS investors' interest. In order to achieve this objective, Article 25(1) UCITS prohibits one entity to act as both the management/investment company and the depositary/third party to whom custody is delegated</w:t>
      </w:r>
      <w:r>
        <w:rPr>
          <w:vertAlign w:val="superscript"/>
        </w:rPr>
        <w:footnoteReference w:id="42"/>
      </w:r>
      <w:r>
        <w:t xml:space="preserve">. </w:t>
      </w:r>
      <w:r>
        <w:t xml:space="preserve">The UCITS Directive, on the other hand, does not prohibit that the separate entities can be linked by cross-shareholdings between themselves or that these entities belong to the same group/  </w:t>
      </w:r>
    </w:p>
    <w:p w:rsidR="00BB52D7" w:rsidRDefault="00E33AE6">
      <w:pPr>
        <w:ind w:left="846" w:right="843"/>
      </w:pPr>
      <w:r>
        <w:t>In order to address potential conflicts of interest that are alw</w:t>
      </w:r>
      <w:r>
        <w:t>ays present in case both entities have common management, but also arise in a scenario where both entities are linked by cross-shareholdings or and membership of a corporate group, Article 25(2) UCITS requires that, in carrying out their respective functio</w:t>
      </w:r>
      <w:r>
        <w:t xml:space="preserve">ns, the management/investment company and the depositary/third party to whom the custody has been delegated, act honestly, fairly, professionally, independently and solely in the interest of the UCITS and the investors of the UCITS.  </w:t>
      </w:r>
    </w:p>
    <w:p w:rsidR="00BB52D7" w:rsidRDefault="00E33AE6">
      <w:pPr>
        <w:ind w:left="846" w:right="843"/>
      </w:pPr>
      <w:r>
        <w:t>In preparing the exer</w:t>
      </w:r>
      <w:r>
        <w:t xml:space="preserve">cise of the UCITS V empowerment (whereby the European Commission shall adopt a delegated act specifying the conditions for fulfilling the "independent action" requirement), this impact assessment will address the issue of independent action by identifying </w:t>
      </w:r>
      <w:r>
        <w:t xml:space="preserve">all personal and corporate links between the management/investment company and the depositary/third party to whom the custody function has been delegated. </w:t>
      </w:r>
    </w:p>
    <w:p w:rsidR="00BB52D7" w:rsidRDefault="00E33AE6">
      <w:pPr>
        <w:ind w:left="846" w:right="843"/>
      </w:pPr>
      <w:r>
        <w:t>With respect to personal links, this impact assessment will focus on conflicts that arise when the p</w:t>
      </w:r>
      <w:r>
        <w:t xml:space="preserve">ersons involved in management or supervision of management/investment company and the depositary/third party delegate are identical.  </w:t>
      </w:r>
    </w:p>
    <w:p w:rsidR="00BB52D7" w:rsidRDefault="00E33AE6">
      <w:pPr>
        <w:ind w:left="846" w:right="843"/>
      </w:pPr>
      <w:r>
        <w:t>In addition, this impact assessment will analyse corporate links which are either those that exist either by virtue of cr</w:t>
      </w:r>
      <w:r>
        <w:t xml:space="preserve">oss-shareholdings between these entities or links that are due to both entities forming part of a single corporate group.  </w:t>
      </w:r>
    </w:p>
    <w:p w:rsidR="00BB52D7" w:rsidRDefault="00E33AE6">
      <w:pPr>
        <w:ind w:left="846" w:right="843"/>
      </w:pPr>
      <w:r>
        <w:t xml:space="preserve">The table below identifies the relevant options to address both scenarios that could give rise to conflicts of interest. </w:t>
      </w:r>
    </w:p>
    <w:p w:rsidR="00BB52D7" w:rsidRDefault="00E33AE6">
      <w:pPr>
        <w:spacing w:after="3" w:line="245" w:lineRule="auto"/>
        <w:ind w:left="851" w:right="807" w:firstLine="0"/>
        <w:jc w:val="left"/>
      </w:pPr>
      <w:r>
        <w:t>Part I of the table identifies three options to address conflicts of interest that could result when the asset manager and the depositary or third party to whom custody has been delegated have common management.  Part II of the table addresses additional s</w:t>
      </w:r>
      <w:r>
        <w:t xml:space="preserve">ituation where these conflicts could become equally acute, such as (1) cross-shareholdings / group companies ("corporate links") or (2) the fact that both the asset manager and the depositary/third party delegate belong to the same corporate group. </w:t>
      </w:r>
    </w:p>
    <w:p w:rsidR="00BB52D7" w:rsidRDefault="00BB52D7">
      <w:pPr>
        <w:spacing w:after="0" w:line="259" w:lineRule="auto"/>
        <w:ind w:left="-568" w:right="141" w:firstLine="0"/>
        <w:jc w:val="left"/>
      </w:pPr>
    </w:p>
    <w:tbl>
      <w:tblPr>
        <w:tblStyle w:val="TableGrid"/>
        <w:tblW w:w="9887" w:type="dxa"/>
        <w:tblInd w:w="744" w:type="dxa"/>
        <w:tblCellMar>
          <w:top w:w="40" w:type="dxa"/>
          <w:left w:w="107" w:type="dxa"/>
          <w:bottom w:w="0" w:type="dxa"/>
          <w:right w:w="40" w:type="dxa"/>
        </w:tblCellMar>
        <w:tblLook w:val="04A0" w:firstRow="1" w:lastRow="0" w:firstColumn="1" w:lastColumn="0" w:noHBand="0" w:noVBand="1"/>
      </w:tblPr>
      <w:tblGrid>
        <w:gridCol w:w="3509"/>
        <w:gridCol w:w="6378"/>
      </w:tblGrid>
      <w:tr w:rsidR="00BB52D7">
        <w:trPr>
          <w:trHeight w:val="472"/>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rFonts w:ascii="Calibri" w:eastAsia="Calibri" w:hAnsi="Calibri" w:cs="Calibri"/>
                <w:sz w:val="18"/>
              </w:rPr>
              <w:t>Polic</w:t>
            </w:r>
            <w:r>
              <w:rPr>
                <w:rFonts w:ascii="Calibri" w:eastAsia="Calibri" w:hAnsi="Calibri" w:cs="Calibri"/>
                <w:sz w:val="18"/>
              </w:rPr>
              <w:t xml:space="preserve">y options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rFonts w:ascii="Calibri" w:eastAsia="Calibri" w:hAnsi="Calibri" w:cs="Calibri"/>
                <w:sz w:val="18"/>
              </w:rPr>
              <w:t xml:space="preserve">Summary of policy options </w:t>
            </w:r>
          </w:p>
        </w:tc>
      </w:tr>
      <w:tr w:rsidR="00BB52D7">
        <w:trPr>
          <w:trHeight w:val="467"/>
        </w:trPr>
        <w:tc>
          <w:tcPr>
            <w:tcW w:w="9887" w:type="dxa"/>
            <w:gridSpan w:val="2"/>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firstLine="0"/>
              <w:jc w:val="left"/>
            </w:pPr>
            <w:r>
              <w:rPr>
                <w:rFonts w:ascii="Calibri" w:eastAsia="Calibri" w:hAnsi="Calibri" w:cs="Calibri"/>
                <w:b/>
                <w:i/>
                <w:sz w:val="18"/>
              </w:rPr>
              <w:lastRenderedPageBreak/>
              <w:t xml:space="preserve">Part I: Options to address common management </w:t>
            </w:r>
          </w:p>
        </w:tc>
      </w:tr>
      <w:tr w:rsidR="00BB52D7">
        <w:trPr>
          <w:trHeight w:val="3149"/>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rFonts w:ascii="Calibri" w:eastAsia="Calibri" w:hAnsi="Calibri" w:cs="Calibri"/>
                <w:sz w:val="18"/>
              </w:rPr>
              <w:t xml:space="preserve">Option 1.1 Do nothing (baseline scenario)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240" w:line="240" w:lineRule="auto"/>
              <w:ind w:left="2" w:right="70" w:firstLine="0"/>
            </w:pPr>
            <w:r>
              <w:rPr>
                <w:rFonts w:ascii="Calibri" w:eastAsia="Calibri" w:hAnsi="Calibri" w:cs="Calibri"/>
                <w:sz w:val="18"/>
              </w:rPr>
              <w:t xml:space="preserve">The adoption of the delegated acts on independent behaviour of UCITS asset managers and UCITS depositaries are mandatory. There is a policy choice as to the execution of the empowerment (see options below), not whether to exercise the delegated powers.  </w:t>
            </w:r>
          </w:p>
          <w:p w:rsidR="00BB52D7" w:rsidRDefault="00E33AE6">
            <w:pPr>
              <w:spacing w:after="240" w:line="240" w:lineRule="auto"/>
              <w:ind w:left="2" w:right="69" w:firstLine="0"/>
            </w:pPr>
            <w:r>
              <w:rPr>
                <w:rFonts w:ascii="Calibri" w:eastAsia="Calibri" w:hAnsi="Calibri" w:cs="Calibri"/>
                <w:sz w:val="18"/>
              </w:rPr>
              <w:t>A</w:t>
            </w:r>
            <w:r>
              <w:rPr>
                <w:rFonts w:ascii="Calibri" w:eastAsia="Calibri" w:hAnsi="Calibri" w:cs="Calibri"/>
                <w:sz w:val="18"/>
              </w:rPr>
              <w:t xml:space="preserve">part from a failure to comply with secondary law, not exercising the empowerment on "independent action" would result in the persistence of divergent interpretation by Member States of what has to be understood by “acting independently”.  </w:t>
            </w:r>
          </w:p>
          <w:p w:rsidR="00BB52D7" w:rsidRDefault="00E33AE6">
            <w:pPr>
              <w:spacing w:after="0" w:line="259" w:lineRule="auto"/>
              <w:ind w:left="2" w:right="70" w:firstLine="0"/>
            </w:pPr>
            <w:r>
              <w:rPr>
                <w:rFonts w:ascii="Calibri" w:eastAsia="Calibri" w:hAnsi="Calibri" w:cs="Calibri"/>
                <w:sz w:val="18"/>
              </w:rPr>
              <w:t>The more general</w:t>
            </w:r>
            <w:r>
              <w:rPr>
                <w:rFonts w:ascii="Calibri" w:eastAsia="Calibri" w:hAnsi="Calibri" w:cs="Calibri"/>
                <w:sz w:val="18"/>
              </w:rPr>
              <w:t xml:space="preserve"> consequence of not clarifying the precise obligations ensuring independent action would be a loss in trust in the UCITS "label" with investors in Europe and in a variety of third countries where UCITS are bought.  </w:t>
            </w:r>
          </w:p>
        </w:tc>
      </w:tr>
      <w:tr w:rsidR="00BB52D7">
        <w:trPr>
          <w:trHeight w:val="3126"/>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0" w:firstLine="0"/>
            </w:pPr>
            <w:r>
              <w:rPr>
                <w:rFonts w:ascii="Calibri" w:eastAsia="Calibri" w:hAnsi="Calibri" w:cs="Calibri"/>
                <w:sz w:val="18"/>
              </w:rPr>
              <w:t xml:space="preserve">Option 1.2 Prohibit "double membership" of both entities' (asset manager and </w:t>
            </w:r>
          </w:p>
          <w:p w:rsidR="00BB52D7" w:rsidRDefault="00E33AE6">
            <w:pPr>
              <w:spacing w:after="0" w:line="259" w:lineRule="auto"/>
              <w:ind w:left="0" w:firstLine="0"/>
              <w:jc w:val="left"/>
            </w:pPr>
            <w:r>
              <w:rPr>
                <w:rFonts w:ascii="Calibri" w:eastAsia="Calibri" w:hAnsi="Calibri" w:cs="Calibri"/>
                <w:sz w:val="18"/>
              </w:rPr>
              <w:t xml:space="preserve">depositary) boards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240" w:line="240" w:lineRule="auto"/>
              <w:ind w:left="2" w:right="67" w:firstLine="0"/>
            </w:pPr>
            <w:r>
              <w:rPr>
                <w:rFonts w:ascii="Calibri" w:eastAsia="Calibri" w:hAnsi="Calibri" w:cs="Calibri"/>
                <w:sz w:val="18"/>
              </w:rPr>
              <w:t>No member of the management body or an employee of one entity shall be appointed to the management body of the other entity.  The rationale behind a prohibiti</w:t>
            </w:r>
            <w:r>
              <w:rPr>
                <w:rFonts w:ascii="Calibri" w:eastAsia="Calibri" w:hAnsi="Calibri" w:cs="Calibri"/>
                <w:sz w:val="18"/>
              </w:rPr>
              <w:t>on of "double membership" is: independent action of the management boards of the asset manager and the depositary/third party custody delegate is affected should one of these entities, by virtue of common directors, be in a position to control the action o</w:t>
            </w:r>
            <w:r>
              <w:rPr>
                <w:rFonts w:ascii="Calibri" w:eastAsia="Calibri" w:hAnsi="Calibri" w:cs="Calibri"/>
                <w:sz w:val="18"/>
              </w:rPr>
              <w:t xml:space="preserve">f the other. This conflict is especially acute when it comes to the selection of the depositary. </w:t>
            </w:r>
          </w:p>
          <w:p w:rsidR="00BB52D7" w:rsidRDefault="00E33AE6">
            <w:pPr>
              <w:spacing w:after="0" w:line="259" w:lineRule="auto"/>
              <w:ind w:left="2" w:right="67" w:firstLine="0"/>
            </w:pPr>
            <w:r>
              <w:rPr>
                <w:rFonts w:ascii="Calibri" w:eastAsia="Calibri" w:hAnsi="Calibri" w:cs="Calibri"/>
                <w:sz w:val="18"/>
              </w:rPr>
              <w:t>However, when the management board is different from the supervisory board ("dual board structure"), this option allows that one third of the members of the s</w:t>
            </w:r>
            <w:r>
              <w:rPr>
                <w:rFonts w:ascii="Calibri" w:eastAsia="Calibri" w:hAnsi="Calibri" w:cs="Calibri"/>
                <w:sz w:val="18"/>
              </w:rPr>
              <w:t xml:space="preserve">upervisory board can be identical to those on the supervisory board or management board of the other entity. This relaxation is due to the additional layer of scrutiny provided by the dual board structure. </w:t>
            </w:r>
          </w:p>
        </w:tc>
      </w:tr>
      <w:tr w:rsidR="00BB52D7">
        <w:trPr>
          <w:trHeight w:val="1129"/>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9" w:firstLine="0"/>
            </w:pPr>
            <w:r>
              <w:rPr>
                <w:rFonts w:ascii="Calibri" w:eastAsia="Calibri" w:hAnsi="Calibri" w:cs="Calibri"/>
                <w:sz w:val="18"/>
              </w:rPr>
              <w:t xml:space="preserve">Option 1.3 Permit "double membership" but limit the voting rights of members that are on both boards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right="70" w:firstLine="0"/>
            </w:pPr>
            <w:r>
              <w:rPr>
                <w:rFonts w:ascii="Calibri" w:eastAsia="Calibri" w:hAnsi="Calibri" w:cs="Calibri"/>
                <w:sz w:val="18"/>
              </w:rPr>
              <w:t>This option introduces a limitation of the voting rights in case the same person is a member of both entities' boards. This option aims to avoid that a me</w:t>
            </w:r>
            <w:r>
              <w:rPr>
                <w:rFonts w:ascii="Calibri" w:eastAsia="Calibri" w:hAnsi="Calibri" w:cs="Calibri"/>
                <w:sz w:val="18"/>
              </w:rPr>
              <w:t xml:space="preserve">mber sitting on both boards partakes in decisions in which this member's "double membership" would give rise to conflicts of interest.  </w:t>
            </w:r>
          </w:p>
        </w:tc>
      </w:tr>
      <w:tr w:rsidR="00BB52D7">
        <w:trPr>
          <w:trHeight w:val="1130"/>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8" w:firstLine="0"/>
            </w:pPr>
            <w:r>
              <w:rPr>
                <w:rFonts w:ascii="Calibri" w:eastAsia="Calibri" w:hAnsi="Calibri" w:cs="Calibri"/>
                <w:sz w:val="18"/>
              </w:rPr>
              <w:t>Option 1.4 Permit "double membership" but prohibit "double members" from having a direct or indirect shareholding in b</w:t>
            </w:r>
            <w:r>
              <w:rPr>
                <w:rFonts w:ascii="Calibri" w:eastAsia="Calibri" w:hAnsi="Calibri" w:cs="Calibri"/>
                <w:sz w:val="18"/>
              </w:rPr>
              <w:t xml:space="preserve">oth entities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right="70" w:firstLine="0"/>
            </w:pPr>
            <w:r>
              <w:rPr>
                <w:rFonts w:ascii="Calibri" w:eastAsia="Calibri" w:hAnsi="Calibri" w:cs="Calibri"/>
                <w:sz w:val="18"/>
              </w:rPr>
              <w:t xml:space="preserve">This option would allow persons to sit on the board of both entities (asset manager and depositary) as long as these "double members" have no additional conflicts of interest on account of their shareholdings on one or both entities.  </w:t>
            </w:r>
          </w:p>
        </w:tc>
      </w:tr>
      <w:tr w:rsidR="00BB52D7">
        <w:trPr>
          <w:trHeight w:val="467"/>
        </w:trPr>
        <w:tc>
          <w:tcPr>
            <w:tcW w:w="9887" w:type="dxa"/>
            <w:gridSpan w:val="2"/>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firstLine="0"/>
              <w:jc w:val="left"/>
            </w:pPr>
            <w:r>
              <w:rPr>
                <w:rFonts w:ascii="Calibri" w:eastAsia="Calibri" w:hAnsi="Calibri" w:cs="Calibri"/>
                <w:b/>
                <w:i/>
                <w:sz w:val="18"/>
              </w:rPr>
              <w:t xml:space="preserve">Part II: Options to address conflicts that arise when managers and depositaries have corporate links or belong to the same group </w:t>
            </w:r>
          </w:p>
        </w:tc>
      </w:tr>
      <w:tr w:rsidR="00BB52D7">
        <w:trPr>
          <w:trHeight w:val="2518"/>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rFonts w:ascii="Calibri" w:eastAsia="Calibri" w:hAnsi="Calibri" w:cs="Calibri"/>
                <w:sz w:val="18"/>
              </w:rPr>
              <w:t xml:space="preserve">Option 2.1 Do nothing (baseline scenario)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223" w:line="259" w:lineRule="auto"/>
              <w:ind w:left="2" w:firstLine="0"/>
              <w:jc w:val="left"/>
            </w:pPr>
            <w:r>
              <w:rPr>
                <w:rFonts w:ascii="Calibri" w:eastAsia="Calibri" w:hAnsi="Calibri" w:cs="Calibri"/>
                <w:sz w:val="18"/>
              </w:rPr>
              <w:t xml:space="preserve">Same as the baseline scenario described under Option 1.1.  </w:t>
            </w:r>
          </w:p>
          <w:p w:rsidR="00BB52D7" w:rsidRDefault="00E33AE6">
            <w:pPr>
              <w:spacing w:after="0" w:line="259" w:lineRule="auto"/>
              <w:ind w:left="2" w:right="67" w:firstLine="0"/>
            </w:pPr>
            <w:r>
              <w:rPr>
                <w:rFonts w:ascii="Calibri" w:eastAsia="Calibri" w:hAnsi="Calibri" w:cs="Calibri"/>
                <w:sz w:val="18"/>
              </w:rPr>
              <w:t xml:space="preserve">If no additional safeguards where introduced, the specific conflicts that arise when both the asset manager and the depositary belong to the same group or are linked by cross shareholdings will remain unaddressed. National competent regulators would, also </w:t>
            </w:r>
            <w:r>
              <w:rPr>
                <w:rFonts w:ascii="Calibri" w:eastAsia="Calibri" w:hAnsi="Calibri" w:cs="Calibri"/>
                <w:sz w:val="18"/>
              </w:rPr>
              <w:t>in this delicate scenario, remain reliant on the general principle enshrined in Article 25 (2) UCITS which requires that, in carrying out their respective functions, the management/investment company and the depositary/third party</w:t>
            </w:r>
            <w:r>
              <w:rPr>
                <w:rFonts w:ascii="Calibri" w:eastAsia="Calibri" w:hAnsi="Calibri" w:cs="Calibri"/>
                <w:sz w:val="22"/>
              </w:rPr>
              <w:t xml:space="preserve"> </w:t>
            </w:r>
            <w:r>
              <w:rPr>
                <w:rFonts w:ascii="Calibri" w:eastAsia="Calibri" w:hAnsi="Calibri" w:cs="Calibri"/>
                <w:sz w:val="18"/>
              </w:rPr>
              <w:t>to whom the custody has b</w:t>
            </w:r>
            <w:r>
              <w:rPr>
                <w:rFonts w:ascii="Calibri" w:eastAsia="Calibri" w:hAnsi="Calibri" w:cs="Calibri"/>
                <w:sz w:val="18"/>
              </w:rPr>
              <w:t>een delegated</w:t>
            </w:r>
            <w:r>
              <w:rPr>
                <w:rFonts w:ascii="Calibri" w:eastAsia="Calibri" w:hAnsi="Calibri" w:cs="Calibri"/>
                <w:sz w:val="22"/>
              </w:rPr>
              <w:t xml:space="preserve">, </w:t>
            </w:r>
            <w:r>
              <w:rPr>
                <w:rFonts w:ascii="Calibri" w:eastAsia="Calibri" w:hAnsi="Calibri" w:cs="Calibri"/>
                <w:sz w:val="18"/>
              </w:rPr>
              <w:t xml:space="preserve">act honestly, fairly, professionally, independently and solely in the interest of the UCITS and the investors of the UCITS.  </w:t>
            </w:r>
          </w:p>
        </w:tc>
      </w:tr>
      <w:tr w:rsidR="00BB52D7">
        <w:trPr>
          <w:trHeight w:val="908"/>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6" w:firstLine="0"/>
            </w:pPr>
            <w:r>
              <w:rPr>
                <w:rFonts w:ascii="Calibri" w:eastAsia="Calibri" w:hAnsi="Calibri" w:cs="Calibri"/>
                <w:sz w:val="18"/>
              </w:rPr>
              <w:t xml:space="preserve">Option 2.2 Require structural separation between the management company and the depositary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7" w:firstLine="0"/>
            </w:pPr>
            <w:r>
              <w:rPr>
                <w:rFonts w:ascii="Calibri" w:eastAsia="Calibri" w:hAnsi="Calibri" w:cs="Calibri"/>
                <w:sz w:val="18"/>
              </w:rPr>
              <w:t xml:space="preserve">Management/investment </w:t>
            </w:r>
            <w:r>
              <w:rPr>
                <w:rFonts w:ascii="Calibri" w:eastAsia="Calibri" w:hAnsi="Calibri" w:cs="Calibri"/>
                <w:sz w:val="18"/>
              </w:rPr>
              <w:t xml:space="preserve">company and depositary/third party to whom the custody has been delegated cannot have cross-shareholdings between themselves or belong to the same corporate group. </w:t>
            </w:r>
          </w:p>
        </w:tc>
      </w:tr>
      <w:tr w:rsidR="00BB52D7">
        <w:trPr>
          <w:trHeight w:val="2888"/>
        </w:trPr>
        <w:tc>
          <w:tcPr>
            <w:tcW w:w="35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5" w:firstLine="0"/>
            </w:pPr>
            <w:r>
              <w:rPr>
                <w:rFonts w:ascii="Calibri" w:eastAsia="Calibri" w:hAnsi="Calibri" w:cs="Calibri"/>
                <w:sz w:val="18"/>
              </w:rPr>
              <w:lastRenderedPageBreak/>
              <w:t>Option 2.3 Additional corporate governance safeguards when asset managers and depositaries/third party custody delegates have cross shareholdings</w:t>
            </w:r>
            <w:r>
              <w:rPr>
                <w:rFonts w:ascii="Calibri" w:eastAsia="Calibri" w:hAnsi="Calibri" w:cs="Calibri"/>
                <w:sz w:val="18"/>
                <w:vertAlign w:val="superscript"/>
              </w:rPr>
              <w:footnoteReference w:id="43"/>
            </w:r>
            <w:r>
              <w:rPr>
                <w:rFonts w:ascii="Calibri" w:eastAsia="Calibri" w:hAnsi="Calibri" w:cs="Calibri"/>
                <w:sz w:val="18"/>
              </w:rPr>
              <w:t xml:space="preserve"> or when they belong to the same group (for the purpose of consolidated accounts).</w:t>
            </w:r>
            <w:r>
              <w:rPr>
                <w:rFonts w:ascii="Calibri" w:eastAsia="Calibri" w:hAnsi="Calibri" w:cs="Calibri"/>
                <w:sz w:val="18"/>
                <w:vertAlign w:val="superscript"/>
              </w:rPr>
              <w:footnoteReference w:id="44"/>
            </w:r>
            <w:r>
              <w:rPr>
                <w:rFonts w:ascii="Calibri" w:eastAsia="Calibri" w:hAnsi="Calibri" w:cs="Calibri"/>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4" w:firstLine="0"/>
            </w:pPr>
            <w:r>
              <w:rPr>
                <w:rFonts w:ascii="Calibri" w:eastAsia="Calibri" w:hAnsi="Calibri" w:cs="Calibri"/>
                <w:sz w:val="18"/>
              </w:rPr>
              <w:t xml:space="preserve">A series of additional governance requirements aim to ensure that asset managers/depositaries/third party custody delegate that have cross-shareholdings amongst each other </w:t>
            </w:r>
            <w:r>
              <w:rPr>
                <w:rFonts w:ascii="Calibri" w:eastAsia="Calibri" w:hAnsi="Calibri" w:cs="Calibri"/>
                <w:sz w:val="18"/>
                <w:u w:val="single" w:color="000000"/>
              </w:rPr>
              <w:t>or</w:t>
            </w:r>
            <w:r>
              <w:rPr>
                <w:rFonts w:ascii="Calibri" w:eastAsia="Calibri" w:hAnsi="Calibri" w:cs="Calibri"/>
                <w:sz w:val="18"/>
              </w:rPr>
              <w:t xml:space="preserve"> that belong to the same group as a depositary (1) avoid conflicts of interest and</w:t>
            </w:r>
            <w:r>
              <w:rPr>
                <w:rFonts w:ascii="Calibri" w:eastAsia="Calibri" w:hAnsi="Calibri" w:cs="Calibri"/>
                <w:sz w:val="18"/>
              </w:rPr>
              <w:t>, when they cannot be avoided, manage and appropriately monitor these conflicts of interest; (2) demonstrate, to the satisfaction of the competent authority, that the appointment of the depositary/third party custody delegate is in the sole interest of the</w:t>
            </w:r>
            <w:r>
              <w:rPr>
                <w:rFonts w:ascii="Calibri" w:eastAsia="Calibri" w:hAnsi="Calibri" w:cs="Calibri"/>
                <w:sz w:val="18"/>
              </w:rPr>
              <w:t xml:space="preserve"> UCITS and the investors of the UCITS; (3) disclose corporate links between themselves; and (4) justify</w:t>
            </w:r>
            <w:r>
              <w:rPr>
                <w:rFonts w:ascii="Calibri" w:eastAsia="Calibri" w:hAnsi="Calibri" w:cs="Calibri"/>
                <w:sz w:val="18"/>
                <w:vertAlign w:val="superscript"/>
              </w:rPr>
              <w:footnoteReference w:id="45"/>
            </w:r>
            <w:r>
              <w:rPr>
                <w:rFonts w:ascii="Calibri" w:eastAsia="Calibri" w:hAnsi="Calibri" w:cs="Calibri"/>
                <w:sz w:val="18"/>
              </w:rPr>
              <w:t xml:space="preserve"> the choice of depositary/third party custody delegate vis-à-vis UCITS investors. In addition, when</w:t>
            </w:r>
            <w:r>
              <w:rPr>
                <w:sz w:val="18"/>
              </w:rPr>
              <w:t xml:space="preserve"> </w:t>
            </w:r>
            <w:r>
              <w:rPr>
                <w:rFonts w:ascii="Calibri" w:eastAsia="Calibri" w:hAnsi="Calibri" w:cs="Calibri"/>
                <w:sz w:val="18"/>
              </w:rPr>
              <w:t>both entities when they belong to the same group, th</w:t>
            </w:r>
            <w:r>
              <w:rPr>
                <w:rFonts w:ascii="Calibri" w:eastAsia="Calibri" w:hAnsi="Calibri" w:cs="Calibri"/>
                <w:sz w:val="18"/>
              </w:rPr>
              <w:t>is option requires the appointment at least one-third or two independent members</w:t>
            </w:r>
            <w:r>
              <w:rPr>
                <w:rFonts w:ascii="Calibri" w:eastAsia="Calibri" w:hAnsi="Calibri" w:cs="Calibri"/>
                <w:sz w:val="18"/>
                <w:vertAlign w:val="superscript"/>
              </w:rPr>
              <w:footnoteReference w:id="46"/>
            </w:r>
            <w:r>
              <w:rPr>
                <w:rFonts w:ascii="Calibri" w:eastAsia="Calibri" w:hAnsi="Calibri" w:cs="Calibri"/>
                <w:sz w:val="18"/>
              </w:rPr>
              <w:t xml:space="preserve"> to both entities' management or  supervisory boards. </w:t>
            </w:r>
          </w:p>
        </w:tc>
      </w:tr>
    </w:tbl>
    <w:p w:rsidR="00BB52D7" w:rsidRDefault="00E33AE6">
      <w:pPr>
        <w:pStyle w:val="Heading1"/>
        <w:ind w:left="846"/>
      </w:pPr>
      <w:bookmarkStart w:id="17" w:name="_Toc240977"/>
      <w:r>
        <w:rPr>
          <w:sz w:val="24"/>
        </w:rPr>
        <w:t>6.</w:t>
      </w:r>
      <w:r>
        <w:t xml:space="preserve"> </w:t>
      </w:r>
      <w:r>
        <w:rPr>
          <w:sz w:val="24"/>
        </w:rPr>
        <w:t>A</w:t>
      </w:r>
      <w:r>
        <w:t>NALYSIS OF IMPACTS AND CHOICE OF PREFERRED OPTIONS</w:t>
      </w:r>
      <w:r>
        <w:rPr>
          <w:sz w:val="24"/>
        </w:rPr>
        <w:t xml:space="preserve"> </w:t>
      </w:r>
      <w:bookmarkEnd w:id="17"/>
    </w:p>
    <w:p w:rsidR="00BB52D7" w:rsidRDefault="00E33AE6">
      <w:pPr>
        <w:ind w:left="846" w:right="843"/>
      </w:pPr>
      <w:r>
        <w:t>This section sets out in the form of summary tables the advanta</w:t>
      </w:r>
      <w:r>
        <w:t>ges and disadvantages of the different policy options, measured against the criteria of their effectiveness in achieving the related objectives (to be specified for each basket of options), and their efficiency in terms of achieving these options for a giv</w:t>
      </w:r>
      <w:r>
        <w:t xml:space="preserve">en level of resources or at least cost. Impacts on relevant stakeholders are also considered. </w:t>
      </w:r>
    </w:p>
    <w:p w:rsidR="00BB52D7" w:rsidRDefault="00E33AE6">
      <w:pPr>
        <w:ind w:left="846" w:right="843"/>
      </w:pPr>
      <w:r>
        <w:t>The options are measured against the above-mentioned pre-defined criteria in the tables below. Each scenario is rated between "---</w:t>
      </w:r>
      <w:r>
        <w:t xml:space="preserve">" (very negative), 0 (neutral) and "+++" (very positive). </w:t>
      </w:r>
    </w:p>
    <w:p w:rsidR="00BB52D7" w:rsidRDefault="00E33AE6">
      <w:pPr>
        <w:spacing w:after="10"/>
        <w:ind w:left="846" w:right="843"/>
      </w:pPr>
      <w:r>
        <w:t xml:space="preserve">Comparison of options (the preferred options are highlighted in bold and underlined in light grey) </w:t>
      </w:r>
    </w:p>
    <w:tbl>
      <w:tblPr>
        <w:tblStyle w:val="TableGrid"/>
        <w:tblW w:w="9284" w:type="dxa"/>
        <w:tblInd w:w="744" w:type="dxa"/>
        <w:tblCellMar>
          <w:top w:w="40" w:type="dxa"/>
          <w:left w:w="107" w:type="dxa"/>
          <w:bottom w:w="0" w:type="dxa"/>
          <w:right w:w="66" w:type="dxa"/>
        </w:tblCellMar>
        <w:tblLook w:val="04A0" w:firstRow="1" w:lastRow="0" w:firstColumn="1" w:lastColumn="0" w:noHBand="0" w:noVBand="1"/>
      </w:tblPr>
      <w:tblGrid>
        <w:gridCol w:w="1299"/>
        <w:gridCol w:w="2637"/>
        <w:gridCol w:w="2267"/>
        <w:gridCol w:w="3081"/>
      </w:tblGrid>
      <w:tr w:rsidR="00BB52D7">
        <w:trPr>
          <w:trHeight w:val="232"/>
        </w:trPr>
        <w:tc>
          <w:tcPr>
            <w:tcW w:w="129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rFonts w:ascii="Calibri" w:eastAsia="Calibri" w:hAnsi="Calibri" w:cs="Calibri"/>
                <w:sz w:val="18"/>
              </w:rPr>
              <w:t xml:space="preserve">Policy Option </w:t>
            </w:r>
          </w:p>
        </w:tc>
        <w:tc>
          <w:tcPr>
            <w:tcW w:w="263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rFonts w:ascii="Calibri" w:eastAsia="Calibri" w:hAnsi="Calibri" w:cs="Calibri"/>
                <w:sz w:val="18"/>
              </w:rPr>
              <w:t xml:space="preserve">Impact on stakeholders </w:t>
            </w:r>
          </w:p>
        </w:tc>
        <w:tc>
          <w:tcPr>
            <w:tcW w:w="226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rFonts w:ascii="Calibri" w:eastAsia="Calibri" w:hAnsi="Calibri" w:cs="Calibri"/>
                <w:sz w:val="18"/>
              </w:rPr>
              <w:t xml:space="preserve">Effectiveness </w:t>
            </w:r>
          </w:p>
        </w:tc>
        <w:tc>
          <w:tcPr>
            <w:tcW w:w="308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rFonts w:ascii="Calibri" w:eastAsia="Calibri" w:hAnsi="Calibri" w:cs="Calibri"/>
                <w:sz w:val="18"/>
              </w:rPr>
              <w:t xml:space="preserve">Efficiency </w:t>
            </w:r>
          </w:p>
        </w:tc>
      </w:tr>
      <w:tr w:rsidR="00BB52D7">
        <w:trPr>
          <w:trHeight w:val="228"/>
        </w:trPr>
        <w:tc>
          <w:tcPr>
            <w:tcW w:w="3936" w:type="dxa"/>
            <w:gridSpan w:val="2"/>
            <w:tcBorders>
              <w:top w:val="single" w:sz="4" w:space="0" w:color="000000"/>
              <w:left w:val="single" w:sz="4" w:space="0" w:color="000000"/>
              <w:bottom w:val="single" w:sz="4" w:space="0" w:color="000000"/>
              <w:right w:val="nil"/>
            </w:tcBorders>
            <w:shd w:val="clear" w:color="auto" w:fill="A6A6A6"/>
          </w:tcPr>
          <w:p w:rsidR="00BB52D7" w:rsidRDefault="00E33AE6">
            <w:pPr>
              <w:spacing w:after="0" w:line="259" w:lineRule="auto"/>
              <w:ind w:left="0" w:firstLine="0"/>
              <w:jc w:val="left"/>
            </w:pPr>
            <w:r>
              <w:rPr>
                <w:rFonts w:ascii="Calibri" w:eastAsia="Calibri" w:hAnsi="Calibri" w:cs="Calibri"/>
                <w:b/>
                <w:i/>
                <w:sz w:val="18"/>
              </w:rPr>
              <w:t>Part I: Options to address com</w:t>
            </w:r>
            <w:r>
              <w:rPr>
                <w:rFonts w:ascii="Calibri" w:eastAsia="Calibri" w:hAnsi="Calibri" w:cs="Calibri"/>
                <w:b/>
                <w:i/>
                <w:sz w:val="18"/>
              </w:rPr>
              <w:t xml:space="preserve">mon management  </w:t>
            </w:r>
          </w:p>
        </w:tc>
        <w:tc>
          <w:tcPr>
            <w:tcW w:w="2267" w:type="dxa"/>
            <w:tcBorders>
              <w:top w:val="single" w:sz="4" w:space="0" w:color="000000"/>
              <w:left w:val="nil"/>
              <w:bottom w:val="single" w:sz="4" w:space="0" w:color="000000"/>
              <w:right w:val="nil"/>
            </w:tcBorders>
            <w:shd w:val="clear" w:color="auto" w:fill="A6A6A6"/>
            <w:vAlign w:val="center"/>
          </w:tcPr>
          <w:p w:rsidR="00BB52D7" w:rsidRDefault="00BB52D7">
            <w:pPr>
              <w:spacing w:after="160" w:line="259" w:lineRule="auto"/>
              <w:ind w:left="0" w:firstLine="0"/>
              <w:jc w:val="left"/>
            </w:pPr>
          </w:p>
        </w:tc>
        <w:tc>
          <w:tcPr>
            <w:tcW w:w="3081" w:type="dxa"/>
            <w:tcBorders>
              <w:top w:val="single" w:sz="4" w:space="0" w:color="000000"/>
              <w:left w:val="nil"/>
              <w:bottom w:val="single" w:sz="4" w:space="0" w:color="000000"/>
              <w:right w:val="single" w:sz="4" w:space="0" w:color="000000"/>
            </w:tcBorders>
            <w:shd w:val="clear" w:color="auto" w:fill="A6A6A6"/>
            <w:vAlign w:val="bottom"/>
          </w:tcPr>
          <w:p w:rsidR="00BB52D7" w:rsidRDefault="00BB52D7">
            <w:pPr>
              <w:spacing w:after="160" w:line="259" w:lineRule="auto"/>
              <w:ind w:left="0" w:firstLine="0"/>
              <w:jc w:val="left"/>
            </w:pPr>
          </w:p>
        </w:tc>
      </w:tr>
      <w:tr w:rsidR="00BB52D7">
        <w:trPr>
          <w:trHeight w:val="1547"/>
        </w:trPr>
        <w:tc>
          <w:tcPr>
            <w:tcW w:w="1299"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rFonts w:ascii="Calibri" w:eastAsia="Calibri" w:hAnsi="Calibri" w:cs="Calibri"/>
                <w:b/>
                <w:sz w:val="18"/>
              </w:rPr>
              <w:t xml:space="preserve">1.2 </w:t>
            </w:r>
          </w:p>
          <w:p w:rsidR="00BB52D7" w:rsidRDefault="00E33AE6">
            <w:pPr>
              <w:spacing w:after="0" w:line="259" w:lineRule="auto"/>
              <w:ind w:left="0" w:firstLine="0"/>
              <w:jc w:val="left"/>
            </w:pPr>
            <w:r>
              <w:rPr>
                <w:rFonts w:ascii="Calibri" w:eastAsia="Calibri" w:hAnsi="Calibri" w:cs="Calibri"/>
                <w:b/>
                <w:sz w:val="18"/>
              </w:rPr>
              <w:t xml:space="preserve">Prohibition of double membership  </w:t>
            </w:r>
          </w:p>
        </w:tc>
        <w:tc>
          <w:tcPr>
            <w:tcW w:w="2637"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right="43" w:firstLine="0"/>
            </w:pPr>
            <w:r>
              <w:rPr>
                <w:rFonts w:ascii="Calibri" w:eastAsia="Calibri" w:hAnsi="Calibri" w:cs="Calibri"/>
                <w:sz w:val="18"/>
              </w:rPr>
              <w:t xml:space="preserve">(++) Provides the clearest safeguard to ensure independent behaviour of both boards. Easiest to enforce by competent national authorities.  </w:t>
            </w:r>
            <w:r>
              <w:rPr>
                <w:rFonts w:ascii="Calibri" w:eastAsia="Calibri" w:hAnsi="Calibri" w:cs="Calibri"/>
                <w:sz w:val="18"/>
              </w:rPr>
              <w:t xml:space="preserve">(++) has the advantage of addressing the core issue raised </w:t>
            </w: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40" w:lineRule="auto"/>
              <w:ind w:left="1" w:right="41" w:firstLine="0"/>
            </w:pPr>
            <w:r>
              <w:rPr>
                <w:rFonts w:ascii="Calibri" w:eastAsia="Calibri" w:hAnsi="Calibri" w:cs="Calibri"/>
                <w:sz w:val="18"/>
              </w:rPr>
              <w:t xml:space="preserve"> (++) Reinforces investor confidence by ensuring that the management or supervisory boards of all relevant entities </w:t>
            </w:r>
          </w:p>
          <w:p w:rsidR="00BB52D7" w:rsidRDefault="00E33AE6">
            <w:pPr>
              <w:spacing w:after="0" w:line="259" w:lineRule="auto"/>
              <w:ind w:left="1" w:firstLine="0"/>
              <w:jc w:val="left"/>
            </w:pPr>
            <w:r>
              <w:rPr>
                <w:rFonts w:ascii="Calibri" w:eastAsia="Calibri" w:hAnsi="Calibri" w:cs="Calibri"/>
                <w:sz w:val="18"/>
              </w:rPr>
              <w:t xml:space="preserve">(manager/depositary/custo dy delegated) act in full </w:t>
            </w:r>
          </w:p>
        </w:tc>
        <w:tc>
          <w:tcPr>
            <w:tcW w:w="308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 w:right="41" w:firstLine="0"/>
            </w:pPr>
            <w:r>
              <w:rPr>
                <w:rFonts w:ascii="Calibri" w:eastAsia="Calibri" w:hAnsi="Calibri" w:cs="Calibri"/>
                <w:sz w:val="18"/>
              </w:rPr>
              <w:t>(--) Additional cost of pa</w:t>
            </w:r>
            <w:r>
              <w:rPr>
                <w:rFonts w:ascii="Calibri" w:eastAsia="Calibri" w:hAnsi="Calibri" w:cs="Calibri"/>
                <w:sz w:val="18"/>
              </w:rPr>
              <w:t xml:space="preserve">ying the annual remuneration of additional board members as "double membership" is being phased out.   (+) Neutralisation of additional cost burden, as executive board directors are rarely compensated for their </w:t>
            </w:r>
          </w:p>
        </w:tc>
      </w:tr>
    </w:tbl>
    <w:p w:rsidR="00BB52D7" w:rsidRDefault="00BB52D7">
      <w:pPr>
        <w:spacing w:after="0" w:line="259" w:lineRule="auto"/>
        <w:ind w:left="-568" w:right="744" w:firstLine="0"/>
        <w:jc w:val="left"/>
      </w:pPr>
    </w:p>
    <w:tbl>
      <w:tblPr>
        <w:tblStyle w:val="TableGrid"/>
        <w:tblW w:w="9284" w:type="dxa"/>
        <w:tblInd w:w="744" w:type="dxa"/>
        <w:tblCellMar>
          <w:top w:w="40" w:type="dxa"/>
          <w:left w:w="107" w:type="dxa"/>
          <w:bottom w:w="0" w:type="dxa"/>
          <w:right w:w="66" w:type="dxa"/>
        </w:tblCellMar>
        <w:tblLook w:val="04A0" w:firstRow="1" w:lastRow="0" w:firstColumn="1" w:lastColumn="0" w:noHBand="0" w:noVBand="1"/>
      </w:tblPr>
      <w:tblGrid>
        <w:gridCol w:w="1298"/>
        <w:gridCol w:w="2070"/>
        <w:gridCol w:w="567"/>
        <w:gridCol w:w="1842"/>
        <w:gridCol w:w="425"/>
        <w:gridCol w:w="3082"/>
      </w:tblGrid>
      <w:tr w:rsidR="00BB52D7">
        <w:trPr>
          <w:trHeight w:val="3304"/>
        </w:trPr>
        <w:tc>
          <w:tcPr>
            <w:tcW w:w="129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2637" w:type="dxa"/>
            <w:gridSpan w:val="2"/>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firstLine="0"/>
              <w:jc w:val="left"/>
            </w:pPr>
            <w:r>
              <w:rPr>
                <w:rFonts w:ascii="Calibri" w:eastAsia="Calibri" w:hAnsi="Calibri" w:cs="Calibri"/>
                <w:sz w:val="18"/>
              </w:rPr>
              <w:t xml:space="preserve">in Madoff. </w:t>
            </w: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right="42" w:firstLine="0"/>
            </w:pPr>
            <w:r>
              <w:rPr>
                <w:rFonts w:ascii="Calibri" w:eastAsia="Calibri" w:hAnsi="Calibri" w:cs="Calibri"/>
                <w:sz w:val="18"/>
              </w:rPr>
              <w:t xml:space="preserve">autonomy of each other. By tackling obvious conflicts of interest this option is effective in restoring fund investors' confidence.  </w:t>
            </w:r>
          </w:p>
        </w:tc>
        <w:tc>
          <w:tcPr>
            <w:tcW w:w="308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40" w:lineRule="auto"/>
              <w:ind w:left="2" w:right="41" w:firstLine="0"/>
            </w:pPr>
            <w:r>
              <w:rPr>
                <w:rFonts w:ascii="Calibri" w:eastAsia="Calibri" w:hAnsi="Calibri" w:cs="Calibri"/>
                <w:sz w:val="18"/>
              </w:rPr>
              <w:t xml:space="preserve">position on a board (executive directors receive a global compensation package which includes compensation for board attendance)  (+) Neutralisation of cost burden as academics often sit on boards without remuneration.  </w:t>
            </w:r>
          </w:p>
          <w:p w:rsidR="00BB52D7" w:rsidRDefault="00E33AE6">
            <w:pPr>
              <w:spacing w:after="23" w:line="240" w:lineRule="auto"/>
              <w:ind w:left="2" w:right="41" w:firstLine="0"/>
            </w:pPr>
            <w:r>
              <w:rPr>
                <w:rFonts w:ascii="Calibri" w:eastAsia="Calibri" w:hAnsi="Calibri" w:cs="Calibri"/>
                <w:sz w:val="18"/>
              </w:rPr>
              <w:t>(+) Additional mitigation for "dual</w:t>
            </w:r>
            <w:r>
              <w:rPr>
                <w:rFonts w:ascii="Calibri" w:eastAsia="Calibri" w:hAnsi="Calibri" w:cs="Calibri"/>
                <w:sz w:val="18"/>
              </w:rPr>
              <w:t xml:space="preserve"> board" entities: these entities are not obliged to staff both boards with entirely separate directors. Significant mitigation results from the 1/3 'dual membership' privilege: the cost of a board member varies between € </w:t>
            </w:r>
          </w:p>
          <w:p w:rsidR="00BB52D7" w:rsidRDefault="00E33AE6">
            <w:pPr>
              <w:spacing w:after="0" w:line="259" w:lineRule="auto"/>
              <w:ind w:left="2" w:firstLine="0"/>
              <w:jc w:val="left"/>
            </w:pPr>
            <w:r>
              <w:rPr>
                <w:rFonts w:ascii="Calibri" w:eastAsia="Calibri" w:hAnsi="Calibri" w:cs="Calibri"/>
                <w:sz w:val="18"/>
              </w:rPr>
              <w:t>10.000 and 30.000.</w:t>
            </w:r>
            <w:r>
              <w:rPr>
                <w:rFonts w:ascii="Calibri" w:eastAsia="Calibri" w:hAnsi="Calibri" w:cs="Calibri"/>
                <w:sz w:val="18"/>
                <w:vertAlign w:val="superscript"/>
              </w:rPr>
              <w:footnoteReference w:id="47"/>
            </w:r>
            <w:r>
              <w:rPr>
                <w:rFonts w:ascii="Calibri" w:eastAsia="Calibri" w:hAnsi="Calibri" w:cs="Calibri"/>
                <w:sz w:val="18"/>
              </w:rPr>
              <w:t xml:space="preserve"> </w:t>
            </w:r>
          </w:p>
        </w:tc>
      </w:tr>
      <w:tr w:rsidR="00BB52D7">
        <w:trPr>
          <w:trHeight w:val="3966"/>
        </w:trPr>
        <w:tc>
          <w:tcPr>
            <w:tcW w:w="1299" w:type="dxa"/>
            <w:tcBorders>
              <w:top w:val="single" w:sz="4" w:space="0" w:color="000000"/>
              <w:left w:val="single" w:sz="4" w:space="0" w:color="000000"/>
              <w:bottom w:val="single" w:sz="4" w:space="0" w:color="000000"/>
              <w:right w:val="single" w:sz="4" w:space="0" w:color="000000"/>
            </w:tcBorders>
          </w:tcPr>
          <w:p w:rsidR="00BB52D7" w:rsidRDefault="00E33AE6">
            <w:pPr>
              <w:tabs>
                <w:tab w:val="right" w:pos="1126"/>
              </w:tabs>
              <w:spacing w:after="0" w:line="259" w:lineRule="auto"/>
              <w:ind w:left="0" w:firstLine="0"/>
              <w:jc w:val="left"/>
            </w:pPr>
            <w:r>
              <w:rPr>
                <w:rFonts w:ascii="Calibri" w:eastAsia="Calibri" w:hAnsi="Calibri" w:cs="Calibri"/>
                <w:sz w:val="18"/>
              </w:rPr>
              <w:t xml:space="preserve">1.3 </w:t>
            </w:r>
            <w:r>
              <w:rPr>
                <w:rFonts w:ascii="Calibri" w:eastAsia="Calibri" w:hAnsi="Calibri" w:cs="Calibri"/>
                <w:sz w:val="18"/>
              </w:rPr>
              <w:tab/>
              <w:t xml:space="preserve">Permit </w:t>
            </w:r>
          </w:p>
          <w:p w:rsidR="00BB52D7" w:rsidRDefault="00E33AE6">
            <w:pPr>
              <w:spacing w:after="0" w:line="240" w:lineRule="auto"/>
              <w:ind w:left="0" w:right="42" w:firstLine="0"/>
            </w:pPr>
            <w:r>
              <w:rPr>
                <w:rFonts w:ascii="Calibri" w:eastAsia="Calibri" w:hAnsi="Calibri" w:cs="Calibri"/>
                <w:sz w:val="18"/>
              </w:rPr>
              <w:t xml:space="preserve">"double membership" but limit the voting rights of members that are on both boards  </w:t>
            </w:r>
          </w:p>
          <w:p w:rsidR="00BB52D7" w:rsidRDefault="00E33AE6">
            <w:pPr>
              <w:spacing w:after="0" w:line="259" w:lineRule="auto"/>
              <w:ind w:left="0" w:firstLine="0"/>
              <w:jc w:val="left"/>
            </w:pPr>
            <w:r>
              <w:rPr>
                <w:rFonts w:ascii="Calibri" w:eastAsia="Calibri" w:hAnsi="Calibri" w:cs="Calibri"/>
                <w:sz w:val="18"/>
              </w:rPr>
              <w:t xml:space="preserve"> </w:t>
            </w:r>
          </w:p>
        </w:tc>
        <w:tc>
          <w:tcPr>
            <w:tcW w:w="2637"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right="43" w:firstLine="0"/>
            </w:pPr>
            <w:r>
              <w:rPr>
                <w:rFonts w:ascii="Calibri" w:eastAsia="Calibri" w:hAnsi="Calibri" w:cs="Calibri"/>
                <w:sz w:val="18"/>
              </w:rPr>
              <w:t>(+) Less costly implementation for the two entities (potential savings in terms of annual remuneration and 'executive search' cost in identifying board members to repla</w:t>
            </w:r>
            <w:r>
              <w:rPr>
                <w:rFonts w:ascii="Calibri" w:eastAsia="Calibri" w:hAnsi="Calibri" w:cs="Calibri"/>
                <w:sz w:val="18"/>
              </w:rPr>
              <w:t xml:space="preserve">ce double members) </w:t>
            </w:r>
          </w:p>
          <w:p w:rsidR="00BB52D7" w:rsidRDefault="00E33AE6">
            <w:pPr>
              <w:spacing w:after="0" w:line="259" w:lineRule="auto"/>
              <w:ind w:left="1" w:right="42" w:firstLine="0"/>
            </w:pPr>
            <w:r>
              <w:rPr>
                <w:rFonts w:ascii="Calibri" w:eastAsia="Calibri" w:hAnsi="Calibri" w:cs="Calibri"/>
                <w:sz w:val="18"/>
              </w:rPr>
              <w:t xml:space="preserve">(-) Loss of investor trust when all the members of the management boards of both entities are identical.  </w:t>
            </w:r>
          </w:p>
        </w:tc>
        <w:tc>
          <w:tcPr>
            <w:tcW w:w="2267"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right="40" w:firstLine="0"/>
            </w:pPr>
            <w:r>
              <w:rPr>
                <w:rFonts w:ascii="Calibri" w:eastAsia="Calibri" w:hAnsi="Calibri" w:cs="Calibri"/>
                <w:sz w:val="18"/>
              </w:rPr>
              <w:t xml:space="preserve">(-) Option is difficult to enforce as supervisors will have to make a case-bycase assessment of whether voting on a matter would </w:t>
            </w:r>
            <w:r>
              <w:rPr>
                <w:rFonts w:ascii="Calibri" w:eastAsia="Calibri" w:hAnsi="Calibri" w:cs="Calibri"/>
                <w:sz w:val="18"/>
              </w:rPr>
              <w:t xml:space="preserve">be tainted by a conflict of interest.  </w:t>
            </w:r>
          </w:p>
          <w:p w:rsidR="00BB52D7" w:rsidRDefault="00E33AE6">
            <w:pPr>
              <w:spacing w:after="0" w:line="240" w:lineRule="auto"/>
              <w:ind w:left="1" w:right="41" w:firstLine="0"/>
            </w:pPr>
            <w:r>
              <w:rPr>
                <w:rFonts w:ascii="Calibri" w:eastAsia="Calibri" w:hAnsi="Calibri" w:cs="Calibri"/>
                <w:sz w:val="18"/>
              </w:rPr>
              <w:t>(-</w:t>
            </w:r>
            <w:r>
              <w:rPr>
                <w:rFonts w:ascii="Calibri" w:eastAsia="Calibri" w:hAnsi="Calibri" w:cs="Calibri"/>
                <w:sz w:val="18"/>
              </w:rPr>
              <w:t xml:space="preserve">) the option ensures only a moderate level of investor protection and confidence as limits on voting rights in cases of conflict of interest are already part of corporate governance requirements applicable to all board members.  </w:t>
            </w:r>
          </w:p>
          <w:p w:rsidR="00BB52D7" w:rsidRDefault="00E33AE6">
            <w:pPr>
              <w:spacing w:after="0" w:line="259" w:lineRule="auto"/>
              <w:ind w:left="1" w:firstLine="0"/>
              <w:jc w:val="left"/>
            </w:pPr>
            <w:r>
              <w:rPr>
                <w:rFonts w:ascii="Calibri" w:eastAsia="Calibri" w:hAnsi="Calibri" w:cs="Calibri"/>
                <w:sz w:val="18"/>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2" w:right="41" w:firstLine="0"/>
            </w:pPr>
            <w:r>
              <w:rPr>
                <w:rFonts w:ascii="Calibri" w:eastAsia="Calibri" w:hAnsi="Calibri" w:cs="Calibri"/>
                <w:sz w:val="18"/>
              </w:rPr>
              <w:t>(-</w:t>
            </w:r>
            <w:r>
              <w:rPr>
                <w:rFonts w:ascii="Calibri" w:eastAsia="Calibri" w:hAnsi="Calibri" w:cs="Calibri"/>
                <w:sz w:val="18"/>
              </w:rPr>
              <w:t xml:space="preserve">) Influence of "double members" is not only present in voting. Other channels of influence remain unaddressed.  </w:t>
            </w:r>
          </w:p>
          <w:p w:rsidR="00BB52D7" w:rsidRDefault="00E33AE6">
            <w:pPr>
              <w:spacing w:after="0" w:line="259" w:lineRule="auto"/>
              <w:ind w:left="2" w:right="41" w:firstLine="0"/>
            </w:pPr>
            <w:r>
              <w:rPr>
                <w:rFonts w:ascii="Calibri" w:eastAsia="Calibri" w:hAnsi="Calibri" w:cs="Calibri"/>
                <w:sz w:val="18"/>
              </w:rPr>
              <w:t>(-) Difficult for competent authorities to enforce as the identification of a conflict of interest (with a subsequent enforcement of a limitati</w:t>
            </w:r>
            <w:r>
              <w:rPr>
                <w:rFonts w:ascii="Calibri" w:eastAsia="Calibri" w:hAnsi="Calibri" w:cs="Calibri"/>
                <w:sz w:val="18"/>
              </w:rPr>
              <w:t xml:space="preserve">on in voting rights) requires a 'case-by-case analysis of the subject matter to be decided by the board.   </w:t>
            </w:r>
          </w:p>
        </w:tc>
      </w:tr>
      <w:tr w:rsidR="00BB52D7">
        <w:trPr>
          <w:trHeight w:val="3527"/>
        </w:trPr>
        <w:tc>
          <w:tcPr>
            <w:tcW w:w="1299" w:type="dxa"/>
            <w:tcBorders>
              <w:top w:val="single" w:sz="4" w:space="0" w:color="000000"/>
              <w:left w:val="single" w:sz="4" w:space="0" w:color="000000"/>
              <w:bottom w:val="single" w:sz="4" w:space="0" w:color="000000"/>
              <w:right w:val="single" w:sz="4" w:space="0" w:color="000000"/>
            </w:tcBorders>
          </w:tcPr>
          <w:p w:rsidR="00BB52D7" w:rsidRDefault="00E33AE6">
            <w:pPr>
              <w:tabs>
                <w:tab w:val="right" w:pos="1126"/>
              </w:tabs>
              <w:spacing w:after="0" w:line="259" w:lineRule="auto"/>
              <w:ind w:left="0" w:firstLine="0"/>
              <w:jc w:val="left"/>
            </w:pPr>
            <w:r>
              <w:rPr>
                <w:rFonts w:ascii="Calibri" w:eastAsia="Calibri" w:hAnsi="Calibri" w:cs="Calibri"/>
                <w:sz w:val="18"/>
              </w:rPr>
              <w:t xml:space="preserve">Option </w:t>
            </w:r>
            <w:r>
              <w:rPr>
                <w:rFonts w:ascii="Calibri" w:eastAsia="Calibri" w:hAnsi="Calibri" w:cs="Calibri"/>
                <w:sz w:val="18"/>
              </w:rPr>
              <w:tab/>
              <w:t xml:space="preserve">1.4 </w:t>
            </w:r>
          </w:p>
          <w:p w:rsidR="00BB52D7" w:rsidRDefault="00E33AE6">
            <w:pPr>
              <w:spacing w:after="0" w:line="259" w:lineRule="auto"/>
              <w:ind w:left="0" w:firstLine="0"/>
              <w:jc w:val="left"/>
            </w:pPr>
            <w:r>
              <w:rPr>
                <w:rFonts w:ascii="Calibri" w:eastAsia="Calibri" w:hAnsi="Calibri" w:cs="Calibri"/>
                <w:sz w:val="18"/>
              </w:rPr>
              <w:t xml:space="preserve">Permit </w:t>
            </w:r>
          </w:p>
          <w:p w:rsidR="00BB52D7" w:rsidRDefault="00E33AE6">
            <w:pPr>
              <w:spacing w:after="0" w:line="243" w:lineRule="auto"/>
              <w:ind w:left="0" w:firstLine="0"/>
              <w:jc w:val="left"/>
            </w:pPr>
            <w:r>
              <w:rPr>
                <w:rFonts w:ascii="Calibri" w:eastAsia="Calibri" w:hAnsi="Calibri" w:cs="Calibri"/>
                <w:sz w:val="18"/>
              </w:rPr>
              <w:t xml:space="preserve">"double membership" but </w:t>
            </w:r>
            <w:r>
              <w:rPr>
                <w:rFonts w:ascii="Calibri" w:eastAsia="Calibri" w:hAnsi="Calibri" w:cs="Calibri"/>
                <w:sz w:val="18"/>
              </w:rPr>
              <w:tab/>
              <w:t xml:space="preserve">prohibit "double members" </w:t>
            </w:r>
          </w:p>
          <w:p w:rsidR="00BB52D7" w:rsidRDefault="00E33AE6">
            <w:pPr>
              <w:spacing w:after="0" w:line="240" w:lineRule="auto"/>
              <w:ind w:left="0" w:firstLine="0"/>
            </w:pPr>
            <w:r>
              <w:rPr>
                <w:rFonts w:ascii="Calibri" w:eastAsia="Calibri" w:hAnsi="Calibri" w:cs="Calibri"/>
                <w:sz w:val="18"/>
              </w:rPr>
              <w:t xml:space="preserve">from having a direct or </w:t>
            </w:r>
          </w:p>
          <w:p w:rsidR="00BB52D7" w:rsidRDefault="00E33AE6">
            <w:pPr>
              <w:spacing w:after="0" w:line="259" w:lineRule="auto"/>
              <w:ind w:left="0" w:firstLine="0"/>
              <w:jc w:val="left"/>
            </w:pPr>
            <w:r>
              <w:rPr>
                <w:rFonts w:ascii="Calibri" w:eastAsia="Calibri" w:hAnsi="Calibri" w:cs="Calibri"/>
                <w:sz w:val="18"/>
              </w:rPr>
              <w:t xml:space="preserve">indirect </w:t>
            </w:r>
          </w:p>
          <w:p w:rsidR="00BB52D7" w:rsidRDefault="00E33AE6">
            <w:pPr>
              <w:spacing w:after="0" w:line="259" w:lineRule="auto"/>
              <w:ind w:left="0" w:firstLine="0"/>
              <w:jc w:val="left"/>
            </w:pPr>
            <w:r>
              <w:rPr>
                <w:rFonts w:ascii="Calibri" w:eastAsia="Calibri" w:hAnsi="Calibri" w:cs="Calibri"/>
                <w:sz w:val="18"/>
              </w:rPr>
              <w:t xml:space="preserve">shareholding </w:t>
            </w:r>
          </w:p>
          <w:p w:rsidR="00BB52D7" w:rsidRDefault="00E33AE6">
            <w:pPr>
              <w:tabs>
                <w:tab w:val="right" w:pos="1126"/>
              </w:tabs>
              <w:spacing w:after="0" w:line="259" w:lineRule="auto"/>
              <w:ind w:left="0" w:firstLine="0"/>
              <w:jc w:val="left"/>
            </w:pPr>
            <w:r>
              <w:rPr>
                <w:rFonts w:ascii="Calibri" w:eastAsia="Calibri" w:hAnsi="Calibri" w:cs="Calibri"/>
                <w:sz w:val="18"/>
              </w:rPr>
              <w:t xml:space="preserve">in </w:t>
            </w:r>
            <w:r>
              <w:rPr>
                <w:rFonts w:ascii="Calibri" w:eastAsia="Calibri" w:hAnsi="Calibri" w:cs="Calibri"/>
                <w:sz w:val="18"/>
              </w:rPr>
              <w:tab/>
              <w:t xml:space="preserve">both </w:t>
            </w:r>
          </w:p>
          <w:p w:rsidR="00BB52D7" w:rsidRDefault="00E33AE6">
            <w:pPr>
              <w:spacing w:after="0" w:line="259" w:lineRule="auto"/>
              <w:ind w:left="0" w:firstLine="0"/>
              <w:jc w:val="left"/>
            </w:pPr>
            <w:r>
              <w:rPr>
                <w:rFonts w:ascii="Calibri" w:eastAsia="Calibri" w:hAnsi="Calibri" w:cs="Calibri"/>
                <w:sz w:val="18"/>
              </w:rPr>
              <w:t xml:space="preserve">entities </w:t>
            </w:r>
            <w:r>
              <w:rPr>
                <w:rFonts w:ascii="Calibri" w:eastAsia="Calibri" w:hAnsi="Calibri" w:cs="Calibri"/>
                <w:i/>
                <w:sz w:val="18"/>
              </w:rPr>
              <w:t xml:space="preserve"> </w:t>
            </w:r>
          </w:p>
        </w:tc>
        <w:tc>
          <w:tcPr>
            <w:tcW w:w="2637"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right="43" w:firstLine="0"/>
            </w:pPr>
            <w:r>
              <w:rPr>
                <w:rFonts w:ascii="Calibri" w:eastAsia="Calibri" w:hAnsi="Calibri" w:cs="Calibri"/>
                <w:sz w:val="18"/>
              </w:rPr>
              <w:t xml:space="preserve">(+) Less costly implementation for the two entities (potential savings in terms of annual remuneration and 'executive search' cost in identifying board members to replace double members)  </w:t>
            </w:r>
          </w:p>
          <w:p w:rsidR="00BB52D7" w:rsidRDefault="00E33AE6">
            <w:pPr>
              <w:spacing w:after="0" w:line="259" w:lineRule="auto"/>
              <w:ind w:left="1" w:right="43" w:firstLine="0"/>
            </w:pPr>
            <w:r>
              <w:rPr>
                <w:rFonts w:ascii="Calibri" w:eastAsia="Calibri" w:hAnsi="Calibri" w:cs="Calibri"/>
                <w:sz w:val="18"/>
              </w:rPr>
              <w:t xml:space="preserve">(-) Loss of (institutional) investor trust when </w:t>
            </w:r>
            <w:r>
              <w:rPr>
                <w:rFonts w:ascii="Calibri" w:eastAsia="Calibri" w:hAnsi="Calibri" w:cs="Calibri"/>
                <w:sz w:val="18"/>
                <w:u w:val="single" w:color="000000"/>
              </w:rPr>
              <w:t>all</w:t>
            </w:r>
            <w:r>
              <w:rPr>
                <w:rFonts w:ascii="Calibri" w:eastAsia="Calibri" w:hAnsi="Calibri" w:cs="Calibri"/>
                <w:sz w:val="18"/>
              </w:rPr>
              <w:t xml:space="preserve"> the members of </w:t>
            </w:r>
            <w:r>
              <w:rPr>
                <w:rFonts w:ascii="Calibri" w:eastAsia="Calibri" w:hAnsi="Calibri" w:cs="Calibri"/>
                <w:sz w:val="18"/>
              </w:rPr>
              <w:t xml:space="preserve">the management boards of both entities are identical. </w:t>
            </w:r>
          </w:p>
        </w:tc>
        <w:tc>
          <w:tcPr>
            <w:tcW w:w="2267"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0" w:firstLine="0"/>
            </w:pPr>
            <w:r>
              <w:rPr>
                <w:rFonts w:ascii="Calibri" w:eastAsia="Calibri" w:hAnsi="Calibri" w:cs="Calibri"/>
                <w:sz w:val="18"/>
              </w:rPr>
              <w:t xml:space="preserve">(-) Option does not solve the problem of conflict of interest when the member of the management body sits in both boards (double membership) without having shareholdings. </w:t>
            </w:r>
          </w:p>
        </w:tc>
        <w:tc>
          <w:tcPr>
            <w:tcW w:w="308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2" w:right="41" w:firstLine="0"/>
            </w:pPr>
            <w:r>
              <w:rPr>
                <w:rFonts w:ascii="Calibri" w:eastAsia="Calibri" w:hAnsi="Calibri" w:cs="Calibri"/>
                <w:sz w:val="18"/>
              </w:rPr>
              <w:t>(-</w:t>
            </w:r>
            <w:r>
              <w:rPr>
                <w:rFonts w:ascii="Calibri" w:eastAsia="Calibri" w:hAnsi="Calibri" w:cs="Calibri"/>
                <w:sz w:val="18"/>
              </w:rPr>
              <w:t>) The influence of those members that are members of both boards can be important whether they have a shareholding in the other entity or not (-) Conflict of interest of "double members" is not confined to cases of those members having shareholdings in one</w:t>
            </w:r>
            <w:r>
              <w:rPr>
                <w:rFonts w:ascii="Calibri" w:eastAsia="Calibri" w:hAnsi="Calibri" w:cs="Calibri"/>
                <w:sz w:val="18"/>
              </w:rPr>
              <w:t xml:space="preserve"> or both entities.  Mere "double membership" an also give rise to conflicts.  </w:t>
            </w:r>
          </w:p>
          <w:p w:rsidR="00BB52D7" w:rsidRDefault="00E33AE6">
            <w:pPr>
              <w:spacing w:after="0" w:line="259" w:lineRule="auto"/>
              <w:ind w:left="2" w:right="40" w:firstLine="0"/>
            </w:pPr>
            <w:r>
              <w:rPr>
                <w:rFonts w:ascii="Calibri" w:eastAsia="Calibri" w:hAnsi="Calibri" w:cs="Calibri"/>
                <w:sz w:val="18"/>
              </w:rPr>
              <w:t>(-) Difficult for competent authorities to enforce as the identification of a conflict of interest requires a 'case-bycase analysis involving verification of the share portfolio</w:t>
            </w:r>
            <w:r>
              <w:rPr>
                <w:rFonts w:ascii="Calibri" w:eastAsia="Calibri" w:hAnsi="Calibri" w:cs="Calibri"/>
                <w:sz w:val="18"/>
              </w:rPr>
              <w:t xml:space="preserve"> that is held by individual board members </w:t>
            </w:r>
            <w:r>
              <w:rPr>
                <w:rFonts w:ascii="Calibri" w:eastAsia="Calibri" w:hAnsi="Calibri" w:cs="Calibri"/>
                <w:i/>
                <w:sz w:val="18"/>
              </w:rPr>
              <w:t xml:space="preserve"> </w:t>
            </w:r>
          </w:p>
        </w:tc>
      </w:tr>
      <w:tr w:rsidR="00BB52D7">
        <w:trPr>
          <w:trHeight w:val="448"/>
        </w:trPr>
        <w:tc>
          <w:tcPr>
            <w:tcW w:w="9284" w:type="dxa"/>
            <w:gridSpan w:val="6"/>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firstLine="0"/>
            </w:pPr>
            <w:r>
              <w:rPr>
                <w:rFonts w:ascii="Calibri" w:eastAsia="Calibri" w:hAnsi="Calibri" w:cs="Calibri"/>
                <w:b/>
                <w:i/>
                <w:sz w:val="18"/>
              </w:rPr>
              <w:t>Part II: Options to address conflicts that arise when managers and depositaries have corporate links or belong to the same group</w:t>
            </w:r>
            <w:r>
              <w:rPr>
                <w:rFonts w:ascii="Calibri" w:eastAsia="Calibri" w:hAnsi="Calibri" w:cs="Calibri"/>
                <w:b/>
                <w:sz w:val="18"/>
              </w:rPr>
              <w:t xml:space="preserve"> </w:t>
            </w:r>
          </w:p>
        </w:tc>
      </w:tr>
      <w:tr w:rsidR="00BB52D7">
        <w:trPr>
          <w:trHeight w:val="1550"/>
        </w:trPr>
        <w:tc>
          <w:tcPr>
            <w:tcW w:w="1299" w:type="dxa"/>
            <w:tcBorders>
              <w:top w:val="single" w:sz="4" w:space="0" w:color="000000"/>
              <w:left w:val="single" w:sz="4" w:space="0" w:color="000000"/>
              <w:bottom w:val="single" w:sz="4" w:space="0" w:color="000000"/>
              <w:right w:val="single" w:sz="4" w:space="0" w:color="000000"/>
            </w:tcBorders>
          </w:tcPr>
          <w:p w:rsidR="00BB52D7" w:rsidRDefault="00E33AE6">
            <w:pPr>
              <w:tabs>
                <w:tab w:val="right" w:pos="1126"/>
              </w:tabs>
              <w:spacing w:after="0" w:line="259" w:lineRule="auto"/>
              <w:ind w:left="0" w:firstLine="0"/>
              <w:jc w:val="left"/>
            </w:pPr>
            <w:r>
              <w:rPr>
                <w:rFonts w:ascii="Calibri" w:eastAsia="Calibri" w:hAnsi="Calibri" w:cs="Calibri"/>
                <w:sz w:val="18"/>
              </w:rPr>
              <w:t xml:space="preserve">Option </w:t>
            </w:r>
            <w:r>
              <w:rPr>
                <w:rFonts w:ascii="Calibri" w:eastAsia="Calibri" w:hAnsi="Calibri" w:cs="Calibri"/>
                <w:sz w:val="18"/>
              </w:rPr>
              <w:tab/>
              <w:t xml:space="preserve">2.2 </w:t>
            </w:r>
          </w:p>
          <w:p w:rsidR="00BB52D7" w:rsidRDefault="00E33AE6">
            <w:pPr>
              <w:spacing w:after="0" w:line="244" w:lineRule="auto"/>
              <w:ind w:left="0" w:firstLine="0"/>
              <w:jc w:val="left"/>
            </w:pPr>
            <w:r>
              <w:rPr>
                <w:rFonts w:ascii="Calibri" w:eastAsia="Calibri" w:hAnsi="Calibri" w:cs="Calibri"/>
                <w:sz w:val="18"/>
              </w:rPr>
              <w:t xml:space="preserve">Structural separation between </w:t>
            </w:r>
            <w:r>
              <w:rPr>
                <w:rFonts w:ascii="Calibri" w:eastAsia="Calibri" w:hAnsi="Calibri" w:cs="Calibri"/>
                <w:sz w:val="18"/>
              </w:rPr>
              <w:tab/>
              <w:t xml:space="preserve">the management </w:t>
            </w:r>
          </w:p>
          <w:p w:rsidR="00BB52D7" w:rsidRDefault="00E33AE6">
            <w:pPr>
              <w:spacing w:after="0" w:line="259" w:lineRule="auto"/>
              <w:ind w:left="0" w:firstLine="0"/>
              <w:jc w:val="left"/>
            </w:pPr>
            <w:r>
              <w:rPr>
                <w:rFonts w:ascii="Calibri" w:eastAsia="Calibri" w:hAnsi="Calibri" w:cs="Calibri"/>
                <w:sz w:val="18"/>
              </w:rPr>
              <w:t xml:space="preserve">company and </w:t>
            </w:r>
          </w:p>
          <w:p w:rsidR="00BB52D7" w:rsidRDefault="00E33AE6">
            <w:pPr>
              <w:spacing w:after="0" w:line="259" w:lineRule="auto"/>
              <w:ind w:left="0" w:firstLine="0"/>
              <w:jc w:val="left"/>
            </w:pPr>
            <w:r>
              <w:rPr>
                <w:rFonts w:ascii="Calibri" w:eastAsia="Calibri" w:hAnsi="Calibri" w:cs="Calibri"/>
                <w:sz w:val="18"/>
              </w:rPr>
              <w:t xml:space="preserve">the </w:t>
            </w:r>
          </w:p>
        </w:tc>
        <w:tc>
          <w:tcPr>
            <w:tcW w:w="207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1" w:firstLine="0"/>
            </w:pPr>
            <w:r>
              <w:rPr>
                <w:rFonts w:ascii="Calibri" w:eastAsia="Calibri" w:hAnsi="Calibri" w:cs="Calibri"/>
                <w:b/>
                <w:sz w:val="18"/>
              </w:rPr>
              <w:t xml:space="preserve">(--) </w:t>
            </w:r>
            <w:r>
              <w:rPr>
                <w:rFonts w:ascii="Calibri" w:eastAsia="Calibri" w:hAnsi="Calibri" w:cs="Calibri"/>
                <w:sz w:val="18"/>
              </w:rPr>
              <w:t xml:space="preserve">large scale restructuring of custodial assets in most Members States (at least € 2.5 trillion or 32% of EU </w:t>
            </w:r>
            <w:r>
              <w:rPr>
                <w:rFonts w:ascii="Calibri" w:eastAsia="Calibri" w:hAnsi="Calibri" w:cs="Calibri"/>
                <w:sz w:val="18"/>
              </w:rPr>
              <w:lastRenderedPageBreak/>
              <w:t>domiciled UCITS assets may be affected</w:t>
            </w:r>
            <w:r>
              <w:rPr>
                <w:rFonts w:ascii="Calibri" w:eastAsia="Calibri" w:hAnsi="Calibri" w:cs="Calibri"/>
                <w:sz w:val="18"/>
                <w:vertAlign w:val="superscript"/>
              </w:rPr>
              <w:footnoteReference w:id="48"/>
            </w:r>
            <w:r>
              <w:rPr>
                <w:rFonts w:ascii="Calibri" w:eastAsia="Calibri" w:hAnsi="Calibri" w:cs="Calibri"/>
                <w:sz w:val="18"/>
              </w:rPr>
              <w:t xml:space="preserve">) </w:t>
            </w:r>
          </w:p>
        </w:tc>
        <w:tc>
          <w:tcPr>
            <w:tcW w:w="2409"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0" w:right="43" w:firstLine="0"/>
            </w:pPr>
            <w:r>
              <w:rPr>
                <w:rFonts w:ascii="Calibri" w:eastAsia="Calibri" w:hAnsi="Calibri" w:cs="Calibri"/>
                <w:sz w:val="18"/>
              </w:rPr>
              <w:lastRenderedPageBreak/>
              <w:t xml:space="preserve">(++) Limits the influence that one entity can take on decisions taken by the other (e.g., on selecting a </w:t>
            </w:r>
          </w:p>
          <w:p w:rsidR="00BB52D7" w:rsidRDefault="00E33AE6">
            <w:pPr>
              <w:spacing w:after="0" w:line="259" w:lineRule="auto"/>
              <w:ind w:left="0" w:firstLine="0"/>
              <w:jc w:val="left"/>
            </w:pPr>
            <w:r>
              <w:rPr>
                <w:rFonts w:ascii="Calibri" w:eastAsia="Calibri" w:hAnsi="Calibri" w:cs="Calibri"/>
                <w:sz w:val="18"/>
              </w:rPr>
              <w:t xml:space="preserve">depositary) </w:t>
            </w:r>
          </w:p>
          <w:p w:rsidR="00BB52D7" w:rsidRDefault="00E33AE6">
            <w:pPr>
              <w:spacing w:after="0" w:line="259" w:lineRule="auto"/>
              <w:ind w:left="0" w:firstLine="0"/>
            </w:pPr>
            <w:r>
              <w:rPr>
                <w:rFonts w:ascii="Calibri" w:eastAsia="Calibri" w:hAnsi="Calibri" w:cs="Calibri"/>
                <w:sz w:val="18"/>
              </w:rPr>
              <w:t xml:space="preserve">(--) fails to capture "channels of influence" that do not rely </w:t>
            </w:r>
          </w:p>
        </w:tc>
        <w:tc>
          <w:tcPr>
            <w:tcW w:w="3507"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right="42" w:firstLine="0"/>
            </w:pPr>
            <w:r>
              <w:rPr>
                <w:rFonts w:ascii="Calibri" w:eastAsia="Calibri" w:hAnsi="Calibri" w:cs="Calibri"/>
                <w:sz w:val="18"/>
              </w:rPr>
              <w:t xml:space="preserve">(--) Significant cost to achieve a 'partial' result as other channels of </w:t>
            </w:r>
            <w:r>
              <w:rPr>
                <w:rFonts w:ascii="Calibri" w:eastAsia="Calibri" w:hAnsi="Calibri" w:cs="Calibri"/>
                <w:sz w:val="18"/>
              </w:rPr>
              <w:t xml:space="preserve">influence remain unaddressed.  </w:t>
            </w:r>
          </w:p>
          <w:p w:rsidR="00BB52D7" w:rsidRDefault="00E33AE6">
            <w:pPr>
              <w:spacing w:after="0" w:line="259" w:lineRule="auto"/>
              <w:ind w:left="1" w:right="40" w:firstLine="0"/>
            </w:pPr>
            <w:r>
              <w:rPr>
                <w:rFonts w:ascii="Calibri" w:eastAsia="Calibri" w:hAnsi="Calibri" w:cs="Calibri"/>
                <w:sz w:val="18"/>
              </w:rPr>
              <w:t xml:space="preserve">(--) Partial approach to safeguarding "independent behaviour" risks in increasing already significant levels of market concentration in the area of </w:t>
            </w:r>
          </w:p>
        </w:tc>
      </w:tr>
    </w:tbl>
    <w:p w:rsidR="00BB52D7" w:rsidRDefault="00BB52D7">
      <w:pPr>
        <w:spacing w:after="0" w:line="259" w:lineRule="auto"/>
        <w:ind w:left="-568" w:right="744" w:firstLine="0"/>
        <w:jc w:val="left"/>
      </w:pPr>
    </w:p>
    <w:tbl>
      <w:tblPr>
        <w:tblStyle w:val="TableGrid"/>
        <w:tblW w:w="9284" w:type="dxa"/>
        <w:tblInd w:w="744" w:type="dxa"/>
        <w:tblCellMar>
          <w:top w:w="40" w:type="dxa"/>
          <w:left w:w="0" w:type="dxa"/>
          <w:bottom w:w="0" w:type="dxa"/>
          <w:right w:w="0" w:type="dxa"/>
        </w:tblCellMar>
        <w:tblLook w:val="04A0" w:firstRow="1" w:lastRow="0" w:firstColumn="1" w:lastColumn="0" w:noHBand="0" w:noVBand="1"/>
      </w:tblPr>
      <w:tblGrid>
        <w:gridCol w:w="1291"/>
        <w:gridCol w:w="733"/>
        <w:gridCol w:w="777"/>
        <w:gridCol w:w="722"/>
        <w:gridCol w:w="233"/>
        <w:gridCol w:w="2062"/>
        <w:gridCol w:w="3466"/>
      </w:tblGrid>
      <w:tr w:rsidR="00BB52D7">
        <w:trPr>
          <w:trHeight w:val="7702"/>
        </w:trPr>
        <w:tc>
          <w:tcPr>
            <w:tcW w:w="129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7" w:firstLine="0"/>
              <w:jc w:val="left"/>
            </w:pPr>
            <w:r>
              <w:rPr>
                <w:rFonts w:ascii="Calibri" w:eastAsia="Calibri" w:hAnsi="Calibri" w:cs="Calibri"/>
                <w:sz w:val="18"/>
              </w:rPr>
              <w:t>depositary/thi</w:t>
            </w:r>
          </w:p>
          <w:p w:rsidR="00BB52D7" w:rsidRDefault="00E33AE6">
            <w:pPr>
              <w:tabs>
                <w:tab w:val="right" w:pos="1299"/>
              </w:tabs>
              <w:spacing w:after="0" w:line="259" w:lineRule="auto"/>
              <w:ind w:left="0" w:firstLine="0"/>
              <w:jc w:val="left"/>
            </w:pPr>
            <w:r>
              <w:rPr>
                <w:rFonts w:ascii="Calibri" w:eastAsia="Calibri" w:hAnsi="Calibri" w:cs="Calibri"/>
                <w:sz w:val="18"/>
              </w:rPr>
              <w:t xml:space="preserve">rd </w:t>
            </w:r>
            <w:r>
              <w:rPr>
                <w:rFonts w:ascii="Calibri" w:eastAsia="Calibri" w:hAnsi="Calibri" w:cs="Calibri"/>
                <w:sz w:val="18"/>
              </w:rPr>
              <w:tab/>
              <w:t xml:space="preserve">party </w:t>
            </w:r>
          </w:p>
          <w:p w:rsidR="00BB52D7" w:rsidRDefault="00E33AE6">
            <w:pPr>
              <w:spacing w:after="0" w:line="259" w:lineRule="auto"/>
              <w:ind w:left="107" w:firstLine="0"/>
              <w:jc w:val="left"/>
            </w:pPr>
            <w:r>
              <w:rPr>
                <w:rFonts w:ascii="Calibri" w:eastAsia="Calibri" w:hAnsi="Calibri" w:cs="Calibri"/>
                <w:sz w:val="18"/>
              </w:rPr>
              <w:t xml:space="preserve">custody delegates </w:t>
            </w:r>
          </w:p>
        </w:tc>
        <w:tc>
          <w:tcPr>
            <w:tcW w:w="464" w:type="dxa"/>
            <w:tcBorders>
              <w:top w:val="single" w:sz="4" w:space="0" w:color="000000"/>
              <w:left w:val="single" w:sz="4" w:space="0" w:color="000000"/>
              <w:bottom w:val="single" w:sz="4" w:space="0" w:color="000000"/>
              <w:right w:val="nil"/>
            </w:tcBorders>
          </w:tcPr>
          <w:p w:rsidR="00BB52D7" w:rsidRDefault="00E33AE6">
            <w:pPr>
              <w:spacing w:after="862" w:line="259" w:lineRule="auto"/>
              <w:ind w:left="108" w:right="-263" w:firstLine="0"/>
              <w:jc w:val="left"/>
            </w:pPr>
            <w:r>
              <w:rPr>
                <w:rFonts w:ascii="Calibri" w:eastAsia="Calibri" w:hAnsi="Calibri" w:cs="Calibri"/>
                <w:sz w:val="18"/>
              </w:rPr>
              <w:t xml:space="preserve">without, </w:t>
            </w:r>
          </w:p>
          <w:p w:rsidR="00BB52D7" w:rsidRDefault="00E33AE6">
            <w:pPr>
              <w:spacing w:after="0" w:line="259" w:lineRule="auto"/>
              <w:ind w:left="108" w:right="-239" w:firstLine="0"/>
              <w:jc w:val="left"/>
            </w:pPr>
            <w:r>
              <w:rPr>
                <w:rFonts w:ascii="Calibri" w:eastAsia="Calibri" w:hAnsi="Calibri" w:cs="Calibri"/>
                <w:sz w:val="18"/>
              </w:rPr>
              <w:t xml:space="preserve">markets </w:t>
            </w:r>
          </w:p>
          <w:p w:rsidR="00BB52D7" w:rsidRDefault="00E33AE6">
            <w:pPr>
              <w:spacing w:after="641" w:line="259" w:lineRule="auto"/>
              <w:ind w:left="108" w:firstLine="0"/>
              <w:jc w:val="left"/>
            </w:pPr>
            <w:r>
              <w:rPr>
                <w:rFonts w:ascii="Calibri" w:eastAsia="Calibri" w:hAnsi="Calibri" w:cs="Calibri"/>
                <w:sz w:val="18"/>
              </w:rPr>
              <w:t xml:space="preserve">(--) </w:t>
            </w:r>
          </w:p>
          <w:p w:rsidR="00BB52D7" w:rsidRDefault="00E33AE6">
            <w:pPr>
              <w:spacing w:after="0" w:line="259" w:lineRule="auto"/>
              <w:ind w:left="108" w:firstLine="0"/>
              <w:jc w:val="left"/>
            </w:pPr>
            <w:r>
              <w:rPr>
                <w:rFonts w:ascii="Calibri" w:eastAsia="Calibri" w:hAnsi="Calibri" w:cs="Calibri"/>
                <w:sz w:val="18"/>
              </w:rPr>
              <w:t xml:space="preserve"> (--)</w:t>
            </w:r>
          </w:p>
          <w:p w:rsidR="00BB52D7" w:rsidRDefault="00E33AE6">
            <w:pPr>
              <w:spacing w:after="642" w:line="259" w:lineRule="auto"/>
              <w:ind w:left="108" w:firstLine="0"/>
              <w:jc w:val="left"/>
            </w:pPr>
            <w:r>
              <w:rPr>
                <w:rFonts w:ascii="Calibri" w:eastAsia="Calibri" w:hAnsi="Calibri" w:cs="Calibri"/>
                <w:sz w:val="18"/>
              </w:rPr>
              <w:t>co</w:t>
            </w:r>
          </w:p>
          <w:p w:rsidR="00BB52D7" w:rsidRDefault="00E33AE6">
            <w:pPr>
              <w:spacing w:after="0" w:line="259" w:lineRule="auto"/>
              <w:ind w:left="108" w:firstLine="0"/>
              <w:jc w:val="left"/>
            </w:pPr>
            <w:r>
              <w:rPr>
                <w:rFonts w:ascii="Calibri" w:eastAsia="Calibri" w:hAnsi="Calibri" w:cs="Calibri"/>
                <w:sz w:val="18"/>
              </w:rPr>
              <w:t xml:space="preserve"> </w:t>
            </w:r>
          </w:p>
          <w:p w:rsidR="00BB52D7" w:rsidRDefault="00E33AE6">
            <w:pPr>
              <w:spacing w:after="0" w:line="259" w:lineRule="auto"/>
              <w:ind w:left="108" w:firstLine="0"/>
              <w:jc w:val="left"/>
            </w:pPr>
            <w:r>
              <w:rPr>
                <w:rFonts w:ascii="Calibri" w:eastAsia="Calibri" w:hAnsi="Calibri" w:cs="Calibri"/>
                <w:sz w:val="18"/>
              </w:rPr>
              <w:t xml:space="preserve"> </w:t>
            </w:r>
          </w:p>
        </w:tc>
        <w:tc>
          <w:tcPr>
            <w:tcW w:w="776" w:type="dxa"/>
            <w:tcBorders>
              <w:top w:val="single" w:sz="4" w:space="0" w:color="000000"/>
              <w:left w:val="nil"/>
              <w:bottom w:val="single" w:sz="4" w:space="0" w:color="000000"/>
              <w:right w:val="nil"/>
            </w:tcBorders>
          </w:tcPr>
          <w:p w:rsidR="00BB52D7" w:rsidRDefault="00E33AE6">
            <w:pPr>
              <w:spacing w:after="1" w:line="240" w:lineRule="auto"/>
              <w:ind w:left="-356" w:right="-721" w:firstLine="0"/>
            </w:pPr>
            <w:r>
              <w:rPr>
                <w:rFonts w:ascii="Calibri" w:eastAsia="Calibri" w:hAnsi="Calibri" w:cs="Calibri"/>
                <w:sz w:val="18"/>
              </w:rPr>
              <w:t xml:space="preserve">entailing an immediate improvement competition </w:t>
            </w:r>
          </w:p>
          <w:p w:rsidR="00BB52D7" w:rsidRDefault="00E33AE6">
            <w:pPr>
              <w:spacing w:after="0" w:line="259" w:lineRule="auto"/>
              <w:ind w:left="-356" w:right="427" w:firstLine="0"/>
              <w:jc w:val="center"/>
            </w:pPr>
            <w:r>
              <w:rPr>
                <w:rFonts w:ascii="Calibri" w:eastAsia="Calibri" w:hAnsi="Calibri" w:cs="Calibri"/>
                <w:sz w:val="18"/>
              </w:rPr>
              <w:t xml:space="preserve">European </w:t>
            </w:r>
          </w:p>
          <w:p w:rsidR="00BB52D7" w:rsidRDefault="00E33AE6">
            <w:pPr>
              <w:spacing w:after="0" w:line="259" w:lineRule="auto"/>
              <w:ind w:left="280" w:firstLine="0"/>
              <w:jc w:val="left"/>
            </w:pPr>
            <w:r>
              <w:rPr>
                <w:rFonts w:ascii="Calibri" w:eastAsia="Calibri" w:hAnsi="Calibri" w:cs="Calibri"/>
                <w:sz w:val="18"/>
              </w:rPr>
              <w:t xml:space="preserve"> </w:t>
            </w:r>
          </w:p>
          <w:p w:rsidR="00BB52D7" w:rsidRDefault="00E33AE6">
            <w:pPr>
              <w:spacing w:after="0" w:line="240" w:lineRule="auto"/>
              <w:ind w:left="-356" w:right="-721" w:firstLine="493"/>
            </w:pPr>
            <w:r>
              <w:rPr>
                <w:rFonts w:ascii="Calibri" w:eastAsia="Calibri" w:hAnsi="Calibri" w:cs="Calibri"/>
                <w:sz w:val="18"/>
              </w:rPr>
              <w:t xml:space="preserve">One transferring custody is </w:t>
            </w:r>
          </w:p>
          <w:p w:rsidR="00BB52D7" w:rsidRDefault="00E33AE6">
            <w:pPr>
              <w:spacing w:after="0" w:line="240" w:lineRule="auto"/>
              <w:ind w:left="-356" w:right="-194" w:firstLine="0"/>
            </w:pPr>
            <w:r>
              <w:rPr>
                <w:rFonts w:ascii="Calibri" w:eastAsia="Calibri" w:hAnsi="Calibri" w:cs="Calibri"/>
                <w:sz w:val="18"/>
              </w:rPr>
              <w:t xml:space="preserve">estimated at million for the EU. </w:t>
            </w:r>
          </w:p>
          <w:p w:rsidR="00BB52D7" w:rsidRDefault="00E33AE6">
            <w:pPr>
              <w:spacing w:after="0" w:line="259" w:lineRule="auto"/>
              <w:ind w:left="-356" w:right="-721" w:firstLine="260"/>
            </w:pPr>
            <w:r>
              <w:rPr>
                <w:rFonts w:ascii="Calibri" w:eastAsia="Calibri" w:hAnsi="Calibri" w:cs="Calibri"/>
                <w:sz w:val="18"/>
              </w:rPr>
              <w:t xml:space="preserve"> Transfer of custody st will directly impact custody fees and, in turn, fund management fees paid by UCITS investors.</w:t>
            </w:r>
          </w:p>
        </w:tc>
        <w:tc>
          <w:tcPr>
            <w:tcW w:w="565" w:type="dxa"/>
            <w:tcBorders>
              <w:top w:val="single" w:sz="4" w:space="0" w:color="000000"/>
              <w:left w:val="nil"/>
              <w:bottom w:val="single" w:sz="4" w:space="0" w:color="000000"/>
              <w:right w:val="nil"/>
            </w:tcBorders>
          </w:tcPr>
          <w:p w:rsidR="00BB52D7" w:rsidRDefault="00E33AE6">
            <w:pPr>
              <w:spacing w:after="421" w:line="259" w:lineRule="auto"/>
              <w:ind w:left="34" w:right="-156" w:firstLine="0"/>
              <w:jc w:val="left"/>
            </w:pPr>
            <w:r>
              <w:rPr>
                <w:rFonts w:ascii="Calibri" w:eastAsia="Calibri" w:hAnsi="Calibri" w:cs="Calibri"/>
                <w:sz w:val="18"/>
              </w:rPr>
              <w:t xml:space="preserve">however, </w:t>
            </w:r>
          </w:p>
          <w:p w:rsidR="00BB52D7" w:rsidRDefault="00E33AE6">
            <w:pPr>
              <w:spacing w:after="0" w:line="259" w:lineRule="auto"/>
              <w:ind w:left="50" w:firstLine="0"/>
              <w:jc w:val="left"/>
            </w:pPr>
            <w:r>
              <w:rPr>
                <w:rFonts w:ascii="Calibri" w:eastAsia="Calibri" w:hAnsi="Calibri" w:cs="Calibri"/>
                <w:sz w:val="18"/>
              </w:rPr>
              <w:t xml:space="preserve">in </w:t>
            </w:r>
          </w:p>
          <w:p w:rsidR="00BB52D7" w:rsidRDefault="00E33AE6">
            <w:pPr>
              <w:spacing w:after="202" w:line="259" w:lineRule="auto"/>
              <w:ind w:left="-55" w:right="-156" w:firstLine="0"/>
              <w:jc w:val="left"/>
            </w:pPr>
            <w:r>
              <w:rPr>
                <w:rFonts w:ascii="Calibri" w:eastAsia="Calibri" w:hAnsi="Calibri" w:cs="Calibri"/>
                <w:sz w:val="18"/>
              </w:rPr>
              <w:t xml:space="preserve">depositary </w:t>
            </w:r>
          </w:p>
          <w:p w:rsidR="00BB52D7" w:rsidRDefault="00E33AE6">
            <w:pPr>
              <w:spacing w:after="202" w:line="259" w:lineRule="auto"/>
              <w:ind w:left="-61" w:firstLine="0"/>
              <w:jc w:val="left"/>
            </w:pPr>
            <w:r>
              <w:rPr>
                <w:rFonts w:ascii="Calibri" w:eastAsia="Calibri" w:hAnsi="Calibri" w:cs="Calibri"/>
                <w:sz w:val="18"/>
              </w:rPr>
              <w:t xml:space="preserve">off </w:t>
            </w:r>
          </w:p>
          <w:p w:rsidR="00BB52D7" w:rsidRDefault="00E33AE6">
            <w:pPr>
              <w:spacing w:after="0" w:line="259" w:lineRule="auto"/>
              <w:ind w:left="154" w:firstLine="0"/>
              <w:jc w:val="left"/>
            </w:pPr>
            <w:r>
              <w:rPr>
                <w:rFonts w:ascii="Calibri" w:eastAsia="Calibri" w:hAnsi="Calibri" w:cs="Calibri"/>
                <w:sz w:val="18"/>
              </w:rPr>
              <w:t xml:space="preserve">€ </w:t>
            </w:r>
          </w:p>
          <w:p w:rsidR="00BB52D7" w:rsidRDefault="00E33AE6">
            <w:pPr>
              <w:spacing w:after="0" w:line="259" w:lineRule="auto"/>
              <w:ind w:left="0" w:right="55" w:firstLine="0"/>
              <w:jc w:val="center"/>
            </w:pPr>
            <w:r>
              <w:rPr>
                <w:rFonts w:ascii="Calibri" w:eastAsia="Calibri" w:hAnsi="Calibri" w:cs="Calibri"/>
                <w:sz w:val="18"/>
              </w:rPr>
              <w:t xml:space="preserve"> </w:t>
            </w:r>
          </w:p>
        </w:tc>
        <w:tc>
          <w:tcPr>
            <w:tcW w:w="264" w:type="dxa"/>
            <w:tcBorders>
              <w:top w:val="single" w:sz="4" w:space="0" w:color="000000"/>
              <w:left w:val="nil"/>
              <w:bottom w:val="single" w:sz="4" w:space="0" w:color="000000"/>
              <w:right w:val="single" w:sz="4" w:space="0" w:color="000000"/>
            </w:tcBorders>
          </w:tcPr>
          <w:p w:rsidR="00BB52D7" w:rsidRDefault="00E33AE6">
            <w:pPr>
              <w:spacing w:after="440" w:line="240" w:lineRule="auto"/>
              <w:ind w:left="-89" w:firstLine="94"/>
              <w:jc w:val="left"/>
            </w:pPr>
            <w:r>
              <w:rPr>
                <w:rFonts w:ascii="Calibri" w:eastAsia="Calibri" w:hAnsi="Calibri" w:cs="Calibri"/>
                <w:sz w:val="18"/>
              </w:rPr>
              <w:t xml:space="preserve">of the </w:t>
            </w:r>
          </w:p>
          <w:p w:rsidR="00BB52D7" w:rsidRDefault="00E33AE6">
            <w:pPr>
              <w:spacing w:after="879" w:line="480" w:lineRule="auto"/>
              <w:ind w:left="-119" w:hanging="27"/>
              <w:jc w:val="left"/>
            </w:pPr>
            <w:r>
              <w:rPr>
                <w:rFonts w:ascii="Calibri" w:eastAsia="Calibri" w:hAnsi="Calibri" w:cs="Calibri"/>
                <w:sz w:val="18"/>
              </w:rPr>
              <w:t xml:space="preserve">cost 125 </w:t>
            </w:r>
          </w:p>
          <w:p w:rsidR="00BB52D7" w:rsidRDefault="00E33AE6">
            <w:pPr>
              <w:spacing w:after="0" w:line="259" w:lineRule="auto"/>
              <w:ind w:left="56" w:firstLine="0"/>
              <w:jc w:val="left"/>
            </w:pPr>
            <w:r>
              <w:rPr>
                <w:rFonts w:ascii="Calibri" w:eastAsia="Calibri" w:hAnsi="Calibri" w:cs="Calibri"/>
                <w:sz w:val="18"/>
              </w:rPr>
              <w:t xml:space="preserve"> </w:t>
            </w:r>
          </w:p>
        </w:tc>
        <w:tc>
          <w:tcPr>
            <w:tcW w:w="240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8" w:right="108" w:firstLine="0"/>
            </w:pPr>
            <w:r>
              <w:rPr>
                <w:rFonts w:ascii="Calibri" w:eastAsia="Calibri" w:hAnsi="Calibri" w:cs="Calibri"/>
                <w:sz w:val="18"/>
              </w:rPr>
              <w:t xml:space="preserve">on cross-shareholdings or that arise outside of a corporate group (business or personal relationships) </w:t>
            </w:r>
          </w:p>
        </w:tc>
        <w:tc>
          <w:tcPr>
            <w:tcW w:w="350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9" w:firstLine="0"/>
              <w:jc w:val="left"/>
            </w:pPr>
            <w:r>
              <w:rPr>
                <w:rFonts w:ascii="Calibri" w:eastAsia="Calibri" w:hAnsi="Calibri" w:cs="Calibri"/>
                <w:sz w:val="18"/>
              </w:rPr>
              <w:t xml:space="preserve">depositary/custody services.  </w:t>
            </w:r>
          </w:p>
          <w:p w:rsidR="00BB52D7" w:rsidRDefault="00E33AE6">
            <w:pPr>
              <w:spacing w:after="0" w:line="244" w:lineRule="auto"/>
              <w:ind w:left="109" w:right="106" w:firstLine="0"/>
            </w:pPr>
            <w:r>
              <w:rPr>
                <w:rFonts w:ascii="Calibri" w:eastAsia="Calibri" w:hAnsi="Calibri" w:cs="Calibri"/>
                <w:sz w:val="18"/>
              </w:rPr>
              <w:t>(--</w:t>
            </w:r>
            <w:r>
              <w:rPr>
                <w:rFonts w:ascii="Calibri" w:eastAsia="Calibri" w:hAnsi="Calibri" w:cs="Calibri"/>
                <w:sz w:val="18"/>
              </w:rPr>
              <w:t>) Extremely negative impact on the international competitiveness of the EU asset management sector as all major competitors do not require structural separation between asset manager and depositary</w:t>
            </w:r>
            <w:r>
              <w:rPr>
                <w:rFonts w:ascii="Calibri" w:eastAsia="Calibri" w:hAnsi="Calibri" w:cs="Calibri"/>
                <w:sz w:val="18"/>
                <w:vertAlign w:val="superscript"/>
              </w:rPr>
              <w:footnoteReference w:id="49"/>
            </w:r>
            <w:r>
              <w:rPr>
                <w:rFonts w:ascii="Calibri" w:eastAsia="Calibri" w:hAnsi="Calibri" w:cs="Calibri"/>
                <w:sz w:val="18"/>
              </w:rPr>
              <w:t>. According to an IOSCO consultation paper regarding custo</w:t>
            </w:r>
            <w:r>
              <w:rPr>
                <w:rFonts w:ascii="Calibri" w:eastAsia="Calibri" w:hAnsi="Calibri" w:cs="Calibri"/>
                <w:sz w:val="18"/>
              </w:rPr>
              <w:t xml:space="preserve">dy of collective investment schemes’ assets (published in October 2014) most important asset management jurisdictions allow selfcustody in their jurisdiction: the US, the UK, Jersey and Australia allow self-custody in their jurisdictions (see footnotes 16 </w:t>
            </w:r>
            <w:r>
              <w:rPr>
                <w:rFonts w:ascii="Calibri" w:eastAsia="Calibri" w:hAnsi="Calibri" w:cs="Calibri"/>
                <w:sz w:val="18"/>
              </w:rPr>
              <w:t xml:space="preserve">and 17 of the consultation paper: </w:t>
            </w:r>
          </w:p>
          <w:p w:rsidR="00BB52D7" w:rsidRDefault="00E33AE6">
            <w:pPr>
              <w:spacing w:after="0" w:line="259" w:lineRule="auto"/>
              <w:ind w:left="109" w:firstLine="0"/>
              <w:jc w:val="left"/>
            </w:pPr>
            <w:r>
              <w:rPr>
                <w:rFonts w:ascii="Calibri" w:eastAsia="Calibri" w:hAnsi="Calibri" w:cs="Calibri"/>
                <w:color w:val="0000FF"/>
                <w:sz w:val="18"/>
                <w:u w:val="single" w:color="0000FF"/>
              </w:rPr>
              <w:t>http://www.iosco.org/library/pubdocs/pdf/I</w:t>
            </w:r>
          </w:p>
          <w:p w:rsidR="00BB52D7" w:rsidRDefault="00E33AE6">
            <w:pPr>
              <w:spacing w:after="0" w:line="259" w:lineRule="auto"/>
              <w:ind w:left="109" w:firstLine="0"/>
              <w:jc w:val="left"/>
            </w:pPr>
            <w:r>
              <w:rPr>
                <w:rFonts w:ascii="Calibri" w:eastAsia="Calibri" w:hAnsi="Calibri" w:cs="Calibri"/>
                <w:color w:val="0000FF"/>
                <w:sz w:val="18"/>
                <w:u w:val="single" w:color="0000FF"/>
              </w:rPr>
              <w:t>OSCOPD454.pdf</w:t>
            </w:r>
            <w:r>
              <w:rPr>
                <w:rFonts w:ascii="Calibri" w:eastAsia="Calibri" w:hAnsi="Calibri" w:cs="Calibri"/>
                <w:sz w:val="18"/>
              </w:rPr>
              <w:t xml:space="preserve"> )   </w:t>
            </w:r>
          </w:p>
          <w:p w:rsidR="00BB52D7" w:rsidRDefault="00E33AE6">
            <w:pPr>
              <w:spacing w:after="0" w:line="240" w:lineRule="auto"/>
              <w:ind w:left="109" w:right="108" w:firstLine="0"/>
            </w:pPr>
            <w:r>
              <w:rPr>
                <w:rFonts w:ascii="Calibri" w:eastAsia="Calibri" w:hAnsi="Calibri" w:cs="Calibri"/>
                <w:sz w:val="18"/>
              </w:rPr>
              <w:t xml:space="preserve"> (--) Entails a large scale restructuring of custodial assets in most Members States without entailing an improvement of competition in the European </w:t>
            </w:r>
          </w:p>
          <w:p w:rsidR="00BB52D7" w:rsidRDefault="00E33AE6">
            <w:pPr>
              <w:spacing w:after="40" w:line="241" w:lineRule="auto"/>
              <w:ind w:left="109" w:right="108" w:firstLine="0"/>
            </w:pPr>
            <w:r>
              <w:rPr>
                <w:rFonts w:ascii="Calibri" w:eastAsia="Calibri" w:hAnsi="Calibri" w:cs="Calibri"/>
                <w:sz w:val="18"/>
              </w:rPr>
              <w:t>depositar</w:t>
            </w:r>
            <w:r>
              <w:rPr>
                <w:rFonts w:ascii="Calibri" w:eastAsia="Calibri" w:hAnsi="Calibri" w:cs="Calibri"/>
                <w:sz w:val="18"/>
              </w:rPr>
              <w:t>y/custodial service markets  (--) Reinforces the risk that operational failures or bankruptcy of a large depositary/custodian could negatively impact the functioning of financial markets as a whole, especially if the failing entity impedes the ability of o</w:t>
            </w:r>
            <w:r>
              <w:rPr>
                <w:rFonts w:ascii="Calibri" w:eastAsia="Calibri" w:hAnsi="Calibri" w:cs="Calibri"/>
                <w:sz w:val="18"/>
              </w:rPr>
              <w:t>ther institutions to meet their obligations; reinforces the systemic risk of exposure to a single financial counterparty</w:t>
            </w:r>
            <w:r>
              <w:rPr>
                <w:rFonts w:ascii="Calibri" w:eastAsia="Calibri" w:hAnsi="Calibri" w:cs="Calibri"/>
                <w:sz w:val="18"/>
                <w:vertAlign w:val="superscript"/>
              </w:rPr>
              <w:footnoteReference w:id="50"/>
            </w:r>
            <w:r>
              <w:rPr>
                <w:rFonts w:ascii="Calibri" w:eastAsia="Calibri" w:hAnsi="Calibri" w:cs="Calibri"/>
                <w:sz w:val="18"/>
              </w:rPr>
              <w:t xml:space="preserve"> </w:t>
            </w:r>
          </w:p>
          <w:p w:rsidR="00BB52D7" w:rsidRDefault="00E33AE6">
            <w:pPr>
              <w:spacing w:after="0" w:line="259" w:lineRule="auto"/>
              <w:ind w:left="109" w:right="109" w:firstLine="0"/>
            </w:pPr>
            <w:r>
              <w:rPr>
                <w:rFonts w:ascii="Calibri" w:eastAsia="Calibri" w:hAnsi="Calibri" w:cs="Calibri"/>
                <w:sz w:val="18"/>
              </w:rPr>
              <w:t>(--</w:t>
            </w:r>
            <w:r>
              <w:rPr>
                <w:rFonts w:ascii="Calibri" w:eastAsia="Calibri" w:hAnsi="Calibri" w:cs="Calibri"/>
                <w:sz w:val="18"/>
              </w:rPr>
              <w:t xml:space="preserve">) Loss of economies of scale in individual national markets, especially in small Member States and Member States with small UCITS segments. </w:t>
            </w:r>
          </w:p>
        </w:tc>
      </w:tr>
      <w:tr w:rsidR="00BB52D7">
        <w:trPr>
          <w:trHeight w:val="4402"/>
        </w:trPr>
        <w:tc>
          <w:tcPr>
            <w:tcW w:w="1299"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tabs>
                <w:tab w:val="right" w:pos="1299"/>
              </w:tabs>
              <w:spacing w:after="0" w:line="259" w:lineRule="auto"/>
              <w:ind w:left="0" w:firstLine="0"/>
              <w:jc w:val="left"/>
            </w:pPr>
            <w:r>
              <w:rPr>
                <w:rFonts w:ascii="Calibri" w:eastAsia="Calibri" w:hAnsi="Calibri" w:cs="Calibri"/>
                <w:b/>
                <w:sz w:val="18"/>
              </w:rPr>
              <w:lastRenderedPageBreak/>
              <w:t xml:space="preserve">Option </w:t>
            </w:r>
            <w:r>
              <w:rPr>
                <w:rFonts w:ascii="Calibri" w:eastAsia="Calibri" w:hAnsi="Calibri" w:cs="Calibri"/>
                <w:b/>
                <w:sz w:val="18"/>
              </w:rPr>
              <w:tab/>
              <w:t xml:space="preserve">2.3 </w:t>
            </w:r>
          </w:p>
          <w:p w:rsidR="00BB52D7" w:rsidRDefault="00E33AE6">
            <w:pPr>
              <w:spacing w:after="13" w:line="240" w:lineRule="auto"/>
              <w:ind w:left="107" w:firstLine="0"/>
              <w:jc w:val="left"/>
            </w:pPr>
            <w:r>
              <w:rPr>
                <w:rFonts w:ascii="Calibri" w:eastAsia="Calibri" w:hAnsi="Calibri" w:cs="Calibri"/>
                <w:b/>
                <w:sz w:val="18"/>
              </w:rPr>
              <w:t xml:space="preserve">Corporate governance safeguards </w:t>
            </w:r>
          </w:p>
          <w:p w:rsidR="00BB52D7" w:rsidRDefault="00E33AE6">
            <w:pPr>
              <w:spacing w:after="0" w:line="243" w:lineRule="auto"/>
              <w:ind w:left="107" w:firstLine="0"/>
              <w:jc w:val="left"/>
            </w:pPr>
            <w:r>
              <w:rPr>
                <w:rFonts w:ascii="Calibri" w:eastAsia="Calibri" w:hAnsi="Calibri" w:cs="Calibri"/>
                <w:b/>
                <w:sz w:val="18"/>
              </w:rPr>
              <w:t xml:space="preserve">when </w:t>
            </w:r>
            <w:r>
              <w:rPr>
                <w:rFonts w:ascii="Calibri" w:eastAsia="Calibri" w:hAnsi="Calibri" w:cs="Calibri"/>
                <w:b/>
                <w:sz w:val="18"/>
              </w:rPr>
              <w:tab/>
              <w:t>asset managers and depositaries /</w:t>
            </w:r>
            <w:r>
              <w:rPr>
                <w:rFonts w:ascii="Calibri" w:eastAsia="Calibri" w:hAnsi="Calibri" w:cs="Calibri"/>
                <w:sz w:val="18"/>
              </w:rPr>
              <w:t xml:space="preserve"> </w:t>
            </w:r>
            <w:r>
              <w:rPr>
                <w:rFonts w:ascii="Calibri" w:eastAsia="Calibri" w:hAnsi="Calibri" w:cs="Calibri"/>
                <w:b/>
                <w:sz w:val="18"/>
              </w:rPr>
              <w:t xml:space="preserve">third </w:t>
            </w:r>
            <w:r>
              <w:rPr>
                <w:rFonts w:ascii="Calibri" w:eastAsia="Calibri" w:hAnsi="Calibri" w:cs="Calibri"/>
                <w:b/>
                <w:sz w:val="18"/>
              </w:rPr>
              <w:tab/>
              <w:t xml:space="preserve">party custody </w:t>
            </w:r>
          </w:p>
          <w:p w:rsidR="00BB52D7" w:rsidRDefault="00E33AE6">
            <w:pPr>
              <w:spacing w:after="0" w:line="259" w:lineRule="auto"/>
              <w:ind w:left="107" w:firstLine="0"/>
              <w:jc w:val="left"/>
            </w:pPr>
            <w:r>
              <w:rPr>
                <w:rFonts w:ascii="Calibri" w:eastAsia="Calibri" w:hAnsi="Calibri" w:cs="Calibri"/>
                <w:b/>
                <w:sz w:val="18"/>
              </w:rPr>
              <w:t xml:space="preserve">delegates </w:t>
            </w:r>
          </w:p>
          <w:p w:rsidR="00BB52D7" w:rsidRDefault="00E33AE6">
            <w:pPr>
              <w:tabs>
                <w:tab w:val="right" w:pos="1299"/>
              </w:tabs>
              <w:spacing w:after="0" w:line="259" w:lineRule="auto"/>
              <w:ind w:left="0" w:firstLine="0"/>
              <w:jc w:val="left"/>
            </w:pPr>
            <w:r>
              <w:rPr>
                <w:rFonts w:ascii="Calibri" w:eastAsia="Calibri" w:hAnsi="Calibri" w:cs="Calibri"/>
                <w:b/>
                <w:sz w:val="18"/>
              </w:rPr>
              <w:t xml:space="preserve">have </w:t>
            </w:r>
            <w:r>
              <w:rPr>
                <w:rFonts w:ascii="Calibri" w:eastAsia="Calibri" w:hAnsi="Calibri" w:cs="Calibri"/>
                <w:b/>
                <w:sz w:val="18"/>
              </w:rPr>
              <w:tab/>
              <w:t xml:space="preserve">cross </w:t>
            </w:r>
          </w:p>
          <w:p w:rsidR="00BB52D7" w:rsidRDefault="00E33AE6">
            <w:pPr>
              <w:spacing w:after="0" w:line="259" w:lineRule="auto"/>
              <w:ind w:left="107" w:right="108" w:firstLine="0"/>
            </w:pPr>
            <w:r>
              <w:rPr>
                <w:rFonts w:ascii="Calibri" w:eastAsia="Calibri" w:hAnsi="Calibri" w:cs="Calibri"/>
                <w:b/>
                <w:sz w:val="18"/>
              </w:rPr>
              <w:t xml:space="preserve">shareholdings or when they belong to the same group  </w:t>
            </w:r>
          </w:p>
        </w:tc>
        <w:tc>
          <w:tcPr>
            <w:tcW w:w="2069" w:type="dxa"/>
            <w:gridSpan w:val="4"/>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40" w:lineRule="auto"/>
              <w:ind w:left="108" w:right="108" w:firstLine="0"/>
            </w:pPr>
            <w:r>
              <w:rPr>
                <w:rFonts w:ascii="Calibri" w:eastAsia="Calibri" w:hAnsi="Calibri" w:cs="Calibri"/>
                <w:sz w:val="18"/>
              </w:rPr>
              <w:t>(-</w:t>
            </w:r>
            <w:r>
              <w:rPr>
                <w:rFonts w:ascii="Calibri" w:eastAsia="Calibri" w:hAnsi="Calibri" w:cs="Calibri"/>
                <w:sz w:val="18"/>
              </w:rPr>
              <w:t xml:space="preserve">) Limiting costs to annual remuneration to be paid to two independent board members. Across the EU, these costs would not exceed annual remuneration payments of approximately € 3.7 million.  </w:t>
            </w:r>
          </w:p>
          <w:p w:rsidR="00BB52D7" w:rsidRDefault="00E33AE6">
            <w:pPr>
              <w:spacing w:after="0" w:line="243" w:lineRule="auto"/>
              <w:ind w:left="108" w:right="108" w:firstLine="0"/>
            </w:pPr>
            <w:r>
              <w:rPr>
                <w:rFonts w:ascii="Calibri" w:eastAsia="Calibri" w:hAnsi="Calibri" w:cs="Calibri"/>
                <w:sz w:val="18"/>
              </w:rPr>
              <w:t xml:space="preserve">(+) Maintains a competitive market structure both in asset management and in the provision </w:t>
            </w:r>
            <w:r>
              <w:rPr>
                <w:rFonts w:ascii="Calibri" w:eastAsia="Calibri" w:hAnsi="Calibri" w:cs="Calibri"/>
                <w:sz w:val="18"/>
              </w:rPr>
              <w:tab/>
              <w:t xml:space="preserve">of </w:t>
            </w:r>
          </w:p>
          <w:p w:rsidR="00BB52D7" w:rsidRDefault="00E33AE6">
            <w:pPr>
              <w:spacing w:after="0" w:line="259" w:lineRule="auto"/>
              <w:ind w:left="108" w:firstLine="0"/>
              <w:jc w:val="left"/>
            </w:pPr>
            <w:r>
              <w:rPr>
                <w:rFonts w:ascii="Calibri" w:eastAsia="Calibri" w:hAnsi="Calibri" w:cs="Calibri"/>
                <w:sz w:val="18"/>
              </w:rPr>
              <w:t xml:space="preserve">depositary/custodial </w:t>
            </w:r>
          </w:p>
          <w:p w:rsidR="00BB52D7" w:rsidRDefault="00E33AE6">
            <w:pPr>
              <w:spacing w:after="0" w:line="259" w:lineRule="auto"/>
              <w:ind w:left="108" w:firstLine="0"/>
              <w:jc w:val="left"/>
            </w:pPr>
            <w:r>
              <w:rPr>
                <w:rFonts w:ascii="Calibri" w:eastAsia="Calibri" w:hAnsi="Calibri" w:cs="Calibri"/>
                <w:sz w:val="18"/>
              </w:rPr>
              <w:t xml:space="preserve">services </w:t>
            </w:r>
          </w:p>
          <w:p w:rsidR="00BB52D7" w:rsidRDefault="00E33AE6">
            <w:pPr>
              <w:spacing w:after="0" w:line="259" w:lineRule="auto"/>
              <w:ind w:left="108" w:right="108" w:firstLine="0"/>
            </w:pPr>
            <w:r>
              <w:rPr>
                <w:rFonts w:ascii="Calibri" w:eastAsia="Calibri" w:hAnsi="Calibri" w:cs="Calibri"/>
                <w:sz w:val="18"/>
              </w:rPr>
              <w:t xml:space="preserve">(+) Less risk of additional concentration in the depositary market </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16" w:line="240" w:lineRule="auto"/>
              <w:ind w:left="108" w:right="108" w:firstLine="0"/>
            </w:pPr>
            <w:r>
              <w:rPr>
                <w:rFonts w:ascii="Calibri" w:eastAsia="Calibri" w:hAnsi="Calibri" w:cs="Calibri"/>
                <w:sz w:val="18"/>
              </w:rPr>
              <w:t>(++) The presence of two independent board members takes a h</w:t>
            </w:r>
            <w:r>
              <w:rPr>
                <w:rFonts w:ascii="Calibri" w:eastAsia="Calibri" w:hAnsi="Calibri" w:cs="Calibri"/>
                <w:sz w:val="18"/>
              </w:rPr>
              <w:t xml:space="preserve">olistic approach in tackling "channels of influence" that can result from corporate links, group membership and other personal or commercial links of individual board members. (++) In line with IOSCO principles on the custody of collective investment </w:t>
            </w:r>
          </w:p>
          <w:p w:rsidR="00BB52D7" w:rsidRDefault="00E33AE6">
            <w:pPr>
              <w:spacing w:after="0" w:line="259" w:lineRule="auto"/>
              <w:ind w:left="108" w:firstLine="0"/>
              <w:jc w:val="left"/>
            </w:pPr>
            <w:r>
              <w:rPr>
                <w:rFonts w:ascii="Calibri" w:eastAsia="Calibri" w:hAnsi="Calibri" w:cs="Calibri"/>
                <w:sz w:val="18"/>
              </w:rPr>
              <w:t>sche</w:t>
            </w:r>
            <w:r>
              <w:rPr>
                <w:rFonts w:ascii="Calibri" w:eastAsia="Calibri" w:hAnsi="Calibri" w:cs="Calibri"/>
                <w:sz w:val="18"/>
              </w:rPr>
              <w:t>mes</w:t>
            </w:r>
            <w:r>
              <w:rPr>
                <w:rFonts w:ascii="Calibri" w:eastAsia="Calibri" w:hAnsi="Calibri" w:cs="Calibri"/>
                <w:sz w:val="18"/>
                <w:vertAlign w:val="superscript"/>
              </w:rPr>
              <w:footnoteReference w:id="51"/>
            </w:r>
            <w:r>
              <w:rPr>
                <w:rFonts w:ascii="Calibri" w:eastAsia="Calibri" w:hAnsi="Calibri" w:cs="Calibri"/>
                <w:sz w:val="18"/>
              </w:rPr>
              <w:t xml:space="preserve">  </w:t>
            </w:r>
          </w:p>
        </w:tc>
        <w:tc>
          <w:tcPr>
            <w:tcW w:w="3507"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1" w:line="240" w:lineRule="auto"/>
              <w:ind w:left="109" w:right="108" w:firstLine="0"/>
            </w:pPr>
            <w:r>
              <w:rPr>
                <w:rFonts w:ascii="Calibri" w:eastAsia="Calibri" w:hAnsi="Calibri" w:cs="Calibri"/>
                <w:sz w:val="18"/>
              </w:rPr>
              <w:t xml:space="preserve">(+) Annual remuneration of independent board members could be compensated for by reducing the overall number of board members (cost neutrality).  </w:t>
            </w:r>
          </w:p>
          <w:p w:rsidR="00BB52D7" w:rsidRDefault="00E33AE6">
            <w:pPr>
              <w:spacing w:after="0" w:line="240" w:lineRule="auto"/>
              <w:ind w:left="109" w:right="107" w:firstLine="0"/>
            </w:pPr>
            <w:r>
              <w:rPr>
                <w:rFonts w:ascii="Calibri" w:eastAsia="Calibri" w:hAnsi="Calibri" w:cs="Calibri"/>
                <w:sz w:val="18"/>
              </w:rPr>
              <w:t>(+) in order to introduce proportionality, independent board members are not required in the case of c</w:t>
            </w:r>
            <w:r>
              <w:rPr>
                <w:rFonts w:ascii="Calibri" w:eastAsia="Calibri" w:hAnsi="Calibri" w:cs="Calibri"/>
                <w:sz w:val="18"/>
              </w:rPr>
              <w:t xml:space="preserve">ross-shareholdings, but only for 'group' companies. </w:t>
            </w:r>
          </w:p>
          <w:p w:rsidR="00BB52D7" w:rsidRDefault="00E33AE6">
            <w:pPr>
              <w:spacing w:after="0" w:line="240" w:lineRule="auto"/>
              <w:ind w:left="109" w:right="106" w:firstLine="0"/>
            </w:pPr>
            <w:r>
              <w:rPr>
                <w:rFonts w:ascii="Calibri" w:eastAsia="Calibri" w:hAnsi="Calibri" w:cs="Calibri"/>
                <w:sz w:val="18"/>
              </w:rPr>
              <w:t>(++) Addresses conflicts of interests in a holistic manner allowing smaller managers and depositaries to maintain economies of scale allowing them to remain a source of actual or potential competition in the relevant markets (safeguard against concentratio</w:t>
            </w:r>
            <w:r>
              <w:rPr>
                <w:rFonts w:ascii="Calibri" w:eastAsia="Calibri" w:hAnsi="Calibri" w:cs="Calibri"/>
                <w:sz w:val="18"/>
              </w:rPr>
              <w:t xml:space="preserve">n risk). </w:t>
            </w:r>
          </w:p>
          <w:p w:rsidR="00BB52D7" w:rsidRDefault="00E33AE6">
            <w:pPr>
              <w:spacing w:after="12" w:line="240" w:lineRule="auto"/>
              <w:ind w:left="109" w:right="108" w:firstLine="0"/>
            </w:pPr>
            <w:r>
              <w:rPr>
                <w:rFonts w:ascii="Calibri" w:eastAsia="Calibri" w:hAnsi="Calibri" w:cs="Calibri"/>
                <w:sz w:val="18"/>
              </w:rPr>
              <w:t xml:space="preserve">(+) Limiting costs for SMEs as it allows appointing only one third of independent members when the board is composed of 2 or 3 members. </w:t>
            </w:r>
          </w:p>
          <w:p w:rsidR="00BB52D7" w:rsidRDefault="00E33AE6">
            <w:pPr>
              <w:tabs>
                <w:tab w:val="center" w:pos="691"/>
                <w:tab w:val="center" w:pos="1178"/>
                <w:tab w:val="center" w:pos="1622"/>
                <w:tab w:val="center" w:pos="2233"/>
                <w:tab w:val="center" w:pos="2826"/>
                <w:tab w:val="right" w:pos="3507"/>
              </w:tabs>
              <w:spacing w:after="0" w:line="259" w:lineRule="auto"/>
              <w:ind w:left="0" w:firstLine="0"/>
              <w:jc w:val="left"/>
            </w:pPr>
            <w:r>
              <w:rPr>
                <w:rFonts w:ascii="Calibri" w:eastAsia="Calibri" w:hAnsi="Calibri" w:cs="Calibri"/>
                <w:sz w:val="18"/>
              </w:rPr>
              <w:t xml:space="preserve">(+) </w:t>
            </w:r>
            <w:r>
              <w:rPr>
                <w:rFonts w:ascii="Calibri" w:eastAsia="Calibri" w:hAnsi="Calibri" w:cs="Calibri"/>
                <w:sz w:val="18"/>
              </w:rPr>
              <w:tab/>
              <w:t xml:space="preserve">Keeps </w:t>
            </w:r>
            <w:r>
              <w:rPr>
                <w:rFonts w:ascii="Calibri" w:eastAsia="Calibri" w:hAnsi="Calibri" w:cs="Calibri"/>
                <w:sz w:val="18"/>
              </w:rPr>
              <w:tab/>
              <w:t xml:space="preserve">EU </w:t>
            </w:r>
            <w:r>
              <w:rPr>
                <w:rFonts w:ascii="Calibri" w:eastAsia="Calibri" w:hAnsi="Calibri" w:cs="Calibri"/>
                <w:sz w:val="18"/>
              </w:rPr>
              <w:tab/>
              <w:t xml:space="preserve">rules </w:t>
            </w:r>
            <w:r>
              <w:rPr>
                <w:rFonts w:ascii="Calibri" w:eastAsia="Calibri" w:hAnsi="Calibri" w:cs="Calibri"/>
                <w:sz w:val="18"/>
              </w:rPr>
              <w:tab/>
              <w:t xml:space="preserve">aligned </w:t>
            </w:r>
            <w:r>
              <w:rPr>
                <w:rFonts w:ascii="Calibri" w:eastAsia="Calibri" w:hAnsi="Calibri" w:cs="Calibri"/>
                <w:sz w:val="18"/>
              </w:rPr>
              <w:tab/>
              <w:t xml:space="preserve">with </w:t>
            </w:r>
            <w:r>
              <w:rPr>
                <w:rFonts w:ascii="Calibri" w:eastAsia="Calibri" w:hAnsi="Calibri" w:cs="Calibri"/>
                <w:sz w:val="18"/>
              </w:rPr>
              <w:tab/>
              <w:t xml:space="preserve">the </w:t>
            </w:r>
          </w:p>
        </w:tc>
      </w:tr>
      <w:tr w:rsidR="00BB52D7">
        <w:trPr>
          <w:trHeight w:val="4622"/>
        </w:trPr>
        <w:tc>
          <w:tcPr>
            <w:tcW w:w="129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2069" w:type="dxa"/>
            <w:gridSpan w:val="4"/>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rFonts w:ascii="Calibri" w:eastAsia="Calibri" w:hAnsi="Calibri" w:cs="Calibri"/>
                <w:sz w:val="18"/>
              </w:rPr>
              <w:t xml:space="preserve">(systemic risk). </w:t>
            </w:r>
          </w:p>
          <w:p w:rsidR="00BB52D7" w:rsidRDefault="00E33AE6">
            <w:pPr>
              <w:spacing w:after="0" w:line="240" w:lineRule="auto"/>
              <w:ind w:left="0" w:right="41" w:firstLine="0"/>
            </w:pPr>
            <w:r>
              <w:rPr>
                <w:rFonts w:ascii="Calibri" w:eastAsia="Calibri" w:hAnsi="Calibri" w:cs="Calibri"/>
                <w:sz w:val="18"/>
              </w:rPr>
              <w:t xml:space="preserve">(++) avoids a repeat of the Madoff scenario where entities had mostly identical members/no members that were entirely independent of the </w:t>
            </w:r>
          </w:p>
          <w:p w:rsidR="00BB52D7" w:rsidRDefault="00E33AE6">
            <w:pPr>
              <w:spacing w:after="0" w:line="259" w:lineRule="auto"/>
              <w:ind w:left="0" w:firstLine="0"/>
              <w:jc w:val="left"/>
            </w:pPr>
            <w:r>
              <w:rPr>
                <w:rFonts w:ascii="Calibri" w:eastAsia="Calibri" w:hAnsi="Calibri" w:cs="Calibri"/>
                <w:sz w:val="18"/>
              </w:rPr>
              <w:t xml:space="preserve">Madoff entities.  </w:t>
            </w:r>
          </w:p>
        </w:tc>
        <w:tc>
          <w:tcPr>
            <w:tcW w:w="240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3507"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40" w:lineRule="auto"/>
              <w:ind w:left="1" w:right="40" w:firstLine="0"/>
            </w:pPr>
            <w:r>
              <w:rPr>
                <w:rFonts w:ascii="Calibri" w:eastAsia="Calibri" w:hAnsi="Calibri" w:cs="Calibri"/>
                <w:sz w:val="18"/>
              </w:rPr>
              <w:t>consensus view prevalent in all major asset management jurisdictions: Some of the EU's most import</w:t>
            </w:r>
            <w:r>
              <w:rPr>
                <w:rFonts w:ascii="Calibri" w:eastAsia="Calibri" w:hAnsi="Calibri" w:cs="Calibri"/>
                <w:sz w:val="18"/>
              </w:rPr>
              <w:t xml:space="preserve">ant competitors in asset management allow self-custody in their jurisdiction: the US, the UK, Jersey and Australia allow self-custody in their jurisdictions (see footnotes 16 and 17 of the IOSCO consultation paper).  </w:t>
            </w:r>
          </w:p>
          <w:p w:rsidR="00BB52D7" w:rsidRDefault="00E33AE6">
            <w:pPr>
              <w:spacing w:after="0" w:line="259" w:lineRule="auto"/>
              <w:ind w:left="1" w:right="39" w:firstLine="0"/>
            </w:pPr>
            <w:r>
              <w:rPr>
                <w:rFonts w:ascii="Calibri" w:eastAsia="Calibri" w:hAnsi="Calibri" w:cs="Calibri"/>
                <w:sz w:val="18"/>
              </w:rPr>
              <w:t>In particular, Option 2.3 resembles Ru</w:t>
            </w:r>
            <w:r>
              <w:rPr>
                <w:rFonts w:ascii="Calibri" w:eastAsia="Calibri" w:hAnsi="Calibri" w:cs="Calibri"/>
                <w:sz w:val="18"/>
              </w:rPr>
              <w:t xml:space="preserve">le 206(4)-2 of the US </w:t>
            </w:r>
            <w:r>
              <w:rPr>
                <w:rFonts w:ascii="Calibri" w:eastAsia="Calibri" w:hAnsi="Calibri" w:cs="Calibri"/>
                <w:sz w:val="18"/>
                <w:u w:val="single" w:color="000000"/>
              </w:rPr>
              <w:t>1940 Investment Advisers</w:t>
            </w:r>
            <w:r>
              <w:rPr>
                <w:rFonts w:ascii="Calibri" w:eastAsia="Calibri" w:hAnsi="Calibri" w:cs="Calibri"/>
                <w:sz w:val="18"/>
              </w:rPr>
              <w:t xml:space="preserve"> </w:t>
            </w:r>
            <w:r>
              <w:rPr>
                <w:rFonts w:ascii="Calibri" w:eastAsia="Calibri" w:hAnsi="Calibri" w:cs="Calibri"/>
                <w:sz w:val="18"/>
                <w:u w:val="single" w:color="000000"/>
              </w:rPr>
              <w:t>Act</w:t>
            </w:r>
            <w:r>
              <w:rPr>
                <w:rFonts w:ascii="Calibri" w:eastAsia="Calibri" w:hAnsi="Calibri" w:cs="Calibri"/>
                <w:sz w:val="18"/>
              </w:rPr>
              <w:t>. Rule 206(4)-2 which also does not require use of independent custodians. Rather, Rule 206(4)-2 imposes additional requirements when client assets are maintained by the adviser itself or by a “related pers</w:t>
            </w:r>
            <w:r>
              <w:rPr>
                <w:rFonts w:ascii="Calibri" w:eastAsia="Calibri" w:hAnsi="Calibri" w:cs="Calibri"/>
                <w:sz w:val="18"/>
              </w:rPr>
              <w:t xml:space="preserve">on” instead of an independent qualified custodian.  A “related person” is defined in rule 206(4)-2 as any person, directly or indirectly controlling the adviser, controlled by the adviser or under common control with the adviser ("group scenario") </w:t>
            </w:r>
          </w:p>
        </w:tc>
      </w:tr>
    </w:tbl>
    <w:p w:rsidR="00BB52D7" w:rsidRDefault="00E33AE6">
      <w:pPr>
        <w:spacing w:after="274" w:line="259" w:lineRule="auto"/>
        <w:ind w:left="851" w:firstLine="0"/>
        <w:jc w:val="left"/>
      </w:pPr>
      <w:r>
        <w:rPr>
          <w:rFonts w:ascii="Calibri" w:eastAsia="Calibri" w:hAnsi="Calibri" w:cs="Calibri"/>
          <w:b/>
          <w:sz w:val="18"/>
        </w:rPr>
        <w:t xml:space="preserve"> </w:t>
      </w:r>
    </w:p>
    <w:p w:rsidR="00BB52D7" w:rsidRDefault="00E33AE6">
      <w:pPr>
        <w:pStyle w:val="Heading2"/>
        <w:tabs>
          <w:tab w:val="center" w:pos="1031"/>
          <w:tab w:val="center" w:pos="4781"/>
        </w:tabs>
        <w:spacing w:after="229"/>
        <w:ind w:left="0" w:right="0" w:firstLine="0"/>
      </w:pPr>
      <w:bookmarkStart w:id="18" w:name="_Toc240978"/>
      <w:r>
        <w:rPr>
          <w:rFonts w:ascii="Calibri" w:eastAsia="Calibri" w:hAnsi="Calibri" w:cs="Calibri"/>
          <w:b w:val="0"/>
          <w:i w:val="0"/>
          <w:sz w:val="22"/>
          <w:u w:val="none"/>
        </w:rPr>
        <w:tab/>
      </w:r>
      <w:r>
        <w:rPr>
          <w:i w:val="0"/>
          <w:u w:val="none"/>
        </w:rPr>
        <w:t xml:space="preserve">6.1. </w:t>
      </w:r>
      <w:r>
        <w:rPr>
          <w:i w:val="0"/>
          <w:u w:val="none"/>
        </w:rPr>
        <w:tab/>
        <w:t xml:space="preserve">Choice of preferred option to address "common management"  </w:t>
      </w:r>
      <w:bookmarkEnd w:id="18"/>
    </w:p>
    <w:p w:rsidR="00BB52D7" w:rsidRDefault="00E33AE6">
      <w:pPr>
        <w:spacing w:after="214" w:line="259" w:lineRule="auto"/>
        <w:ind w:left="861"/>
        <w:jc w:val="left"/>
      </w:pPr>
      <w:r>
        <w:rPr>
          <w:i/>
          <w:u w:val="single" w:color="000000"/>
        </w:rPr>
        <w:t>Effectiveness</w:t>
      </w:r>
      <w:r>
        <w:rPr>
          <w:i/>
        </w:rPr>
        <w:t xml:space="preserve"> </w:t>
      </w:r>
    </w:p>
    <w:p w:rsidR="00BB52D7" w:rsidRDefault="00E33AE6">
      <w:pPr>
        <w:ind w:left="846" w:right="843"/>
      </w:pPr>
      <w:r>
        <w:t>For the reasons set out in the table above, a large majority of respondents (including management companies, depositaries, banks and investors representatives) to the ESMA con</w:t>
      </w:r>
      <w:r>
        <w:t xml:space="preserve">sultation agreed that common staff on the management/supervisory boards of the asset manager and the depositary might indeed prevent independent behaviour of the two entities. This large majority of respondents of the ESMA consultation agreed that </w:t>
      </w:r>
      <w:r>
        <w:rPr>
          <w:b/>
        </w:rPr>
        <w:t>Option 1.2</w:t>
      </w:r>
      <w:r>
        <w:t xml:space="preserve"> would be most effective in addressing these conflicts. </w:t>
      </w:r>
    </w:p>
    <w:p w:rsidR="00BB52D7" w:rsidRDefault="00E33AE6">
      <w:pPr>
        <w:spacing w:after="214" w:line="259" w:lineRule="auto"/>
        <w:ind w:left="861"/>
        <w:jc w:val="left"/>
      </w:pPr>
      <w:r>
        <w:rPr>
          <w:i/>
          <w:u w:val="single" w:color="000000"/>
        </w:rPr>
        <w:t>Efficiency</w:t>
      </w:r>
      <w:r>
        <w:rPr>
          <w:i/>
        </w:rPr>
        <w:t xml:space="preserve"> </w:t>
      </w:r>
    </w:p>
    <w:p w:rsidR="00BB52D7" w:rsidRDefault="00E33AE6">
      <w:pPr>
        <w:ind w:left="846" w:right="843"/>
      </w:pPr>
      <w:r>
        <w:lastRenderedPageBreak/>
        <w:t xml:space="preserve">Several respondents of the ESMA consultation mentioned the difficulty of providing precise data and additional costs associated with the phase-out of overlapping memberships in </w:t>
      </w:r>
      <w:r>
        <w:t xml:space="preserve">both entities' management bodies. Other respondents mentioned that costs would be incurred and would be linked, inter alia, to the need to – at a minimum – appoint new personnel and remove existing personnel.  </w:t>
      </w:r>
    </w:p>
    <w:p w:rsidR="00BB52D7" w:rsidRDefault="00E33AE6">
      <w:pPr>
        <w:ind w:left="846" w:right="843"/>
      </w:pPr>
      <w:r>
        <w:t xml:space="preserve">However, a number of respondents (including, </w:t>
      </w:r>
      <w:r>
        <w:t>banks, management companies and depositaries) also mention that the rule against "double membership" is likely to lead to only limited additional costs, especially if the alleviations proposed in the case of "dual board" entities would apply. In addition s</w:t>
      </w:r>
      <w:r>
        <w:t xml:space="preserve">ome Member’s States such as Spain have already a prohibition of double membership. This prohibition of double membership in Spain has not resulted in management companies or depositaries facing substantial additional cost burdens.  </w:t>
      </w:r>
    </w:p>
    <w:p w:rsidR="00BB52D7" w:rsidRDefault="00E33AE6">
      <w:pPr>
        <w:ind w:left="846" w:right="843"/>
      </w:pPr>
      <w:r>
        <w:t>Certain depositaries wh</w:t>
      </w:r>
      <w:r>
        <w:t xml:space="preserve">ich are part of the same group as the UCITS management/investment company would have to make, sometimes significant, changes to their board. They will, for example in some cases, have to replace half of the members of the management body of the depositary </w:t>
      </w:r>
      <w:r>
        <w:t xml:space="preserve">or management company. On the other hand, avoiding overlapping membership provides a non-tangible reward as investors' confidence in the group entity is strengthened. </w:t>
      </w:r>
    </w:p>
    <w:p w:rsidR="00BB52D7" w:rsidRDefault="00E33AE6">
      <w:pPr>
        <w:spacing w:after="298"/>
        <w:ind w:left="846" w:right="843"/>
      </w:pPr>
      <w:r>
        <w:t>The appointment of additional board members would, as mentioned above be confined to the annual cost of remunerating a director. The remuneration of a director (whether independent or not) amounts to between €10,000 and €30,000. Taking into account the wor</w:t>
      </w:r>
      <w:r>
        <w:t xml:space="preserve">st case scenario mentioned above (half of the members of both entities' board have to be replaced), the additional cost for small boards (comprising three of four members) or large boards (comprising five to seven members) would, on average, not exceed:  </w:t>
      </w:r>
    </w:p>
    <w:p w:rsidR="00BB52D7" w:rsidRDefault="00E33AE6">
      <w:pPr>
        <w:numPr>
          <w:ilvl w:val="0"/>
          <w:numId w:val="10"/>
        </w:numPr>
        <w:spacing w:after="298"/>
        <w:ind w:right="843" w:hanging="360"/>
      </w:pPr>
      <w:r>
        <w:t xml:space="preserve">€ 80,000 annually for small boards which need to appoint a maximum two replacements for each board </w:t>
      </w:r>
    </w:p>
    <w:p w:rsidR="00BB52D7" w:rsidRDefault="00E33AE6">
      <w:pPr>
        <w:numPr>
          <w:ilvl w:val="0"/>
          <w:numId w:val="10"/>
        </w:numPr>
        <w:ind w:right="843" w:hanging="360"/>
      </w:pPr>
      <w:r>
        <w:t xml:space="preserve">€ 120,000 for large boards which need to appoint a maximum average of three replacements on each board.  </w:t>
      </w:r>
    </w:p>
    <w:p w:rsidR="00BB52D7" w:rsidRDefault="00E33AE6">
      <w:pPr>
        <w:ind w:left="846" w:right="843"/>
      </w:pPr>
      <w:r>
        <w:t xml:space="preserve">In addition, </w:t>
      </w:r>
      <w:r>
        <w:rPr>
          <w:b/>
        </w:rPr>
        <w:t>Option 1.2</w:t>
      </w:r>
      <w:r>
        <w:t xml:space="preserve"> takes into account the spe</w:t>
      </w:r>
      <w:r>
        <w:t xml:space="preserve">cial situation of "dual board" entities where two boards (a management and a supervisory board) would need to be staffed with entirely different directors. In extreme cases, </w:t>
      </w:r>
      <w:r>
        <w:rPr>
          <w:b/>
        </w:rPr>
        <w:t>Option 1.2</w:t>
      </w:r>
      <w:r>
        <w:t xml:space="preserve"> could cause costs of up to € 420,000 per year (assuming that each entit</w:t>
      </w:r>
      <w:r>
        <w:t xml:space="preserve">y has to staff two boards comprising seven members and that hitherto both boards where staffed with identical persons). </w:t>
      </w:r>
      <w:r>
        <w:rPr>
          <w:b/>
        </w:rPr>
        <w:t>Option 1.2</w:t>
      </w:r>
      <w:r>
        <w:t xml:space="preserve"> will mitigate the potentially high cost inherent in such a requirement by stating that the supervisory board of one entity (e</w:t>
      </w:r>
      <w:r>
        <w:t xml:space="preserve">.g., the asset manager or the depositary) would only need to comprise at least </w:t>
      </w:r>
      <w:r>
        <w:rPr>
          <w:u w:val="single" w:color="000000"/>
        </w:rPr>
        <w:t>five directors</w:t>
      </w:r>
      <w:r>
        <w:t xml:space="preserve"> which are not represented on the board of the other entity (e.g., the depositary or the management company). Therefore, if management and supervisory boards are d</w:t>
      </w:r>
      <w:r>
        <w:t xml:space="preserve">istinct in both the asset manager and the depositary, additional cost at supervisory board level should be at maximum € 150,000 (= five new directors).  </w:t>
      </w:r>
    </w:p>
    <w:p w:rsidR="00BB52D7" w:rsidRDefault="00E33AE6">
      <w:pPr>
        <w:ind w:left="846" w:right="843"/>
      </w:pPr>
      <w:r>
        <w:t xml:space="preserve">In addition, the "dual board" alleviation is not conducive to reducing investor protection because in </w:t>
      </w:r>
      <w:r>
        <w:t xml:space="preserve">a two tier system the supervisory board carries out an independent control over the management board. The supervisory board effectively introduces an additional layer of scrutiny as it nominates and selects or dismisses the members of the management board </w:t>
      </w:r>
      <w:r>
        <w:t xml:space="preserve">and approves </w:t>
      </w:r>
      <w:r>
        <w:lastRenderedPageBreak/>
        <w:t>the latters' strategic plan</w:t>
      </w:r>
      <w:r>
        <w:rPr>
          <w:vertAlign w:val="superscript"/>
        </w:rPr>
        <w:footnoteReference w:id="52"/>
      </w:r>
      <w:r>
        <w:t xml:space="preserve">. The supervisory board is a serious layer of control as its members are separately liable vis-à-vis the company for any breach of their supervisory duties. </w:t>
      </w:r>
    </w:p>
    <w:p w:rsidR="00BB52D7" w:rsidRDefault="00E33AE6">
      <w:pPr>
        <w:ind w:left="846" w:right="843"/>
      </w:pPr>
      <w:r>
        <w:t>The Commission's services therefore deem that the above m</w:t>
      </w:r>
      <w:r>
        <w:t xml:space="preserve">entioned cost estimates provide a comprehensive picture of additional costs inherent in </w:t>
      </w:r>
      <w:r>
        <w:rPr>
          <w:b/>
        </w:rPr>
        <w:t>Option 1.2</w:t>
      </w:r>
      <w:r>
        <w:t xml:space="preserve">. </w:t>
      </w:r>
    </w:p>
    <w:p w:rsidR="00BB52D7" w:rsidRDefault="00E33AE6">
      <w:pPr>
        <w:ind w:left="846" w:right="843"/>
      </w:pPr>
      <w:r>
        <w:rPr>
          <w:b/>
        </w:rPr>
        <w:t>Options 1.3 and 1.4</w:t>
      </w:r>
      <w:r>
        <w:t xml:space="preserve">, while providing more flexibility to the industry, would not provide an enforceable level of safeguards against potential conflicts of </w:t>
      </w:r>
      <w:r>
        <w:t>interests. Under the two other options, it would be difficult to determine the limits imposed to the decision-making capacity of the members of the management body and, therefore, it may be difficult for supervisors to enforce the rule. Finally, as the app</w:t>
      </w:r>
      <w:r>
        <w:t xml:space="preserve">lication of these options will be contingent on a case-bycase assessment, the rule risks not being transparent to both investors and supervisors. </w:t>
      </w:r>
      <w:r>
        <w:rPr>
          <w:b/>
        </w:rPr>
        <w:t>Options 1.3 and 1.4.</w:t>
      </w:r>
      <w:r>
        <w:t xml:space="preserve"> will not, therefore, provide sufficient safeguards as to the absence of conflicts of inte</w:t>
      </w:r>
      <w:r>
        <w:t xml:space="preserve">rest to UCITS investors.  </w:t>
      </w:r>
    </w:p>
    <w:p w:rsidR="00BB52D7" w:rsidRDefault="00E33AE6">
      <w:pPr>
        <w:ind w:left="846" w:right="843"/>
      </w:pPr>
      <w:r>
        <w:rPr>
          <w:b/>
        </w:rPr>
        <w:t xml:space="preserve">Options 1.3. and 1.4. </w:t>
      </w:r>
      <w:r>
        <w:t>also do not provide the same degree of investor protection as to the absence of potential conflicts of interest. Especially the fact that members of both entities' boards would still overlap would entail a h</w:t>
      </w:r>
      <w:r>
        <w:t>eightened risk that the entities would not act independently of each other and disregard the interests of UCITS investors in favour of corporate interests. These options would therefore not provide a requisite level of certainty that the boards of the mana</w:t>
      </w:r>
      <w:r>
        <w:t xml:space="preserve">gement company and that of the depositary act independently.  </w:t>
      </w:r>
    </w:p>
    <w:p w:rsidR="00BB52D7" w:rsidRDefault="00E33AE6">
      <w:pPr>
        <w:ind w:left="846" w:right="843"/>
      </w:pPr>
      <w:r>
        <w:t xml:space="preserve">Moreover, </w:t>
      </w:r>
      <w:r>
        <w:rPr>
          <w:b/>
        </w:rPr>
        <w:t>Option 1.4</w:t>
      </w:r>
      <w:r>
        <w:t xml:space="preserve"> seems especially ineffective in preventing conflicts of interests as the as personal shareholdings held by individual board members are difficult to apprehend and subject t</w:t>
      </w:r>
      <w:r>
        <w:t xml:space="preserve">o frequent change.   </w:t>
      </w:r>
    </w:p>
    <w:p w:rsidR="00BB52D7" w:rsidRDefault="00E33AE6">
      <w:pPr>
        <w:ind w:left="846" w:right="843"/>
      </w:pPr>
      <w:r>
        <w:t xml:space="preserve">In light of these considerations </w:t>
      </w:r>
      <w:r>
        <w:rPr>
          <w:b/>
        </w:rPr>
        <w:t>Option 1.2</w:t>
      </w:r>
      <w:r>
        <w:t xml:space="preserve"> is the preferred option. </w:t>
      </w:r>
    </w:p>
    <w:p w:rsidR="00BB52D7" w:rsidRDefault="00E33AE6">
      <w:pPr>
        <w:pStyle w:val="Heading5"/>
        <w:ind w:left="846" w:right="488"/>
      </w:pPr>
      <w:r>
        <w:t>Table 5 - Independence requirement – common management- comparison of options</w:t>
      </w:r>
      <w:r>
        <w:rPr>
          <w:u w:val="none"/>
        </w:rPr>
        <w:t xml:space="preserve">  </w:t>
      </w:r>
    </w:p>
    <w:tbl>
      <w:tblPr>
        <w:tblStyle w:val="TableGrid"/>
        <w:tblW w:w="9066" w:type="dxa"/>
        <w:tblInd w:w="794" w:type="dxa"/>
        <w:tblCellMar>
          <w:top w:w="9" w:type="dxa"/>
          <w:left w:w="56" w:type="dxa"/>
          <w:bottom w:w="0" w:type="dxa"/>
          <w:right w:w="34" w:type="dxa"/>
        </w:tblCellMar>
        <w:tblLook w:val="04A0" w:firstRow="1" w:lastRow="0" w:firstColumn="1" w:lastColumn="0" w:noHBand="0" w:noVBand="1"/>
      </w:tblPr>
      <w:tblGrid>
        <w:gridCol w:w="4876"/>
        <w:gridCol w:w="1702"/>
        <w:gridCol w:w="2488"/>
      </w:tblGrid>
      <w:tr w:rsidR="00BB52D7">
        <w:trPr>
          <w:trHeight w:val="280"/>
        </w:trPr>
        <w:tc>
          <w:tcPr>
            <w:tcW w:w="4876"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b/>
              </w:rPr>
              <w:t xml:space="preserve"> </w:t>
            </w:r>
          </w:p>
          <w:p w:rsidR="00BB52D7" w:rsidRDefault="00E33AE6">
            <w:pPr>
              <w:spacing w:after="0" w:line="259" w:lineRule="auto"/>
              <w:ind w:left="0" w:firstLine="0"/>
              <w:jc w:val="left"/>
            </w:pPr>
            <w:r>
              <w:rPr>
                <w:b/>
              </w:rPr>
              <w:t xml:space="preserve"> </w:t>
            </w:r>
          </w:p>
        </w:tc>
        <w:tc>
          <w:tcPr>
            <w:tcW w:w="1702" w:type="dxa"/>
            <w:tcBorders>
              <w:top w:val="single" w:sz="4" w:space="0" w:color="000000"/>
              <w:left w:val="single" w:sz="4" w:space="0" w:color="000000"/>
              <w:bottom w:val="nil"/>
              <w:right w:val="single" w:sz="4" w:space="0" w:color="000000"/>
            </w:tcBorders>
            <w:shd w:val="clear" w:color="auto" w:fill="D9D9D9"/>
          </w:tcPr>
          <w:p w:rsidR="00BB52D7" w:rsidRDefault="00E33AE6">
            <w:pPr>
              <w:spacing w:after="0" w:line="259" w:lineRule="auto"/>
              <w:ind w:left="128" w:firstLine="0"/>
              <w:jc w:val="left"/>
            </w:pPr>
            <w:r>
              <w:rPr>
                <w:b/>
              </w:rPr>
              <w:t xml:space="preserve">Effectiveness </w:t>
            </w:r>
          </w:p>
        </w:tc>
        <w:tc>
          <w:tcPr>
            <w:tcW w:w="2488"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2" w:firstLine="0"/>
              <w:jc w:val="center"/>
            </w:pPr>
            <w:r>
              <w:rPr>
                <w:b/>
              </w:rPr>
              <w:t xml:space="preserve">Efficiency </w:t>
            </w:r>
          </w:p>
          <w:p w:rsidR="00BB52D7" w:rsidRDefault="00E33AE6">
            <w:pPr>
              <w:spacing w:after="0" w:line="259" w:lineRule="auto"/>
              <w:ind w:left="0" w:firstLine="0"/>
              <w:jc w:val="center"/>
            </w:pPr>
            <w:r>
              <w:rPr>
                <w:b/>
              </w:rPr>
              <w:t xml:space="preserve">Limiting administrative burden </w:t>
            </w:r>
          </w:p>
        </w:tc>
      </w:tr>
      <w:tr w:rsidR="00BB52D7">
        <w:trPr>
          <w:trHeight w:val="556"/>
        </w:trPr>
        <w:tc>
          <w:tcPr>
            <w:tcW w:w="0" w:type="auto"/>
            <w:vMerge/>
            <w:tcBorders>
              <w:top w:val="nil"/>
              <w:left w:val="single" w:sz="4" w:space="0" w:color="000000"/>
              <w:bottom w:val="single" w:sz="4" w:space="0" w:color="000000"/>
              <w:right w:val="single" w:sz="4" w:space="0" w:color="000000"/>
            </w:tcBorders>
            <w:vAlign w:val="center"/>
          </w:tcPr>
          <w:p w:rsidR="00BB52D7" w:rsidRDefault="00BB52D7">
            <w:pPr>
              <w:spacing w:after="160" w:line="259" w:lineRule="auto"/>
              <w:ind w:left="0" w:firstLine="0"/>
              <w:jc w:val="left"/>
            </w:pPr>
          </w:p>
        </w:tc>
        <w:tc>
          <w:tcPr>
            <w:tcW w:w="1702" w:type="dxa"/>
            <w:tcBorders>
              <w:top w:val="nil"/>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center"/>
            </w:pPr>
            <w:r>
              <w:rPr>
                <w:b/>
              </w:rPr>
              <w:t xml:space="preserve">Investor protection  </w:t>
            </w:r>
          </w:p>
        </w:tc>
        <w:tc>
          <w:tcPr>
            <w:tcW w:w="0" w:type="auto"/>
            <w:vMerge/>
            <w:tcBorders>
              <w:top w:val="nil"/>
              <w:left w:val="single" w:sz="4" w:space="0" w:color="000000"/>
              <w:bottom w:val="single" w:sz="4" w:space="0" w:color="000000"/>
              <w:right w:val="single" w:sz="4" w:space="0" w:color="000000"/>
            </w:tcBorders>
            <w:vAlign w:val="center"/>
          </w:tcPr>
          <w:p w:rsidR="00BB52D7" w:rsidRDefault="00BB52D7">
            <w:pPr>
              <w:spacing w:after="160" w:line="259" w:lineRule="auto"/>
              <w:ind w:left="0" w:firstLine="0"/>
              <w:jc w:val="left"/>
            </w:pPr>
          </w:p>
        </w:tc>
      </w:tr>
      <w:tr w:rsidR="00BB52D7">
        <w:trPr>
          <w:trHeight w:val="287"/>
        </w:trPr>
        <w:tc>
          <w:tcPr>
            <w:tcW w:w="48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Option 1.2: strict prohibition </w:t>
            </w:r>
          </w:p>
        </w:tc>
        <w:tc>
          <w:tcPr>
            <w:tcW w:w="17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3" w:firstLine="0"/>
              <w:jc w:val="center"/>
            </w:pPr>
            <w:r>
              <w:rPr>
                <w:b/>
              </w:rPr>
              <w:t xml:space="preserve">++ </w:t>
            </w:r>
          </w:p>
        </w:tc>
        <w:tc>
          <w:tcPr>
            <w:tcW w:w="248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2" w:firstLine="0"/>
              <w:jc w:val="center"/>
            </w:pPr>
            <w:r>
              <w:rPr>
                <w:b/>
              </w:rPr>
              <w:t xml:space="preserve">-- </w:t>
            </w:r>
          </w:p>
        </w:tc>
      </w:tr>
      <w:tr w:rsidR="00BB52D7">
        <w:trPr>
          <w:trHeight w:val="287"/>
        </w:trPr>
        <w:tc>
          <w:tcPr>
            <w:tcW w:w="48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Option 1.3: limits on members </w:t>
            </w:r>
          </w:p>
        </w:tc>
        <w:tc>
          <w:tcPr>
            <w:tcW w:w="17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2" w:firstLine="0"/>
              <w:jc w:val="center"/>
            </w:pPr>
            <w:r>
              <w:t xml:space="preserve">+ </w:t>
            </w:r>
          </w:p>
        </w:tc>
        <w:tc>
          <w:tcPr>
            <w:tcW w:w="248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3" w:firstLine="0"/>
              <w:jc w:val="center"/>
            </w:pPr>
            <w:r>
              <w:t xml:space="preserve">- </w:t>
            </w:r>
          </w:p>
        </w:tc>
      </w:tr>
      <w:tr w:rsidR="00BB52D7">
        <w:trPr>
          <w:trHeight w:val="562"/>
        </w:trPr>
        <w:tc>
          <w:tcPr>
            <w:tcW w:w="48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Option 1.4: prohibit any member from having shareholding linked </w:t>
            </w:r>
          </w:p>
        </w:tc>
        <w:tc>
          <w:tcPr>
            <w:tcW w:w="17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2" w:firstLine="0"/>
              <w:jc w:val="center"/>
            </w:pPr>
            <w:r>
              <w:t xml:space="preserve">+ </w:t>
            </w:r>
          </w:p>
        </w:tc>
        <w:tc>
          <w:tcPr>
            <w:tcW w:w="248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3" w:firstLine="0"/>
              <w:jc w:val="center"/>
            </w:pPr>
            <w:r>
              <w:t xml:space="preserve">- </w:t>
            </w:r>
          </w:p>
        </w:tc>
      </w:tr>
    </w:tbl>
    <w:p w:rsidR="00BB52D7" w:rsidRDefault="00E33AE6">
      <w:pPr>
        <w:spacing w:after="214" w:line="264" w:lineRule="auto"/>
        <w:ind w:left="846" w:right="9"/>
        <w:jc w:val="left"/>
      </w:pPr>
      <w:r>
        <w:rPr>
          <w:i/>
          <w:sz w:val="20"/>
        </w:rPr>
        <w:t xml:space="preserve">Magnitude of impact as compared with the baseline scenario: ++strongly positive; + positive; - - strongly negative;- negative; ≈marginal; ? uncertain; n.a. not applicable. </w:t>
      </w:r>
      <w:r>
        <w:rPr>
          <w:b/>
        </w:rPr>
        <w:t xml:space="preserve"> </w:t>
      </w:r>
    </w:p>
    <w:p w:rsidR="00BB52D7" w:rsidRDefault="00E33AE6">
      <w:pPr>
        <w:pStyle w:val="Heading2"/>
        <w:spacing w:after="229"/>
        <w:ind w:right="0"/>
        <w:jc w:val="both"/>
      </w:pPr>
      <w:bookmarkStart w:id="19" w:name="_Toc240979"/>
      <w:r>
        <w:rPr>
          <w:i w:val="0"/>
          <w:u w:val="none"/>
        </w:rPr>
        <w:t xml:space="preserve">6.2. Choice of preferred option to address conflicts that arise when managers and </w:t>
      </w:r>
      <w:bookmarkEnd w:id="19"/>
    </w:p>
    <w:p w:rsidR="00BB52D7" w:rsidRDefault="00E33AE6">
      <w:pPr>
        <w:pStyle w:val="Heading3"/>
        <w:spacing w:after="229"/>
        <w:ind w:right="0"/>
        <w:jc w:val="both"/>
      </w:pPr>
      <w:bookmarkStart w:id="20" w:name="_Toc240980"/>
      <w:r>
        <w:rPr>
          <w:i w:val="0"/>
          <w:u w:val="none"/>
        </w:rPr>
        <w:t xml:space="preserve">depositaries have corporate links or belong to the same group  </w:t>
      </w:r>
      <w:bookmarkEnd w:id="20"/>
    </w:p>
    <w:p w:rsidR="00BB52D7" w:rsidRDefault="00E33AE6">
      <w:pPr>
        <w:spacing w:after="175" w:line="259" w:lineRule="auto"/>
        <w:ind w:left="861"/>
        <w:jc w:val="left"/>
      </w:pPr>
      <w:r>
        <w:rPr>
          <w:i/>
          <w:u w:val="single" w:color="000000"/>
        </w:rPr>
        <w:t>Effectiveness</w:t>
      </w:r>
      <w:r>
        <w:rPr>
          <w:i/>
        </w:rPr>
        <w:t xml:space="preserve"> </w:t>
      </w:r>
    </w:p>
    <w:p w:rsidR="00BB52D7" w:rsidRDefault="00E33AE6">
      <w:pPr>
        <w:spacing w:after="190"/>
        <w:ind w:left="846" w:right="843"/>
      </w:pPr>
      <w:r>
        <w:t xml:space="preserve">While </w:t>
      </w:r>
      <w:r>
        <w:rPr>
          <w:b/>
        </w:rPr>
        <w:t>Option 2.2</w:t>
      </w:r>
      <w:r>
        <w:t xml:space="preserve"> might be conducive toward fostering independent behaviour between a management/investment company and its depositary/third party to whom the custody has been </w:t>
      </w:r>
      <w:r>
        <w:lastRenderedPageBreak/>
        <w:t>d</w:t>
      </w:r>
      <w:r>
        <w:t>elegated, structural separation by itself falls short of addressing other more relevant "channels of influence", such as: (1) identity of individuals sitting on both entities' governing boards or (2) personal links that exist when board members in one enti</w:t>
      </w:r>
      <w:r>
        <w:t xml:space="preserve">ty have personal or contractual links to the other entity or the group company. </w:t>
      </w:r>
      <w:r>
        <w:rPr>
          <w:b/>
        </w:rPr>
        <w:t>Option 2.2</w:t>
      </w:r>
      <w:r>
        <w:t xml:space="preserve"> .would therefore has to be complemented to measures akin to those that constitute </w:t>
      </w:r>
      <w:r>
        <w:rPr>
          <w:b/>
        </w:rPr>
        <w:t xml:space="preserve">Option 1.2 </w:t>
      </w:r>
      <w:r>
        <w:t xml:space="preserve">(dual membership) and </w:t>
      </w:r>
      <w:r>
        <w:rPr>
          <w:b/>
        </w:rPr>
        <w:t xml:space="preserve">Option 2.3 </w:t>
      </w:r>
      <w:r>
        <w:t xml:space="preserve">(corporate governance safeguards).  </w:t>
      </w:r>
    </w:p>
    <w:p w:rsidR="00BB52D7" w:rsidRDefault="00E33AE6">
      <w:pPr>
        <w:spacing w:after="187"/>
        <w:ind w:left="846" w:right="843"/>
      </w:pPr>
      <w:r>
        <w:rPr>
          <w:b/>
        </w:rPr>
        <w:t>Op</w:t>
      </w:r>
      <w:r>
        <w:rPr>
          <w:b/>
        </w:rPr>
        <w:t>tion 2.2</w:t>
      </w:r>
      <w:r>
        <w:t xml:space="preserve"> does not prevent the possibility of one entity or the group to exert decisive influence by virtue of the ability to appoint affiliated directors or members</w:t>
      </w:r>
      <w:r>
        <w:rPr>
          <w:vertAlign w:val="superscript"/>
        </w:rPr>
        <w:footnoteReference w:id="53"/>
      </w:r>
      <w:r>
        <w:t xml:space="preserve"> to the board of the other entity. In light of these shortfalls, addressing potential confl</w:t>
      </w:r>
      <w:r>
        <w:t xml:space="preserve">icts of interest by means of structural separation alone is deemed insufficient. </w:t>
      </w:r>
    </w:p>
    <w:p w:rsidR="00BB52D7" w:rsidRDefault="00E33AE6">
      <w:pPr>
        <w:ind w:left="846" w:right="843"/>
      </w:pPr>
      <w:r>
        <w:rPr>
          <w:b/>
        </w:rPr>
        <w:t>Option 2.3</w:t>
      </w:r>
      <w:r>
        <w:t xml:space="preserve"> will provide the additional safeguards aimed at avoiding conflicts of interest, increasing transparency to investors and strengthening the independence of the gove</w:t>
      </w:r>
      <w:r>
        <w:t xml:space="preserve">rning bodies of the two entities that display corporate links or belong to a corporate group. </w:t>
      </w:r>
      <w:r>
        <w:rPr>
          <w:b/>
        </w:rPr>
        <w:t>Option 2.3</w:t>
      </w:r>
      <w:r>
        <w:t xml:space="preserve"> will address the above mentioned conflicts of interests/risks that might result out of crossshareholdings and group membership in the following manner:</w:t>
      </w:r>
      <w:r>
        <w:t xml:space="preserve"> </w:t>
      </w:r>
    </w:p>
    <w:p w:rsidR="00BB52D7" w:rsidRDefault="00E33AE6">
      <w:pPr>
        <w:spacing w:after="0" w:line="259" w:lineRule="auto"/>
        <w:ind w:left="851" w:firstLine="0"/>
        <w:jc w:val="left"/>
      </w:pPr>
      <w:r>
        <w:t xml:space="preserve"> </w:t>
      </w:r>
    </w:p>
    <w:p w:rsidR="00BB52D7" w:rsidRDefault="00E33AE6">
      <w:pPr>
        <w:spacing w:after="0" w:line="259" w:lineRule="auto"/>
        <w:ind w:left="851" w:firstLine="0"/>
        <w:jc w:val="left"/>
      </w:pPr>
      <w:r>
        <w:t xml:space="preserve"> </w:t>
      </w:r>
    </w:p>
    <w:tbl>
      <w:tblPr>
        <w:tblStyle w:val="TableGrid"/>
        <w:tblW w:w="9605" w:type="dxa"/>
        <w:tblInd w:w="744" w:type="dxa"/>
        <w:tblCellMar>
          <w:top w:w="8" w:type="dxa"/>
          <w:left w:w="0" w:type="dxa"/>
          <w:bottom w:w="0" w:type="dxa"/>
          <w:right w:w="62" w:type="dxa"/>
        </w:tblCellMar>
        <w:tblLook w:val="04A0" w:firstRow="1" w:lastRow="0" w:firstColumn="1" w:lastColumn="0" w:noHBand="0" w:noVBand="1"/>
      </w:tblPr>
      <w:tblGrid>
        <w:gridCol w:w="1267"/>
        <w:gridCol w:w="258"/>
        <w:gridCol w:w="1843"/>
        <w:gridCol w:w="2976"/>
        <w:gridCol w:w="3261"/>
      </w:tblGrid>
      <w:tr w:rsidR="00BB52D7">
        <w:trPr>
          <w:trHeight w:val="421"/>
        </w:trPr>
        <w:tc>
          <w:tcPr>
            <w:tcW w:w="1524" w:type="dxa"/>
            <w:gridSpan w:val="2"/>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b/>
                <w:sz w:val="18"/>
              </w:rPr>
              <w:t xml:space="preserve">Risk/ Conflict of interest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firstLine="0"/>
              <w:jc w:val="left"/>
            </w:pPr>
            <w:r>
              <w:rPr>
                <w:b/>
                <w:sz w:val="18"/>
              </w:rPr>
              <w:t xml:space="preserve">Description </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right="1" w:firstLine="0"/>
              <w:jc w:val="left"/>
            </w:pPr>
            <w:r>
              <w:rPr>
                <w:b/>
                <w:sz w:val="18"/>
              </w:rPr>
              <w:t xml:space="preserve">How the preferred Option will cover this risk? </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firstLine="0"/>
              <w:jc w:val="left"/>
            </w:pPr>
            <w:r>
              <w:rPr>
                <w:b/>
                <w:sz w:val="18"/>
              </w:rPr>
              <w:t xml:space="preserve">Additional safeguards </w:t>
            </w:r>
          </w:p>
        </w:tc>
      </w:tr>
      <w:tr w:rsidR="00BB52D7">
        <w:trPr>
          <w:trHeight w:val="3117"/>
        </w:trPr>
        <w:tc>
          <w:tcPr>
            <w:tcW w:w="1524"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18"/>
              </w:rPr>
              <w:t xml:space="preserve">Fraud Risk </w:t>
            </w:r>
          </w:p>
        </w:tc>
        <w:tc>
          <w:tcPr>
            <w:tcW w:w="1843" w:type="dxa"/>
            <w:tcBorders>
              <w:top w:val="single" w:sz="4" w:space="0" w:color="000000"/>
              <w:left w:val="single" w:sz="4" w:space="0" w:color="000000"/>
              <w:bottom w:val="single" w:sz="4" w:space="0" w:color="000000"/>
              <w:right w:val="single" w:sz="4" w:space="0" w:color="000000"/>
            </w:tcBorders>
          </w:tcPr>
          <w:p w:rsidR="00BB52D7" w:rsidRDefault="00E33AE6">
            <w:pPr>
              <w:spacing w:after="1" w:line="238" w:lineRule="auto"/>
              <w:ind w:left="1" w:right="46" w:firstLine="0"/>
            </w:pPr>
            <w:r>
              <w:rPr>
                <w:sz w:val="18"/>
              </w:rPr>
              <w:t xml:space="preserve">Avoid irregularities in the accounts to be unreported to the </w:t>
            </w:r>
          </w:p>
          <w:p w:rsidR="00BB52D7" w:rsidRDefault="00E33AE6">
            <w:pPr>
              <w:spacing w:after="0" w:line="259" w:lineRule="auto"/>
              <w:ind w:left="1" w:firstLine="0"/>
              <w:jc w:val="left"/>
            </w:pPr>
            <w:r>
              <w:rPr>
                <w:sz w:val="18"/>
              </w:rPr>
              <w:t xml:space="preserve">competent authorities </w:t>
            </w:r>
          </w:p>
        </w:tc>
        <w:tc>
          <w:tcPr>
            <w:tcW w:w="2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3" w:lineRule="auto"/>
              <w:ind w:left="1" w:right="45" w:firstLine="0"/>
            </w:pPr>
            <w:r>
              <w:rPr>
                <w:b/>
                <w:sz w:val="18"/>
              </w:rPr>
              <w:t>Option 2.3</w:t>
            </w:r>
            <w:r>
              <w:rPr>
                <w:sz w:val="18"/>
              </w:rPr>
              <w:t xml:space="preserve"> </w:t>
            </w:r>
            <w:r>
              <w:rPr>
                <w:sz w:val="18"/>
              </w:rPr>
              <w:t>requires management body to have one-third or at least two independent members sitting on both boards in the case belong to the same group. Independent members, on account of their duties and liability in case of failure to execute these duties</w:t>
            </w:r>
            <w:r>
              <w:rPr>
                <w:sz w:val="18"/>
                <w:vertAlign w:val="superscript"/>
              </w:rPr>
              <w:footnoteReference w:id="54"/>
            </w:r>
            <w:r>
              <w:rPr>
                <w:sz w:val="18"/>
              </w:rPr>
              <w:t xml:space="preserve">, are a safeguard against irregularities going unreported. </w:t>
            </w:r>
          </w:p>
          <w:p w:rsidR="00BB52D7" w:rsidRDefault="00E33AE6">
            <w:pPr>
              <w:spacing w:after="0" w:line="259" w:lineRule="auto"/>
              <w:ind w:left="1" w:firstLine="0"/>
              <w:jc w:val="left"/>
            </w:pPr>
            <w:r>
              <w:rPr>
                <w:sz w:val="18"/>
              </w:rPr>
              <w:t xml:space="preserve"> </w:t>
            </w:r>
          </w:p>
          <w:p w:rsidR="00BB52D7" w:rsidRDefault="00E33AE6">
            <w:pPr>
              <w:spacing w:after="0" w:line="259" w:lineRule="auto"/>
              <w:ind w:left="1" w:right="46" w:firstLine="0"/>
            </w:pPr>
            <w:r>
              <w:rPr>
                <w:b/>
                <w:sz w:val="18"/>
              </w:rPr>
              <w:t>Option 1.2</w:t>
            </w:r>
            <w:r>
              <w:rPr>
                <w:sz w:val="18"/>
              </w:rPr>
              <w:t xml:space="preserve"> is complementary to </w:t>
            </w:r>
            <w:r>
              <w:rPr>
                <w:b/>
                <w:sz w:val="18"/>
              </w:rPr>
              <w:t>Option 2.2</w:t>
            </w:r>
            <w:r>
              <w:rPr>
                <w:sz w:val="18"/>
              </w:rPr>
              <w:t xml:space="preserve"> as it will ensure that members who will take the decision in one board are not the same as those sitting on the other entity's board.  </w:t>
            </w:r>
          </w:p>
        </w:tc>
        <w:tc>
          <w:tcPr>
            <w:tcW w:w="3261" w:type="dxa"/>
            <w:vMerge w:val="restart"/>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25" w:line="239" w:lineRule="auto"/>
              <w:ind w:left="1" w:right="45" w:firstLine="0"/>
            </w:pPr>
            <w:r>
              <w:rPr>
                <w:sz w:val="18"/>
              </w:rPr>
              <w:t>According to national corporate governance rules, the views of independent board members cannot be ignored due to the fact that minutes of board meeting are recorded. National regulators can request access to these board minutes as part of their general su</w:t>
            </w:r>
            <w:r>
              <w:rPr>
                <w:sz w:val="18"/>
              </w:rPr>
              <w:t>pervisory powers</w:t>
            </w:r>
            <w:r>
              <w:rPr>
                <w:sz w:val="18"/>
                <w:vertAlign w:val="superscript"/>
              </w:rPr>
              <w:footnoteReference w:id="55"/>
            </w:r>
            <w:r>
              <w:rPr>
                <w:sz w:val="18"/>
              </w:rPr>
              <w:t xml:space="preserve">.  </w:t>
            </w:r>
          </w:p>
          <w:p w:rsidR="00BB52D7" w:rsidRDefault="00E33AE6">
            <w:pPr>
              <w:spacing w:after="1" w:line="238" w:lineRule="auto"/>
              <w:ind w:left="1" w:right="48" w:firstLine="0"/>
            </w:pPr>
            <w:r>
              <w:rPr>
                <w:sz w:val="18"/>
              </w:rPr>
              <w:t xml:space="preserve">A board member may also use also the whistleblowing procedure introduced by UCITS V. </w:t>
            </w:r>
          </w:p>
          <w:p w:rsidR="00BB52D7" w:rsidRDefault="00E33AE6">
            <w:pPr>
              <w:spacing w:after="0" w:line="259" w:lineRule="auto"/>
              <w:ind w:left="1" w:right="45" w:firstLine="0"/>
            </w:pPr>
            <w:r>
              <w:rPr>
                <w:sz w:val="18"/>
              </w:rPr>
              <w:t>The effectiveness of independent board members as a voice independent from either the (1) asset management company, (2) the depositary or (3) the gro</w:t>
            </w:r>
            <w:r>
              <w:rPr>
                <w:sz w:val="18"/>
              </w:rPr>
              <w:t xml:space="preserve">up entity to which both entities belong results from the fact that </w:t>
            </w:r>
            <w:r>
              <w:rPr>
                <w:sz w:val="18"/>
              </w:rPr>
              <w:lastRenderedPageBreak/>
              <w:t>the views of independent board members are recorded in the minutes of the board meeting. Depending on the gravity of the situation, the competent regulator would expect the board member who</w:t>
            </w:r>
            <w:r>
              <w:rPr>
                <w:sz w:val="18"/>
              </w:rPr>
              <w:t>se views are being ignored to inform the regulator of any concerns in compliance the new whistleblowing procedure introduced by UCITS V</w:t>
            </w:r>
            <w:r>
              <w:rPr>
                <w:sz w:val="18"/>
                <w:vertAlign w:val="superscript"/>
              </w:rPr>
              <w:footnoteReference w:id="56"/>
            </w:r>
            <w:r>
              <w:rPr>
                <w:sz w:val="18"/>
              </w:rPr>
              <w:t xml:space="preserve">. </w:t>
            </w:r>
          </w:p>
        </w:tc>
      </w:tr>
      <w:tr w:rsidR="00BB52D7">
        <w:trPr>
          <w:trHeight w:val="2848"/>
        </w:trPr>
        <w:tc>
          <w:tcPr>
            <w:tcW w:w="1524" w:type="dxa"/>
            <w:gridSpan w:val="2"/>
            <w:tcBorders>
              <w:top w:val="single" w:sz="4" w:space="0" w:color="000000"/>
              <w:left w:val="single" w:sz="4" w:space="0" w:color="000000"/>
              <w:bottom w:val="single" w:sz="4" w:space="0" w:color="000000"/>
              <w:right w:val="single" w:sz="4" w:space="0" w:color="000000"/>
            </w:tcBorders>
          </w:tcPr>
          <w:p w:rsidR="00BB52D7" w:rsidRDefault="00E33AE6">
            <w:pPr>
              <w:tabs>
                <w:tab w:val="right" w:pos="1462"/>
              </w:tabs>
              <w:spacing w:after="0" w:line="259" w:lineRule="auto"/>
              <w:ind w:left="0" w:firstLine="0"/>
              <w:jc w:val="left"/>
            </w:pPr>
            <w:r>
              <w:rPr>
                <w:sz w:val="18"/>
              </w:rPr>
              <w:lastRenderedPageBreak/>
              <w:t xml:space="preserve">Legal </w:t>
            </w:r>
            <w:r>
              <w:rPr>
                <w:sz w:val="18"/>
              </w:rPr>
              <w:tab/>
              <w:t xml:space="preserve">recourse </w:t>
            </w:r>
          </w:p>
          <w:p w:rsidR="00BB52D7" w:rsidRDefault="00E33AE6">
            <w:pPr>
              <w:spacing w:after="0" w:line="259" w:lineRule="auto"/>
              <w:ind w:left="0" w:firstLine="0"/>
              <w:jc w:val="left"/>
            </w:pPr>
            <w:r>
              <w:rPr>
                <w:sz w:val="18"/>
              </w:rPr>
              <w:t xml:space="preserve">risk </w:t>
            </w:r>
          </w:p>
        </w:tc>
        <w:tc>
          <w:tcPr>
            <w:tcW w:w="1843" w:type="dxa"/>
            <w:vMerge w:val="restart"/>
            <w:tcBorders>
              <w:top w:val="single" w:sz="4" w:space="0" w:color="000000"/>
              <w:left w:val="single" w:sz="4" w:space="0" w:color="000000"/>
              <w:bottom w:val="single" w:sz="4" w:space="0" w:color="000000"/>
              <w:right w:val="single" w:sz="4" w:space="0" w:color="000000"/>
            </w:tcBorders>
          </w:tcPr>
          <w:p w:rsidR="00BB52D7" w:rsidRDefault="00E33AE6">
            <w:pPr>
              <w:spacing w:after="0" w:line="238" w:lineRule="auto"/>
              <w:ind w:left="1" w:right="45" w:firstLine="0"/>
            </w:pPr>
            <w:r>
              <w:rPr>
                <w:sz w:val="18"/>
              </w:rPr>
              <w:t xml:space="preserve">In cases of double membership of boards, joint membership of manager and depositary in a group or cross-shareholdings between both entities, reluctance of management to take legal action when UCITS assets are lost in custody. </w:t>
            </w:r>
          </w:p>
          <w:p w:rsidR="00BB52D7" w:rsidRDefault="00E33AE6">
            <w:pPr>
              <w:spacing w:after="0" w:line="259" w:lineRule="auto"/>
              <w:ind w:left="1" w:firstLine="0"/>
              <w:jc w:val="left"/>
            </w:pPr>
            <w:r>
              <w:rPr>
                <w:sz w:val="18"/>
              </w:rPr>
              <w:t xml:space="preserve"> </w:t>
            </w:r>
          </w:p>
          <w:p w:rsidR="00BB52D7" w:rsidRDefault="00E33AE6">
            <w:pPr>
              <w:spacing w:after="0" w:line="259" w:lineRule="auto"/>
              <w:ind w:left="1" w:right="47" w:firstLine="0"/>
            </w:pPr>
            <w:r>
              <w:rPr>
                <w:sz w:val="18"/>
              </w:rPr>
              <w:t xml:space="preserve">Selection bias to favour appointing a depositary within the </w:t>
            </w:r>
          </w:p>
        </w:tc>
        <w:tc>
          <w:tcPr>
            <w:tcW w:w="2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1" w:lineRule="auto"/>
              <w:ind w:left="1" w:right="46" w:firstLine="0"/>
            </w:pPr>
            <w:r>
              <w:rPr>
                <w:rFonts w:ascii="Calibri" w:eastAsia="Calibri" w:hAnsi="Calibri" w:cs="Calibri"/>
                <w:b/>
                <w:sz w:val="18"/>
              </w:rPr>
              <w:t>Option 2.3</w:t>
            </w:r>
            <w:r>
              <w:rPr>
                <w:sz w:val="18"/>
              </w:rPr>
              <w:t xml:space="preserve"> establishes a quorum of 1/3 or 2 members which must have no links to the other entity or the corporate group to minimise the risk that adequate legal recourse is not taken.  </w:t>
            </w:r>
          </w:p>
          <w:p w:rsidR="00BB52D7" w:rsidRDefault="00E33AE6">
            <w:pPr>
              <w:spacing w:after="0" w:line="259" w:lineRule="auto"/>
              <w:ind w:left="1" w:firstLine="0"/>
              <w:jc w:val="left"/>
            </w:pPr>
            <w:r>
              <w:rPr>
                <w:sz w:val="18"/>
              </w:rPr>
              <w:t xml:space="preserve"> </w:t>
            </w:r>
          </w:p>
          <w:p w:rsidR="00BB52D7" w:rsidRDefault="00E33AE6">
            <w:pPr>
              <w:spacing w:after="0" w:line="259" w:lineRule="auto"/>
              <w:ind w:left="1" w:right="45" w:firstLine="0"/>
            </w:pPr>
            <w:r>
              <w:rPr>
                <w:sz w:val="18"/>
              </w:rPr>
              <w:t>Further</w:t>
            </w:r>
            <w:r>
              <w:rPr>
                <w:sz w:val="18"/>
              </w:rPr>
              <w:t xml:space="preserve">more, </w:t>
            </w:r>
            <w:r>
              <w:rPr>
                <w:b/>
                <w:sz w:val="18"/>
              </w:rPr>
              <w:t>Option 1.2</w:t>
            </w:r>
            <w:r>
              <w:rPr>
                <w:sz w:val="18"/>
              </w:rPr>
              <w:t xml:space="preserve"> will minimise conflicts resulting from dual membership.  </w:t>
            </w:r>
          </w:p>
        </w:tc>
        <w:tc>
          <w:tcPr>
            <w:tcW w:w="0" w:type="auto"/>
            <w:vMerge/>
            <w:tcBorders>
              <w:top w:val="nil"/>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r>
      <w:tr w:rsidR="00BB52D7">
        <w:trPr>
          <w:trHeight w:val="682"/>
        </w:trPr>
        <w:tc>
          <w:tcPr>
            <w:tcW w:w="1524" w:type="dxa"/>
            <w:gridSpan w:val="2"/>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18"/>
              </w:rPr>
              <w:t xml:space="preserve">Selection bias </w:t>
            </w:r>
          </w:p>
        </w:tc>
        <w:tc>
          <w:tcPr>
            <w:tcW w:w="0" w:type="auto"/>
            <w:vMerge/>
            <w:tcBorders>
              <w:top w:val="nil"/>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c>
          <w:tcPr>
            <w:tcW w:w="2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6" w:firstLine="0"/>
            </w:pPr>
            <w:r>
              <w:rPr>
                <w:sz w:val="18"/>
              </w:rPr>
              <w:t xml:space="preserve">In addition to the appointment of independent members, </w:t>
            </w:r>
            <w:r>
              <w:rPr>
                <w:rFonts w:ascii="Calibri" w:eastAsia="Calibri" w:hAnsi="Calibri" w:cs="Calibri"/>
                <w:b/>
                <w:sz w:val="18"/>
              </w:rPr>
              <w:t>Option 2.3</w:t>
            </w:r>
            <w:r>
              <w:rPr>
                <w:sz w:val="18"/>
              </w:rPr>
              <w:t xml:space="preserve"> establishes procedures to ensure that </w:t>
            </w:r>
          </w:p>
        </w:tc>
        <w:tc>
          <w:tcPr>
            <w:tcW w:w="326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7" w:firstLine="0"/>
            </w:pPr>
            <w:r>
              <w:rPr>
                <w:sz w:val="18"/>
              </w:rPr>
              <w:t xml:space="preserve">Additional safeguards result from the fact that records on all contacts relevant in selecting the depositary/third party must </w:t>
            </w:r>
          </w:p>
        </w:tc>
      </w:tr>
      <w:tr w:rsidR="00BB52D7">
        <w:trPr>
          <w:trHeight w:val="2700"/>
        </w:trPr>
        <w:tc>
          <w:tcPr>
            <w:tcW w:w="1267" w:type="dxa"/>
            <w:tcBorders>
              <w:top w:val="single" w:sz="4" w:space="0" w:color="000000"/>
              <w:left w:val="single" w:sz="4" w:space="0" w:color="000000"/>
              <w:bottom w:val="single" w:sz="4" w:space="0" w:color="000000"/>
              <w:right w:val="nil"/>
            </w:tcBorders>
            <w:vAlign w:val="center"/>
          </w:tcPr>
          <w:p w:rsidR="00BB52D7" w:rsidRDefault="00BB52D7">
            <w:pPr>
              <w:spacing w:after="160" w:line="259" w:lineRule="auto"/>
              <w:ind w:left="0" w:firstLine="0"/>
              <w:jc w:val="left"/>
            </w:pPr>
          </w:p>
        </w:tc>
        <w:tc>
          <w:tcPr>
            <w:tcW w:w="258" w:type="dxa"/>
            <w:tcBorders>
              <w:top w:val="single" w:sz="4" w:space="0" w:color="000000"/>
              <w:left w:val="nil"/>
              <w:bottom w:val="single" w:sz="4" w:space="0" w:color="000000"/>
              <w:right w:val="single" w:sz="4" w:space="0" w:color="000000"/>
            </w:tcBorders>
            <w:vAlign w:val="center"/>
          </w:tcPr>
          <w:p w:rsidR="00BB52D7" w:rsidRDefault="00BB52D7">
            <w:pPr>
              <w:spacing w:after="160" w:line="259" w:lineRule="auto"/>
              <w:ind w:left="0" w:firstLine="0"/>
              <w:jc w:val="left"/>
            </w:pPr>
          </w:p>
        </w:tc>
        <w:tc>
          <w:tcPr>
            <w:tcW w:w="184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7" w:right="46" w:firstLine="0"/>
            </w:pPr>
            <w:r>
              <w:rPr>
                <w:sz w:val="18"/>
              </w:rPr>
              <w:t xml:space="preserve">group, a company which is linked by cross-shareholdings or dual membership of company boards. </w:t>
            </w:r>
          </w:p>
        </w:tc>
        <w:tc>
          <w:tcPr>
            <w:tcW w:w="2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7" w:right="46" w:firstLine="0"/>
            </w:pPr>
            <w:r>
              <w:rPr>
                <w:sz w:val="18"/>
              </w:rPr>
              <w:t>the selection of depositary/third party to whom the custody has been delegated</w:t>
            </w:r>
            <w:r>
              <w:rPr>
                <w:rFonts w:ascii="Calibri" w:eastAsia="Calibri" w:hAnsi="Calibri" w:cs="Calibri"/>
                <w:sz w:val="22"/>
              </w:rPr>
              <w:t xml:space="preserve"> </w:t>
            </w:r>
            <w:r>
              <w:rPr>
                <w:sz w:val="18"/>
              </w:rPr>
              <w:t>is based on quality and price: this is an additional safeguard against selection bias. In order to make the selection process objective and transparent, the management company w</w:t>
            </w:r>
            <w:r>
              <w:rPr>
                <w:sz w:val="18"/>
              </w:rPr>
              <w:t xml:space="preserve">ill have to document the </w:t>
            </w:r>
            <w:r>
              <w:rPr>
                <w:i/>
                <w:sz w:val="18"/>
              </w:rPr>
              <w:t>ex-ante</w:t>
            </w:r>
            <w:r>
              <w:rPr>
                <w:sz w:val="18"/>
              </w:rPr>
              <w:t xml:space="preserve"> selection criteria, the steps taken in conducting the process, including all meetings, contacts and other interventions that took place in the course of this process. </w:t>
            </w:r>
          </w:p>
        </w:tc>
        <w:tc>
          <w:tcPr>
            <w:tcW w:w="326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7" w:right="46" w:firstLine="0"/>
            </w:pPr>
            <w:r>
              <w:rPr>
                <w:sz w:val="18"/>
              </w:rPr>
              <w:t>be kept after signature of the appointment</w:t>
            </w:r>
            <w:r>
              <w:rPr>
                <w:sz w:val="18"/>
                <w:vertAlign w:val="superscript"/>
              </w:rPr>
              <w:footnoteReference w:id="57"/>
            </w:r>
            <w:r>
              <w:rPr>
                <w:sz w:val="18"/>
              </w:rPr>
              <w:t xml:space="preserve"> particulars</w:t>
            </w:r>
            <w:r>
              <w:rPr>
                <w:sz w:val="18"/>
              </w:rPr>
              <w:t xml:space="preserve"> and must be made available to competent national authorities at any stage while the appointment remains in place</w:t>
            </w:r>
            <w:r>
              <w:rPr>
                <w:sz w:val="18"/>
                <w:vertAlign w:val="superscript"/>
              </w:rPr>
              <w:footnoteReference w:id="58"/>
            </w:r>
            <w:r>
              <w:rPr>
                <w:sz w:val="18"/>
              </w:rPr>
              <w:t xml:space="preserve">. </w:t>
            </w:r>
          </w:p>
        </w:tc>
      </w:tr>
      <w:tr w:rsidR="00BB52D7">
        <w:trPr>
          <w:trHeight w:val="3529"/>
        </w:trPr>
        <w:tc>
          <w:tcPr>
            <w:tcW w:w="1267" w:type="dxa"/>
            <w:tcBorders>
              <w:top w:val="single" w:sz="4" w:space="0" w:color="000000"/>
              <w:left w:val="single" w:sz="4" w:space="0" w:color="000000"/>
              <w:bottom w:val="single" w:sz="4" w:space="0" w:color="000000"/>
              <w:right w:val="nil"/>
            </w:tcBorders>
          </w:tcPr>
          <w:p w:rsidR="00BB52D7" w:rsidRDefault="00E33AE6">
            <w:pPr>
              <w:spacing w:after="0" w:line="259" w:lineRule="auto"/>
              <w:ind w:left="108" w:firstLine="0"/>
              <w:jc w:val="left"/>
            </w:pPr>
            <w:r>
              <w:rPr>
                <w:sz w:val="18"/>
              </w:rPr>
              <w:lastRenderedPageBreak/>
              <w:t xml:space="preserve">Group risk </w:t>
            </w:r>
          </w:p>
        </w:tc>
        <w:tc>
          <w:tcPr>
            <w:tcW w:w="258" w:type="dxa"/>
            <w:tcBorders>
              <w:top w:val="single" w:sz="4" w:space="0" w:color="000000"/>
              <w:left w:val="nil"/>
              <w:bottom w:val="single" w:sz="4" w:space="0" w:color="000000"/>
              <w:right w:val="single" w:sz="4" w:space="0" w:color="000000"/>
            </w:tcBorders>
          </w:tcPr>
          <w:p w:rsidR="00BB52D7" w:rsidRDefault="00BB52D7">
            <w:pPr>
              <w:spacing w:after="160" w:line="259" w:lineRule="auto"/>
              <w:ind w:left="0" w:firstLine="0"/>
              <w:jc w:val="left"/>
            </w:pPr>
          </w:p>
        </w:tc>
        <w:tc>
          <w:tcPr>
            <w:tcW w:w="184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38" w:lineRule="auto"/>
              <w:ind w:left="107" w:right="46" w:firstLine="0"/>
            </w:pPr>
            <w:r>
              <w:rPr>
                <w:sz w:val="18"/>
              </w:rPr>
              <w:t>Lower standards in asset segregation if asset manager and depositary have corporate links or belong to the same group. Risk that UCITS investment strategy is not driven by investor interest but by corporate interest of the group to which both the manager a</w:t>
            </w:r>
            <w:r>
              <w:rPr>
                <w:sz w:val="18"/>
              </w:rPr>
              <w:t xml:space="preserve">nd the </w:t>
            </w:r>
          </w:p>
          <w:p w:rsidR="00BB52D7" w:rsidRDefault="00E33AE6">
            <w:pPr>
              <w:spacing w:after="0" w:line="259" w:lineRule="auto"/>
              <w:ind w:left="107" w:firstLine="0"/>
              <w:jc w:val="left"/>
            </w:pPr>
            <w:r>
              <w:rPr>
                <w:sz w:val="18"/>
              </w:rPr>
              <w:t>depositary  belong</w:t>
            </w:r>
            <w:r>
              <w:rPr>
                <w:sz w:val="18"/>
                <w:vertAlign w:val="superscript"/>
              </w:rPr>
              <w:footnoteReference w:id="59"/>
            </w:r>
            <w:r>
              <w:rPr>
                <w:sz w:val="18"/>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38" w:lineRule="auto"/>
              <w:ind w:left="107" w:right="46" w:firstLine="0"/>
            </w:pPr>
            <w:r>
              <w:rPr>
                <w:b/>
                <w:sz w:val="18"/>
              </w:rPr>
              <w:t>Options 1.2 and 2.3</w:t>
            </w:r>
            <w:r>
              <w:rPr>
                <w:sz w:val="18"/>
              </w:rPr>
              <w:t xml:space="preserve"> rely on avoidance of double membership and a quorum of independent board members plus accompanying corporate governance requirements to minimise the risk that lower standards apply in the group scenario. </w:t>
            </w:r>
          </w:p>
          <w:p w:rsidR="00BB52D7" w:rsidRDefault="00E33AE6">
            <w:pPr>
              <w:spacing w:after="1" w:line="238" w:lineRule="auto"/>
              <w:ind w:left="107" w:right="48" w:firstLine="0"/>
            </w:pPr>
            <w:r>
              <w:rPr>
                <w:sz w:val="18"/>
              </w:rPr>
              <w:t xml:space="preserve">Governance aims to minimise the risk that the appointment of the depositary is driven by "corporate interest" or that this interest prevails over the interests of UCITS investors </w:t>
            </w:r>
          </w:p>
          <w:p w:rsidR="00BB52D7" w:rsidRDefault="00E33AE6">
            <w:pPr>
              <w:spacing w:after="0" w:line="259" w:lineRule="auto"/>
              <w:ind w:left="107" w:right="47" w:firstLine="0"/>
            </w:pPr>
            <w:r>
              <w:rPr>
                <w:sz w:val="18"/>
              </w:rPr>
              <w:t xml:space="preserve">(independent oversight that the choice of the UCITS depositary but also the </w:t>
            </w:r>
            <w:r>
              <w:rPr>
                <w:sz w:val="18"/>
              </w:rPr>
              <w:t xml:space="preserve">choice of the UCITS investment strategy are taken in the interests of those investors alone).  </w:t>
            </w:r>
          </w:p>
        </w:tc>
        <w:tc>
          <w:tcPr>
            <w:tcW w:w="3261" w:type="dxa"/>
            <w:tcBorders>
              <w:top w:val="single" w:sz="4" w:space="0" w:color="000000"/>
              <w:left w:val="single" w:sz="4" w:space="0" w:color="000000"/>
              <w:bottom w:val="single" w:sz="4" w:space="0" w:color="000000"/>
              <w:right w:val="single" w:sz="4" w:space="0" w:color="000000"/>
            </w:tcBorders>
          </w:tcPr>
          <w:p w:rsidR="00BB52D7" w:rsidRDefault="00E33AE6">
            <w:pPr>
              <w:spacing w:after="1" w:line="238" w:lineRule="auto"/>
              <w:ind w:left="107" w:right="46" w:firstLine="0"/>
            </w:pPr>
            <w:r>
              <w:rPr>
                <w:sz w:val="18"/>
              </w:rPr>
              <w:t>Additional safeguards result from the fact that national rules on corporate governance ensure that the views of an independent board member cannot be ignored. U</w:t>
            </w:r>
            <w:r>
              <w:rPr>
                <w:sz w:val="18"/>
              </w:rPr>
              <w:t>nder applicable corporate governance provisions, the views of independent board members have to be recorded in the minutes of the board meeting. The dissenting board member also has the option, and is often obliged, to inform the national competent regulat</w:t>
            </w:r>
            <w:r>
              <w:rPr>
                <w:sz w:val="18"/>
              </w:rPr>
              <w:t xml:space="preserve">or of his/her concerns (see, e.g., </w:t>
            </w:r>
          </w:p>
          <w:p w:rsidR="00BB52D7" w:rsidRDefault="00E33AE6">
            <w:pPr>
              <w:spacing w:after="0" w:line="259" w:lineRule="auto"/>
              <w:ind w:left="107" w:firstLine="0"/>
              <w:jc w:val="left"/>
            </w:pPr>
            <w:r>
              <w:rPr>
                <w:sz w:val="18"/>
              </w:rPr>
              <w:t xml:space="preserve">APER principle no 4, cited above). </w:t>
            </w:r>
          </w:p>
        </w:tc>
      </w:tr>
      <w:tr w:rsidR="00BB52D7">
        <w:trPr>
          <w:trHeight w:val="1874"/>
        </w:trPr>
        <w:tc>
          <w:tcPr>
            <w:tcW w:w="1267" w:type="dxa"/>
            <w:tcBorders>
              <w:top w:val="single" w:sz="4" w:space="0" w:color="000000"/>
              <w:left w:val="single" w:sz="4" w:space="0" w:color="000000"/>
              <w:bottom w:val="single" w:sz="4" w:space="0" w:color="000000"/>
              <w:right w:val="nil"/>
            </w:tcBorders>
          </w:tcPr>
          <w:p w:rsidR="00BB52D7" w:rsidRDefault="00E33AE6">
            <w:pPr>
              <w:spacing w:after="0" w:line="259" w:lineRule="auto"/>
              <w:ind w:left="108" w:firstLine="0"/>
              <w:jc w:val="left"/>
            </w:pPr>
            <w:r>
              <w:rPr>
                <w:sz w:val="18"/>
              </w:rPr>
              <w:t xml:space="preserve">Conflict interest </w:t>
            </w:r>
            <w:r>
              <w:rPr>
                <w:sz w:val="18"/>
              </w:rPr>
              <w:tab/>
              <w:t xml:space="preserve">due contractual commitments </w:t>
            </w:r>
          </w:p>
        </w:tc>
        <w:tc>
          <w:tcPr>
            <w:tcW w:w="258" w:type="dxa"/>
            <w:tcBorders>
              <w:top w:val="single" w:sz="4" w:space="0" w:color="000000"/>
              <w:left w:val="nil"/>
              <w:bottom w:val="single" w:sz="4" w:space="0" w:color="000000"/>
              <w:right w:val="single" w:sz="4" w:space="0" w:color="000000"/>
            </w:tcBorders>
          </w:tcPr>
          <w:p w:rsidR="00BB52D7" w:rsidRDefault="00E33AE6">
            <w:pPr>
              <w:spacing w:after="0" w:line="259" w:lineRule="auto"/>
              <w:ind w:left="10"/>
              <w:jc w:val="left"/>
            </w:pPr>
            <w:r>
              <w:rPr>
                <w:sz w:val="18"/>
              </w:rPr>
              <w:t xml:space="preserve">of to </w:t>
            </w:r>
          </w:p>
        </w:tc>
        <w:tc>
          <w:tcPr>
            <w:tcW w:w="1843" w:type="dxa"/>
            <w:tcBorders>
              <w:top w:val="single" w:sz="4" w:space="0" w:color="000000"/>
              <w:left w:val="single" w:sz="4" w:space="0" w:color="000000"/>
              <w:bottom w:val="single" w:sz="4" w:space="0" w:color="000000"/>
              <w:right w:val="single" w:sz="4" w:space="0" w:color="000000"/>
            </w:tcBorders>
          </w:tcPr>
          <w:p w:rsidR="00BB52D7" w:rsidRDefault="00E33AE6">
            <w:pPr>
              <w:tabs>
                <w:tab w:val="right" w:pos="1781"/>
              </w:tabs>
              <w:spacing w:after="0" w:line="259" w:lineRule="auto"/>
              <w:ind w:left="0" w:firstLine="0"/>
              <w:jc w:val="left"/>
            </w:pPr>
            <w:r>
              <w:rPr>
                <w:sz w:val="18"/>
              </w:rPr>
              <w:t xml:space="preserve">Board </w:t>
            </w:r>
            <w:r>
              <w:rPr>
                <w:sz w:val="18"/>
              </w:rPr>
              <w:tab/>
              <w:t xml:space="preserve">members </w:t>
            </w:r>
          </w:p>
          <w:p w:rsidR="00BB52D7" w:rsidRDefault="00E33AE6">
            <w:pPr>
              <w:spacing w:after="0" w:line="259" w:lineRule="auto"/>
              <w:ind w:left="107" w:right="46" w:firstLine="0"/>
            </w:pPr>
            <w:r>
              <w:rPr>
                <w:sz w:val="18"/>
              </w:rPr>
              <w:t>without any cross</w:t>
            </w:r>
            <w:r>
              <w:rPr>
                <w:sz w:val="18"/>
              </w:rPr>
              <w:t xml:space="preserve">shareholding or employees links may be still in situation of conflict of interest in case of business link with one of the entity or both of them. </w:t>
            </w:r>
          </w:p>
        </w:tc>
        <w:tc>
          <w:tcPr>
            <w:tcW w:w="2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07" w:right="47" w:firstLine="0"/>
            </w:pPr>
            <w:r>
              <w:rPr>
                <w:rFonts w:ascii="Calibri" w:eastAsia="Calibri" w:hAnsi="Calibri" w:cs="Calibri"/>
                <w:b/>
                <w:sz w:val="18"/>
              </w:rPr>
              <w:t>Option 2.3</w:t>
            </w:r>
            <w:r>
              <w:rPr>
                <w:sz w:val="18"/>
              </w:rPr>
              <w:t xml:space="preserve"> will not only address the problem of conflict of interest within the group inclusion structures b</w:t>
            </w:r>
            <w:r>
              <w:rPr>
                <w:sz w:val="18"/>
              </w:rPr>
              <w:t xml:space="preserve">ut also address the conflict of interest triggered by individual board members' contractual links with the other entity or the group to which both entities belong. . </w:t>
            </w:r>
          </w:p>
        </w:tc>
        <w:tc>
          <w:tcPr>
            <w:tcW w:w="326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39" w:lineRule="auto"/>
              <w:ind w:left="107" w:firstLine="0"/>
            </w:pPr>
            <w:r>
              <w:rPr>
                <w:b/>
                <w:sz w:val="18"/>
              </w:rPr>
              <w:t>Option 2.3</w:t>
            </w:r>
            <w:r>
              <w:rPr>
                <w:sz w:val="18"/>
              </w:rPr>
              <w:t xml:space="preserve"> is complementary to the new rules of Article 25.of the UCITS </w:t>
            </w:r>
          </w:p>
          <w:p w:rsidR="00BB52D7" w:rsidRDefault="00E33AE6">
            <w:pPr>
              <w:spacing w:after="0" w:line="259" w:lineRule="auto"/>
              <w:ind w:left="107" w:firstLine="0"/>
              <w:jc w:val="left"/>
            </w:pPr>
            <w:r>
              <w:rPr>
                <w:sz w:val="18"/>
              </w:rPr>
              <w:t xml:space="preserve">Directive (i.e. </w:t>
            </w:r>
            <w:r>
              <w:rPr>
                <w:sz w:val="18"/>
              </w:rPr>
              <w:t xml:space="preserve">to act honestly, fairly and professionally) </w:t>
            </w:r>
          </w:p>
        </w:tc>
      </w:tr>
    </w:tbl>
    <w:p w:rsidR="00BB52D7" w:rsidRDefault="00E33AE6">
      <w:pPr>
        <w:spacing w:after="0" w:line="259" w:lineRule="auto"/>
        <w:ind w:left="851" w:firstLine="0"/>
        <w:jc w:val="left"/>
      </w:pPr>
      <w:r>
        <w:t xml:space="preserve"> </w:t>
      </w:r>
    </w:p>
    <w:p w:rsidR="00BB52D7" w:rsidRDefault="00E33AE6">
      <w:pPr>
        <w:spacing w:after="188"/>
        <w:ind w:left="846" w:right="843"/>
      </w:pPr>
      <w:r>
        <w:t>In addition, the analysis in this impact assessment reveals that structural separation by itself risks falling short of addressing other, often more relevant, "channels of influence" in which a group entity or an entity linked by a cross-shareholding can i</w:t>
      </w:r>
      <w:r>
        <w:t>nfluence the level of investor protection. This impact assessment therefore argues that rules on persons that occupy both entities' governing boards or personal links that exist when board members in one entity have links to the other entity are a more cos</w:t>
      </w:r>
      <w:r>
        <w:t xml:space="preserve">t effective factor in assessing independent behaviour. </w:t>
      </w:r>
    </w:p>
    <w:p w:rsidR="00BB52D7" w:rsidRDefault="00E33AE6">
      <w:pPr>
        <w:spacing w:after="188"/>
        <w:ind w:left="846" w:right="843"/>
      </w:pPr>
      <w:r>
        <w:t xml:space="preserve">For example, </w:t>
      </w:r>
      <w:r>
        <w:rPr>
          <w:b/>
        </w:rPr>
        <w:t>Option 2.2</w:t>
      </w:r>
      <w:r>
        <w:t xml:space="preserve"> does not prevent the possibility of one entity or the group to exert decisive influence by virtue of contracts or by virtue of the ability to appoint affiliated directors or me</w:t>
      </w:r>
      <w:r>
        <w:t>mbers</w:t>
      </w:r>
      <w:r>
        <w:rPr>
          <w:vertAlign w:val="superscript"/>
        </w:rPr>
        <w:footnoteReference w:id="60"/>
      </w:r>
      <w:r>
        <w:t xml:space="preserve"> to the board of the other entity. In light of these shortfalls, addressing potential conflicts of interest by means of structural separation alone is deemed insufficient.  </w:t>
      </w:r>
    </w:p>
    <w:p w:rsidR="00BB52D7" w:rsidRDefault="00E33AE6">
      <w:pPr>
        <w:spacing w:after="270"/>
        <w:ind w:left="846" w:right="843"/>
      </w:pPr>
      <w:r>
        <w:t>Furthermore,</w:t>
      </w:r>
      <w:r>
        <w:rPr>
          <w:b/>
        </w:rPr>
        <w:t xml:space="preserve"> Option 2.3</w:t>
      </w:r>
      <w:r>
        <w:t xml:space="preserve"> focuses on tightening the behavioral standards that </w:t>
      </w:r>
      <w:r>
        <w:t>govern depositaries/third party to whom the custody has been delegated and management/investment companies that belong to the same group or that are linked by the above-mentioned levels of cross-shareholdings. This option should be considered in conjunctio</w:t>
      </w:r>
      <w:r>
        <w:t xml:space="preserve">n with: </w:t>
      </w:r>
    </w:p>
    <w:p w:rsidR="00BB52D7" w:rsidRDefault="00E33AE6">
      <w:pPr>
        <w:numPr>
          <w:ilvl w:val="0"/>
          <w:numId w:val="11"/>
        </w:numPr>
        <w:spacing w:after="266"/>
        <w:ind w:right="843" w:hanging="295"/>
      </w:pPr>
      <w:r>
        <w:t>Article 5 of the UCITS Directive</w:t>
      </w:r>
      <w:r>
        <w:rPr>
          <w:vertAlign w:val="superscript"/>
        </w:rPr>
        <w:footnoteReference w:id="61"/>
      </w:r>
      <w:r>
        <w:t xml:space="preserve"> which requires that Member States' competent authorities have to approve the choice of depositary/third party to whom the custody has been delegated. </w:t>
      </w:r>
    </w:p>
    <w:p w:rsidR="00BB52D7" w:rsidRDefault="00E33AE6">
      <w:pPr>
        <w:numPr>
          <w:ilvl w:val="0"/>
          <w:numId w:val="11"/>
        </w:numPr>
        <w:spacing w:after="282"/>
        <w:ind w:right="843" w:hanging="295"/>
      </w:pPr>
      <w:r>
        <w:lastRenderedPageBreak/>
        <w:t>Article 18 of the UCITS Directive</w:t>
      </w:r>
      <w:r>
        <w:rPr>
          <w:vertAlign w:val="superscript"/>
        </w:rPr>
        <w:footnoteReference w:id="62"/>
      </w:r>
      <w:r>
        <w:t xml:space="preserve"> </w:t>
      </w:r>
      <w:r>
        <w:t>which requires that management companies to establish implement and maintain an effective conflicts of interest policy</w:t>
      </w:r>
      <w:r>
        <w:rPr>
          <w:vertAlign w:val="superscript"/>
        </w:rPr>
        <w:footnoteReference w:id="63"/>
      </w:r>
      <w:r>
        <w:t xml:space="preserve">. </w:t>
      </w:r>
    </w:p>
    <w:p w:rsidR="00BB52D7" w:rsidRDefault="00E33AE6">
      <w:pPr>
        <w:numPr>
          <w:ilvl w:val="0"/>
          <w:numId w:val="11"/>
        </w:numPr>
        <w:spacing w:after="269"/>
        <w:ind w:right="843" w:hanging="295"/>
      </w:pPr>
      <w:r>
        <w:t>Article 99 of the UCITS Directive</w:t>
      </w:r>
      <w:r>
        <w:rPr>
          <w:vertAlign w:val="superscript"/>
        </w:rPr>
        <w:footnoteReference w:id="64"/>
      </w:r>
      <w:r>
        <w:t xml:space="preserve"> which provides supervisory powers to NCA and the right of Member States to provide for and impose c</w:t>
      </w:r>
      <w:r>
        <w:t xml:space="preserve">riminal sanctions (administrative sanctions and other administrative measures). </w:t>
      </w:r>
    </w:p>
    <w:p w:rsidR="00BB52D7" w:rsidRDefault="00E33AE6">
      <w:pPr>
        <w:numPr>
          <w:ilvl w:val="0"/>
          <w:numId w:val="11"/>
        </w:numPr>
        <w:spacing w:after="261"/>
        <w:ind w:right="843" w:hanging="295"/>
      </w:pPr>
      <w:r>
        <w:t>Article 99 of the UCITS Directive</w:t>
      </w:r>
      <w:r>
        <w:rPr>
          <w:vertAlign w:val="superscript"/>
        </w:rPr>
        <w:footnoteReference w:id="65"/>
      </w:r>
      <w:r>
        <w:t xml:space="preserve"> which provides a harmonization on the penalties and the situation when the Member State shall sanction. </w:t>
      </w:r>
    </w:p>
    <w:p w:rsidR="00BB52D7" w:rsidRDefault="00E33AE6">
      <w:pPr>
        <w:numPr>
          <w:ilvl w:val="0"/>
          <w:numId w:val="11"/>
        </w:numPr>
        <w:ind w:right="843" w:hanging="295"/>
      </w:pPr>
      <w:r>
        <w:t>Article 99d of the UCITS Directive</w:t>
      </w:r>
      <w:r>
        <w:rPr>
          <w:vertAlign w:val="superscript"/>
        </w:rPr>
        <w:footnoteReference w:id="66"/>
      </w:r>
      <w:r>
        <w:t xml:space="preserve">which requires that Member State to establish effective and reliable mechanisms to encourage the reporting of potential or actual infringements of national provisions transposing the Directive to NCA. </w:t>
      </w:r>
    </w:p>
    <w:p w:rsidR="00BB52D7" w:rsidRDefault="00E33AE6">
      <w:pPr>
        <w:ind w:left="846" w:right="843"/>
      </w:pPr>
      <w:r>
        <w:t>The behavioral standards as mentioned will provide add</w:t>
      </w:r>
      <w:r>
        <w:t xml:space="preserve">itional safeguards to ensure investors protection without undue costs of restructuring. </w:t>
      </w:r>
    </w:p>
    <w:p w:rsidR="00BB52D7" w:rsidRDefault="00E33AE6">
      <w:pPr>
        <w:spacing w:after="174" w:line="259" w:lineRule="auto"/>
        <w:ind w:left="861"/>
        <w:jc w:val="left"/>
      </w:pPr>
      <w:r>
        <w:rPr>
          <w:i/>
          <w:u w:val="single" w:color="000000"/>
        </w:rPr>
        <w:t>Efficiency</w:t>
      </w:r>
      <w:r>
        <w:rPr>
          <w:i/>
        </w:rPr>
        <w:t xml:space="preserve"> </w:t>
      </w:r>
    </w:p>
    <w:p w:rsidR="00BB52D7" w:rsidRDefault="00E33AE6">
      <w:pPr>
        <w:spacing w:after="190"/>
        <w:ind w:left="846" w:right="843"/>
      </w:pPr>
      <w:r>
        <w:t>Although it is difficult to assess how many depositaries and or third parties that hold custody of UCITS assets in the European Union will be impacted (see</w:t>
      </w:r>
      <w:r>
        <w:t xml:space="preserve"> Annex 5 and Table 6), this impact assessment estimates that those management/investment companies and depositaries/third party delegates that belong to a banking group would be required to transfer a very high percentage (the range is between 94 and 100% </w:t>
      </w:r>
      <w:r>
        <w:t>in most of the cases) of their assets to a depositary/third party to whom the custody has been delegated, that is not part of the same banking group. Having to "outsource" their entire depositary/custody operations will have immediate repercussions on thei</w:t>
      </w:r>
      <w:r>
        <w:t xml:space="preserve">r ability to continue as depositary or custodian for UCITS assets. Many do not expect to survive as independent depositaries/custodians without the UCITS assets of the 'group' management/investment company. </w:t>
      </w:r>
    </w:p>
    <w:p w:rsidR="00BB52D7" w:rsidRDefault="00E33AE6">
      <w:pPr>
        <w:spacing w:after="189"/>
        <w:ind w:left="846" w:right="843"/>
      </w:pPr>
      <w:r>
        <w:t xml:space="preserve">According to figures provided by ESMA, in terms </w:t>
      </w:r>
      <w:r>
        <w:t xml:space="preserve">of assets under management, the necessary reallocation of custodial UCITS assets </w:t>
      </w:r>
      <w:r>
        <w:rPr>
          <w:u w:val="single" w:color="000000"/>
        </w:rPr>
        <w:t>in the European Union</w:t>
      </w:r>
      <w:r>
        <w:t xml:space="preserve"> would affect at least €2.5 trillion, which accounts for at least 32% of European UCITS assets.  </w:t>
      </w:r>
    </w:p>
    <w:p w:rsidR="00BB52D7" w:rsidRDefault="00E33AE6">
      <w:pPr>
        <w:spacing w:after="191"/>
        <w:ind w:left="846" w:right="843"/>
      </w:pPr>
      <w:r>
        <w:t>Moreover, structural separation will have a large impact</w:t>
      </w:r>
      <w:r>
        <w:t xml:space="preserve"> in </w:t>
      </w:r>
      <w:r>
        <w:rPr>
          <w:u w:val="single" w:color="000000"/>
        </w:rPr>
        <w:t>individual national</w:t>
      </w:r>
      <w:r>
        <w:t xml:space="preserve"> </w:t>
      </w:r>
      <w:r>
        <w:rPr>
          <w:u w:val="single" w:color="000000"/>
        </w:rPr>
        <w:t>markets</w:t>
      </w:r>
      <w:r>
        <w:t>, especially in small Member States or Member States with smaller UCITS markets, as, on average, 56% of the UCITS assets are held in custody "in-house" across the EU</w:t>
      </w:r>
      <w:r>
        <w:rPr>
          <w:vertAlign w:val="superscript"/>
        </w:rPr>
        <w:footnoteReference w:id="67"/>
      </w:r>
      <w:r>
        <w:t xml:space="preserve">. Operators in smaller Member States face challenges to reallocate assets because of the UCITS requirement </w:t>
      </w:r>
      <w:r>
        <w:lastRenderedPageBreak/>
        <w:t xml:space="preserve">that the depositary must be domiciled in the same country of the UCITS: some Member States have only one or two depositaries in their country. </w:t>
      </w:r>
    </w:p>
    <w:p w:rsidR="00BB52D7" w:rsidRDefault="00E33AE6">
      <w:pPr>
        <w:pStyle w:val="Heading5"/>
        <w:ind w:left="846" w:right="488"/>
      </w:pPr>
      <w:r>
        <w:t>Table</w:t>
      </w:r>
      <w:r>
        <w:t xml:space="preserve"> 6 Asset held in custody impacted by structural separation</w:t>
      </w:r>
      <w:r>
        <w:rPr>
          <w:u w:val="none"/>
        </w:rPr>
        <w:t xml:space="preserve">  </w:t>
      </w:r>
    </w:p>
    <w:tbl>
      <w:tblPr>
        <w:tblStyle w:val="TableGrid"/>
        <w:tblW w:w="8234" w:type="dxa"/>
        <w:tblInd w:w="838" w:type="dxa"/>
        <w:tblCellMar>
          <w:top w:w="59" w:type="dxa"/>
          <w:left w:w="0" w:type="dxa"/>
          <w:bottom w:w="0" w:type="dxa"/>
          <w:right w:w="0" w:type="dxa"/>
        </w:tblCellMar>
        <w:tblLook w:val="04A0" w:firstRow="1" w:lastRow="0" w:firstColumn="1" w:lastColumn="0" w:noHBand="0" w:noVBand="1"/>
      </w:tblPr>
      <w:tblGrid>
        <w:gridCol w:w="1976"/>
        <w:gridCol w:w="1840"/>
        <w:gridCol w:w="1117"/>
        <w:gridCol w:w="603"/>
        <w:gridCol w:w="1323"/>
        <w:gridCol w:w="1375"/>
      </w:tblGrid>
      <w:tr w:rsidR="00BB52D7">
        <w:trPr>
          <w:trHeight w:val="1524"/>
        </w:trPr>
        <w:tc>
          <w:tcPr>
            <w:tcW w:w="1976"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127" w:firstLine="0"/>
              <w:jc w:val="left"/>
            </w:pPr>
            <w:r>
              <w:rPr>
                <w:rFonts w:ascii="Calibri" w:eastAsia="Calibri" w:hAnsi="Calibri" w:cs="Calibri"/>
                <w:b/>
              </w:rPr>
              <w:t xml:space="preserve"> Member States </w:t>
            </w:r>
          </w:p>
        </w:tc>
        <w:tc>
          <w:tcPr>
            <w:tcW w:w="1840"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0" w:firstLine="0"/>
              <w:jc w:val="center"/>
            </w:pPr>
            <w:r>
              <w:rPr>
                <w:rFonts w:ascii="Calibri" w:eastAsia="Calibri" w:hAnsi="Calibri" w:cs="Calibri"/>
                <w:b/>
              </w:rPr>
              <w:t xml:space="preserve">AuM in € Million  31/12/2014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40" w:lineRule="auto"/>
              <w:ind w:left="0" w:firstLine="0"/>
              <w:jc w:val="center"/>
            </w:pPr>
            <w:r>
              <w:rPr>
                <w:rFonts w:ascii="Calibri" w:eastAsia="Calibri" w:hAnsi="Calibri" w:cs="Calibri"/>
                <w:b/>
              </w:rPr>
              <w:t xml:space="preserve">Asset held in custody in house </w:t>
            </w:r>
          </w:p>
          <w:p w:rsidR="00BB52D7" w:rsidRDefault="00E33AE6">
            <w:pPr>
              <w:spacing w:after="0" w:line="259" w:lineRule="auto"/>
              <w:ind w:left="0" w:right="63" w:firstLine="0"/>
              <w:jc w:val="center"/>
            </w:pPr>
            <w:r>
              <w:rPr>
                <w:rFonts w:ascii="Calibri" w:eastAsia="Calibri" w:hAnsi="Calibri" w:cs="Calibri"/>
                <w:b/>
              </w:rPr>
              <w:t xml:space="preserve">31/12/2014 </w:t>
            </w:r>
          </w:p>
        </w:tc>
        <w:tc>
          <w:tcPr>
            <w:tcW w:w="1323"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5" w:firstLine="0"/>
              <w:jc w:val="left"/>
            </w:pPr>
            <w:r>
              <w:rPr>
                <w:rFonts w:ascii="Calibri" w:eastAsia="Calibri" w:hAnsi="Calibri" w:cs="Calibri"/>
                <w:b/>
              </w:rPr>
              <w:t xml:space="preserve">€ Million  </w:t>
            </w:r>
          </w:p>
        </w:tc>
        <w:tc>
          <w:tcPr>
            <w:tcW w:w="1375" w:type="dxa"/>
            <w:tcBorders>
              <w:top w:val="single" w:sz="8" w:space="0" w:color="000000"/>
              <w:left w:val="single" w:sz="8" w:space="0" w:color="000000"/>
              <w:bottom w:val="single" w:sz="8" w:space="0" w:color="000000"/>
              <w:right w:val="single" w:sz="8" w:space="0" w:color="000000"/>
            </w:tcBorders>
            <w:shd w:val="clear" w:color="auto" w:fill="BFBFBF"/>
          </w:tcPr>
          <w:p w:rsidR="00BB52D7" w:rsidRDefault="00E33AE6">
            <w:pPr>
              <w:spacing w:after="0" w:line="259" w:lineRule="auto"/>
              <w:ind w:left="135" w:firstLine="0"/>
              <w:jc w:val="left"/>
            </w:pPr>
            <w:r>
              <w:rPr>
                <w:rFonts w:ascii="Calibri" w:eastAsia="Calibri" w:hAnsi="Calibri" w:cs="Calibri"/>
                <w:b/>
              </w:rPr>
              <w:t xml:space="preserve">Weighted </w:t>
            </w:r>
          </w:p>
          <w:p w:rsidR="00BB52D7" w:rsidRDefault="00E33AE6">
            <w:pPr>
              <w:spacing w:after="0" w:line="259" w:lineRule="auto"/>
              <w:ind w:left="15" w:hanging="15"/>
              <w:jc w:val="center"/>
            </w:pPr>
            <w:r>
              <w:rPr>
                <w:rFonts w:ascii="Calibri" w:eastAsia="Calibri" w:hAnsi="Calibri" w:cs="Calibri"/>
                <w:b/>
              </w:rPr>
              <w:t xml:space="preserve">AVG of the european market impact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rFonts w:ascii="Calibri" w:eastAsia="Calibri" w:hAnsi="Calibri" w:cs="Calibri"/>
              </w:rPr>
              <w:t xml:space="preserve">Austria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9" w:firstLine="0"/>
              <w:jc w:val="right"/>
            </w:pPr>
            <w:r>
              <w:rPr>
                <w:rFonts w:ascii="Calibri" w:eastAsia="Calibri" w:hAnsi="Calibri" w:cs="Calibri"/>
              </w:rPr>
              <w:t xml:space="preserve">83,553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89%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72" w:firstLine="0"/>
              <w:jc w:val="right"/>
            </w:pPr>
            <w:r>
              <w:rPr>
                <w:rFonts w:ascii="Calibri" w:eastAsia="Calibri" w:hAnsi="Calibri" w:cs="Calibri"/>
              </w:rPr>
              <w:t xml:space="preserve">74,362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1% </w:t>
            </w:r>
          </w:p>
        </w:tc>
      </w:tr>
      <w:tr w:rsidR="00BB52D7">
        <w:trPr>
          <w:trHeight w:val="336"/>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rFonts w:ascii="Calibri" w:eastAsia="Calibri" w:hAnsi="Calibri" w:cs="Calibri"/>
              </w:rPr>
              <w:t xml:space="preserve">Belgium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9" w:firstLine="0"/>
              <w:jc w:val="right"/>
            </w:pPr>
            <w:r>
              <w:rPr>
                <w:rFonts w:ascii="Calibri" w:eastAsia="Calibri" w:hAnsi="Calibri" w:cs="Calibri"/>
              </w:rPr>
              <w:t xml:space="preserve">104,694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71%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72" w:firstLine="0"/>
              <w:jc w:val="right"/>
            </w:pPr>
            <w:r>
              <w:rPr>
                <w:rFonts w:ascii="Calibri" w:eastAsia="Calibri" w:hAnsi="Calibri" w:cs="Calibri"/>
              </w:rPr>
              <w:t xml:space="preserve">74,333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1%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rFonts w:ascii="Calibri" w:eastAsia="Calibri" w:hAnsi="Calibri" w:cs="Calibri"/>
              </w:rPr>
              <w:t xml:space="preserve">Bulgaria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9" w:firstLine="0"/>
              <w:jc w:val="right"/>
            </w:pPr>
            <w:r>
              <w:rPr>
                <w:rFonts w:ascii="Calibri" w:eastAsia="Calibri" w:hAnsi="Calibri" w:cs="Calibri"/>
              </w:rPr>
              <w:t xml:space="preserve">411 </w:t>
            </w:r>
          </w:p>
        </w:tc>
        <w:tc>
          <w:tcPr>
            <w:tcW w:w="1720" w:type="dxa"/>
            <w:gridSpan w:val="2"/>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7" w:firstLine="0"/>
              <w:jc w:val="right"/>
            </w:pPr>
            <w:r>
              <w:rPr>
                <w:rFonts w:ascii="Calibri" w:eastAsia="Calibri" w:hAnsi="Calibri" w:cs="Calibri"/>
              </w:rPr>
              <w:t xml:space="preserve">0%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70" w:firstLine="0"/>
              <w:jc w:val="right"/>
            </w:pPr>
            <w:r>
              <w:rPr>
                <w:rFonts w:ascii="Calibri" w:eastAsia="Calibri" w:hAnsi="Calibri" w:cs="Calibri"/>
              </w:rPr>
              <w:t xml:space="preserve">0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0% </w:t>
            </w:r>
          </w:p>
        </w:tc>
      </w:tr>
      <w:tr w:rsidR="00BB52D7">
        <w:trPr>
          <w:trHeight w:val="333"/>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rFonts w:ascii="Calibri" w:eastAsia="Calibri" w:hAnsi="Calibri" w:cs="Calibri"/>
              </w:rPr>
              <w:t xml:space="preserve">Croatia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1,695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86%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71" w:firstLine="0"/>
              <w:jc w:val="right"/>
            </w:pPr>
            <w:r>
              <w:rPr>
                <w:rFonts w:ascii="Calibri" w:eastAsia="Calibri" w:hAnsi="Calibri" w:cs="Calibri"/>
              </w:rPr>
              <w:t xml:space="preserve">1,463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0% </w:t>
            </w:r>
          </w:p>
        </w:tc>
      </w:tr>
      <w:tr w:rsidR="00BB52D7">
        <w:trPr>
          <w:trHeight w:val="340"/>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rFonts w:ascii="Calibri" w:eastAsia="Calibri" w:hAnsi="Calibri" w:cs="Calibri"/>
              </w:rPr>
              <w:t xml:space="preserve">Cyprus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rPr>
                <w:rFonts w:ascii="Calibri" w:eastAsia="Calibri" w:hAnsi="Calibri" w:cs="Calibri"/>
              </w:rPr>
              <w:t xml:space="preserve">- </w:t>
            </w:r>
          </w:p>
        </w:tc>
        <w:tc>
          <w:tcPr>
            <w:tcW w:w="1720" w:type="dxa"/>
            <w:gridSpan w:val="2"/>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center"/>
            </w:pPr>
            <w:r>
              <w:rPr>
                <w:rFonts w:ascii="Calibri" w:eastAsia="Calibri" w:hAnsi="Calibri" w:cs="Calibri"/>
              </w:rPr>
              <w:t xml:space="preserve">-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5" w:firstLine="0"/>
              <w:jc w:val="center"/>
            </w:pPr>
            <w:r>
              <w:rPr>
                <w:rFonts w:ascii="Calibri" w:eastAsia="Calibri" w:hAnsi="Calibri" w:cs="Calibri"/>
              </w:rPr>
              <w:t xml:space="preserve">- </w:t>
            </w:r>
          </w:p>
        </w:tc>
        <w:tc>
          <w:tcPr>
            <w:tcW w:w="137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5" w:firstLine="0"/>
              <w:jc w:val="center"/>
            </w:pPr>
            <w:r>
              <w:rPr>
                <w:rFonts w:ascii="Calibri" w:eastAsia="Calibri" w:hAnsi="Calibri" w:cs="Calibri"/>
              </w:rPr>
              <w:t xml:space="preserve">- </w:t>
            </w:r>
          </w:p>
        </w:tc>
      </w:tr>
      <w:tr w:rsidR="00BB52D7">
        <w:trPr>
          <w:trHeight w:val="332"/>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rFonts w:ascii="Calibri" w:eastAsia="Calibri" w:hAnsi="Calibri" w:cs="Calibri"/>
              </w:rPr>
              <w:t xml:space="preserve">Czech Republic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5,984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75%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71" w:firstLine="0"/>
              <w:jc w:val="right"/>
            </w:pPr>
            <w:r>
              <w:rPr>
                <w:rFonts w:ascii="Calibri" w:eastAsia="Calibri" w:hAnsi="Calibri" w:cs="Calibri"/>
              </w:rPr>
              <w:t xml:space="preserve">4,488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0%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rFonts w:ascii="Calibri" w:eastAsia="Calibri" w:hAnsi="Calibri" w:cs="Calibri"/>
              </w:rPr>
              <w:t xml:space="preserve">Denmark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9" w:firstLine="0"/>
              <w:jc w:val="right"/>
            </w:pPr>
            <w:r>
              <w:rPr>
                <w:rFonts w:ascii="Calibri" w:eastAsia="Calibri" w:hAnsi="Calibri" w:cs="Calibri"/>
              </w:rPr>
              <w:t xml:space="preserve">99,947 </w:t>
            </w:r>
          </w:p>
        </w:tc>
        <w:tc>
          <w:tcPr>
            <w:tcW w:w="1720" w:type="dxa"/>
            <w:gridSpan w:val="2"/>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8" w:firstLine="0"/>
              <w:jc w:val="right"/>
            </w:pPr>
            <w:r>
              <w:rPr>
                <w:rFonts w:ascii="Calibri" w:eastAsia="Calibri" w:hAnsi="Calibri" w:cs="Calibri"/>
              </w:rPr>
              <w:t xml:space="preserve">32%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72" w:firstLine="0"/>
              <w:jc w:val="right"/>
            </w:pPr>
            <w:r>
              <w:rPr>
                <w:rFonts w:ascii="Calibri" w:eastAsia="Calibri" w:hAnsi="Calibri" w:cs="Calibri"/>
              </w:rPr>
              <w:t xml:space="preserve">31,983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0%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rFonts w:ascii="Calibri" w:eastAsia="Calibri" w:hAnsi="Calibri" w:cs="Calibri"/>
              </w:rPr>
              <w:t xml:space="preserve">Estonia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rPr>
                <w:rFonts w:ascii="Calibri" w:eastAsia="Calibri" w:hAnsi="Calibri" w:cs="Calibri"/>
              </w:rPr>
              <w:t xml:space="preserve">- </w:t>
            </w:r>
          </w:p>
        </w:tc>
        <w:tc>
          <w:tcPr>
            <w:tcW w:w="1720" w:type="dxa"/>
            <w:gridSpan w:val="2"/>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center"/>
            </w:pPr>
            <w:r>
              <w:rPr>
                <w:rFonts w:ascii="Calibri" w:eastAsia="Calibri" w:hAnsi="Calibri" w:cs="Calibri"/>
              </w:rPr>
              <w:t xml:space="preserve">-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5" w:firstLine="0"/>
              <w:jc w:val="center"/>
            </w:pPr>
            <w:r>
              <w:rPr>
                <w:rFonts w:ascii="Calibri" w:eastAsia="Calibri" w:hAnsi="Calibri" w:cs="Calibri"/>
              </w:rPr>
              <w:t xml:space="preserve">-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5" w:firstLine="0"/>
              <w:jc w:val="center"/>
            </w:pPr>
            <w:r>
              <w:rPr>
                <w:rFonts w:ascii="Calibri" w:eastAsia="Calibri" w:hAnsi="Calibri" w:cs="Calibri"/>
              </w:rPr>
              <w:t xml:space="preserve">-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rFonts w:ascii="Calibri" w:eastAsia="Calibri" w:hAnsi="Calibri" w:cs="Calibri"/>
              </w:rPr>
              <w:t xml:space="preserve">Finland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9" w:firstLine="0"/>
              <w:jc w:val="right"/>
            </w:pPr>
            <w:r>
              <w:rPr>
                <w:rFonts w:ascii="Calibri" w:eastAsia="Calibri" w:hAnsi="Calibri" w:cs="Calibri"/>
              </w:rPr>
              <w:t xml:space="preserve">71,346 </w:t>
            </w:r>
          </w:p>
        </w:tc>
        <w:tc>
          <w:tcPr>
            <w:tcW w:w="1720" w:type="dxa"/>
            <w:gridSpan w:val="2"/>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8" w:firstLine="0"/>
              <w:jc w:val="right"/>
            </w:pPr>
            <w:r>
              <w:rPr>
                <w:rFonts w:ascii="Calibri" w:eastAsia="Calibri" w:hAnsi="Calibri" w:cs="Calibri"/>
              </w:rPr>
              <w:t xml:space="preserve">25%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72" w:firstLine="0"/>
              <w:jc w:val="right"/>
            </w:pPr>
            <w:r>
              <w:rPr>
                <w:rFonts w:ascii="Calibri" w:eastAsia="Calibri" w:hAnsi="Calibri" w:cs="Calibri"/>
              </w:rPr>
              <w:t xml:space="preserve">17,837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0%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rFonts w:ascii="Calibri" w:eastAsia="Calibri" w:hAnsi="Calibri" w:cs="Calibri"/>
                <w:b/>
              </w:rPr>
              <w:t xml:space="preserve">France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9" w:firstLine="0"/>
              <w:jc w:val="right"/>
            </w:pPr>
            <w:r>
              <w:rPr>
                <w:rFonts w:ascii="Calibri" w:eastAsia="Calibri" w:hAnsi="Calibri" w:cs="Calibri"/>
                <w:b/>
              </w:rPr>
              <w:t xml:space="preserve">1,145,928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b/>
              </w:rPr>
              <w:t xml:space="preserve">62%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72" w:firstLine="0"/>
              <w:jc w:val="right"/>
            </w:pPr>
            <w:r>
              <w:rPr>
                <w:rFonts w:ascii="Calibri" w:eastAsia="Calibri" w:hAnsi="Calibri" w:cs="Calibri"/>
                <w:b/>
              </w:rPr>
              <w:t xml:space="preserve">710,475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b/>
              </w:rPr>
              <w:t xml:space="preserve">9%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rFonts w:ascii="Calibri" w:eastAsia="Calibri" w:hAnsi="Calibri" w:cs="Calibri"/>
              </w:rPr>
              <w:t xml:space="preserve">Germany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9" w:firstLine="0"/>
              <w:jc w:val="right"/>
            </w:pPr>
            <w:r>
              <w:rPr>
                <w:rFonts w:ascii="Calibri" w:eastAsia="Calibri" w:hAnsi="Calibri" w:cs="Calibri"/>
              </w:rPr>
              <w:t xml:space="preserve">296,406 </w:t>
            </w:r>
          </w:p>
        </w:tc>
        <w:tc>
          <w:tcPr>
            <w:tcW w:w="1720" w:type="dxa"/>
            <w:gridSpan w:val="2"/>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8" w:firstLine="0"/>
              <w:jc w:val="right"/>
            </w:pPr>
            <w:r>
              <w:rPr>
                <w:rFonts w:ascii="Calibri" w:eastAsia="Calibri" w:hAnsi="Calibri" w:cs="Calibri"/>
              </w:rPr>
              <w:t xml:space="preserve">41%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71" w:firstLine="0"/>
              <w:jc w:val="right"/>
            </w:pPr>
            <w:r>
              <w:rPr>
                <w:rFonts w:ascii="Calibri" w:eastAsia="Calibri" w:hAnsi="Calibri" w:cs="Calibri"/>
              </w:rPr>
              <w:t xml:space="preserve">121,526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2% </w:t>
            </w:r>
          </w:p>
        </w:tc>
      </w:tr>
      <w:tr w:rsidR="00BB52D7">
        <w:trPr>
          <w:trHeight w:val="332"/>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rFonts w:ascii="Calibri" w:eastAsia="Calibri" w:hAnsi="Calibri" w:cs="Calibri"/>
              </w:rPr>
              <w:t xml:space="preserve">Greece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4,781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55%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71" w:firstLine="0"/>
              <w:jc w:val="right"/>
            </w:pPr>
            <w:r>
              <w:rPr>
                <w:rFonts w:ascii="Calibri" w:eastAsia="Calibri" w:hAnsi="Calibri" w:cs="Calibri"/>
              </w:rPr>
              <w:t xml:space="preserve">2,630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68" w:firstLine="0"/>
              <w:jc w:val="right"/>
            </w:pPr>
            <w:r>
              <w:rPr>
                <w:rFonts w:ascii="Calibri" w:eastAsia="Calibri" w:hAnsi="Calibri" w:cs="Calibri"/>
              </w:rPr>
              <w:t xml:space="preserve">0% </w:t>
            </w:r>
          </w:p>
        </w:tc>
      </w:tr>
      <w:tr w:rsidR="00BB52D7">
        <w:trPr>
          <w:trHeight w:val="325"/>
        </w:trPr>
        <w:tc>
          <w:tcPr>
            <w:tcW w:w="1976" w:type="dxa"/>
            <w:tcBorders>
              <w:top w:val="nil"/>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Hungary </w:t>
            </w:r>
          </w:p>
        </w:tc>
        <w:tc>
          <w:tcPr>
            <w:tcW w:w="1840" w:type="dxa"/>
            <w:tcBorders>
              <w:top w:val="nil"/>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6" w:firstLine="0"/>
              <w:jc w:val="right"/>
            </w:pPr>
            <w:r>
              <w:rPr>
                <w:rFonts w:ascii="Calibri" w:eastAsia="Calibri" w:hAnsi="Calibri" w:cs="Calibri"/>
              </w:rPr>
              <w:t xml:space="preserve">11,416 </w:t>
            </w:r>
          </w:p>
        </w:tc>
        <w:tc>
          <w:tcPr>
            <w:tcW w:w="1117" w:type="dxa"/>
            <w:tcBorders>
              <w:top w:val="nil"/>
              <w:left w:val="single" w:sz="8" w:space="0" w:color="000000"/>
              <w:bottom w:val="single" w:sz="8" w:space="0" w:color="000000"/>
              <w:right w:val="nil"/>
            </w:tcBorders>
            <w:shd w:val="clear" w:color="auto" w:fill="F2F2F2"/>
            <w:vAlign w:val="bottom"/>
          </w:tcPr>
          <w:p w:rsidR="00BB52D7" w:rsidRDefault="00BB52D7">
            <w:pPr>
              <w:spacing w:after="160" w:line="259" w:lineRule="auto"/>
              <w:ind w:left="0" w:firstLine="0"/>
              <w:jc w:val="left"/>
            </w:pPr>
          </w:p>
        </w:tc>
        <w:tc>
          <w:tcPr>
            <w:tcW w:w="603" w:type="dxa"/>
            <w:tcBorders>
              <w:top w:val="nil"/>
              <w:left w:val="nil"/>
              <w:bottom w:val="single" w:sz="8" w:space="0" w:color="000000"/>
              <w:right w:val="single" w:sz="8" w:space="0" w:color="000000"/>
            </w:tcBorders>
            <w:shd w:val="clear" w:color="auto" w:fill="F2F2F2"/>
          </w:tcPr>
          <w:p w:rsidR="00BB52D7" w:rsidRDefault="00E33AE6">
            <w:pPr>
              <w:spacing w:after="0" w:line="259" w:lineRule="auto"/>
              <w:ind w:left="121" w:firstLine="0"/>
              <w:jc w:val="left"/>
            </w:pPr>
            <w:r>
              <w:rPr>
                <w:rFonts w:ascii="Calibri" w:eastAsia="Calibri" w:hAnsi="Calibri" w:cs="Calibri"/>
              </w:rPr>
              <w:t xml:space="preserve">72% </w:t>
            </w:r>
          </w:p>
        </w:tc>
        <w:tc>
          <w:tcPr>
            <w:tcW w:w="1323" w:type="dxa"/>
            <w:tcBorders>
              <w:top w:val="nil"/>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7" w:firstLine="0"/>
              <w:jc w:val="right"/>
            </w:pPr>
            <w:r>
              <w:rPr>
                <w:rFonts w:ascii="Calibri" w:eastAsia="Calibri" w:hAnsi="Calibri" w:cs="Calibri"/>
              </w:rPr>
              <w:t xml:space="preserve">8,220 </w:t>
            </w:r>
          </w:p>
        </w:tc>
        <w:tc>
          <w:tcPr>
            <w:tcW w:w="1375" w:type="dxa"/>
            <w:tcBorders>
              <w:top w:val="nil"/>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7" w:firstLine="0"/>
              <w:jc w:val="left"/>
            </w:pPr>
            <w:r>
              <w:rPr>
                <w:rFonts w:ascii="Calibri" w:eastAsia="Calibri" w:hAnsi="Calibri" w:cs="Calibri"/>
              </w:rPr>
              <w:t xml:space="preserve">Ireland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1,274,477 </w:t>
            </w:r>
          </w:p>
        </w:tc>
        <w:tc>
          <w:tcPr>
            <w:tcW w:w="1117" w:type="dxa"/>
            <w:tcBorders>
              <w:top w:val="single" w:sz="8" w:space="0" w:color="000000"/>
              <w:left w:val="single" w:sz="8" w:space="0" w:color="000000"/>
              <w:bottom w:val="single" w:sz="8" w:space="0" w:color="000000"/>
              <w:right w:val="nil"/>
            </w:tcBorders>
            <w:vAlign w:val="bottom"/>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9%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114,703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4" w:firstLine="0"/>
              <w:jc w:val="right"/>
            </w:pPr>
            <w:r>
              <w:rPr>
                <w:rFonts w:ascii="Calibri" w:eastAsia="Calibri" w:hAnsi="Calibri" w:cs="Calibri"/>
              </w:rPr>
              <w:t xml:space="preserve">1%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7" w:firstLine="0"/>
              <w:jc w:val="left"/>
            </w:pPr>
            <w:r>
              <w:rPr>
                <w:rFonts w:ascii="Calibri" w:eastAsia="Calibri" w:hAnsi="Calibri" w:cs="Calibri"/>
              </w:rPr>
              <w:t xml:space="preserve">Italy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196,299 </w:t>
            </w:r>
          </w:p>
        </w:tc>
        <w:tc>
          <w:tcPr>
            <w:tcW w:w="1117" w:type="dxa"/>
            <w:tcBorders>
              <w:top w:val="single" w:sz="8" w:space="0" w:color="000000"/>
              <w:left w:val="single" w:sz="8" w:space="0" w:color="000000"/>
              <w:bottom w:val="single" w:sz="8" w:space="0" w:color="000000"/>
              <w:right w:val="nil"/>
            </w:tcBorders>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9%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17,667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29"/>
        </w:trPr>
        <w:tc>
          <w:tcPr>
            <w:tcW w:w="1976" w:type="dxa"/>
            <w:tcBorders>
              <w:top w:val="single" w:sz="8" w:space="0" w:color="000000"/>
              <w:left w:val="single" w:sz="8" w:space="0" w:color="000000"/>
              <w:bottom w:val="single" w:sz="4"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Latvia* </w:t>
            </w:r>
          </w:p>
        </w:tc>
        <w:tc>
          <w:tcPr>
            <w:tcW w:w="2957" w:type="dxa"/>
            <w:gridSpan w:val="2"/>
            <w:tcBorders>
              <w:top w:val="single" w:sz="8" w:space="0" w:color="000000"/>
              <w:left w:val="single" w:sz="8" w:space="0" w:color="000000"/>
              <w:bottom w:val="single" w:sz="4" w:space="0" w:color="000000"/>
              <w:right w:val="nil"/>
            </w:tcBorders>
            <w:shd w:val="clear" w:color="auto" w:fill="F2F2F2"/>
          </w:tcPr>
          <w:p w:rsidR="00BB52D7" w:rsidRDefault="00E33AE6">
            <w:pPr>
              <w:spacing w:after="0" w:line="259" w:lineRule="auto"/>
              <w:ind w:left="0" w:right="190" w:firstLine="0"/>
              <w:jc w:val="center"/>
            </w:pPr>
            <w:r>
              <w:rPr>
                <w:rFonts w:ascii="Calibri" w:eastAsia="Calibri" w:hAnsi="Calibri" w:cs="Calibri"/>
              </w:rPr>
              <w:t xml:space="preserve">171,894 </w:t>
            </w:r>
          </w:p>
        </w:tc>
        <w:tc>
          <w:tcPr>
            <w:tcW w:w="603" w:type="dxa"/>
            <w:tcBorders>
              <w:top w:val="single" w:sz="8" w:space="0" w:color="000000"/>
              <w:left w:val="nil"/>
              <w:bottom w:val="single" w:sz="4" w:space="0" w:color="000000"/>
              <w:right w:val="single" w:sz="8" w:space="0" w:color="000000"/>
            </w:tcBorders>
            <w:shd w:val="clear" w:color="auto" w:fill="F2F2F2"/>
          </w:tcPr>
          <w:p w:rsidR="00BB52D7" w:rsidRDefault="00E33AE6">
            <w:pPr>
              <w:spacing w:after="0" w:line="259" w:lineRule="auto"/>
              <w:ind w:left="121" w:firstLine="0"/>
              <w:jc w:val="left"/>
            </w:pPr>
            <w:r>
              <w:rPr>
                <w:rFonts w:ascii="Calibri" w:eastAsia="Calibri" w:hAnsi="Calibri" w:cs="Calibri"/>
              </w:rPr>
              <w:t xml:space="preserve">99% </w:t>
            </w:r>
          </w:p>
        </w:tc>
        <w:tc>
          <w:tcPr>
            <w:tcW w:w="1323" w:type="dxa"/>
            <w:tcBorders>
              <w:top w:val="single" w:sz="8" w:space="0" w:color="000000"/>
              <w:left w:val="single" w:sz="8" w:space="0" w:color="000000"/>
              <w:bottom w:val="single" w:sz="4" w:space="0" w:color="000000"/>
              <w:right w:val="single" w:sz="8" w:space="0" w:color="000000"/>
            </w:tcBorders>
            <w:shd w:val="clear" w:color="auto" w:fill="F2F2F2"/>
          </w:tcPr>
          <w:p w:rsidR="00BB52D7" w:rsidRDefault="00E33AE6">
            <w:pPr>
              <w:spacing w:after="0" w:line="259" w:lineRule="auto"/>
              <w:ind w:left="0" w:right="58" w:firstLine="0"/>
              <w:jc w:val="right"/>
            </w:pPr>
            <w:r>
              <w:rPr>
                <w:rFonts w:ascii="Calibri" w:eastAsia="Calibri" w:hAnsi="Calibri" w:cs="Calibri"/>
              </w:rPr>
              <w:t xml:space="preserve">169,659 </w:t>
            </w:r>
          </w:p>
        </w:tc>
        <w:tc>
          <w:tcPr>
            <w:tcW w:w="1375" w:type="dxa"/>
            <w:tcBorders>
              <w:top w:val="single" w:sz="8" w:space="0" w:color="000000"/>
              <w:left w:val="single" w:sz="8" w:space="0" w:color="000000"/>
              <w:bottom w:val="single" w:sz="4" w:space="0" w:color="000000"/>
              <w:right w:val="single" w:sz="8" w:space="0" w:color="000000"/>
            </w:tcBorders>
            <w:shd w:val="clear" w:color="auto" w:fill="F2F2F2"/>
          </w:tcPr>
          <w:p w:rsidR="00BB52D7" w:rsidRDefault="00E33AE6">
            <w:pPr>
              <w:spacing w:after="0" w:line="259" w:lineRule="auto"/>
              <w:ind w:left="0" w:right="54" w:firstLine="0"/>
              <w:jc w:val="right"/>
            </w:pPr>
            <w:r>
              <w:rPr>
                <w:rFonts w:ascii="Calibri" w:eastAsia="Calibri" w:hAnsi="Calibri" w:cs="Calibri"/>
              </w:rPr>
              <w:t xml:space="preserve">2% </w:t>
            </w:r>
          </w:p>
        </w:tc>
      </w:tr>
      <w:tr w:rsidR="00BB52D7">
        <w:trPr>
          <w:trHeight w:val="327"/>
        </w:trPr>
        <w:tc>
          <w:tcPr>
            <w:tcW w:w="1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67" w:firstLine="0"/>
              <w:jc w:val="left"/>
            </w:pPr>
            <w:r>
              <w:rPr>
                <w:rFonts w:ascii="Calibri" w:eastAsia="Calibri" w:hAnsi="Calibri" w:cs="Calibri"/>
              </w:rPr>
              <w:t xml:space="preserve">Lithuania** </w:t>
            </w:r>
          </w:p>
        </w:tc>
        <w:tc>
          <w:tcPr>
            <w:tcW w:w="184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right"/>
            </w:pPr>
            <w:r>
              <w:rPr>
                <w:rFonts w:ascii="Calibri" w:eastAsia="Calibri" w:hAnsi="Calibri" w:cs="Calibri"/>
              </w:rPr>
              <w:t xml:space="preserve">2,903 </w:t>
            </w:r>
          </w:p>
        </w:tc>
        <w:tc>
          <w:tcPr>
            <w:tcW w:w="1117" w:type="dxa"/>
            <w:tcBorders>
              <w:top w:val="single" w:sz="4" w:space="0" w:color="000000"/>
              <w:left w:val="single" w:sz="4" w:space="0" w:color="000000"/>
              <w:bottom w:val="single" w:sz="4" w:space="0" w:color="000000"/>
              <w:right w:val="nil"/>
            </w:tcBorders>
          </w:tcPr>
          <w:p w:rsidR="00BB52D7" w:rsidRDefault="00E33AE6">
            <w:pPr>
              <w:spacing w:after="0" w:line="259" w:lineRule="auto"/>
              <w:ind w:left="0" w:right="203" w:firstLine="0"/>
              <w:jc w:val="right"/>
            </w:pPr>
            <w:r>
              <w:rPr>
                <w:rFonts w:ascii="Calibri" w:eastAsia="Calibri" w:hAnsi="Calibri" w:cs="Calibri"/>
              </w:rPr>
              <w:t xml:space="preserve">- </w:t>
            </w:r>
          </w:p>
        </w:tc>
        <w:tc>
          <w:tcPr>
            <w:tcW w:w="603" w:type="dxa"/>
            <w:tcBorders>
              <w:top w:val="single" w:sz="4" w:space="0" w:color="000000"/>
              <w:left w:val="nil"/>
              <w:bottom w:val="single" w:sz="4" w:space="0" w:color="000000"/>
              <w:right w:val="single" w:sz="4" w:space="0" w:color="000000"/>
            </w:tcBorders>
          </w:tcPr>
          <w:p w:rsidR="00BB52D7" w:rsidRDefault="00BB52D7">
            <w:pPr>
              <w:spacing w:after="160" w:line="259" w:lineRule="auto"/>
              <w:ind w:left="0" w:firstLine="0"/>
              <w:jc w:val="left"/>
            </w:pPr>
          </w:p>
        </w:tc>
        <w:tc>
          <w:tcPr>
            <w:tcW w:w="132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3" w:firstLine="0"/>
              <w:jc w:val="center"/>
            </w:pPr>
            <w:r>
              <w:rPr>
                <w:rFonts w:ascii="Calibri" w:eastAsia="Calibri" w:hAnsi="Calibri" w:cs="Calibri"/>
              </w:rPr>
              <w:t xml:space="preserve">- </w:t>
            </w:r>
          </w:p>
        </w:tc>
        <w:tc>
          <w:tcPr>
            <w:tcW w:w="137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6" w:firstLine="0"/>
              <w:jc w:val="center"/>
            </w:pPr>
            <w:r>
              <w:rPr>
                <w:rFonts w:ascii="Calibri" w:eastAsia="Calibri" w:hAnsi="Calibri" w:cs="Calibri"/>
              </w:rPr>
              <w:t xml:space="preserve">- </w:t>
            </w:r>
          </w:p>
        </w:tc>
      </w:tr>
      <w:tr w:rsidR="00BB52D7">
        <w:trPr>
          <w:trHeight w:val="326"/>
        </w:trPr>
        <w:tc>
          <w:tcPr>
            <w:tcW w:w="19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67" w:firstLine="0"/>
              <w:jc w:val="left"/>
            </w:pPr>
            <w:r>
              <w:rPr>
                <w:rFonts w:ascii="Calibri" w:eastAsia="Calibri" w:hAnsi="Calibri" w:cs="Calibri"/>
                <w:b/>
              </w:rPr>
              <w:t xml:space="preserve">Luxembourg </w:t>
            </w:r>
          </w:p>
        </w:tc>
        <w:tc>
          <w:tcPr>
            <w:tcW w:w="184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6" w:firstLine="0"/>
              <w:jc w:val="right"/>
            </w:pPr>
            <w:r>
              <w:rPr>
                <w:rFonts w:ascii="Calibri" w:eastAsia="Calibri" w:hAnsi="Calibri" w:cs="Calibri"/>
                <w:b/>
              </w:rPr>
              <w:t xml:space="preserve">2,642,504 </w:t>
            </w:r>
          </w:p>
        </w:tc>
        <w:tc>
          <w:tcPr>
            <w:tcW w:w="1117" w:type="dxa"/>
            <w:tcBorders>
              <w:top w:val="single" w:sz="4" w:space="0" w:color="000000"/>
              <w:left w:val="single" w:sz="4" w:space="0" w:color="000000"/>
              <w:bottom w:val="single" w:sz="4" w:space="0" w:color="000000"/>
              <w:right w:val="nil"/>
            </w:tcBorders>
          </w:tcPr>
          <w:p w:rsidR="00BB52D7" w:rsidRDefault="00BB52D7">
            <w:pPr>
              <w:spacing w:after="160" w:line="259" w:lineRule="auto"/>
              <w:ind w:left="0" w:firstLine="0"/>
              <w:jc w:val="left"/>
            </w:pPr>
          </w:p>
        </w:tc>
        <w:tc>
          <w:tcPr>
            <w:tcW w:w="603" w:type="dxa"/>
            <w:tcBorders>
              <w:top w:val="single" w:sz="4" w:space="0" w:color="000000"/>
              <w:left w:val="nil"/>
              <w:bottom w:val="single" w:sz="4" w:space="0" w:color="000000"/>
              <w:right w:val="single" w:sz="4" w:space="0" w:color="000000"/>
            </w:tcBorders>
          </w:tcPr>
          <w:p w:rsidR="00BB52D7" w:rsidRDefault="00E33AE6">
            <w:pPr>
              <w:spacing w:after="0" w:line="259" w:lineRule="auto"/>
              <w:ind w:left="118" w:firstLine="0"/>
            </w:pPr>
            <w:r>
              <w:rPr>
                <w:rFonts w:ascii="Calibri" w:eastAsia="Calibri" w:hAnsi="Calibri" w:cs="Calibri"/>
                <w:b/>
              </w:rPr>
              <w:t xml:space="preserve">31% </w:t>
            </w:r>
          </w:p>
        </w:tc>
        <w:tc>
          <w:tcPr>
            <w:tcW w:w="132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8" w:firstLine="0"/>
              <w:jc w:val="right"/>
            </w:pPr>
            <w:r>
              <w:rPr>
                <w:rFonts w:ascii="Calibri" w:eastAsia="Calibri" w:hAnsi="Calibri" w:cs="Calibri"/>
                <w:b/>
              </w:rPr>
              <w:t xml:space="preserve">819,176 </w:t>
            </w:r>
          </w:p>
        </w:tc>
        <w:tc>
          <w:tcPr>
            <w:tcW w:w="137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6" w:firstLine="0"/>
              <w:jc w:val="right"/>
            </w:pPr>
            <w:r>
              <w:rPr>
                <w:rFonts w:ascii="Calibri" w:eastAsia="Calibri" w:hAnsi="Calibri" w:cs="Calibri"/>
                <w:b/>
              </w:rPr>
              <w:t xml:space="preserve">11% </w:t>
            </w:r>
          </w:p>
        </w:tc>
      </w:tr>
      <w:tr w:rsidR="00BB52D7">
        <w:trPr>
          <w:trHeight w:val="329"/>
        </w:trPr>
        <w:tc>
          <w:tcPr>
            <w:tcW w:w="1976" w:type="dxa"/>
            <w:tcBorders>
              <w:top w:val="single" w:sz="4"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Malta </w:t>
            </w:r>
          </w:p>
        </w:tc>
        <w:tc>
          <w:tcPr>
            <w:tcW w:w="1840" w:type="dxa"/>
            <w:tcBorders>
              <w:top w:val="single" w:sz="4"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5" w:firstLine="0"/>
              <w:jc w:val="right"/>
            </w:pPr>
            <w:r>
              <w:rPr>
                <w:rFonts w:ascii="Calibri" w:eastAsia="Calibri" w:hAnsi="Calibri" w:cs="Calibri"/>
              </w:rPr>
              <w:t xml:space="preserve">2,903 </w:t>
            </w:r>
          </w:p>
        </w:tc>
        <w:tc>
          <w:tcPr>
            <w:tcW w:w="1117" w:type="dxa"/>
            <w:tcBorders>
              <w:top w:val="single" w:sz="4" w:space="0" w:color="000000"/>
              <w:left w:val="single" w:sz="8" w:space="0" w:color="000000"/>
              <w:bottom w:val="single" w:sz="8" w:space="0" w:color="000000"/>
              <w:right w:val="nil"/>
            </w:tcBorders>
            <w:shd w:val="clear" w:color="auto" w:fill="F2F2F2"/>
          </w:tcPr>
          <w:p w:rsidR="00BB52D7" w:rsidRDefault="00BB52D7">
            <w:pPr>
              <w:spacing w:after="160" w:line="259" w:lineRule="auto"/>
              <w:ind w:left="0" w:firstLine="0"/>
              <w:jc w:val="left"/>
            </w:pPr>
          </w:p>
        </w:tc>
        <w:tc>
          <w:tcPr>
            <w:tcW w:w="603" w:type="dxa"/>
            <w:tcBorders>
              <w:top w:val="single" w:sz="4" w:space="0" w:color="000000"/>
              <w:left w:val="nil"/>
              <w:bottom w:val="single" w:sz="8" w:space="0" w:color="000000"/>
              <w:right w:val="single" w:sz="8" w:space="0" w:color="000000"/>
            </w:tcBorders>
            <w:shd w:val="clear" w:color="auto" w:fill="F2F2F2"/>
          </w:tcPr>
          <w:p w:rsidR="00BB52D7" w:rsidRDefault="00E33AE6">
            <w:pPr>
              <w:spacing w:after="0" w:line="259" w:lineRule="auto"/>
              <w:ind w:left="0" w:firstLine="0"/>
            </w:pPr>
            <w:r>
              <w:rPr>
                <w:rFonts w:ascii="Calibri" w:eastAsia="Calibri" w:hAnsi="Calibri" w:cs="Calibri"/>
              </w:rPr>
              <w:t xml:space="preserve">100% </w:t>
            </w:r>
          </w:p>
        </w:tc>
        <w:tc>
          <w:tcPr>
            <w:tcW w:w="1323" w:type="dxa"/>
            <w:tcBorders>
              <w:top w:val="single" w:sz="4"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7" w:firstLine="0"/>
              <w:jc w:val="right"/>
            </w:pPr>
            <w:r>
              <w:rPr>
                <w:rFonts w:ascii="Calibri" w:eastAsia="Calibri" w:hAnsi="Calibri" w:cs="Calibri"/>
              </w:rPr>
              <w:t xml:space="preserve">2,903 </w:t>
            </w:r>
          </w:p>
        </w:tc>
        <w:tc>
          <w:tcPr>
            <w:tcW w:w="1375" w:type="dxa"/>
            <w:tcBorders>
              <w:top w:val="single" w:sz="4"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Netherland***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6" w:firstLine="0"/>
              <w:jc w:val="right"/>
            </w:pPr>
            <w:r>
              <w:rPr>
                <w:rFonts w:ascii="Calibri" w:eastAsia="Calibri" w:hAnsi="Calibri" w:cs="Calibri"/>
              </w:rPr>
              <w:t xml:space="preserve">62,393 </w:t>
            </w:r>
          </w:p>
        </w:tc>
        <w:tc>
          <w:tcPr>
            <w:tcW w:w="1117" w:type="dxa"/>
            <w:tcBorders>
              <w:top w:val="single" w:sz="8" w:space="0" w:color="000000"/>
              <w:left w:val="single" w:sz="8" w:space="0" w:color="000000"/>
              <w:bottom w:val="single" w:sz="8" w:space="0" w:color="000000"/>
              <w:right w:val="nil"/>
            </w:tcBorders>
            <w:shd w:val="clear" w:color="auto" w:fill="F2F2F2"/>
            <w:vAlign w:val="bottom"/>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shd w:val="clear" w:color="auto" w:fill="F2F2F2"/>
          </w:tcPr>
          <w:p w:rsidR="00BB52D7" w:rsidRDefault="00E33AE6">
            <w:pPr>
              <w:spacing w:after="0" w:line="259" w:lineRule="auto"/>
              <w:ind w:left="121" w:firstLine="0"/>
              <w:jc w:val="left"/>
            </w:pPr>
            <w:r>
              <w:rPr>
                <w:rFonts w:ascii="Calibri" w:eastAsia="Calibri" w:hAnsi="Calibri" w:cs="Calibri"/>
              </w:rPr>
              <w:t xml:space="preserve">96%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8" w:firstLine="0"/>
              <w:jc w:val="right"/>
            </w:pPr>
            <w:r>
              <w:rPr>
                <w:rFonts w:ascii="Calibri" w:eastAsia="Calibri" w:hAnsi="Calibri" w:cs="Calibri"/>
              </w:rPr>
              <w:t xml:space="preserve">59,897 </w:t>
            </w:r>
          </w:p>
        </w:tc>
        <w:tc>
          <w:tcPr>
            <w:tcW w:w="137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rPr>
              <w:t xml:space="preserve">1% </w:t>
            </w:r>
          </w:p>
        </w:tc>
      </w:tr>
      <w:tr w:rsidR="00BB52D7">
        <w:trPr>
          <w:trHeight w:val="336"/>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Poland****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6" w:firstLine="0"/>
              <w:jc w:val="right"/>
            </w:pPr>
            <w:r>
              <w:rPr>
                <w:rFonts w:ascii="Calibri" w:eastAsia="Calibri" w:hAnsi="Calibri" w:cs="Calibri"/>
              </w:rPr>
              <w:t xml:space="preserve">21,708 </w:t>
            </w:r>
          </w:p>
        </w:tc>
        <w:tc>
          <w:tcPr>
            <w:tcW w:w="1117" w:type="dxa"/>
            <w:tcBorders>
              <w:top w:val="single" w:sz="8" w:space="0" w:color="000000"/>
              <w:left w:val="single" w:sz="8" w:space="0" w:color="000000"/>
              <w:bottom w:val="single" w:sz="8" w:space="0" w:color="000000"/>
              <w:right w:val="nil"/>
            </w:tcBorders>
            <w:shd w:val="clear" w:color="auto" w:fill="F2F2F2"/>
            <w:vAlign w:val="bottom"/>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shd w:val="clear" w:color="auto" w:fill="F2F2F2"/>
          </w:tcPr>
          <w:p w:rsidR="00BB52D7" w:rsidRDefault="00E33AE6">
            <w:pPr>
              <w:spacing w:after="0" w:line="259" w:lineRule="auto"/>
              <w:ind w:left="0" w:firstLine="0"/>
            </w:pPr>
            <w:r>
              <w:rPr>
                <w:rFonts w:ascii="Calibri" w:eastAsia="Calibri" w:hAnsi="Calibri" w:cs="Calibri"/>
              </w:rPr>
              <w:t xml:space="preserve">100%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8" w:firstLine="0"/>
              <w:jc w:val="right"/>
            </w:pPr>
            <w:r>
              <w:rPr>
                <w:rFonts w:ascii="Calibri" w:eastAsia="Calibri" w:hAnsi="Calibri" w:cs="Calibri"/>
              </w:rPr>
              <w:t xml:space="preserve">21,708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35"/>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Portugal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5" w:firstLine="0"/>
              <w:jc w:val="right"/>
            </w:pPr>
            <w:r>
              <w:rPr>
                <w:rFonts w:ascii="Calibri" w:eastAsia="Calibri" w:hAnsi="Calibri" w:cs="Calibri"/>
              </w:rPr>
              <w:t xml:space="preserve">8,226 </w:t>
            </w:r>
          </w:p>
        </w:tc>
        <w:tc>
          <w:tcPr>
            <w:tcW w:w="1117" w:type="dxa"/>
            <w:tcBorders>
              <w:top w:val="single" w:sz="8" w:space="0" w:color="000000"/>
              <w:left w:val="single" w:sz="8" w:space="0" w:color="000000"/>
              <w:bottom w:val="single" w:sz="8" w:space="0" w:color="000000"/>
              <w:right w:val="nil"/>
            </w:tcBorders>
            <w:shd w:val="clear" w:color="auto" w:fill="F2F2F2"/>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shd w:val="clear" w:color="auto" w:fill="F2F2F2"/>
          </w:tcPr>
          <w:p w:rsidR="00BB52D7" w:rsidRDefault="00E33AE6">
            <w:pPr>
              <w:spacing w:after="0" w:line="259" w:lineRule="auto"/>
              <w:ind w:left="121" w:firstLine="0"/>
              <w:jc w:val="left"/>
            </w:pPr>
            <w:r>
              <w:rPr>
                <w:rFonts w:ascii="Calibri" w:eastAsia="Calibri" w:hAnsi="Calibri" w:cs="Calibri"/>
              </w:rPr>
              <w:t xml:space="preserve">98%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7" w:firstLine="0"/>
              <w:jc w:val="right"/>
            </w:pPr>
            <w:r>
              <w:rPr>
                <w:rFonts w:ascii="Calibri" w:eastAsia="Calibri" w:hAnsi="Calibri" w:cs="Calibri"/>
              </w:rPr>
              <w:t xml:space="preserve">8,061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33"/>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Romania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5" w:firstLine="0"/>
              <w:jc w:val="right"/>
            </w:pPr>
            <w:r>
              <w:rPr>
                <w:rFonts w:ascii="Calibri" w:eastAsia="Calibri" w:hAnsi="Calibri" w:cs="Calibri"/>
              </w:rPr>
              <w:t xml:space="preserve">4,079 </w:t>
            </w:r>
          </w:p>
        </w:tc>
        <w:tc>
          <w:tcPr>
            <w:tcW w:w="1117" w:type="dxa"/>
            <w:tcBorders>
              <w:top w:val="single" w:sz="8" w:space="0" w:color="000000"/>
              <w:left w:val="single" w:sz="8" w:space="0" w:color="000000"/>
              <w:bottom w:val="single" w:sz="8" w:space="0" w:color="000000"/>
              <w:right w:val="nil"/>
            </w:tcBorders>
            <w:shd w:val="clear" w:color="auto" w:fill="F2F2F2"/>
            <w:vAlign w:val="bottom"/>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shd w:val="clear" w:color="auto" w:fill="F2F2F2"/>
          </w:tcPr>
          <w:p w:rsidR="00BB52D7" w:rsidRDefault="00E33AE6">
            <w:pPr>
              <w:spacing w:after="0" w:line="259" w:lineRule="auto"/>
              <w:ind w:left="121" w:firstLine="0"/>
              <w:jc w:val="left"/>
            </w:pPr>
            <w:r>
              <w:rPr>
                <w:rFonts w:ascii="Calibri" w:eastAsia="Calibri" w:hAnsi="Calibri" w:cs="Calibri"/>
              </w:rPr>
              <w:t xml:space="preserve">79%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7" w:firstLine="0"/>
              <w:jc w:val="right"/>
            </w:pPr>
            <w:r>
              <w:rPr>
                <w:rFonts w:ascii="Calibri" w:eastAsia="Calibri" w:hAnsi="Calibri" w:cs="Calibri"/>
              </w:rPr>
              <w:t xml:space="preserve">3,222 </w:t>
            </w:r>
          </w:p>
        </w:tc>
        <w:tc>
          <w:tcPr>
            <w:tcW w:w="1375"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37"/>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7" w:firstLine="0"/>
              <w:jc w:val="left"/>
            </w:pPr>
            <w:r>
              <w:rPr>
                <w:rFonts w:ascii="Calibri" w:eastAsia="Calibri" w:hAnsi="Calibri" w:cs="Calibri"/>
              </w:rPr>
              <w:t xml:space="preserve">Slovakia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3,445 </w:t>
            </w:r>
          </w:p>
        </w:tc>
        <w:tc>
          <w:tcPr>
            <w:tcW w:w="1117" w:type="dxa"/>
            <w:tcBorders>
              <w:top w:val="single" w:sz="8" w:space="0" w:color="000000"/>
              <w:left w:val="single" w:sz="8" w:space="0" w:color="000000"/>
              <w:bottom w:val="single" w:sz="8" w:space="0" w:color="000000"/>
              <w:right w:val="nil"/>
            </w:tcBorders>
          </w:tcPr>
          <w:p w:rsidR="00BB52D7" w:rsidRDefault="00E33AE6">
            <w:pPr>
              <w:spacing w:after="0" w:line="259" w:lineRule="auto"/>
              <w:ind w:left="0" w:right="203" w:firstLine="0"/>
              <w:jc w:val="right"/>
            </w:pPr>
            <w:r>
              <w:rPr>
                <w:rFonts w:ascii="Calibri" w:eastAsia="Calibri" w:hAnsi="Calibri" w:cs="Calibri"/>
              </w:rPr>
              <w:t xml:space="preserve">- </w:t>
            </w:r>
          </w:p>
        </w:tc>
        <w:tc>
          <w:tcPr>
            <w:tcW w:w="603"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13" w:firstLine="0"/>
              <w:jc w:val="center"/>
            </w:pPr>
            <w:r>
              <w:rPr>
                <w:rFonts w:ascii="Calibri" w:eastAsia="Calibri" w:hAnsi="Calibri" w:cs="Calibri"/>
              </w:rPr>
              <w:t xml:space="preserve">- </w:t>
            </w:r>
          </w:p>
        </w:tc>
        <w:tc>
          <w:tcPr>
            <w:tcW w:w="137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16" w:firstLine="0"/>
              <w:jc w:val="center"/>
            </w:pPr>
            <w:r>
              <w:rPr>
                <w:rFonts w:ascii="Calibri" w:eastAsia="Calibri" w:hAnsi="Calibri" w:cs="Calibri"/>
              </w:rPr>
              <w:t xml:space="preserve">- </w:t>
            </w:r>
          </w:p>
        </w:tc>
      </w:tr>
      <w:tr w:rsidR="00BB52D7">
        <w:trPr>
          <w:trHeight w:val="337"/>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7" w:firstLine="0"/>
              <w:jc w:val="left"/>
            </w:pPr>
            <w:r>
              <w:rPr>
                <w:rFonts w:ascii="Calibri" w:eastAsia="Calibri" w:hAnsi="Calibri" w:cs="Calibri"/>
              </w:rPr>
              <w:lastRenderedPageBreak/>
              <w:t xml:space="preserve">Slovenia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2,143 </w:t>
            </w:r>
          </w:p>
        </w:tc>
        <w:tc>
          <w:tcPr>
            <w:tcW w:w="1117" w:type="dxa"/>
            <w:tcBorders>
              <w:top w:val="single" w:sz="8" w:space="0" w:color="000000"/>
              <w:left w:val="single" w:sz="8" w:space="0" w:color="000000"/>
              <w:bottom w:val="single" w:sz="8" w:space="0" w:color="000000"/>
              <w:right w:val="nil"/>
            </w:tcBorders>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0%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7" w:firstLine="0"/>
              <w:jc w:val="right"/>
            </w:pPr>
            <w:r>
              <w:rPr>
                <w:rFonts w:ascii="Calibri" w:eastAsia="Calibri" w:hAnsi="Calibri" w:cs="Calibri"/>
              </w:rPr>
              <w:t xml:space="preserve">0 </w:t>
            </w:r>
          </w:p>
        </w:tc>
        <w:tc>
          <w:tcPr>
            <w:tcW w:w="137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32"/>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Spain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5" w:firstLine="0"/>
              <w:jc w:val="right"/>
            </w:pPr>
            <w:r>
              <w:rPr>
                <w:rFonts w:ascii="Calibri" w:eastAsia="Calibri" w:hAnsi="Calibri" w:cs="Calibri"/>
              </w:rPr>
              <w:t xml:space="preserve">225,722 </w:t>
            </w:r>
          </w:p>
        </w:tc>
        <w:tc>
          <w:tcPr>
            <w:tcW w:w="1117" w:type="dxa"/>
            <w:tcBorders>
              <w:top w:val="single" w:sz="8" w:space="0" w:color="000000"/>
              <w:left w:val="single" w:sz="8" w:space="0" w:color="000000"/>
              <w:bottom w:val="single" w:sz="8" w:space="0" w:color="000000"/>
              <w:right w:val="nil"/>
            </w:tcBorders>
            <w:shd w:val="clear" w:color="auto" w:fill="F2F2F2"/>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shd w:val="clear" w:color="auto" w:fill="F2F2F2"/>
          </w:tcPr>
          <w:p w:rsidR="00BB52D7" w:rsidRDefault="00E33AE6">
            <w:pPr>
              <w:spacing w:after="0" w:line="259" w:lineRule="auto"/>
              <w:ind w:left="121" w:firstLine="0"/>
              <w:jc w:val="left"/>
            </w:pPr>
            <w:r>
              <w:rPr>
                <w:rFonts w:ascii="Calibri" w:eastAsia="Calibri" w:hAnsi="Calibri" w:cs="Calibri"/>
              </w:rPr>
              <w:t xml:space="preserve">65%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8" w:firstLine="0"/>
              <w:jc w:val="right"/>
            </w:pPr>
            <w:r>
              <w:rPr>
                <w:rFonts w:ascii="Calibri" w:eastAsia="Calibri" w:hAnsi="Calibri" w:cs="Calibri"/>
              </w:rPr>
              <w:t xml:space="preserve">146,719 </w:t>
            </w:r>
          </w:p>
        </w:tc>
        <w:tc>
          <w:tcPr>
            <w:tcW w:w="137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rPr>
              <w:t xml:space="preserve">2% </w:t>
            </w:r>
          </w:p>
        </w:tc>
      </w:tr>
      <w:tr w:rsidR="00BB52D7">
        <w:trPr>
          <w:trHeight w:val="334"/>
        </w:trPr>
        <w:tc>
          <w:tcPr>
            <w:tcW w:w="1976"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67" w:firstLine="0"/>
              <w:jc w:val="left"/>
            </w:pPr>
            <w:r>
              <w:rPr>
                <w:rFonts w:ascii="Calibri" w:eastAsia="Calibri" w:hAnsi="Calibri" w:cs="Calibri"/>
              </w:rPr>
              <w:t xml:space="preserve">Sweden </w:t>
            </w:r>
          </w:p>
        </w:tc>
        <w:tc>
          <w:tcPr>
            <w:tcW w:w="1840"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5" w:firstLine="0"/>
              <w:jc w:val="right"/>
            </w:pPr>
            <w:r>
              <w:rPr>
                <w:rFonts w:ascii="Calibri" w:eastAsia="Calibri" w:hAnsi="Calibri" w:cs="Calibri"/>
              </w:rPr>
              <w:t xml:space="preserve">248,930 </w:t>
            </w:r>
          </w:p>
        </w:tc>
        <w:tc>
          <w:tcPr>
            <w:tcW w:w="1117" w:type="dxa"/>
            <w:tcBorders>
              <w:top w:val="single" w:sz="8" w:space="0" w:color="000000"/>
              <w:left w:val="single" w:sz="8" w:space="0" w:color="000000"/>
              <w:bottom w:val="single" w:sz="8" w:space="0" w:color="000000"/>
              <w:right w:val="nil"/>
            </w:tcBorders>
            <w:shd w:val="clear" w:color="auto" w:fill="F2F2F2"/>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shd w:val="clear" w:color="auto" w:fill="F2F2F2"/>
          </w:tcPr>
          <w:p w:rsidR="00BB52D7" w:rsidRDefault="00E33AE6">
            <w:pPr>
              <w:spacing w:after="0" w:line="259" w:lineRule="auto"/>
              <w:ind w:left="121" w:firstLine="0"/>
              <w:jc w:val="left"/>
            </w:pPr>
            <w:r>
              <w:rPr>
                <w:rFonts w:ascii="Calibri" w:eastAsia="Calibri" w:hAnsi="Calibri" w:cs="Calibri"/>
              </w:rPr>
              <w:t xml:space="preserve">51% </w:t>
            </w:r>
          </w:p>
        </w:tc>
        <w:tc>
          <w:tcPr>
            <w:tcW w:w="13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58" w:firstLine="0"/>
              <w:jc w:val="right"/>
            </w:pPr>
            <w:r>
              <w:rPr>
                <w:rFonts w:ascii="Calibri" w:eastAsia="Calibri" w:hAnsi="Calibri" w:cs="Calibri"/>
              </w:rPr>
              <w:t xml:space="preserve">126,954 </w:t>
            </w:r>
          </w:p>
        </w:tc>
        <w:tc>
          <w:tcPr>
            <w:tcW w:w="137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rPr>
              <w:t xml:space="preserve">2% </w:t>
            </w:r>
          </w:p>
        </w:tc>
      </w:tr>
      <w:tr w:rsidR="00BB52D7">
        <w:trPr>
          <w:trHeight w:val="339"/>
        </w:trPr>
        <w:tc>
          <w:tcPr>
            <w:tcW w:w="197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7" w:firstLine="0"/>
              <w:jc w:val="left"/>
            </w:pPr>
            <w:r>
              <w:rPr>
                <w:rFonts w:ascii="Calibri" w:eastAsia="Calibri" w:hAnsi="Calibri" w:cs="Calibri"/>
              </w:rPr>
              <w:t xml:space="preserve">United Kingdom </w:t>
            </w:r>
          </w:p>
        </w:tc>
        <w:tc>
          <w:tcPr>
            <w:tcW w:w="184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995,340 </w:t>
            </w:r>
          </w:p>
        </w:tc>
        <w:tc>
          <w:tcPr>
            <w:tcW w:w="1117" w:type="dxa"/>
            <w:tcBorders>
              <w:top w:val="single" w:sz="8" w:space="0" w:color="000000"/>
              <w:left w:val="single" w:sz="8" w:space="0" w:color="000000"/>
              <w:bottom w:val="single" w:sz="8" w:space="0" w:color="000000"/>
              <w:right w:val="nil"/>
            </w:tcBorders>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3% </w:t>
            </w:r>
          </w:p>
        </w:tc>
        <w:tc>
          <w:tcPr>
            <w:tcW w:w="132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26,643 </w:t>
            </w:r>
          </w:p>
        </w:tc>
        <w:tc>
          <w:tcPr>
            <w:tcW w:w="137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rPr>
              <w:t xml:space="preserve">0% </w:t>
            </w:r>
          </w:p>
        </w:tc>
      </w:tr>
      <w:tr w:rsidR="00BB52D7">
        <w:trPr>
          <w:trHeight w:val="330"/>
        </w:trPr>
        <w:tc>
          <w:tcPr>
            <w:tcW w:w="1976"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67" w:firstLine="0"/>
              <w:jc w:val="left"/>
            </w:pPr>
            <w:r>
              <w:rPr>
                <w:rFonts w:ascii="Calibri" w:eastAsia="Calibri" w:hAnsi="Calibri" w:cs="Calibri"/>
                <w:b/>
              </w:rPr>
              <w:t xml:space="preserve">Total </w:t>
            </w:r>
          </w:p>
        </w:tc>
        <w:tc>
          <w:tcPr>
            <w:tcW w:w="1840"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right="56" w:firstLine="0"/>
              <w:jc w:val="right"/>
            </w:pPr>
            <w:r>
              <w:rPr>
                <w:rFonts w:ascii="Calibri" w:eastAsia="Calibri" w:hAnsi="Calibri" w:cs="Calibri"/>
                <w:b/>
              </w:rPr>
              <w:t xml:space="preserve">7,781,520 </w:t>
            </w:r>
          </w:p>
        </w:tc>
        <w:tc>
          <w:tcPr>
            <w:tcW w:w="1117" w:type="dxa"/>
            <w:tcBorders>
              <w:top w:val="single" w:sz="8" w:space="0" w:color="000000"/>
              <w:left w:val="single" w:sz="8" w:space="0" w:color="000000"/>
              <w:bottom w:val="single" w:sz="8" w:space="0" w:color="000000"/>
              <w:right w:val="nil"/>
            </w:tcBorders>
            <w:shd w:val="clear" w:color="auto" w:fill="A6A6A6"/>
            <w:vAlign w:val="center"/>
          </w:tcPr>
          <w:p w:rsidR="00BB52D7" w:rsidRDefault="00BB52D7">
            <w:pPr>
              <w:spacing w:after="160" w:line="259" w:lineRule="auto"/>
              <w:ind w:left="0" w:firstLine="0"/>
              <w:jc w:val="left"/>
            </w:pPr>
          </w:p>
        </w:tc>
        <w:tc>
          <w:tcPr>
            <w:tcW w:w="603" w:type="dxa"/>
            <w:tcBorders>
              <w:top w:val="single" w:sz="8" w:space="0" w:color="000000"/>
              <w:left w:val="nil"/>
              <w:bottom w:val="single" w:sz="8" w:space="0" w:color="000000"/>
              <w:right w:val="single" w:sz="8" w:space="0" w:color="000000"/>
            </w:tcBorders>
            <w:shd w:val="clear" w:color="auto" w:fill="A6A6A6"/>
          </w:tcPr>
          <w:p w:rsidR="00BB52D7" w:rsidRDefault="00E33AE6">
            <w:pPr>
              <w:spacing w:after="0" w:line="259" w:lineRule="auto"/>
              <w:ind w:left="118" w:firstLine="0"/>
            </w:pPr>
            <w:r>
              <w:rPr>
                <w:rFonts w:ascii="Calibri" w:eastAsia="Calibri" w:hAnsi="Calibri" w:cs="Calibri"/>
                <w:b/>
              </w:rPr>
              <w:t xml:space="preserve">56% </w:t>
            </w:r>
          </w:p>
        </w:tc>
        <w:tc>
          <w:tcPr>
            <w:tcW w:w="1323"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right="58" w:firstLine="0"/>
              <w:jc w:val="right"/>
            </w:pPr>
            <w:r>
              <w:rPr>
                <w:rFonts w:ascii="Calibri" w:eastAsia="Calibri" w:hAnsi="Calibri" w:cs="Calibri"/>
                <w:b/>
              </w:rPr>
              <w:t xml:space="preserve">2,522,617 </w:t>
            </w:r>
          </w:p>
        </w:tc>
        <w:tc>
          <w:tcPr>
            <w:tcW w:w="1375"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right="56" w:firstLine="0"/>
              <w:jc w:val="right"/>
            </w:pPr>
            <w:r>
              <w:rPr>
                <w:rFonts w:ascii="Calibri" w:eastAsia="Calibri" w:hAnsi="Calibri" w:cs="Calibri"/>
                <w:b/>
              </w:rPr>
              <w:t xml:space="preserve">32% </w:t>
            </w:r>
          </w:p>
        </w:tc>
      </w:tr>
    </w:tbl>
    <w:p w:rsidR="00BB52D7" w:rsidRDefault="00E33AE6">
      <w:pPr>
        <w:tabs>
          <w:tab w:val="center" w:pos="3654"/>
          <w:tab w:val="center" w:pos="7948"/>
        </w:tabs>
        <w:spacing w:after="99" w:line="259" w:lineRule="auto"/>
        <w:ind w:left="0" w:firstLine="0"/>
        <w:jc w:val="left"/>
      </w:pPr>
      <w:r>
        <w:rPr>
          <w:rFonts w:ascii="Calibri" w:eastAsia="Calibri" w:hAnsi="Calibri" w:cs="Calibri"/>
          <w:sz w:val="22"/>
        </w:rPr>
        <w:tab/>
      </w:r>
      <w:r>
        <w:rPr>
          <w:i/>
          <w:sz w:val="18"/>
        </w:rPr>
        <w:t xml:space="preserve">* Figure for LatviaFigures, December 2014 has been added to the figure disclosed by EFAMA in their </w:t>
      </w:r>
      <w:r>
        <w:rPr>
          <w:i/>
          <w:sz w:val="18"/>
        </w:rPr>
        <w:tab/>
      </w:r>
      <w:r>
        <w:rPr>
          <w:sz w:val="18"/>
        </w:rPr>
        <w:t xml:space="preserve"> </w:t>
      </w:r>
      <w:r>
        <w:rPr>
          <w:i/>
          <w:sz w:val="18"/>
        </w:rPr>
        <w:t xml:space="preserve">Asset Management in Europe, Facts and </w:t>
      </w:r>
    </w:p>
    <w:p w:rsidR="00BB52D7" w:rsidRDefault="00E33AE6">
      <w:pPr>
        <w:spacing w:after="64" w:line="259" w:lineRule="auto"/>
        <w:ind w:left="846"/>
        <w:jc w:val="left"/>
      </w:pPr>
      <w:r>
        <w:rPr>
          <w:i/>
          <w:sz w:val="18"/>
        </w:rPr>
        <w:t>**Figure for Lithuania has been added to the figure disclosed by EFAMA in their Asset Management in Europe, Facts an</w:t>
      </w:r>
      <w:r>
        <w:rPr>
          <w:i/>
          <w:sz w:val="18"/>
        </w:rPr>
        <w:t xml:space="preserve">d Figures, December 2014 </w:t>
      </w:r>
    </w:p>
    <w:p w:rsidR="00BB52D7" w:rsidRDefault="00E33AE6">
      <w:pPr>
        <w:spacing w:after="64" w:line="259" w:lineRule="auto"/>
        <w:ind w:left="846"/>
        <w:jc w:val="left"/>
      </w:pPr>
      <w:r>
        <w:rPr>
          <w:i/>
          <w:sz w:val="18"/>
        </w:rPr>
        <w:t>*** Figure</w:t>
      </w:r>
      <w:r>
        <w:rPr>
          <w:rFonts w:ascii="Calibri" w:eastAsia="Calibri" w:hAnsi="Calibri" w:cs="Calibri"/>
          <w:b/>
          <w:sz w:val="18"/>
        </w:rPr>
        <w:t xml:space="preserve"> </w:t>
      </w:r>
      <w:r>
        <w:rPr>
          <w:i/>
          <w:sz w:val="18"/>
        </w:rPr>
        <w:t xml:space="preserve">for Assets held in custody in house based only on incomplete information </w:t>
      </w:r>
    </w:p>
    <w:p w:rsidR="00BB52D7" w:rsidRDefault="00E33AE6">
      <w:pPr>
        <w:spacing w:after="241" w:line="259" w:lineRule="auto"/>
        <w:ind w:left="846"/>
        <w:jc w:val="left"/>
      </w:pPr>
      <w:r>
        <w:rPr>
          <w:i/>
          <w:sz w:val="18"/>
        </w:rPr>
        <w:t xml:space="preserve">****Figure for Assets held in custody in house for end-2013 </w:t>
      </w:r>
    </w:p>
    <w:p w:rsidR="00BB52D7" w:rsidRDefault="00E33AE6">
      <w:pPr>
        <w:spacing w:after="254" w:line="264" w:lineRule="auto"/>
        <w:ind w:left="846" w:right="9"/>
        <w:jc w:val="left"/>
      </w:pPr>
      <w:r>
        <w:rPr>
          <w:i/>
          <w:sz w:val="20"/>
        </w:rPr>
        <w:t xml:space="preserve">Source: ESMA and EFAMA (information 31/12/2014)  </w:t>
      </w:r>
    </w:p>
    <w:p w:rsidR="00BB52D7" w:rsidRDefault="00E33AE6">
      <w:pPr>
        <w:spacing w:after="268"/>
        <w:ind w:left="846" w:right="843"/>
      </w:pPr>
      <w:r>
        <w:t>For example, in Luxembourg, which represents more than €2.6 trillion of UCITS asset under management, 31% of these assets are held in custody in house. This represents more than €819 billion (i.e. 11% of the overall UCITS market). On the other hand, German</w:t>
      </w:r>
      <w:r>
        <w:t>y, 41% of the assets are held in custody in-house, but this represents only €121 billion (i.e. 2% of the overall UCITS market). In Latvia, 99% of the assets are held by an in-house custodian; this represents more than €169 billion (i.e. 2% of the overall U</w:t>
      </w:r>
      <w:r>
        <w:t xml:space="preserve">CITS market). </w:t>
      </w:r>
    </w:p>
    <w:p w:rsidR="00BB52D7" w:rsidRDefault="00E33AE6">
      <w:pPr>
        <w:ind w:left="846" w:right="843"/>
      </w:pPr>
      <w:r>
        <w:t>The consequences of structural separation will result in the loss of economies of scale for smaller depositaries. As shown in table 6 of Annex 5, a high proportion of the smaller depositaries rely entirely or significantly on their "group" management compa</w:t>
      </w:r>
      <w:r>
        <w:t>ny to generate the requisite level of economies of scale to maintain viable operations. In consequence, reallocation of assets in the wake of a structural separation will force some of these depositaries to exit the market altogether as small depositaries/</w:t>
      </w:r>
      <w:r>
        <w:t xml:space="preserve">third party to whom the custody has been delegated will not be viable without the custody of their “group” management company.  </w:t>
      </w:r>
    </w:p>
    <w:p w:rsidR="00BB52D7" w:rsidRDefault="00E33AE6">
      <w:pPr>
        <w:ind w:left="846" w:right="843"/>
      </w:pPr>
      <w:r>
        <w:t>One respondent (a trade association) of the public consultation provided cost estimates of such an asset reallocation as betwee</w:t>
      </w:r>
      <w:r>
        <w:t>n € 80,000 (for a small member) to € 2,100,000 (for a large member). In case UCITS assets need to be reallocated to an alternative depositary outside the corporate group, one respondent mentioned that the costs linked to that transfer would range between €</w:t>
      </w:r>
      <w:r>
        <w:t xml:space="preserve"> 150,000 (for a small member) to tens of millions of € (for a large member).  </w:t>
      </w:r>
    </w:p>
    <w:p w:rsidR="00BB52D7" w:rsidRDefault="00E33AE6">
      <w:pPr>
        <w:spacing w:after="258"/>
        <w:ind w:left="846" w:right="843"/>
      </w:pPr>
      <w:r>
        <w:t>Another depositary estimated that the loss of assets as part of this reallocation due to the structural separation will result in lost synergies amounting to € 30,000,000 withou</w:t>
      </w:r>
      <w:r>
        <w:t>t being able to specify how much new business this depositary could generate as a result of the asset reallocation. In addition to the figures provided by ESMA, the Commission received confidential information from management/investment company and deposit</w:t>
      </w:r>
      <w:r>
        <w:t xml:space="preserve">aries/third party to whom the custody has been delegated. The cost of transferring assets to another custodian would be at least comprised €8 million and €13 million for significant players. A smaller player estimated the cost at €2.1 million.  </w:t>
      </w:r>
    </w:p>
    <w:p w:rsidR="00BB52D7" w:rsidRDefault="00E33AE6">
      <w:pPr>
        <w:spacing w:after="289"/>
        <w:ind w:left="846" w:right="843"/>
      </w:pPr>
      <w:r>
        <w:t>Stakeholde</w:t>
      </w:r>
      <w:r>
        <w:t>rs estimate, that a small in-house depositary (&lt; 2 billion in AuM) will have costs of € 150,000 to transfer these assets to an independent custodian – assuming that these costs are linear, this results in a cost of roughly € 75,000 per € 1 billion in asset</w:t>
      </w:r>
      <w:r>
        <w:t xml:space="preserve">s that have to be </w:t>
      </w:r>
      <w:r>
        <w:lastRenderedPageBreak/>
        <w:t>transferred. As the asset under custody that will have to be reallocated represent more than € 2.5 trillion, the minimum cost of structural separation can be estimated at € 187,500 million</w:t>
      </w:r>
      <w:r>
        <w:rPr>
          <w:vertAlign w:val="superscript"/>
        </w:rPr>
        <w:footnoteReference w:id="68"/>
      </w:r>
      <w:r>
        <w:t xml:space="preserve">.  </w:t>
      </w:r>
    </w:p>
    <w:p w:rsidR="00BB52D7" w:rsidRDefault="00E33AE6">
      <w:pPr>
        <w:spacing w:after="190"/>
        <w:ind w:left="846" w:right="843"/>
      </w:pPr>
      <w:r>
        <w:t>Furthermore, some economies of scale that sma</w:t>
      </w:r>
      <w:r>
        <w:t>ller depositaries currently enjoy on account of their group membership, such as the use of common "group" IT infrastructure, access and operating of IT systems would be lost. This might have an impact on the fees paid by the investors but also on the effic</w:t>
      </w:r>
      <w:r>
        <w:t>iency of the management/investment company. Under this option, the depositary/third party (to whom the custody has been delegated) but also the management/investment company may not have the same financial capacity underpinning their operation. Without the</w:t>
      </w:r>
      <w:r>
        <w:t xml:space="preserve"> legal support of the parent company, smaller operators might find it more difficult to comply with increasing regulatory requirements. Consequently, a radical change of depositary/third party (to whom the custody has been delegated) arrangements might hav</w:t>
      </w:r>
      <w:r>
        <w:t xml:space="preserve">e fee implications for UCITS and, indirectly, trigger higher costs for UCITS investors.  </w:t>
      </w:r>
    </w:p>
    <w:p w:rsidR="00BB52D7" w:rsidRDefault="00E33AE6">
      <w:pPr>
        <w:spacing w:after="187"/>
        <w:ind w:left="846" w:right="843"/>
      </w:pPr>
      <w:r>
        <w:t xml:space="preserve">All restructuring costs entailed by </w:t>
      </w:r>
      <w:r>
        <w:rPr>
          <w:b/>
        </w:rPr>
        <w:t>Option 2.1</w:t>
      </w:r>
      <w:r>
        <w:t xml:space="preserve"> are expected to have an impact in particular on the custody fees that a UCITS management company would need to pay post</w:t>
      </w:r>
      <w:r>
        <w:t xml:space="preserve"> restructuring. While it is difficult to obtain a clear picture of the different custody and depositary fees structures in each Member State, depositaries that have to restructure their activities in the way described above will certainly wish to pass on t</w:t>
      </w:r>
      <w:r>
        <w:t xml:space="preserve">hese costs to the UCITS management company which, in turn, will pass them onto the UCITS’s investors.  </w:t>
      </w:r>
    </w:p>
    <w:p w:rsidR="00BB52D7" w:rsidRDefault="00E33AE6">
      <w:pPr>
        <w:spacing w:after="190"/>
        <w:ind w:left="846" w:right="843"/>
      </w:pPr>
      <w:r>
        <w:t>In these circumstances, and as the industry in many Member States is already highly concentrated, a large scale reallocation of custody assets risks inc</w:t>
      </w:r>
      <w:r>
        <w:t xml:space="preserve">reasing or at least perpetuating the considerable spreads between the minimum and maximum rates for custody services. As it can be seen in table 10 in Annex 5, the depositary fees are, on average, lower in the Member States where the “group” depositary is </w:t>
      </w:r>
      <w:r>
        <w:t>prevalent. In the same vein, the standard deviation of fees is narrower in those Member States. It seems that having a “group” depositary provide an advantage to investors as the depositary service is cheaper, on account of, E.g., the automation of process</w:t>
      </w:r>
      <w:r>
        <w:t xml:space="preserve"> that are simpler to implement when depositary and management company rely on the same group IT infrastructure.  </w:t>
      </w:r>
    </w:p>
    <w:p w:rsidR="00BB52D7" w:rsidRDefault="00E33AE6">
      <w:pPr>
        <w:ind w:left="846" w:right="843"/>
      </w:pPr>
      <w:r>
        <w:t>In addition to the restructuring costs, management companies and depositaries estimate that implementing structural separation would require b</w:t>
      </w:r>
      <w:r>
        <w:t>etween 18 and 24 months. During this time, business focus would be diverted; resulting in missed commercial opportunities for EU domiciled asset managers and depositaries. This would result in a competitive disadvantage of EU operators vis-à-vis their inte</w:t>
      </w:r>
      <w:r>
        <w:t xml:space="preserve">rnational competitors who would not face this challenge. </w:t>
      </w:r>
    </w:p>
    <w:p w:rsidR="00BB52D7" w:rsidRDefault="00E33AE6">
      <w:pPr>
        <w:spacing w:after="260"/>
        <w:ind w:left="846" w:right="843"/>
      </w:pPr>
      <w:r>
        <w:t xml:space="preserve">On the other hand, it can be noted that 'stand-alone' management companies that do not belong to a banking group would </w:t>
      </w:r>
      <w:r>
        <w:rPr>
          <w:u w:val="single" w:color="000000"/>
        </w:rPr>
        <w:t>not</w:t>
      </w:r>
      <w:r>
        <w:t xml:space="preserve"> be affected as they already tend to place their assets into custody with st</w:t>
      </w:r>
      <w:r>
        <w:t>ructurally separate international custodians</w:t>
      </w:r>
      <w:r>
        <w:rPr>
          <w:vertAlign w:val="superscript"/>
        </w:rPr>
        <w:footnoteReference w:id="69"/>
      </w:r>
      <w:r>
        <w:t xml:space="preserve">. </w:t>
      </w:r>
    </w:p>
    <w:p w:rsidR="00BB52D7" w:rsidRDefault="00E33AE6">
      <w:pPr>
        <w:spacing w:after="188"/>
        <w:ind w:left="846" w:right="843"/>
      </w:pPr>
      <w:r>
        <w:rPr>
          <w:b/>
        </w:rPr>
        <w:t xml:space="preserve">Option 2.2, </w:t>
      </w:r>
      <w:r>
        <w:t xml:space="preserve">on the other hand, would avoid large restructuring cost and leave in place existing economies of scale. It is therefore expected that this option would have less or no impact on fees that a UCITS </w:t>
      </w:r>
      <w:r>
        <w:t xml:space="preserve">management company has to pay to investors.  </w:t>
      </w:r>
    </w:p>
    <w:p w:rsidR="00BB52D7" w:rsidRDefault="00E33AE6">
      <w:pPr>
        <w:spacing w:after="193"/>
        <w:ind w:left="846" w:right="843"/>
      </w:pPr>
      <w:r>
        <w:lastRenderedPageBreak/>
        <w:t xml:space="preserve">In order to further limit the costs of </w:t>
      </w:r>
      <w:r>
        <w:rPr>
          <w:b/>
        </w:rPr>
        <w:t>Option 2.2</w:t>
      </w:r>
      <w:r>
        <w:t xml:space="preserve"> </w:t>
      </w:r>
      <w:r>
        <w:t>in the 'group' scenario, this option does not require that all member of either the asset managers' or the depositary's board are independent of their joint 'group' company but establishes a quorum of independent board members. In a 'group' scenario, where</w:t>
      </w:r>
      <w:r>
        <w:t xml:space="preserve"> the members of the management company's and the depositaries' board are also members of the 'group' board or employed by the group company, </w:t>
      </w:r>
      <w:r>
        <w:rPr>
          <w:b/>
        </w:rPr>
        <w:t xml:space="preserve">Option 2.2 </w:t>
      </w:r>
      <w:r>
        <w:t>would only require that at least one-third of the management board of the management company (depositary</w:t>
      </w:r>
      <w:r>
        <w:t xml:space="preserve">) has no employment, business or personal links with the group company. Chart 3 provides an example for two boards comprising three members: </w:t>
      </w:r>
      <w:r>
        <w:rPr>
          <w:b/>
          <w:i/>
        </w:rPr>
        <w:t xml:space="preserve"> </w:t>
      </w:r>
    </w:p>
    <w:p w:rsidR="00BB52D7" w:rsidRDefault="00E33AE6">
      <w:pPr>
        <w:spacing w:after="11" w:line="248" w:lineRule="auto"/>
        <w:ind w:left="846" w:right="488"/>
        <w:jc w:val="left"/>
      </w:pPr>
      <w:r>
        <w:rPr>
          <w:b/>
          <w:i/>
          <w:u w:val="single" w:color="000000"/>
        </w:rPr>
        <w:t>Chart 3- Example of a group structure with different members in the management body of</w:t>
      </w:r>
      <w:r>
        <w:rPr>
          <w:b/>
          <w:i/>
        </w:rPr>
        <w:t xml:space="preserve"> </w:t>
      </w:r>
      <w:r>
        <w:rPr>
          <w:b/>
          <w:i/>
          <w:u w:val="single" w:color="000000"/>
        </w:rPr>
        <w:t>the depositary and managem</w:t>
      </w:r>
      <w:r>
        <w:rPr>
          <w:b/>
          <w:i/>
          <w:u w:val="single" w:color="000000"/>
        </w:rPr>
        <w:t>ent company but without an independent member.</w:t>
      </w:r>
      <w:r>
        <w:rPr>
          <w:b/>
          <w:i/>
        </w:rPr>
        <w:t xml:space="preserve">  </w:t>
      </w:r>
    </w:p>
    <w:p w:rsidR="00BB52D7" w:rsidRDefault="00E33AE6">
      <w:pPr>
        <w:spacing w:after="50" w:line="259" w:lineRule="auto"/>
        <w:ind w:left="851" w:firstLine="0"/>
        <w:jc w:val="left"/>
      </w:pPr>
      <w:r>
        <w:rPr>
          <w:rFonts w:ascii="Calibri" w:eastAsia="Calibri" w:hAnsi="Calibri" w:cs="Calibri"/>
          <w:noProof/>
          <w:sz w:val="22"/>
        </w:rPr>
        <mc:AlternateContent>
          <mc:Choice Requires="wpg">
            <w:drawing>
              <wp:inline distT="0" distB="0" distL="0" distR="0">
                <wp:extent cx="5808726" cy="3581171"/>
                <wp:effectExtent l="0" t="0" r="0" b="0"/>
                <wp:docPr id="186343" name="Group 186343"/>
                <wp:cNvGraphicFramePr/>
                <a:graphic xmlns:a="http://schemas.openxmlformats.org/drawingml/2006/main">
                  <a:graphicData uri="http://schemas.microsoft.com/office/word/2010/wordprocessingGroup">
                    <wpg:wgp>
                      <wpg:cNvGrpSpPr/>
                      <wpg:grpSpPr>
                        <a:xfrm>
                          <a:off x="0" y="0"/>
                          <a:ext cx="5808726" cy="3581171"/>
                          <a:chOff x="0" y="0"/>
                          <a:chExt cx="5808726" cy="3581171"/>
                        </a:xfrm>
                      </wpg:grpSpPr>
                      <wps:wsp>
                        <wps:cNvPr id="7330" name="Rectangle 7330"/>
                        <wps:cNvSpPr/>
                        <wps:spPr>
                          <a:xfrm>
                            <a:off x="0" y="0"/>
                            <a:ext cx="50673" cy="224380"/>
                          </a:xfrm>
                          <a:prstGeom prst="rect">
                            <a:avLst/>
                          </a:prstGeom>
                          <a:ln>
                            <a:noFill/>
                          </a:ln>
                        </wps:spPr>
                        <wps:txbx>
                          <w:txbxContent>
                            <w:p w:rsidR="00BB52D7" w:rsidRDefault="00E33AE6">
                              <w:pPr>
                                <w:spacing w:after="160" w:line="259" w:lineRule="auto"/>
                                <w:ind w:left="0" w:firstLine="0"/>
                                <w:jc w:val="left"/>
                              </w:pPr>
                              <w:r>
                                <w:rPr>
                                  <w:b/>
                                  <w:i/>
                                </w:rPr>
                                <w:t xml:space="preserve"> </w:t>
                              </w:r>
                            </w:p>
                          </w:txbxContent>
                        </wps:txbx>
                        <wps:bodyPr horzOverflow="overflow" vert="horz" lIns="0" tIns="0" rIns="0" bIns="0" rtlCol="0">
                          <a:noAutofit/>
                        </wps:bodyPr>
                      </wps:wsp>
                      <wps:wsp>
                        <wps:cNvPr id="7331" name="Rectangle 7331"/>
                        <wps:cNvSpPr/>
                        <wps:spPr>
                          <a:xfrm>
                            <a:off x="0" y="327660"/>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2" name="Rectangle 7332"/>
                        <wps:cNvSpPr/>
                        <wps:spPr>
                          <a:xfrm>
                            <a:off x="0" y="65608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3" name="Rectangle 7333"/>
                        <wps:cNvSpPr/>
                        <wps:spPr>
                          <a:xfrm>
                            <a:off x="0" y="984504"/>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4" name="Rectangle 7334"/>
                        <wps:cNvSpPr/>
                        <wps:spPr>
                          <a:xfrm>
                            <a:off x="0" y="1313180"/>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5" name="Rectangle 7335"/>
                        <wps:cNvSpPr/>
                        <wps:spPr>
                          <a:xfrm>
                            <a:off x="0" y="164160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6" name="Rectangle 7336"/>
                        <wps:cNvSpPr/>
                        <wps:spPr>
                          <a:xfrm>
                            <a:off x="0" y="1970024"/>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7" name="Rectangle 7337"/>
                        <wps:cNvSpPr/>
                        <wps:spPr>
                          <a:xfrm>
                            <a:off x="0" y="2299208"/>
                            <a:ext cx="50673" cy="224379"/>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8" name="Rectangle 7338"/>
                        <wps:cNvSpPr/>
                        <wps:spPr>
                          <a:xfrm>
                            <a:off x="0" y="2627630"/>
                            <a:ext cx="50673" cy="224379"/>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39" name="Rectangle 7339"/>
                        <wps:cNvSpPr/>
                        <wps:spPr>
                          <a:xfrm>
                            <a:off x="0" y="295605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40" name="Rectangle 7340"/>
                        <wps:cNvSpPr/>
                        <wps:spPr>
                          <a:xfrm>
                            <a:off x="0" y="3284474"/>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7376" name="Shape 7376"/>
                        <wps:cNvSpPr/>
                        <wps:spPr>
                          <a:xfrm>
                            <a:off x="203581" y="35966"/>
                            <a:ext cx="5605145" cy="3545205"/>
                          </a:xfrm>
                          <a:custGeom>
                            <a:avLst/>
                            <a:gdLst/>
                            <a:ahLst/>
                            <a:cxnLst/>
                            <a:rect l="0" t="0" r="0" b="0"/>
                            <a:pathLst>
                              <a:path w="5605145" h="3545205">
                                <a:moveTo>
                                  <a:pt x="0" y="3545205"/>
                                </a:moveTo>
                                <a:lnTo>
                                  <a:pt x="5605145" y="3545205"/>
                                </a:lnTo>
                                <a:lnTo>
                                  <a:pt x="560514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77" name="Picture 7377"/>
                          <pic:cNvPicPr/>
                        </pic:nvPicPr>
                        <pic:blipFill>
                          <a:blip r:embed="rId15"/>
                          <a:stretch>
                            <a:fillRect/>
                          </a:stretch>
                        </pic:blipFill>
                        <pic:spPr>
                          <a:xfrm>
                            <a:off x="208026" y="86004"/>
                            <a:ext cx="5596128" cy="3445002"/>
                          </a:xfrm>
                          <a:prstGeom prst="rect">
                            <a:avLst/>
                          </a:prstGeom>
                        </pic:spPr>
                      </pic:pic>
                      <wps:wsp>
                        <wps:cNvPr id="185769" name="Rectangle 185769"/>
                        <wps:cNvSpPr/>
                        <wps:spPr>
                          <a:xfrm>
                            <a:off x="2592070" y="90335"/>
                            <a:ext cx="1102290" cy="168285"/>
                          </a:xfrm>
                          <a:prstGeom prst="rect">
                            <a:avLst/>
                          </a:prstGeom>
                          <a:ln>
                            <a:noFill/>
                          </a:ln>
                        </wps:spPr>
                        <wps:txbx>
                          <w:txbxContent>
                            <w:p w:rsidR="00BB52D7" w:rsidRDefault="00E33AE6">
                              <w:pPr>
                                <w:spacing w:after="160" w:line="259" w:lineRule="auto"/>
                                <w:ind w:left="0" w:firstLine="0"/>
                                <w:jc w:val="left"/>
                              </w:pPr>
                              <w:r>
                                <w:rPr>
                                  <w:b/>
                                  <w:sz w:val="18"/>
                                  <w:u w:val="single" w:color="000000"/>
                                </w:rPr>
                                <w:t>Group Company</w:t>
                              </w:r>
                            </w:p>
                          </w:txbxContent>
                        </wps:txbx>
                        <wps:bodyPr horzOverflow="overflow" vert="horz" lIns="0" tIns="0" rIns="0" bIns="0" rtlCol="0">
                          <a:noAutofit/>
                        </wps:bodyPr>
                      </wps:wsp>
                      <wps:wsp>
                        <wps:cNvPr id="7379" name="Rectangle 7379"/>
                        <wps:cNvSpPr/>
                        <wps:spPr>
                          <a:xfrm>
                            <a:off x="3421126" y="90335"/>
                            <a:ext cx="38005" cy="168285"/>
                          </a:xfrm>
                          <a:prstGeom prst="rect">
                            <a:avLst/>
                          </a:prstGeom>
                          <a:ln>
                            <a:noFill/>
                          </a:ln>
                        </wps:spPr>
                        <wps:txbx>
                          <w:txbxContent>
                            <w:p w:rsidR="00BB52D7" w:rsidRDefault="00E33AE6">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7381" name="Rectangle 7381"/>
                        <wps:cNvSpPr/>
                        <wps:spPr>
                          <a:xfrm>
                            <a:off x="299720" y="371513"/>
                            <a:ext cx="2205796" cy="168285"/>
                          </a:xfrm>
                          <a:prstGeom prst="rect">
                            <a:avLst/>
                          </a:prstGeom>
                          <a:ln>
                            <a:noFill/>
                          </a:ln>
                        </wps:spPr>
                        <wps:txbx>
                          <w:txbxContent>
                            <w:p w:rsidR="00BB52D7" w:rsidRDefault="00E33AE6">
                              <w:pPr>
                                <w:spacing w:after="160" w:line="259" w:lineRule="auto"/>
                                <w:ind w:left="0" w:firstLine="0"/>
                                <w:jc w:val="left"/>
                              </w:pPr>
                              <w:r>
                                <w:rPr>
                                  <w:sz w:val="18"/>
                                </w:rPr>
                                <w:t>The management body of the Group</w:t>
                              </w:r>
                            </w:p>
                          </w:txbxContent>
                        </wps:txbx>
                        <wps:bodyPr horzOverflow="overflow" vert="horz" lIns="0" tIns="0" rIns="0" bIns="0" rtlCol="0">
                          <a:noAutofit/>
                        </wps:bodyPr>
                      </wps:wsp>
                      <wps:wsp>
                        <wps:cNvPr id="7382" name="Rectangle 7382"/>
                        <wps:cNvSpPr/>
                        <wps:spPr>
                          <a:xfrm>
                            <a:off x="1959356" y="371513"/>
                            <a:ext cx="38005" cy="168285"/>
                          </a:xfrm>
                          <a:prstGeom prst="rect">
                            <a:avLst/>
                          </a:prstGeom>
                          <a:ln>
                            <a:noFill/>
                          </a:ln>
                        </wps:spPr>
                        <wps:txbx>
                          <w:txbxContent>
                            <w:p w:rsidR="00BB52D7" w:rsidRDefault="00E33AE6">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7383" name="Rectangle 7383"/>
                        <wps:cNvSpPr/>
                        <wps:spPr>
                          <a:xfrm>
                            <a:off x="1988312" y="371513"/>
                            <a:ext cx="4008589" cy="168285"/>
                          </a:xfrm>
                          <a:prstGeom prst="rect">
                            <a:avLst/>
                          </a:prstGeom>
                          <a:ln>
                            <a:noFill/>
                          </a:ln>
                        </wps:spPr>
                        <wps:txbx>
                          <w:txbxContent>
                            <w:p w:rsidR="00BB52D7" w:rsidRDefault="00E33AE6">
                              <w:pPr>
                                <w:spacing w:after="160" w:line="259" w:lineRule="auto"/>
                                <w:ind w:left="0" w:firstLine="0"/>
                                <w:jc w:val="left"/>
                              </w:pPr>
                              <w:r>
                                <w:rPr>
                                  <w:sz w:val="18"/>
                                </w:rPr>
                                <w:t>comprises 4 members: Member A; Member B; Member C, Memb</w:t>
                              </w:r>
                            </w:p>
                          </w:txbxContent>
                        </wps:txbx>
                        <wps:bodyPr horzOverflow="overflow" vert="horz" lIns="0" tIns="0" rIns="0" bIns="0" rtlCol="0">
                          <a:noAutofit/>
                        </wps:bodyPr>
                      </wps:wsp>
                      <wps:wsp>
                        <wps:cNvPr id="7384" name="Rectangle 7384"/>
                        <wps:cNvSpPr/>
                        <wps:spPr>
                          <a:xfrm>
                            <a:off x="5004054" y="371513"/>
                            <a:ext cx="304646" cy="168285"/>
                          </a:xfrm>
                          <a:prstGeom prst="rect">
                            <a:avLst/>
                          </a:prstGeom>
                          <a:ln>
                            <a:noFill/>
                          </a:ln>
                        </wps:spPr>
                        <wps:txbx>
                          <w:txbxContent>
                            <w:p w:rsidR="00BB52D7" w:rsidRDefault="00E33AE6">
                              <w:pPr>
                                <w:spacing w:after="160" w:line="259" w:lineRule="auto"/>
                                <w:ind w:left="0" w:firstLine="0"/>
                                <w:jc w:val="left"/>
                              </w:pPr>
                              <w:r>
                                <w:rPr>
                                  <w:sz w:val="18"/>
                                </w:rPr>
                                <w:t>er D.</w:t>
                              </w:r>
                            </w:p>
                          </w:txbxContent>
                        </wps:txbx>
                        <wps:bodyPr horzOverflow="overflow" vert="horz" lIns="0" tIns="0" rIns="0" bIns="0" rtlCol="0">
                          <a:noAutofit/>
                        </wps:bodyPr>
                      </wps:wsp>
                      <wps:wsp>
                        <wps:cNvPr id="7385" name="Rectangle 7385"/>
                        <wps:cNvSpPr/>
                        <wps:spPr>
                          <a:xfrm>
                            <a:off x="5233416" y="371513"/>
                            <a:ext cx="38005" cy="168285"/>
                          </a:xfrm>
                          <a:prstGeom prst="rect">
                            <a:avLst/>
                          </a:prstGeom>
                          <a:ln>
                            <a:noFill/>
                          </a:ln>
                        </wps:spPr>
                        <wps:txbx>
                          <w:txbxContent>
                            <w:p w:rsidR="00BB52D7" w:rsidRDefault="00E33AE6">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7386" name="Rectangle 7386"/>
                        <wps:cNvSpPr/>
                        <wps:spPr>
                          <a:xfrm>
                            <a:off x="299720" y="655739"/>
                            <a:ext cx="7233369" cy="168285"/>
                          </a:xfrm>
                          <a:prstGeom prst="rect">
                            <a:avLst/>
                          </a:prstGeom>
                          <a:ln>
                            <a:noFill/>
                          </a:ln>
                        </wps:spPr>
                        <wps:txbx>
                          <w:txbxContent>
                            <w:p w:rsidR="00BB52D7" w:rsidRDefault="00E33AE6">
                              <w:pPr>
                                <w:spacing w:after="160" w:line="259" w:lineRule="auto"/>
                                <w:ind w:left="0" w:firstLine="0"/>
                                <w:jc w:val="left"/>
                              </w:pPr>
                              <w:r>
                                <w:rPr>
                                  <w:sz w:val="18"/>
                                </w:rPr>
                                <w:t xml:space="preserve">Two employees are employed by the group (but not by the management company and the depositary): Employee X </w:t>
                              </w:r>
                            </w:p>
                          </w:txbxContent>
                        </wps:txbx>
                        <wps:bodyPr horzOverflow="overflow" vert="horz" lIns="0" tIns="0" rIns="0" bIns="0" rtlCol="0">
                          <a:noAutofit/>
                        </wps:bodyPr>
                      </wps:wsp>
                      <wps:wsp>
                        <wps:cNvPr id="7387" name="Rectangle 7387"/>
                        <wps:cNvSpPr/>
                        <wps:spPr>
                          <a:xfrm>
                            <a:off x="299720" y="786803"/>
                            <a:ext cx="1022480" cy="168285"/>
                          </a:xfrm>
                          <a:prstGeom prst="rect">
                            <a:avLst/>
                          </a:prstGeom>
                          <a:ln>
                            <a:noFill/>
                          </a:ln>
                        </wps:spPr>
                        <wps:txbx>
                          <w:txbxContent>
                            <w:p w:rsidR="00BB52D7" w:rsidRDefault="00E33AE6">
                              <w:pPr>
                                <w:spacing w:after="160" w:line="259" w:lineRule="auto"/>
                                <w:ind w:left="0" w:firstLine="0"/>
                                <w:jc w:val="left"/>
                              </w:pPr>
                              <w:r>
                                <w:rPr>
                                  <w:sz w:val="18"/>
                                </w:rPr>
                                <w:t>and Employee Y</w:t>
                              </w:r>
                            </w:p>
                          </w:txbxContent>
                        </wps:txbx>
                        <wps:bodyPr horzOverflow="overflow" vert="horz" lIns="0" tIns="0" rIns="0" bIns="0" rtlCol="0">
                          <a:noAutofit/>
                        </wps:bodyPr>
                      </wps:wsp>
                      <wps:wsp>
                        <wps:cNvPr id="7388" name="Rectangle 7388"/>
                        <wps:cNvSpPr/>
                        <wps:spPr>
                          <a:xfrm>
                            <a:off x="1067816" y="786803"/>
                            <a:ext cx="38005" cy="168285"/>
                          </a:xfrm>
                          <a:prstGeom prst="rect">
                            <a:avLst/>
                          </a:prstGeom>
                          <a:ln>
                            <a:noFill/>
                          </a:ln>
                        </wps:spPr>
                        <wps:txbx>
                          <w:txbxContent>
                            <w:p w:rsidR="00BB52D7" w:rsidRDefault="00E33AE6">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7389" name="Rectangle 7389"/>
                        <wps:cNvSpPr/>
                        <wps:spPr>
                          <a:xfrm>
                            <a:off x="299720" y="1071283"/>
                            <a:ext cx="6421739" cy="168285"/>
                          </a:xfrm>
                          <a:prstGeom prst="rect">
                            <a:avLst/>
                          </a:prstGeom>
                          <a:ln>
                            <a:noFill/>
                          </a:ln>
                        </wps:spPr>
                        <wps:txbx>
                          <w:txbxContent>
                            <w:p w:rsidR="00BB52D7" w:rsidRDefault="00E33AE6">
                              <w:pPr>
                                <w:spacing w:after="160" w:line="259" w:lineRule="auto"/>
                                <w:ind w:left="0" w:firstLine="0"/>
                                <w:jc w:val="left"/>
                              </w:pPr>
                              <w:r>
                                <w:rPr>
                                  <w:sz w:val="18"/>
                                </w:rPr>
                                <w:t>The boards of the management company and the depositary have three members each, therefore one</w:t>
                              </w:r>
                            </w:p>
                          </w:txbxContent>
                        </wps:txbx>
                        <wps:bodyPr horzOverflow="overflow" vert="horz" lIns="0" tIns="0" rIns="0" bIns="0" rtlCol="0">
                          <a:noAutofit/>
                        </wps:bodyPr>
                      </wps:wsp>
                      <wps:wsp>
                        <wps:cNvPr id="7390" name="Rectangle 7390"/>
                        <wps:cNvSpPr/>
                        <wps:spPr>
                          <a:xfrm>
                            <a:off x="5132070" y="1071283"/>
                            <a:ext cx="50624" cy="168285"/>
                          </a:xfrm>
                          <a:prstGeom prst="rect">
                            <a:avLst/>
                          </a:prstGeom>
                          <a:ln>
                            <a:noFill/>
                          </a:ln>
                        </wps:spPr>
                        <wps:txbx>
                          <w:txbxContent>
                            <w:p w:rsidR="00BB52D7" w:rsidRDefault="00E33AE6">
                              <w:pPr>
                                <w:spacing w:after="160" w:line="259" w:lineRule="auto"/>
                                <w:ind w:left="0" w:firstLine="0"/>
                                <w:jc w:val="left"/>
                              </w:pPr>
                              <w:r>
                                <w:rPr>
                                  <w:sz w:val="18"/>
                                </w:rPr>
                                <w:t>-</w:t>
                              </w:r>
                            </w:p>
                          </w:txbxContent>
                        </wps:txbx>
                        <wps:bodyPr horzOverflow="overflow" vert="horz" lIns="0" tIns="0" rIns="0" bIns="0" rtlCol="0">
                          <a:noAutofit/>
                        </wps:bodyPr>
                      </wps:wsp>
                      <wps:wsp>
                        <wps:cNvPr id="7391" name="Rectangle 7391"/>
                        <wps:cNvSpPr/>
                        <wps:spPr>
                          <a:xfrm>
                            <a:off x="5170170" y="1071283"/>
                            <a:ext cx="760247" cy="168285"/>
                          </a:xfrm>
                          <a:prstGeom prst="rect">
                            <a:avLst/>
                          </a:prstGeom>
                          <a:ln>
                            <a:noFill/>
                          </a:ln>
                        </wps:spPr>
                        <wps:txbx>
                          <w:txbxContent>
                            <w:p w:rsidR="00BB52D7" w:rsidRDefault="00E33AE6">
                              <w:pPr>
                                <w:spacing w:after="160" w:line="259" w:lineRule="auto"/>
                                <w:ind w:left="0" w:firstLine="0"/>
                                <w:jc w:val="left"/>
                              </w:pPr>
                              <w:r>
                                <w:rPr>
                                  <w:sz w:val="18"/>
                                </w:rPr>
                                <w:t xml:space="preserve">third of the </w:t>
                              </w:r>
                            </w:p>
                          </w:txbxContent>
                        </wps:txbx>
                        <wps:bodyPr horzOverflow="overflow" vert="horz" lIns="0" tIns="0" rIns="0" bIns="0" rtlCol="0">
                          <a:noAutofit/>
                        </wps:bodyPr>
                      </wps:wsp>
                      <wps:wsp>
                        <wps:cNvPr id="7392" name="Rectangle 7392"/>
                        <wps:cNvSpPr/>
                        <wps:spPr>
                          <a:xfrm>
                            <a:off x="299720" y="1204633"/>
                            <a:ext cx="1363611" cy="168285"/>
                          </a:xfrm>
                          <a:prstGeom prst="rect">
                            <a:avLst/>
                          </a:prstGeom>
                          <a:ln>
                            <a:noFill/>
                          </a:ln>
                        </wps:spPr>
                        <wps:txbx>
                          <w:txbxContent>
                            <w:p w:rsidR="00BB52D7" w:rsidRDefault="00E33AE6">
                              <w:pPr>
                                <w:spacing w:after="160" w:line="259" w:lineRule="auto"/>
                                <w:ind w:left="0" w:firstLine="0"/>
                                <w:jc w:val="left"/>
                              </w:pPr>
                              <w:r>
                                <w:rPr>
                                  <w:sz w:val="18"/>
                                </w:rPr>
                                <w:t>member of each board</w:t>
                              </w:r>
                            </w:p>
                          </w:txbxContent>
                        </wps:txbx>
                        <wps:bodyPr horzOverflow="overflow" vert="horz" lIns="0" tIns="0" rIns="0" bIns="0" rtlCol="0">
                          <a:noAutofit/>
                        </wps:bodyPr>
                      </wps:wsp>
                      <wps:wsp>
                        <wps:cNvPr id="7393" name="Rectangle 7393"/>
                        <wps:cNvSpPr/>
                        <wps:spPr>
                          <a:xfrm>
                            <a:off x="1325372" y="1204633"/>
                            <a:ext cx="38005" cy="168285"/>
                          </a:xfrm>
                          <a:prstGeom prst="rect">
                            <a:avLst/>
                          </a:prstGeom>
                          <a:ln>
                            <a:noFill/>
                          </a:ln>
                        </wps:spPr>
                        <wps:txbx>
                          <w:txbxContent>
                            <w:p w:rsidR="00BB52D7" w:rsidRDefault="00E33AE6">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7394" name="Rectangle 7394"/>
                        <wps:cNvSpPr/>
                        <wps:spPr>
                          <a:xfrm>
                            <a:off x="1354328" y="1204633"/>
                            <a:ext cx="1501492" cy="168285"/>
                          </a:xfrm>
                          <a:prstGeom prst="rect">
                            <a:avLst/>
                          </a:prstGeom>
                          <a:ln>
                            <a:noFill/>
                          </a:ln>
                        </wps:spPr>
                        <wps:txbx>
                          <w:txbxContent>
                            <w:p w:rsidR="00BB52D7" w:rsidRDefault="00E33AE6">
                              <w:pPr>
                                <w:spacing w:after="160" w:line="259" w:lineRule="auto"/>
                                <w:ind w:left="0" w:firstLine="0"/>
                                <w:jc w:val="left"/>
                              </w:pPr>
                              <w:r>
                                <w:rPr>
                                  <w:sz w:val="18"/>
                                </w:rPr>
                                <w:t>needs to be independent.</w:t>
                              </w:r>
                            </w:p>
                          </w:txbxContent>
                        </wps:txbx>
                        <wps:bodyPr horzOverflow="overflow" vert="horz" lIns="0" tIns="0" rIns="0" bIns="0" rtlCol="0">
                          <a:noAutofit/>
                        </wps:bodyPr>
                      </wps:wsp>
                      <wps:wsp>
                        <wps:cNvPr id="7395" name="Rectangle 7395"/>
                        <wps:cNvSpPr/>
                        <wps:spPr>
                          <a:xfrm>
                            <a:off x="2483866" y="1204633"/>
                            <a:ext cx="38005" cy="168285"/>
                          </a:xfrm>
                          <a:prstGeom prst="rect">
                            <a:avLst/>
                          </a:prstGeom>
                          <a:ln>
                            <a:noFill/>
                          </a:ln>
                        </wps:spPr>
                        <wps:txbx>
                          <w:txbxContent>
                            <w:p w:rsidR="00BB52D7" w:rsidRDefault="00E33AE6">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244309" name="Shape 244309"/>
                        <wps:cNvSpPr/>
                        <wps:spPr>
                          <a:xfrm>
                            <a:off x="1036066" y="1650644"/>
                            <a:ext cx="1624330" cy="1798321"/>
                          </a:xfrm>
                          <a:custGeom>
                            <a:avLst/>
                            <a:gdLst/>
                            <a:ahLst/>
                            <a:cxnLst/>
                            <a:rect l="0" t="0" r="0" b="0"/>
                            <a:pathLst>
                              <a:path w="1624330" h="1798321">
                                <a:moveTo>
                                  <a:pt x="0" y="0"/>
                                </a:moveTo>
                                <a:lnTo>
                                  <a:pt x="1624330" y="0"/>
                                </a:lnTo>
                                <a:lnTo>
                                  <a:pt x="1624330" y="1798321"/>
                                </a:lnTo>
                                <a:lnTo>
                                  <a:pt x="0" y="17983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7" name="Shape 7397"/>
                        <wps:cNvSpPr/>
                        <wps:spPr>
                          <a:xfrm>
                            <a:off x="1036066" y="1650644"/>
                            <a:ext cx="1624330" cy="1798321"/>
                          </a:xfrm>
                          <a:custGeom>
                            <a:avLst/>
                            <a:gdLst/>
                            <a:ahLst/>
                            <a:cxnLst/>
                            <a:rect l="0" t="0" r="0" b="0"/>
                            <a:pathLst>
                              <a:path w="1624330" h="1798321">
                                <a:moveTo>
                                  <a:pt x="0" y="1798321"/>
                                </a:moveTo>
                                <a:lnTo>
                                  <a:pt x="1624330" y="1798321"/>
                                </a:lnTo>
                                <a:lnTo>
                                  <a:pt x="1624330" y="0"/>
                                </a:lnTo>
                                <a:lnTo>
                                  <a:pt x="0" y="0"/>
                                </a:lnTo>
                                <a:close/>
                              </a:path>
                            </a:pathLst>
                          </a:custGeom>
                          <a:ln w="12700" cap="flat">
                            <a:custDash>
                              <a:ds d="400000" sp="300000"/>
                            </a:custDash>
                            <a:miter lim="127000"/>
                          </a:ln>
                        </wps:spPr>
                        <wps:style>
                          <a:lnRef idx="1">
                            <a:srgbClr val="8064A2"/>
                          </a:lnRef>
                          <a:fillRef idx="0">
                            <a:srgbClr val="000000">
                              <a:alpha val="0"/>
                            </a:srgbClr>
                          </a:fillRef>
                          <a:effectRef idx="0">
                            <a:scrgbClr r="0" g="0" b="0"/>
                          </a:effectRef>
                          <a:fontRef idx="none"/>
                        </wps:style>
                        <wps:bodyPr/>
                      </wps:wsp>
                      <pic:pic xmlns:pic="http://schemas.openxmlformats.org/drawingml/2006/picture">
                        <pic:nvPicPr>
                          <pic:cNvPr id="7398" name="Picture 7398"/>
                          <pic:cNvPicPr/>
                        </pic:nvPicPr>
                        <pic:blipFill>
                          <a:blip r:embed="rId16"/>
                          <a:stretch>
                            <a:fillRect/>
                          </a:stretch>
                        </pic:blipFill>
                        <pic:spPr>
                          <a:xfrm>
                            <a:off x="1042416" y="1702968"/>
                            <a:ext cx="1611630" cy="1693926"/>
                          </a:xfrm>
                          <a:prstGeom prst="rect">
                            <a:avLst/>
                          </a:prstGeom>
                        </pic:spPr>
                      </pic:pic>
                      <wps:wsp>
                        <wps:cNvPr id="185771" name="Rectangle 185771"/>
                        <wps:cNvSpPr/>
                        <wps:spPr>
                          <a:xfrm>
                            <a:off x="1211072" y="1708203"/>
                            <a:ext cx="1695017" cy="187357"/>
                          </a:xfrm>
                          <a:prstGeom prst="rect">
                            <a:avLst/>
                          </a:prstGeom>
                          <a:ln>
                            <a:noFill/>
                          </a:ln>
                        </wps:spPr>
                        <wps:txbx>
                          <w:txbxContent>
                            <w:p w:rsidR="00BB52D7" w:rsidRDefault="00E33AE6">
                              <w:pPr>
                                <w:spacing w:after="160" w:line="259" w:lineRule="auto"/>
                                <w:ind w:left="0" w:firstLine="0"/>
                                <w:jc w:val="left"/>
                              </w:pPr>
                              <w:r>
                                <w:rPr>
                                  <w:b/>
                                  <w:sz w:val="20"/>
                                  <w:u w:val="single" w:color="000000"/>
                                </w:rPr>
                                <w:t>Management Company</w:t>
                              </w:r>
                            </w:p>
                          </w:txbxContent>
                        </wps:txbx>
                        <wps:bodyPr horzOverflow="overflow" vert="horz" lIns="0" tIns="0" rIns="0" bIns="0" rtlCol="0">
                          <a:noAutofit/>
                        </wps:bodyPr>
                      </wps:wsp>
                      <wps:wsp>
                        <wps:cNvPr id="7400" name="Rectangle 7400"/>
                        <wps:cNvSpPr/>
                        <wps:spPr>
                          <a:xfrm>
                            <a:off x="2485390" y="1708203"/>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7850" name="Rectangle 37850"/>
                        <wps:cNvSpPr/>
                        <wps:spPr>
                          <a:xfrm>
                            <a:off x="1134110" y="2004621"/>
                            <a:ext cx="923866" cy="187357"/>
                          </a:xfrm>
                          <a:prstGeom prst="rect">
                            <a:avLst/>
                          </a:prstGeom>
                          <a:ln>
                            <a:noFill/>
                          </a:ln>
                        </wps:spPr>
                        <wps:txbx>
                          <w:txbxContent>
                            <w:p w:rsidR="00BB52D7" w:rsidRDefault="00E33AE6">
                              <w:pPr>
                                <w:spacing w:after="160" w:line="259" w:lineRule="auto"/>
                                <w:ind w:left="0" w:firstLine="0"/>
                                <w:jc w:val="left"/>
                              </w:pPr>
                              <w:r>
                                <w:rPr>
                                  <w:sz w:val="20"/>
                                </w:rPr>
                                <w:t xml:space="preserve">Management </w:t>
                              </w:r>
                            </w:p>
                          </w:txbxContent>
                        </wps:txbx>
                        <wps:bodyPr horzOverflow="overflow" vert="horz" lIns="0" tIns="0" rIns="0" bIns="0" rtlCol="0">
                          <a:noAutofit/>
                        </wps:bodyPr>
                      </wps:wsp>
                      <wps:wsp>
                        <wps:cNvPr id="37851" name="Rectangle 37851"/>
                        <wps:cNvSpPr/>
                        <wps:spPr>
                          <a:xfrm>
                            <a:off x="2273026" y="2004621"/>
                            <a:ext cx="427699" cy="187357"/>
                          </a:xfrm>
                          <a:prstGeom prst="rect">
                            <a:avLst/>
                          </a:prstGeom>
                          <a:ln>
                            <a:noFill/>
                          </a:ln>
                        </wps:spPr>
                        <wps:txbx>
                          <w:txbxContent>
                            <w:p w:rsidR="00BB52D7" w:rsidRDefault="00E33AE6">
                              <w:pPr>
                                <w:spacing w:after="160" w:line="259" w:lineRule="auto"/>
                                <w:ind w:left="0" w:firstLine="0"/>
                                <w:jc w:val="left"/>
                              </w:pPr>
                              <w:r>
                                <w:rPr>
                                  <w:sz w:val="20"/>
                                </w:rPr>
                                <w:t xml:space="preserve">board </w:t>
                              </w:r>
                            </w:p>
                          </w:txbxContent>
                        </wps:txbx>
                        <wps:bodyPr horzOverflow="overflow" vert="horz" lIns="0" tIns="0" rIns="0" bIns="0" rtlCol="0">
                          <a:noAutofit/>
                        </wps:bodyPr>
                      </wps:wsp>
                      <wps:wsp>
                        <wps:cNvPr id="7403" name="Rectangle 7403"/>
                        <wps:cNvSpPr/>
                        <wps:spPr>
                          <a:xfrm>
                            <a:off x="1134110" y="2150925"/>
                            <a:ext cx="1763901" cy="187357"/>
                          </a:xfrm>
                          <a:prstGeom prst="rect">
                            <a:avLst/>
                          </a:prstGeom>
                          <a:ln>
                            <a:noFill/>
                          </a:ln>
                        </wps:spPr>
                        <wps:txbx>
                          <w:txbxContent>
                            <w:p w:rsidR="00BB52D7" w:rsidRDefault="00E33AE6">
                              <w:pPr>
                                <w:spacing w:after="160" w:line="259" w:lineRule="auto"/>
                                <w:ind w:left="0" w:firstLine="0"/>
                                <w:jc w:val="left"/>
                              </w:pPr>
                              <w:r>
                                <w:rPr>
                                  <w:sz w:val="20"/>
                                </w:rPr>
                                <w:t xml:space="preserve">composed of 3 Members: </w:t>
                              </w:r>
                            </w:p>
                          </w:txbxContent>
                        </wps:txbx>
                        <wps:bodyPr horzOverflow="overflow" vert="horz" lIns="0" tIns="0" rIns="0" bIns="0" rtlCol="0">
                          <a:noAutofit/>
                        </wps:bodyPr>
                      </wps:wsp>
                      <wps:wsp>
                        <wps:cNvPr id="7404" name="Rectangle 7404"/>
                        <wps:cNvSpPr/>
                        <wps:spPr>
                          <a:xfrm>
                            <a:off x="2460244" y="2150925"/>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05" name="Rectangle 7405"/>
                        <wps:cNvSpPr/>
                        <wps:spPr>
                          <a:xfrm>
                            <a:off x="1362710" y="2448867"/>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7406" name="Rectangle 7406"/>
                        <wps:cNvSpPr/>
                        <wps:spPr>
                          <a:xfrm>
                            <a:off x="1591310" y="2448867"/>
                            <a:ext cx="614708" cy="187357"/>
                          </a:xfrm>
                          <a:prstGeom prst="rect">
                            <a:avLst/>
                          </a:prstGeom>
                          <a:ln>
                            <a:noFill/>
                          </a:ln>
                        </wps:spPr>
                        <wps:txbx>
                          <w:txbxContent>
                            <w:p w:rsidR="00BB52D7" w:rsidRDefault="00E33AE6">
                              <w:pPr>
                                <w:spacing w:after="160" w:line="259" w:lineRule="auto"/>
                                <w:ind w:left="0" w:firstLine="0"/>
                                <w:jc w:val="left"/>
                              </w:pPr>
                              <w:r>
                                <w:rPr>
                                  <w:sz w:val="20"/>
                                </w:rPr>
                                <w:t xml:space="preserve">Member </w:t>
                              </w:r>
                            </w:p>
                          </w:txbxContent>
                        </wps:txbx>
                        <wps:bodyPr horzOverflow="overflow" vert="horz" lIns="0" tIns="0" rIns="0" bIns="0" rtlCol="0">
                          <a:noAutofit/>
                        </wps:bodyPr>
                      </wps:wsp>
                      <wps:wsp>
                        <wps:cNvPr id="7407" name="Rectangle 7407"/>
                        <wps:cNvSpPr/>
                        <wps:spPr>
                          <a:xfrm>
                            <a:off x="2053844" y="2448867"/>
                            <a:ext cx="177977" cy="187357"/>
                          </a:xfrm>
                          <a:prstGeom prst="rect">
                            <a:avLst/>
                          </a:prstGeom>
                          <a:ln>
                            <a:noFill/>
                          </a:ln>
                        </wps:spPr>
                        <wps:txbx>
                          <w:txbxContent>
                            <w:p w:rsidR="00BB52D7" w:rsidRDefault="00E33AE6">
                              <w:pPr>
                                <w:spacing w:after="160" w:line="259" w:lineRule="auto"/>
                                <w:ind w:left="0" w:firstLine="0"/>
                                <w:jc w:val="left"/>
                              </w:pPr>
                              <w:r>
                                <w:rPr>
                                  <w:b/>
                                  <w:sz w:val="20"/>
                                </w:rPr>
                                <w:t>A;</w:t>
                              </w:r>
                            </w:p>
                          </w:txbxContent>
                        </wps:txbx>
                        <wps:bodyPr horzOverflow="overflow" vert="horz" lIns="0" tIns="0" rIns="0" bIns="0" rtlCol="0">
                          <a:noAutofit/>
                        </wps:bodyPr>
                      </wps:wsp>
                      <wps:wsp>
                        <wps:cNvPr id="7408" name="Rectangle 7408"/>
                        <wps:cNvSpPr/>
                        <wps:spPr>
                          <a:xfrm>
                            <a:off x="2188210" y="2448867"/>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09" name="Rectangle 7409"/>
                        <wps:cNvSpPr/>
                        <wps:spPr>
                          <a:xfrm>
                            <a:off x="2220214" y="2448867"/>
                            <a:ext cx="243209" cy="187357"/>
                          </a:xfrm>
                          <a:prstGeom prst="rect">
                            <a:avLst/>
                          </a:prstGeom>
                          <a:ln>
                            <a:noFill/>
                          </a:ln>
                        </wps:spPr>
                        <wps:txbx>
                          <w:txbxContent>
                            <w:p w:rsidR="00BB52D7" w:rsidRDefault="00E33AE6">
                              <w:pPr>
                                <w:spacing w:after="160" w:line="259" w:lineRule="auto"/>
                                <w:ind w:left="0" w:firstLine="0"/>
                                <w:jc w:val="left"/>
                              </w:pPr>
                              <w:r>
                                <w:rPr>
                                  <w:sz w:val="20"/>
                                </w:rPr>
                                <w:t>and</w:t>
                              </w:r>
                            </w:p>
                          </w:txbxContent>
                        </wps:txbx>
                        <wps:bodyPr horzOverflow="overflow" vert="horz" lIns="0" tIns="0" rIns="0" bIns="0" rtlCol="0">
                          <a:noAutofit/>
                        </wps:bodyPr>
                      </wps:wsp>
                      <wps:wsp>
                        <wps:cNvPr id="7410" name="Rectangle 7410"/>
                        <wps:cNvSpPr/>
                        <wps:spPr>
                          <a:xfrm>
                            <a:off x="2402332" y="2448867"/>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11" name="Rectangle 7411"/>
                        <wps:cNvSpPr/>
                        <wps:spPr>
                          <a:xfrm>
                            <a:off x="1362710" y="2747571"/>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7412" name="Rectangle 7412"/>
                        <wps:cNvSpPr/>
                        <wps:spPr>
                          <a:xfrm>
                            <a:off x="1591310" y="2747571"/>
                            <a:ext cx="614708" cy="187357"/>
                          </a:xfrm>
                          <a:prstGeom prst="rect">
                            <a:avLst/>
                          </a:prstGeom>
                          <a:ln>
                            <a:noFill/>
                          </a:ln>
                        </wps:spPr>
                        <wps:txbx>
                          <w:txbxContent>
                            <w:p w:rsidR="00BB52D7" w:rsidRDefault="00E33AE6">
                              <w:pPr>
                                <w:spacing w:after="160" w:line="259" w:lineRule="auto"/>
                                <w:ind w:left="0" w:firstLine="0"/>
                                <w:jc w:val="left"/>
                              </w:pPr>
                              <w:r>
                                <w:rPr>
                                  <w:sz w:val="20"/>
                                </w:rPr>
                                <w:t xml:space="preserve">Member </w:t>
                              </w:r>
                            </w:p>
                          </w:txbxContent>
                        </wps:txbx>
                        <wps:bodyPr horzOverflow="overflow" vert="horz" lIns="0" tIns="0" rIns="0" bIns="0" rtlCol="0">
                          <a:noAutofit/>
                        </wps:bodyPr>
                      </wps:wsp>
                      <wps:wsp>
                        <wps:cNvPr id="7413" name="Rectangle 7413"/>
                        <wps:cNvSpPr/>
                        <wps:spPr>
                          <a:xfrm>
                            <a:off x="2053844" y="2747571"/>
                            <a:ext cx="168856" cy="187357"/>
                          </a:xfrm>
                          <a:prstGeom prst="rect">
                            <a:avLst/>
                          </a:prstGeom>
                          <a:ln>
                            <a:noFill/>
                          </a:ln>
                        </wps:spPr>
                        <wps:txbx>
                          <w:txbxContent>
                            <w:p w:rsidR="00BB52D7" w:rsidRDefault="00E33AE6">
                              <w:pPr>
                                <w:spacing w:after="160" w:line="259" w:lineRule="auto"/>
                                <w:ind w:left="0" w:firstLine="0"/>
                                <w:jc w:val="left"/>
                              </w:pPr>
                              <w:r>
                                <w:rPr>
                                  <w:b/>
                                  <w:sz w:val="20"/>
                                </w:rPr>
                                <w:t>B;</w:t>
                              </w:r>
                            </w:p>
                          </w:txbxContent>
                        </wps:txbx>
                        <wps:bodyPr horzOverflow="overflow" vert="horz" lIns="0" tIns="0" rIns="0" bIns="0" rtlCol="0">
                          <a:noAutofit/>
                        </wps:bodyPr>
                      </wps:wsp>
                      <wps:wsp>
                        <wps:cNvPr id="7414" name="Rectangle 7414"/>
                        <wps:cNvSpPr/>
                        <wps:spPr>
                          <a:xfrm>
                            <a:off x="2181352" y="274757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15" name="Rectangle 7415"/>
                        <wps:cNvSpPr/>
                        <wps:spPr>
                          <a:xfrm>
                            <a:off x="2213356" y="2747571"/>
                            <a:ext cx="285521" cy="187357"/>
                          </a:xfrm>
                          <a:prstGeom prst="rect">
                            <a:avLst/>
                          </a:prstGeom>
                          <a:ln>
                            <a:noFill/>
                          </a:ln>
                        </wps:spPr>
                        <wps:txbx>
                          <w:txbxContent>
                            <w:p w:rsidR="00BB52D7" w:rsidRDefault="00E33AE6">
                              <w:pPr>
                                <w:spacing w:after="160" w:line="259" w:lineRule="auto"/>
                                <w:ind w:left="0" w:firstLine="0"/>
                                <w:jc w:val="left"/>
                              </w:pPr>
                              <w:r>
                                <w:rPr>
                                  <w:sz w:val="20"/>
                                </w:rPr>
                                <w:t xml:space="preserve">and </w:t>
                              </w:r>
                            </w:p>
                          </w:txbxContent>
                        </wps:txbx>
                        <wps:bodyPr horzOverflow="overflow" vert="horz" lIns="0" tIns="0" rIns="0" bIns="0" rtlCol="0">
                          <a:noAutofit/>
                        </wps:bodyPr>
                      </wps:wsp>
                      <wps:wsp>
                        <wps:cNvPr id="7416" name="Rectangle 7416"/>
                        <wps:cNvSpPr/>
                        <wps:spPr>
                          <a:xfrm>
                            <a:off x="2427478" y="274757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17" name="Rectangle 7417"/>
                        <wps:cNvSpPr/>
                        <wps:spPr>
                          <a:xfrm>
                            <a:off x="1362710" y="3046275"/>
                            <a:ext cx="56361" cy="187358"/>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7418" name="Rectangle 7418"/>
                        <wps:cNvSpPr/>
                        <wps:spPr>
                          <a:xfrm>
                            <a:off x="1591310" y="3046275"/>
                            <a:ext cx="726242" cy="187358"/>
                          </a:xfrm>
                          <a:prstGeom prst="rect">
                            <a:avLst/>
                          </a:prstGeom>
                          <a:ln>
                            <a:noFill/>
                          </a:ln>
                        </wps:spPr>
                        <wps:txbx>
                          <w:txbxContent>
                            <w:p w:rsidR="00BB52D7" w:rsidRDefault="00E33AE6">
                              <w:pPr>
                                <w:spacing w:after="160" w:line="259" w:lineRule="auto"/>
                                <w:ind w:left="0" w:firstLine="0"/>
                                <w:jc w:val="left"/>
                              </w:pPr>
                              <w:r>
                                <w:rPr>
                                  <w:sz w:val="20"/>
                                </w:rPr>
                                <w:t xml:space="preserve">Employee </w:t>
                              </w:r>
                            </w:p>
                          </w:txbxContent>
                        </wps:txbx>
                        <wps:bodyPr horzOverflow="overflow" vert="horz" lIns="0" tIns="0" rIns="0" bIns="0" rtlCol="0">
                          <a:noAutofit/>
                        </wps:bodyPr>
                      </wps:wsp>
                      <wps:wsp>
                        <wps:cNvPr id="7419" name="Rectangle 7419"/>
                        <wps:cNvSpPr/>
                        <wps:spPr>
                          <a:xfrm>
                            <a:off x="2137156" y="3046275"/>
                            <a:ext cx="165955" cy="187358"/>
                          </a:xfrm>
                          <a:prstGeom prst="rect">
                            <a:avLst/>
                          </a:prstGeom>
                          <a:ln>
                            <a:noFill/>
                          </a:ln>
                        </wps:spPr>
                        <wps:txbx>
                          <w:txbxContent>
                            <w:p w:rsidR="00BB52D7" w:rsidRDefault="00E33AE6">
                              <w:pPr>
                                <w:spacing w:after="160" w:line="259" w:lineRule="auto"/>
                                <w:ind w:left="0" w:firstLine="0"/>
                                <w:jc w:val="left"/>
                              </w:pPr>
                              <w:r>
                                <w:rPr>
                                  <w:b/>
                                  <w:sz w:val="20"/>
                                </w:rPr>
                                <w:t>X.</w:t>
                              </w:r>
                            </w:p>
                          </w:txbxContent>
                        </wps:txbx>
                        <wps:bodyPr horzOverflow="overflow" vert="horz" lIns="0" tIns="0" rIns="0" bIns="0" rtlCol="0">
                          <a:noAutofit/>
                        </wps:bodyPr>
                      </wps:wsp>
                      <wps:wsp>
                        <wps:cNvPr id="7420" name="Rectangle 7420"/>
                        <wps:cNvSpPr/>
                        <wps:spPr>
                          <a:xfrm>
                            <a:off x="2261362" y="3046275"/>
                            <a:ext cx="42312" cy="187358"/>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21" name="Rectangle 7421"/>
                        <wps:cNvSpPr/>
                        <wps:spPr>
                          <a:xfrm>
                            <a:off x="1134110" y="3345434"/>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44310" name="Shape 244310"/>
                        <wps:cNvSpPr/>
                        <wps:spPr>
                          <a:xfrm>
                            <a:off x="3043301" y="1650644"/>
                            <a:ext cx="1695450" cy="1798321"/>
                          </a:xfrm>
                          <a:custGeom>
                            <a:avLst/>
                            <a:gdLst/>
                            <a:ahLst/>
                            <a:cxnLst/>
                            <a:rect l="0" t="0" r="0" b="0"/>
                            <a:pathLst>
                              <a:path w="1695450" h="1798321">
                                <a:moveTo>
                                  <a:pt x="0" y="0"/>
                                </a:moveTo>
                                <a:lnTo>
                                  <a:pt x="1695450" y="0"/>
                                </a:lnTo>
                                <a:lnTo>
                                  <a:pt x="1695450" y="1798321"/>
                                </a:lnTo>
                                <a:lnTo>
                                  <a:pt x="0" y="17983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3" name="Shape 7423"/>
                        <wps:cNvSpPr/>
                        <wps:spPr>
                          <a:xfrm>
                            <a:off x="3043301" y="1650644"/>
                            <a:ext cx="1695450" cy="1798321"/>
                          </a:xfrm>
                          <a:custGeom>
                            <a:avLst/>
                            <a:gdLst/>
                            <a:ahLst/>
                            <a:cxnLst/>
                            <a:rect l="0" t="0" r="0" b="0"/>
                            <a:pathLst>
                              <a:path w="1695450" h="1798321">
                                <a:moveTo>
                                  <a:pt x="0" y="1798321"/>
                                </a:moveTo>
                                <a:lnTo>
                                  <a:pt x="1695450" y="1798321"/>
                                </a:lnTo>
                                <a:lnTo>
                                  <a:pt x="1695450" y="0"/>
                                </a:lnTo>
                                <a:lnTo>
                                  <a:pt x="0" y="0"/>
                                </a:lnTo>
                                <a:close/>
                              </a:path>
                            </a:pathLst>
                          </a:custGeom>
                          <a:ln w="12700" cap="flat">
                            <a:custDash>
                              <a:ds d="400000" sp="300000"/>
                            </a:custDash>
                            <a:miter lim="127000"/>
                          </a:ln>
                        </wps:spPr>
                        <wps:style>
                          <a:lnRef idx="1">
                            <a:srgbClr val="8064A2"/>
                          </a:lnRef>
                          <a:fillRef idx="0">
                            <a:srgbClr val="000000">
                              <a:alpha val="0"/>
                            </a:srgbClr>
                          </a:fillRef>
                          <a:effectRef idx="0">
                            <a:scrgbClr r="0" g="0" b="0"/>
                          </a:effectRef>
                          <a:fontRef idx="none"/>
                        </wps:style>
                        <wps:bodyPr/>
                      </wps:wsp>
                      <pic:pic xmlns:pic="http://schemas.openxmlformats.org/drawingml/2006/picture">
                        <pic:nvPicPr>
                          <pic:cNvPr id="7424" name="Picture 7424"/>
                          <pic:cNvPicPr/>
                        </pic:nvPicPr>
                        <pic:blipFill>
                          <a:blip r:embed="rId17"/>
                          <a:stretch>
                            <a:fillRect/>
                          </a:stretch>
                        </pic:blipFill>
                        <pic:spPr>
                          <a:xfrm>
                            <a:off x="3049524" y="1702968"/>
                            <a:ext cx="1683258" cy="1693926"/>
                          </a:xfrm>
                          <a:prstGeom prst="rect">
                            <a:avLst/>
                          </a:prstGeom>
                        </pic:spPr>
                      </pic:pic>
                      <wps:wsp>
                        <wps:cNvPr id="185772" name="Rectangle 185772"/>
                        <wps:cNvSpPr/>
                        <wps:spPr>
                          <a:xfrm>
                            <a:off x="3594862" y="1708203"/>
                            <a:ext cx="788526" cy="187357"/>
                          </a:xfrm>
                          <a:prstGeom prst="rect">
                            <a:avLst/>
                          </a:prstGeom>
                          <a:ln>
                            <a:noFill/>
                          </a:ln>
                        </wps:spPr>
                        <wps:txbx>
                          <w:txbxContent>
                            <w:p w:rsidR="00BB52D7" w:rsidRDefault="00E33AE6">
                              <w:pPr>
                                <w:spacing w:after="160" w:line="259" w:lineRule="auto"/>
                                <w:ind w:left="0" w:firstLine="0"/>
                                <w:jc w:val="left"/>
                              </w:pPr>
                              <w:r>
                                <w:rPr>
                                  <w:b/>
                                  <w:sz w:val="20"/>
                                  <w:u w:val="single" w:color="000000"/>
                                </w:rPr>
                                <w:t>Depositary</w:t>
                              </w:r>
                            </w:p>
                          </w:txbxContent>
                        </wps:txbx>
                        <wps:bodyPr horzOverflow="overflow" vert="horz" lIns="0" tIns="0" rIns="0" bIns="0" rtlCol="0">
                          <a:noAutofit/>
                        </wps:bodyPr>
                      </wps:wsp>
                      <wps:wsp>
                        <wps:cNvPr id="7426" name="Rectangle 7426"/>
                        <wps:cNvSpPr/>
                        <wps:spPr>
                          <a:xfrm>
                            <a:off x="4187698" y="1708203"/>
                            <a:ext cx="42312" cy="187357"/>
                          </a:xfrm>
                          <a:prstGeom prst="rect">
                            <a:avLst/>
                          </a:prstGeom>
                          <a:ln>
                            <a:noFill/>
                          </a:ln>
                        </wps:spPr>
                        <wps:txbx>
                          <w:txbxContent>
                            <w:p w:rsidR="00BB52D7" w:rsidRDefault="00E33AE6">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7853" name="Rectangle 37853"/>
                        <wps:cNvSpPr/>
                        <wps:spPr>
                          <a:xfrm>
                            <a:off x="4352033" y="2004621"/>
                            <a:ext cx="426851" cy="187357"/>
                          </a:xfrm>
                          <a:prstGeom prst="rect">
                            <a:avLst/>
                          </a:prstGeom>
                          <a:ln>
                            <a:noFill/>
                          </a:ln>
                        </wps:spPr>
                        <wps:txbx>
                          <w:txbxContent>
                            <w:p w:rsidR="00BB52D7" w:rsidRDefault="00E33AE6">
                              <w:pPr>
                                <w:spacing w:after="160" w:line="259" w:lineRule="auto"/>
                                <w:ind w:left="0" w:firstLine="0"/>
                                <w:jc w:val="left"/>
                              </w:pPr>
                              <w:r>
                                <w:rPr>
                                  <w:sz w:val="20"/>
                                </w:rPr>
                                <w:t xml:space="preserve">board </w:t>
                              </w:r>
                            </w:p>
                          </w:txbxContent>
                        </wps:txbx>
                        <wps:bodyPr horzOverflow="overflow" vert="horz" lIns="0" tIns="0" rIns="0" bIns="0" rtlCol="0">
                          <a:noAutofit/>
                        </wps:bodyPr>
                      </wps:wsp>
                      <wps:wsp>
                        <wps:cNvPr id="37852" name="Rectangle 37852"/>
                        <wps:cNvSpPr/>
                        <wps:spPr>
                          <a:xfrm>
                            <a:off x="3141472" y="2004621"/>
                            <a:ext cx="923862" cy="187357"/>
                          </a:xfrm>
                          <a:prstGeom prst="rect">
                            <a:avLst/>
                          </a:prstGeom>
                          <a:ln>
                            <a:noFill/>
                          </a:ln>
                        </wps:spPr>
                        <wps:txbx>
                          <w:txbxContent>
                            <w:p w:rsidR="00BB52D7" w:rsidRDefault="00E33AE6">
                              <w:pPr>
                                <w:spacing w:after="160" w:line="259" w:lineRule="auto"/>
                                <w:ind w:left="0" w:firstLine="0"/>
                                <w:jc w:val="left"/>
                              </w:pPr>
                              <w:r>
                                <w:rPr>
                                  <w:sz w:val="20"/>
                                </w:rPr>
                                <w:t xml:space="preserve">Management </w:t>
                              </w:r>
                            </w:p>
                          </w:txbxContent>
                        </wps:txbx>
                        <wps:bodyPr horzOverflow="overflow" vert="horz" lIns="0" tIns="0" rIns="0" bIns="0" rtlCol="0">
                          <a:noAutofit/>
                        </wps:bodyPr>
                      </wps:wsp>
                      <wps:wsp>
                        <wps:cNvPr id="7429" name="Rectangle 7429"/>
                        <wps:cNvSpPr/>
                        <wps:spPr>
                          <a:xfrm>
                            <a:off x="3141472" y="2150925"/>
                            <a:ext cx="1744607" cy="187357"/>
                          </a:xfrm>
                          <a:prstGeom prst="rect">
                            <a:avLst/>
                          </a:prstGeom>
                          <a:ln>
                            <a:noFill/>
                          </a:ln>
                        </wps:spPr>
                        <wps:txbx>
                          <w:txbxContent>
                            <w:p w:rsidR="00BB52D7" w:rsidRDefault="00E33AE6">
                              <w:pPr>
                                <w:spacing w:after="160" w:line="259" w:lineRule="auto"/>
                                <w:ind w:left="0" w:firstLine="0"/>
                                <w:jc w:val="left"/>
                              </w:pPr>
                              <w:r>
                                <w:rPr>
                                  <w:sz w:val="20"/>
                                </w:rPr>
                                <w:t xml:space="preserve">composed of 3 members: </w:t>
                              </w:r>
                            </w:p>
                          </w:txbxContent>
                        </wps:txbx>
                        <wps:bodyPr horzOverflow="overflow" vert="horz" lIns="0" tIns="0" rIns="0" bIns="0" rtlCol="0">
                          <a:noAutofit/>
                        </wps:bodyPr>
                      </wps:wsp>
                      <wps:wsp>
                        <wps:cNvPr id="7430" name="Rectangle 7430"/>
                        <wps:cNvSpPr/>
                        <wps:spPr>
                          <a:xfrm>
                            <a:off x="4453890" y="2150925"/>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31" name="Rectangle 7431"/>
                        <wps:cNvSpPr/>
                        <wps:spPr>
                          <a:xfrm>
                            <a:off x="3370072" y="2448867"/>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7432" name="Rectangle 7432"/>
                        <wps:cNvSpPr/>
                        <wps:spPr>
                          <a:xfrm>
                            <a:off x="3598672" y="2448867"/>
                            <a:ext cx="614708" cy="187357"/>
                          </a:xfrm>
                          <a:prstGeom prst="rect">
                            <a:avLst/>
                          </a:prstGeom>
                          <a:ln>
                            <a:noFill/>
                          </a:ln>
                        </wps:spPr>
                        <wps:txbx>
                          <w:txbxContent>
                            <w:p w:rsidR="00BB52D7" w:rsidRDefault="00E33AE6">
                              <w:pPr>
                                <w:spacing w:after="160" w:line="259" w:lineRule="auto"/>
                                <w:ind w:left="0" w:firstLine="0"/>
                                <w:jc w:val="left"/>
                              </w:pPr>
                              <w:r>
                                <w:rPr>
                                  <w:sz w:val="20"/>
                                </w:rPr>
                                <w:t xml:space="preserve">Member </w:t>
                              </w:r>
                            </w:p>
                          </w:txbxContent>
                        </wps:txbx>
                        <wps:bodyPr horzOverflow="overflow" vert="horz" lIns="0" tIns="0" rIns="0" bIns="0" rtlCol="0">
                          <a:noAutofit/>
                        </wps:bodyPr>
                      </wps:wsp>
                      <wps:wsp>
                        <wps:cNvPr id="7433" name="Rectangle 7433"/>
                        <wps:cNvSpPr/>
                        <wps:spPr>
                          <a:xfrm>
                            <a:off x="4061206" y="2448867"/>
                            <a:ext cx="122225" cy="187357"/>
                          </a:xfrm>
                          <a:prstGeom prst="rect">
                            <a:avLst/>
                          </a:prstGeom>
                          <a:ln>
                            <a:noFill/>
                          </a:ln>
                        </wps:spPr>
                        <wps:txbx>
                          <w:txbxContent>
                            <w:p w:rsidR="00BB52D7" w:rsidRDefault="00E33AE6">
                              <w:pPr>
                                <w:spacing w:after="160" w:line="259" w:lineRule="auto"/>
                                <w:ind w:left="0" w:firstLine="0"/>
                                <w:jc w:val="left"/>
                              </w:pPr>
                              <w:r>
                                <w:rPr>
                                  <w:b/>
                                  <w:sz w:val="20"/>
                                </w:rPr>
                                <w:t>C</w:t>
                              </w:r>
                            </w:p>
                          </w:txbxContent>
                        </wps:txbx>
                        <wps:bodyPr horzOverflow="overflow" vert="horz" lIns="0" tIns="0" rIns="0" bIns="0" rtlCol="0">
                          <a:noAutofit/>
                        </wps:bodyPr>
                      </wps:wsp>
                      <wps:wsp>
                        <wps:cNvPr id="7434" name="Rectangle 7434"/>
                        <wps:cNvSpPr/>
                        <wps:spPr>
                          <a:xfrm>
                            <a:off x="4152646" y="2448867"/>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35" name="Rectangle 7435"/>
                        <wps:cNvSpPr/>
                        <wps:spPr>
                          <a:xfrm>
                            <a:off x="4184650" y="2448867"/>
                            <a:ext cx="332911" cy="187357"/>
                          </a:xfrm>
                          <a:prstGeom prst="rect">
                            <a:avLst/>
                          </a:prstGeom>
                          <a:ln>
                            <a:noFill/>
                          </a:ln>
                        </wps:spPr>
                        <wps:txbx>
                          <w:txbxContent>
                            <w:p w:rsidR="00BB52D7" w:rsidRDefault="00E33AE6">
                              <w:pPr>
                                <w:spacing w:after="160" w:line="259" w:lineRule="auto"/>
                                <w:ind w:left="0" w:firstLine="0"/>
                                <w:jc w:val="left"/>
                              </w:pPr>
                              <w:r>
                                <w:rPr>
                                  <w:sz w:val="20"/>
                                </w:rPr>
                                <w:t>; and</w:t>
                              </w:r>
                            </w:p>
                          </w:txbxContent>
                        </wps:txbx>
                        <wps:bodyPr horzOverflow="overflow" vert="horz" lIns="0" tIns="0" rIns="0" bIns="0" rtlCol="0">
                          <a:noAutofit/>
                        </wps:bodyPr>
                      </wps:wsp>
                      <wps:wsp>
                        <wps:cNvPr id="7436" name="Rectangle 7436"/>
                        <wps:cNvSpPr/>
                        <wps:spPr>
                          <a:xfrm>
                            <a:off x="4434840" y="2448867"/>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37" name="Rectangle 7437"/>
                        <wps:cNvSpPr/>
                        <wps:spPr>
                          <a:xfrm>
                            <a:off x="3370072" y="2747571"/>
                            <a:ext cx="56361" cy="187357"/>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7438" name="Rectangle 7438"/>
                        <wps:cNvSpPr/>
                        <wps:spPr>
                          <a:xfrm>
                            <a:off x="3598672" y="2747571"/>
                            <a:ext cx="900398" cy="187357"/>
                          </a:xfrm>
                          <a:prstGeom prst="rect">
                            <a:avLst/>
                          </a:prstGeom>
                          <a:ln>
                            <a:noFill/>
                          </a:ln>
                        </wps:spPr>
                        <wps:txbx>
                          <w:txbxContent>
                            <w:p w:rsidR="00BB52D7" w:rsidRDefault="00E33AE6">
                              <w:pPr>
                                <w:spacing w:after="160" w:line="259" w:lineRule="auto"/>
                                <w:ind w:left="0" w:firstLine="0"/>
                                <w:jc w:val="left"/>
                              </w:pPr>
                              <w:r>
                                <w:rPr>
                                  <w:sz w:val="20"/>
                                </w:rPr>
                                <w:t xml:space="preserve">and Member </w:t>
                              </w:r>
                            </w:p>
                          </w:txbxContent>
                        </wps:txbx>
                        <wps:bodyPr horzOverflow="overflow" vert="horz" lIns="0" tIns="0" rIns="0" bIns="0" rtlCol="0">
                          <a:noAutofit/>
                        </wps:bodyPr>
                      </wps:wsp>
                      <wps:wsp>
                        <wps:cNvPr id="7439" name="Rectangle 7439"/>
                        <wps:cNvSpPr/>
                        <wps:spPr>
                          <a:xfrm>
                            <a:off x="4276345" y="2747571"/>
                            <a:ext cx="177977" cy="187357"/>
                          </a:xfrm>
                          <a:prstGeom prst="rect">
                            <a:avLst/>
                          </a:prstGeom>
                          <a:ln>
                            <a:noFill/>
                          </a:ln>
                        </wps:spPr>
                        <wps:txbx>
                          <w:txbxContent>
                            <w:p w:rsidR="00BB52D7" w:rsidRDefault="00E33AE6">
                              <w:pPr>
                                <w:spacing w:after="160" w:line="259" w:lineRule="auto"/>
                                <w:ind w:left="0" w:firstLine="0"/>
                                <w:jc w:val="left"/>
                              </w:pPr>
                              <w:r>
                                <w:rPr>
                                  <w:b/>
                                  <w:sz w:val="20"/>
                                </w:rPr>
                                <w:t>D;</w:t>
                              </w:r>
                            </w:p>
                          </w:txbxContent>
                        </wps:txbx>
                        <wps:bodyPr horzOverflow="overflow" vert="horz" lIns="0" tIns="0" rIns="0" bIns="0" rtlCol="0">
                          <a:noAutofit/>
                        </wps:bodyPr>
                      </wps:wsp>
                      <wps:wsp>
                        <wps:cNvPr id="7440" name="Rectangle 7440"/>
                        <wps:cNvSpPr/>
                        <wps:spPr>
                          <a:xfrm>
                            <a:off x="4410457" y="274757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41" name="Rectangle 7441"/>
                        <wps:cNvSpPr/>
                        <wps:spPr>
                          <a:xfrm>
                            <a:off x="4442460" y="2747571"/>
                            <a:ext cx="243209" cy="187357"/>
                          </a:xfrm>
                          <a:prstGeom prst="rect">
                            <a:avLst/>
                          </a:prstGeom>
                          <a:ln>
                            <a:noFill/>
                          </a:ln>
                        </wps:spPr>
                        <wps:txbx>
                          <w:txbxContent>
                            <w:p w:rsidR="00BB52D7" w:rsidRDefault="00E33AE6">
                              <w:pPr>
                                <w:spacing w:after="160" w:line="259" w:lineRule="auto"/>
                                <w:ind w:left="0" w:firstLine="0"/>
                                <w:jc w:val="left"/>
                              </w:pPr>
                              <w:r>
                                <w:rPr>
                                  <w:sz w:val="20"/>
                                </w:rPr>
                                <w:t>and</w:t>
                              </w:r>
                            </w:p>
                          </w:txbxContent>
                        </wps:txbx>
                        <wps:bodyPr horzOverflow="overflow" vert="horz" lIns="0" tIns="0" rIns="0" bIns="0" rtlCol="0">
                          <a:noAutofit/>
                        </wps:bodyPr>
                      </wps:wsp>
                      <wps:wsp>
                        <wps:cNvPr id="7442" name="Rectangle 7442"/>
                        <wps:cNvSpPr/>
                        <wps:spPr>
                          <a:xfrm>
                            <a:off x="4625340" y="2747571"/>
                            <a:ext cx="42312" cy="187357"/>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43" name="Rectangle 7443"/>
                        <wps:cNvSpPr/>
                        <wps:spPr>
                          <a:xfrm>
                            <a:off x="3370072" y="3051609"/>
                            <a:ext cx="56361" cy="187358"/>
                          </a:xfrm>
                          <a:prstGeom prst="rect">
                            <a:avLst/>
                          </a:prstGeom>
                          <a:ln>
                            <a:noFill/>
                          </a:ln>
                        </wps:spPr>
                        <wps:txbx>
                          <w:txbxContent>
                            <w:p w:rsidR="00BB52D7" w:rsidRDefault="00E33AE6">
                              <w:pPr>
                                <w:spacing w:after="160" w:line="259" w:lineRule="auto"/>
                                <w:ind w:left="0" w:firstLine="0"/>
                                <w:jc w:val="left"/>
                              </w:pPr>
                              <w:r>
                                <w:rPr>
                                  <w:sz w:val="20"/>
                                </w:rPr>
                                <w:t>-</w:t>
                              </w:r>
                            </w:p>
                          </w:txbxContent>
                        </wps:txbx>
                        <wps:bodyPr horzOverflow="overflow" vert="horz" lIns="0" tIns="0" rIns="0" bIns="0" rtlCol="0">
                          <a:noAutofit/>
                        </wps:bodyPr>
                      </wps:wsp>
                      <wps:wsp>
                        <wps:cNvPr id="7444" name="Rectangle 7444"/>
                        <wps:cNvSpPr/>
                        <wps:spPr>
                          <a:xfrm>
                            <a:off x="3598672" y="3051609"/>
                            <a:ext cx="42312" cy="187358"/>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445" name="Rectangle 7445"/>
                        <wps:cNvSpPr/>
                        <wps:spPr>
                          <a:xfrm>
                            <a:off x="3630676" y="3051609"/>
                            <a:ext cx="726242" cy="187358"/>
                          </a:xfrm>
                          <a:prstGeom prst="rect">
                            <a:avLst/>
                          </a:prstGeom>
                          <a:ln>
                            <a:noFill/>
                          </a:ln>
                        </wps:spPr>
                        <wps:txbx>
                          <w:txbxContent>
                            <w:p w:rsidR="00BB52D7" w:rsidRDefault="00E33AE6">
                              <w:pPr>
                                <w:spacing w:after="160" w:line="259" w:lineRule="auto"/>
                                <w:ind w:left="0" w:firstLine="0"/>
                                <w:jc w:val="left"/>
                              </w:pPr>
                              <w:r>
                                <w:rPr>
                                  <w:sz w:val="20"/>
                                </w:rPr>
                                <w:t xml:space="preserve">Employee </w:t>
                              </w:r>
                            </w:p>
                          </w:txbxContent>
                        </wps:txbx>
                        <wps:bodyPr horzOverflow="overflow" vert="horz" lIns="0" tIns="0" rIns="0" bIns="0" rtlCol="0">
                          <a:noAutofit/>
                        </wps:bodyPr>
                      </wps:wsp>
                      <wps:wsp>
                        <wps:cNvPr id="7446" name="Rectangle 7446"/>
                        <wps:cNvSpPr/>
                        <wps:spPr>
                          <a:xfrm>
                            <a:off x="4177030" y="3051609"/>
                            <a:ext cx="164941" cy="187358"/>
                          </a:xfrm>
                          <a:prstGeom prst="rect">
                            <a:avLst/>
                          </a:prstGeom>
                          <a:ln>
                            <a:noFill/>
                          </a:ln>
                        </wps:spPr>
                        <wps:txbx>
                          <w:txbxContent>
                            <w:p w:rsidR="00BB52D7" w:rsidRDefault="00E33AE6">
                              <w:pPr>
                                <w:spacing w:after="160" w:line="259" w:lineRule="auto"/>
                                <w:ind w:left="0" w:firstLine="0"/>
                                <w:jc w:val="left"/>
                              </w:pPr>
                              <w:r>
                                <w:rPr>
                                  <w:b/>
                                  <w:sz w:val="20"/>
                                </w:rPr>
                                <w:t>Y.</w:t>
                              </w:r>
                            </w:p>
                          </w:txbxContent>
                        </wps:txbx>
                        <wps:bodyPr horzOverflow="overflow" vert="horz" lIns="0" tIns="0" rIns="0" bIns="0" rtlCol="0">
                          <a:noAutofit/>
                        </wps:bodyPr>
                      </wps:wsp>
                      <wps:wsp>
                        <wps:cNvPr id="7447" name="Rectangle 7447"/>
                        <wps:cNvSpPr/>
                        <wps:spPr>
                          <a:xfrm>
                            <a:off x="4300728" y="3051609"/>
                            <a:ext cx="42312" cy="187358"/>
                          </a:xfrm>
                          <a:prstGeom prst="rect">
                            <a:avLst/>
                          </a:prstGeom>
                          <a:ln>
                            <a:noFill/>
                          </a:ln>
                        </wps:spPr>
                        <wps:txbx>
                          <w:txbxContent>
                            <w:p w:rsidR="00BB52D7" w:rsidRDefault="00E33AE6">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186343" o:spid="_x0000_s1166" style="width:457.4pt;height:282pt;mso-position-horizontal-relative:char;mso-position-vertical-relative:line" coordsize="58087,35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Dg/ixCfQIAAH0CAAAUAAAAZHJzL21lZGlh&#10;L2ltYWdlMy5wbmeJUE5HDQoaCgAAAA1JSERSAAABcAAAAXIIBgAAAOzRgTQAAAABc1JHQgCuzhzp&#10;AAAABGdBTUEAALGPC/xhBQAAAidJREFUeF7twTEBAAAAwqD1T20LLy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Cz&#10;GlFqAAFZyap2AAAAAElFTkSuQmCCUEsDBAoAAAAAAAAAIQBI7JJxZgIAAGYCAAAUAAAAZHJzL21l&#10;ZGlhL2ltYWdlMi5wbmeJUE5HDQoaCgAAAA1JSERSAAABYAAAAXIIBgAAAMt/ANwAAAABc1JHQgCu&#10;zhzpAAAABGdBTUEAALGPC/xhBQAAAhBJREFUeF7twQENAAAAwqD3T20ONy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EzX02wAB0tKL3QAAAABJRU5ErkJg&#10;glBLAwQKAAAAAAAAACEAzUScMl8OAABfDgAAFAAAAGRycy9tZWRpYS9pbWFnZTEucG5niVBORw0K&#10;GgoAAAANSUhEUgAABMcAAALxCAYAAABYYMHdAAAAAXNSR0IArs4c6QAAAARnQU1BAACxjwv8YQUA&#10;AA4JSURBVHhe7cEBDQAAAMKg909tDjcg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">
                <v:rect id="Rectangle 7330" o:spid="_x0000_s116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7asMA&#10;AADdAAAADwAAAGRycy9kb3ducmV2LnhtbERPTYvCMBC9L/gfwgje1lSFVbtGEXXRo1bB3dvQzLbF&#10;ZlKaaKu/3hwEj4/3PVu0phQ3ql1hWcGgH4EgTq0uOFNwOv58TkA4j6yxtEwK7uRgMe98zDDWtuED&#10;3RKfiRDCLkYFufdVLKVLczLo+rYiDty/rQ36AOtM6hqbEG5KOYyiL2mw4NCQY0WrnNJLcjUKtpNq&#10;+buzjyYrN3/b8/48XR+nXqlet11+g/DU+rf45d5pBePRK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b7asMAAADdAAAADwAAAAAAAAAAAAAAAACYAgAAZHJzL2Rv&#10;d25yZXYueG1sUEsFBgAAAAAEAAQA9QAAAIgDAAAAAA==&#10;" filled="f" stroked="f">
                  <v:textbox inset="0,0,0,0">
                    <w:txbxContent>
                      <w:p w:rsidR="00BB52D7" w:rsidRDefault="00E33AE6">
                        <w:pPr>
                          <w:spacing w:after="160" w:line="259" w:lineRule="auto"/>
                          <w:ind w:left="0" w:firstLine="0"/>
                          <w:jc w:val="left"/>
                        </w:pPr>
                        <w:r>
                          <w:rPr>
                            <w:b/>
                            <w:i/>
                          </w:rPr>
                          <w:t xml:space="preserve"> </w:t>
                        </w:r>
                      </w:p>
                    </w:txbxContent>
                  </v:textbox>
                </v:rect>
                <v:rect id="Rectangle 7331" o:spid="_x0000_s1168" style="position:absolute;top:327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e8cYA&#10;AADdAAAADwAAAGRycy9kb3ducmV2LnhtbESPS4vCQBCE78L+h6EXvOlEBR/RUWRV9Ohjwd1bk2mT&#10;sJmekBlN9Nc7grDHoqq+omaLxhTiRpXLLSvodSMQxInVOacKvk+bzhiE88gaC8uk4E4OFvOP1gxj&#10;bWs+0O3oUxEg7GJUkHlfxlK6JCODrmtL4uBdbGXQB1mlUldYB7gpZD+KhtJgzmEhw5K+Mkr+jlej&#10;YDsulz87+6jTYv27Pe/Pk9Vp4pVqfzbLKQhPjf8Pv9s7rWA0G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pe8c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7332" o:spid="_x0000_s1169" style="position:absolute;top:65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AhsYA&#10;AADdAAAADwAAAGRycy9kb3ducmV2LnhtbESPT4vCMBTE7wt+h/AEb2uqgqvVKLKr6NE/C+rt0Tzb&#10;YvNSmmirn94IC3scZuY3zHTemELcqXK5ZQW9bgSCOLE651TB72H1OQLhPLLGwjIpeJCD+az1McVY&#10;25p3dN/7VAQIuxgVZN6XsZQuycig69qSOHgXWxn0QVap1BXWAW4K2Y+ioTSYc1jIsKTvjJLr/mYU&#10;rEfl4rSxzzotluf1cXsc/xzGXqlOu1lMQHhq/H/4r73RCr4Gg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jAhs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7333" o:spid="_x0000_s1170" style="position:absolute;top:984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lHccA&#10;AADdAAAADwAAAGRycy9kb3ducmV2LnhtbESPQWvCQBSE74X+h+UJvTUbDbQxuorUFj22KkRvj+wz&#10;CWbfhuzWpP56t1DocZiZb5j5cjCNuFLnassKxlEMgriwuuZSwWH/8ZyCcB5ZY2OZFPyQg+Xi8WGO&#10;mbY9f9F150sRIOwyVFB532ZSuqIigy6yLXHwzrYz6IPsSqk77APcNHISxy/SYM1hocKW3ioqLrtv&#10;o2CTtqvj1t76snk/bfLPfLreT71ST6NhNQPhafD/4b/2Vit4TZI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kZR3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7334" o:spid="_x0000_s1171" style="position:absolute;top:1313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9accA&#10;AADdAAAADwAAAGRycy9kb3ducmV2LnhtbESPT2vCQBTE74LfYXmCN91YS6upq0htSY7+Kai3R/Y1&#10;CWbfhuzWpP30rlDwOMzMb5jFqjOVuFLjSssKJuMIBHFmdcm5gq/D52gGwnlkjZVlUvBLDlbLfm+B&#10;sbYt7+i697kIEHYxKii8r2MpXVaQQTe2NXHwvm1j0AfZ5FI32Aa4qeRTFL1IgyWHhQJrei8ou+x/&#10;jIJkVq9Pqf1r8+rjnBy3x/nmMPdKDQfd+g2Ep84/wv/tVCt4nU6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N/Wn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7335" o:spid="_x0000_s1172" style="position:absolute;top:16416;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Y8scA&#10;AADdAAAADwAAAGRycy9kb3ducmV2LnhtbESPT2vCQBTE74LfYXmCN91Yaaupq0htSY7+Kai3R/Y1&#10;CWbfhuzWpP30rlDwOMzMb5jFqjOVuFLjSssKJuMIBHFmdcm5gq/D52gGwnlkjZVlUvBLDlbLfm+B&#10;sbYt7+i697kIEHYxKii8r2MpXVaQQTe2NXHwvm1j0AfZ5FI32Aa4qeRTFL1IgyWHhQJrei8ou+x/&#10;jIJkVq9Pqf1r8+rjnBy3x/nmMPdKDQfd+g2Ep84/wv/tVCt4nU6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BWPL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7336" o:spid="_x0000_s1173" style="position:absolute;top:197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GhcYA&#10;AADdAAAADwAAAGRycy9kb3ducmV2LnhtbESPT4vCMBTE74LfITxhb5qq4Go1iqiLHtc/oN4ezbMt&#10;Ni+lydqun94sLHgcZuY3zGzRmEI8qHK5ZQX9XgSCOLE651TB6fjVHYNwHlljYZkU/JKDxbzdmmGs&#10;bc17ehx8KgKEXYwKMu/LWEqXZGTQ9WxJHLybrQz6IKtU6grrADeFHETRSBrMOSxkWNIqo+R++DEK&#10;tuNyednZZ50Wm+v2/H2erI8Tr9RHp1lOQXhq/Dv8395pBZ/D4Q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PGhc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7337" o:spid="_x0000_s1174" style="position:absolute;top:2299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9jHscA&#10;AADdAAAADwAAAGRycy9kb3ducmV2LnhtbESPQWvCQBSE7wX/w/KE3uqmClWjq4htSY41Cra3R/aZ&#10;hGbfhuw2SfvrXaHgcZiZb5j1djC16Kh1lWUFz5MIBHFudcWFgtPx/WkBwnlkjbVlUvBLDrab0cMa&#10;Y217PlCX+UIECLsYFZTeN7GULi/JoJvYhjh4F9sa9EG2hdQt9gFuajmNohdpsOKwUGJD+5Ly7+zH&#10;KEgWze4ztX99Ub99JeeP8/L1uPRKPY6H3QqEp8Hfw//tVCuYz2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fYx7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7338" o:spid="_x0000_s1175" style="position:absolute;top:2627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3bMMA&#10;AADdAAAADwAAAGRycy9kb3ducmV2LnhtbERPTYvCMBC9L/gfwgje1lSFVbtGEXXRo1bB3dvQzLbF&#10;ZlKaaKu/3hwEj4/3PVu0phQ3ql1hWcGgH4EgTq0uOFNwOv58TkA4j6yxtEwK7uRgMe98zDDWtuED&#10;3RKfiRDCLkYFufdVLKVLczLo+rYiDty/rQ36AOtM6hqbEG5KOYyiL2mw4NCQY0WrnNJLcjUKtpNq&#10;+buzjyYrN3/b8/48XR+nXqlet11+g/DU+rf45d5pBePRK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3bMMAAADdAAAADwAAAAAAAAAAAAAAAACYAgAAZHJzL2Rv&#10;d25yZXYueG1sUEsFBgAAAAAEAAQA9QAAAIgDAAAAAA==&#10;" filled="f" stroked="f">
                  <v:textbox inset="0,0,0,0">
                    <w:txbxContent>
                      <w:p w:rsidR="00BB52D7" w:rsidRDefault="00E33AE6">
                        <w:pPr>
                          <w:spacing w:after="160" w:line="259" w:lineRule="auto"/>
                          <w:ind w:left="0" w:firstLine="0"/>
                          <w:jc w:val="left"/>
                        </w:pPr>
                        <w:r>
                          <w:t xml:space="preserve"> </w:t>
                        </w:r>
                      </w:p>
                    </w:txbxContent>
                  </v:textbox>
                </v:rect>
                <v:rect id="Rectangle 7339" o:spid="_x0000_s1176" style="position:absolute;top:295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S98cA&#10;AADdAAAADwAAAGRycy9kb3ducmV2LnhtbESPT2vCQBTE74V+h+UJvdWNFayJWUXaih79U0i9PbKv&#10;SWj2bciuJvrpXaHgcZiZ3zDpoje1OFPrKssKRsMIBHFudcWFgu/D6nUKwnlkjbVlUnAhB4v581OK&#10;ibYd7+i894UIEHYJKii9bxIpXV6SQTe0DXHwfm1r0AfZFlK32AW4qeVbFE2kwYrDQokNfZSU/+1P&#10;RsF62ix/NvbaFfXXcZ1ts/jzEHulXgb9cgbCU+8f4f/2Rit4H49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MUvfHAAAA3Q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7340" o:spid="_x0000_s1177" style="position:absolute;top:3284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IF8QA&#10;AADdAAAADwAAAGRycy9kb3ducmV2LnhtbERPy2rCQBTdC/7DcAvudNIHNkkdRVolWfoo2O4umdsk&#10;mLkTMqNJ+/WdheDycN6L1WAacaXO1ZYVPM4iEMSF1TWXCj6P22kMwnlkjY1lUvBLDlbL8WiBqbY9&#10;7+l68KUIIexSVFB536ZSuqIig25mW+LA/djOoA+wK6XusA/hppFPUTSXBmsODRW29F5RcT5cjIIs&#10;btdfuf3ry2bznZ12p+TjmHilJg/D+g2Ep8HfxTd3rhW8Pr+E/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wiBfEAAAA3QAAAA8AAAAAAAAAAAAAAAAAmAIAAGRycy9k&#10;b3ducmV2LnhtbFBLBQYAAAAABAAEAPUAAACJAwAAAAA=&#10;" filled="f" stroked="f">
                  <v:textbox inset="0,0,0,0">
                    <w:txbxContent>
                      <w:p w:rsidR="00BB52D7" w:rsidRDefault="00E33AE6">
                        <w:pPr>
                          <w:spacing w:after="160" w:line="259" w:lineRule="auto"/>
                          <w:ind w:left="0" w:firstLine="0"/>
                          <w:jc w:val="left"/>
                        </w:pPr>
                        <w:r>
                          <w:t xml:space="preserve"> </w:t>
                        </w:r>
                      </w:p>
                    </w:txbxContent>
                  </v:textbox>
                </v:rect>
                <v:shape id="Shape 7376" o:spid="_x0000_s1178" style="position:absolute;left:2035;top:359;width:56052;height:35452;visibility:visible;mso-wrap-style:square;v-text-anchor:top" coordsize="5605145,3545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LFcYA&#10;AADdAAAADwAAAGRycy9kb3ducmV2LnhtbESPS4sCMRCE7wv+h9DC3tbM7oKP0SiyqHjQgy/QWzNp&#10;J8NOOsMk6vjvjSB4LKrqK2o0aWwprlT7wrGC704CgjhzuuBcwX43/+qD8AFZY+mYFNzJw2Tc+hhh&#10;qt2NN3TdhlxECPsUFZgQqlRKnxmy6DuuIo7e2dUWQ5R1LnWNtwi3pfxJkq60WHBcMFjRn6Hsf3ux&#10;Co5mtjrccbCZrtfJMvP9026xOin12W6mQxCBmvAOv9pLraD32+vC8018An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wLFcYAAADdAAAADwAAAAAAAAAAAAAAAACYAgAAZHJz&#10;L2Rvd25yZXYueG1sUEsFBgAAAAAEAAQA9QAAAIsDAAAAAA==&#10;" path="m,3545205r5605145,l5605145,,,,,3545205xe" filled="f">
                  <v:stroke miterlimit="83231f" joinstyle="miter"/>
                  <v:path arrowok="t" textboxrect="0,0,5605145,3545205"/>
                </v:shape>
                <v:shape id="Picture 7377" o:spid="_x0000_s1179" type="#_x0000_t75" style="position:absolute;left:2080;top:860;width:55961;height:344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5I/3GAAAA3QAAAA8AAABkcnMvZG93bnJldi54bWxEj0FrwkAUhO8F/8PyCr3pphUaTV1FKkIh&#10;vURL0dtr9pkEs2/j7lbjv3cLQo/DzHzDzBa9acWZnG8sK3geJSCIS6sbrhR8bdfDCQgfkDW2lknB&#10;lTws5oOHGWbaXrig8yZUIkLYZ6igDqHLpPRlTQb9yHbE0TtYZzBE6SqpHV4i3LTyJUlepcGG40KN&#10;Hb3XVB43v0ZBKGy+3+fXYrf6OZl8+mlc2n0r9fTYL99ABOrDf/je/tAK0nGawt+b+ATk/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3kj/cYAAADdAAAADwAAAAAAAAAAAAAA&#10;AACfAgAAZHJzL2Rvd25yZXYueG1sUEsFBgAAAAAEAAQA9wAAAJIDAAAAAA==&#10;">
                  <v:imagedata r:id="rId18" o:title=""/>
                </v:shape>
                <v:rect id="Rectangle 185769" o:spid="_x0000_s1180" style="position:absolute;left:25920;top:903;width:1102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sF9sQA&#10;AADfAAAADwAAAGRycy9kb3ducmV2LnhtbERPTWvCQBC9C/0PyxS86aaCNomuIlXRY6uCehuyYxLM&#10;zobsamJ/fbdQ6PHxvmeLzlTiQY0rLSt4G0YgiDOrS84VHA+bQQzCeWSNlWVS8CQHi/lLb4apti1/&#10;0WPvcxFC2KWooPC+TqV0WUEG3dDWxIG72sagD7DJpW6wDeGmkqMomkiDJYeGAmv6KCi77e9GwTau&#10;l+ed/W7zan3Znj5PyeqQeKX6r91yCsJT5//Ff+6dDvPj8fskgd8/AY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fbEAAAA3wAAAA8AAAAAAAAAAAAAAAAAmAIAAGRycy9k&#10;b3ducmV2LnhtbFBLBQYAAAAABAAEAPUAAACJAwAAAAA=&#10;" filled="f" stroked="f">
                  <v:textbox inset="0,0,0,0">
                    <w:txbxContent>
                      <w:p w:rsidR="00BB52D7" w:rsidRDefault="00E33AE6">
                        <w:pPr>
                          <w:spacing w:after="160" w:line="259" w:lineRule="auto"/>
                          <w:ind w:left="0" w:firstLine="0"/>
                          <w:jc w:val="left"/>
                        </w:pPr>
                        <w:r>
                          <w:rPr>
                            <w:b/>
                            <w:sz w:val="18"/>
                            <w:u w:val="single" w:color="000000"/>
                          </w:rPr>
                          <w:t>Group Company</w:t>
                        </w:r>
                      </w:p>
                    </w:txbxContent>
                  </v:textbox>
                </v:rect>
                <v:rect id="Rectangle 7379" o:spid="_x0000_s1181" style="position:absolute;left:34211;top:903;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rN8YA&#10;AADdAAAADwAAAGRycy9kb3ducmV2LnhtbESPQWvCQBSE74X+h+UJ3upGC9XErCK1RY9WhejtkX1N&#10;QrNvQ3Y10V/fLQg9DjPzDZMue1OLK7WusqxgPIpAEOdWV1woOB4+X2YgnEfWWFsmBTdysFw8P6WY&#10;aNvxF133vhABwi5BBaX3TSKly0sy6Ea2IQ7et20N+iDbQuoWuwA3tZxE0Zs0WHFYKLGh95Lyn/3F&#10;KNjMmtVpa+9dUX+cN9kui9eH2Cs1HPSrOQhPvf8PP9pbrWD6O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brN8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18"/>
                          </w:rPr>
                          <w:t xml:space="preserve"> </w:t>
                        </w:r>
                      </w:p>
                    </w:txbxContent>
                  </v:textbox>
                </v:rect>
                <v:rect id="Rectangle 7381" o:spid="_x0000_s1182" style="position:absolute;left:2997;top:3715;width:22058;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WXFsYA&#10;AADdAAAADwAAAGRycy9kb3ducmV2LnhtbESPT2vCQBTE70K/w/IK3nRjhRqjq0hV9OifgvX2yL4m&#10;odm3Ibua1E/vCoLHYWZ+w0znrSnFlWpXWFYw6EcgiFOrC84UfB/XvRiE88gaS8uk4J8czGdvnSkm&#10;2ja8p+vBZyJA2CWoIPe+SqR0aU4GXd9WxMH7tbVBH2SdSV1jE+CmlB9R9CkNFhwWcqzoK6f073Ax&#10;CjZxtfjZ2luTlavz5rQ7jZfHsVeq+94uJiA8tf4Vfra3WsFoGA/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WXF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18"/>
                          </w:rPr>
                          <w:t>The management body of the Group</w:t>
                        </w:r>
                      </w:p>
                    </w:txbxContent>
                  </v:textbox>
                </v:rect>
                <v:rect id="Rectangle 7382" o:spid="_x0000_s1183" style="position:absolute;left:19593;top:3715;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JYcYA&#10;AADdAAAADwAAAGRycy9kb3ducmV2LnhtbESPT2vCQBTE74V+h+UJvdWNFmqMriJtRY/+A/X2yD6T&#10;YPZtyK4m9dO7guBxmJnfMONpa0pxpdoVlhX0uhEI4tTqgjMFu+38MwbhPLLG0jIp+CcH08n72xgT&#10;bRte03XjMxEg7BJUkHtfJVK6NCeDrmsr4uCdbG3QB1lnUtfYBLgpZT+KvqXBgsNCjhX95JSeNxej&#10;YBFXs8PS3pqs/Dsu9qv98Hc79Ep9dNrZCISn1r/Cz/ZSKxh8xX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cJYc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18"/>
                          </w:rPr>
                          <w:t xml:space="preserve"> </w:t>
                        </w:r>
                      </w:p>
                    </w:txbxContent>
                  </v:textbox>
                </v:rect>
                <v:rect id="Rectangle 7383" o:spid="_x0000_s1184" style="position:absolute;left:19883;top:3715;width:40086;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s+sYA&#10;AADdAAAADwAAAGRycy9kb3ducmV2LnhtbESPS4vCQBCE78L+h6GFvenEFdYYHUX2gR59gXprMm0S&#10;zPSEzKzJ+usdQfBYVNVX1HTemlJcqXaFZQWDfgSCOLW64EzBfvfbi0E4j6yxtEwK/snBfPbWmWKi&#10;bcMbum59JgKEXYIKcu+rREqX5mTQ9W1FHLyzrQ36IOtM6hqbADel/IiiT2mw4LCQY0VfOaWX7Z9R&#10;sIyrxXFlb01W/pyWh/Vh/L0be6Xeu+1iAsJT61/hZ3ulFYyG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us+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18"/>
                          </w:rPr>
                          <w:t>comprises 4 members: Member A; Member B; Member C, Memb</w:t>
                        </w:r>
                      </w:p>
                    </w:txbxContent>
                  </v:textbox>
                </v:rect>
                <v:rect id="Rectangle 7384" o:spid="_x0000_s1185" style="position:absolute;left:50040;top:3715;width:3047;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0jscA&#10;AADdAAAADwAAAGRycy9kb3ducmV2LnhtbESPT2vCQBTE7wW/w/IEb3Wjlhqjq4i26LH+AfX2yD6T&#10;YPZtyG5N2k/vCoUeh5n5DTNbtKYUd6pdYVnBoB+BIE6tLjhTcDx8vsYgnEfWWFomBT/kYDHvvMww&#10;0bbhHd33PhMBwi5BBbn3VSKlS3My6Pq2Ig7e1dYGfZB1JnWNTYCbUg6j6F0aLDgs5FjRKqf0tv82&#10;CjZxtTxv7W+TlR+XzenrNFkfJl6pXrddTkF4av1/+K+91QrGo/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yNI7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er D.</w:t>
                        </w:r>
                      </w:p>
                    </w:txbxContent>
                  </v:textbox>
                </v:rect>
                <v:rect id="Rectangle 7385" o:spid="_x0000_s1186" style="position:absolute;left:52334;top:3715;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FccA&#10;AADdAAAADwAAAGRycy9kb3ducmV2LnhtbESPT2vCQBTE7wW/w/IEb3Wj0hqjq4i26LH+AfX2yD6T&#10;YPZtyG5N2k/vCoUeh5n5DTNbtKYUd6pdYVnBoB+BIE6tLjhTcDx8vsYgnEfWWFomBT/kYDHvvMww&#10;0bbhHd33PhMBwi5BBbn3VSKlS3My6Pq2Ig7e1dYGfZB1JnWNTYCbUg6j6F0aLDgs5FjRKqf0tv82&#10;CjZxtTxv7W+TlR+XzenrNFkfJl6pXrddTkF4av1/+K+91QrGo/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kRX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 xml:space="preserve"> </w:t>
                        </w:r>
                      </w:p>
                    </w:txbxContent>
                  </v:textbox>
                </v:rect>
                <v:rect id="Rectangle 7386" o:spid="_x0000_s1187" style="position:absolute;left:2997;top:6557;width:7233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PYscA&#10;AADdAAAADwAAAGRycy9kb3ducmV2LnhtbESPQWvCQBSE74X+h+UVvDWbWrAxuorUFj1qLKTeHtln&#10;Esy+DdnVpP31XaHgcZiZb5j5cjCNuFLnassKXqIYBHFhdc2lgq/D53MCwnlkjY1lUvBDDpaLx4c5&#10;ptr2vKdr5ksRIOxSVFB536ZSuqIigy6yLXHwTrYz6IPsSqk77APcNHIcxxNpsOawUGFL7xUV5+xi&#10;FGySdvW9tb992XwcN/kun64PU6/U6GlYzUB4Gvw9/N/eagVvr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sD2L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 xml:space="preserve">Two employees are employed by the group (but not by the management company and the depositary): Employee X </w:t>
                        </w:r>
                      </w:p>
                    </w:txbxContent>
                  </v:textbox>
                </v:rect>
                <v:rect id="Rectangle 7387" o:spid="_x0000_s1188" style="position:absolute;left:2997;top:7868;width:10225;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Cq+ccA&#10;AADdAAAADwAAAGRycy9kb3ducmV2LnhtbESPW2vCQBSE34X+h+UU+mY2baHG6CrSC/ropZD6dsge&#10;k2D2bMhuTfTXu4Lg4zAz3zDTeW9qcaLWVZYVvEYxCOLc6ooLBb+7n2ECwnlkjbVlUnAmB/PZ02CK&#10;qbYdb+i09YUIEHYpKii9b1IpXV6SQRfZhjh4B9sa9EG2hdQtdgFuavkWxx/SYMVhocSGPkvKj9t/&#10;o2CZNIu/lb10Rf29X2brbPy1G3ulXp77xQSEp94/wvf2SisYvSc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gqvn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and Employee Y</w:t>
                        </w:r>
                      </w:p>
                    </w:txbxContent>
                  </v:textbox>
                </v:rect>
                <v:rect id="Rectangle 7388" o:spid="_x0000_s1189" style="position:absolute;left:10678;top:7868;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8MA&#10;AADdAAAADwAAAGRycy9kb3ducmV2LnhtbERPy4rCMBTdD/gP4QruxlQFp1ajiA906aig7i7NtS02&#10;N6WJtjNfbxYDszyc92zRmlK8qHaFZQWDfgSCOLW64EzB+bT9jEE4j6yxtEwKfsjBYt75mGGibcPf&#10;9Dr6TIQQdgkqyL2vEildmpNB17cVceDutjboA6wzqWtsQrgp5TCKxtJgwaEhx4pWOaWP49Mo2MXV&#10;8rq3v01Wbm67y+EyWZ8mXqlet11OQXhq/b/4z73XCr5G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i8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18"/>
                          </w:rPr>
                          <w:t xml:space="preserve"> </w:t>
                        </w:r>
                      </w:p>
                    </w:txbxContent>
                  </v:textbox>
                </v:rect>
                <v:rect id="Rectangle 7389" o:spid="_x0000_s1190" style="position:absolute;left:2997;top:10712;width:64217;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bEMYA&#10;AADdAAAADwAAAGRycy9kb3ducmV2LnhtbESPT2vCQBTE70K/w/IK3nTTCpqkriJV0aN/Cra3R/Y1&#10;Cc2+DdnVRD+9Kwg9DjPzG2Y670wlLtS40rKCt2EEgjizuuRcwddxPYhBOI+ssbJMCq7kYD576U0x&#10;1bblPV0OPhcBwi5FBYX3dSqlywoy6Ia2Jg7er20M+iCbXOoG2wA3lXyPorE0WHJYKLCmz4Kyv8PZ&#10;KNjE9eJ7a29tXq1+NqfdKVkeE69U/7VbfIDw1Pn/8LO91Qomo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ObE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18"/>
                          </w:rPr>
                          <w:t>The boards of the management company and the depositary have three members each, therefore one</w:t>
                        </w:r>
                      </w:p>
                    </w:txbxContent>
                  </v:textbox>
                </v:rect>
                <v:rect id="Rectangle 7390" o:spid="_x0000_s1191" style="position:absolute;left:51320;top:10712;width:50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kUMIA&#10;AADdAAAADwAAAGRycy9kb3ducmV2LnhtbERPTYvCMBC9C/6HMMLeNFVhtdUooi56dFVQb0MztsVm&#10;Upqs7e6vNwdhj4/3PV+2phRPql1hWcFwEIEgTq0uOFNwPn31pyCcR9ZYWiYFv+Rgueh25pho2/A3&#10;PY8+EyGEXYIKcu+rREqX5mTQDWxFHLi7rQ36AOtM6hqbEG5KOYqiT2mw4NCQY0XrnNLH8cco2E2r&#10;1XVv/5qs3N52l8Ml3pxir9RHr13NQHhq/b/47d5rBZNx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KRQwgAAAN0AAAAPAAAAAAAAAAAAAAAAAJgCAABkcnMvZG93&#10;bnJldi54bWxQSwUGAAAAAAQABAD1AAAAhwMAAAAA&#10;" filled="f" stroked="f">
                  <v:textbox inset="0,0,0,0">
                    <w:txbxContent>
                      <w:p w:rsidR="00BB52D7" w:rsidRDefault="00E33AE6">
                        <w:pPr>
                          <w:spacing w:after="160" w:line="259" w:lineRule="auto"/>
                          <w:ind w:left="0" w:firstLine="0"/>
                          <w:jc w:val="left"/>
                        </w:pPr>
                        <w:r>
                          <w:rPr>
                            <w:sz w:val="18"/>
                          </w:rPr>
                          <w:t>-</w:t>
                        </w:r>
                      </w:p>
                    </w:txbxContent>
                  </v:textbox>
                </v:rect>
                <v:rect id="Rectangle 7391" o:spid="_x0000_s1192" style="position:absolute;left:51701;top:10712;width:7603;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By8cA&#10;AADdAAAADwAAAGRycy9kb3ducmV2LnhtbESPT2vCQBTE74LfYXmCN91YoSYxq0j/oEerhdTbI/ua&#10;hGbfhuzWpP30XUHocZiZ3zDZdjCNuFLnassKFvMIBHFhdc2lgvfz6ywG4TyyxsYyKfghB9vNeJRh&#10;qm3Pb3Q9+VIECLsUFVTet6mUrqjIoJvbljh4n7Yz6IPsSqk77APcNPIhih6lwZrDQoUtPVVUfJ2+&#10;jYJ93O4+Dva3L5uXyz4/5snzOfFKTSfDbg3C0+D/w/f2QStYLZ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cAcv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 xml:space="preserve">third of the </w:t>
                        </w:r>
                      </w:p>
                    </w:txbxContent>
                  </v:textbox>
                </v:rect>
                <v:rect id="Rectangle 7392" o:spid="_x0000_s1193" style="position:absolute;left:2997;top:12046;width:1363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6fvMYA&#10;AADdAAAADwAAAGRycy9kb3ducmV2LnhtbESPQWvCQBSE74L/YXkFb7qpQjUxq4it6LFqIfX2yL4m&#10;odm3IbuatL++WxA8DjPzDZOue1OLG7WusqzgeRKBIM6trrhQ8HHejRcgnEfWWFsmBT/kYL0aDlJM&#10;tO34SLeTL0SAsEtQQel9k0jp8pIMuoltiIP3ZVuDPsi2kLrFLsBNLadR9CINVhwWSmxoW1L+fboa&#10;BftFs/k82N+uqN8u++w9i1/PsVdq9NRvliA89f4RvrcPWsF8F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6fv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18"/>
                          </w:rPr>
                          <w:t>member of each board</w:t>
                        </w:r>
                      </w:p>
                    </w:txbxContent>
                  </v:textbox>
                </v:rect>
                <v:rect id="Rectangle 7393" o:spid="_x0000_s1194" style="position:absolute;left:13253;top:12046;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6J8cA&#10;AADdAAAADwAAAGRycy9kb3ducmV2LnhtbESPT2vCQBTE74V+h+UJvdWNFayJWUXaih79U0i9PbKv&#10;SWj2bciuJvrpXaHgcZiZ3zDpoje1OFPrKssKRsMIBHFudcWFgu/D6nUKwnlkjbVlUnAhB4v581OK&#10;ibYd7+i894UIEHYJKii9bxIpXV6SQTe0DXHwfm1r0AfZFlK32AW4qeVbFE2kwYrDQokNfZSU/+1P&#10;RsF62ix/NvbaFfXXcZ1ts/jzEHulXgb9cgbCU+8f4f/2Rit4H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COif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 xml:space="preserve"> </w:t>
                        </w:r>
                      </w:p>
                    </w:txbxContent>
                  </v:textbox>
                </v:rect>
                <v:rect id="Rectangle 7394" o:spid="_x0000_s1195" style="position:absolute;left:13543;top:12046;width:15015;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uiU8cA&#10;AADdAAAADwAAAGRycy9kb3ducmV2LnhtbESPT2vCQBTE7wW/w/IEb3Wjlmqiq4i26LH+AfX2yD6T&#10;YPZtyG5N2k/vCoUeh5n5DTNbtKYUd6pdYVnBoB+BIE6tLjhTcDx8vk5AOI+ssbRMCn7IwWLeeZlh&#10;om3DO7rvfSYChF2CCnLvq0RKl+Zk0PVtRRy8q60N+iDrTOoamwA3pRxG0bs0WHBYyLGiVU7pbf9t&#10;FGwm1fK8tb9NVn5cNqevU7w+xF6pXrddTkF4av1/+K+91QrGo/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rolP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needs to be independent.</w:t>
                        </w:r>
                      </w:p>
                    </w:txbxContent>
                  </v:textbox>
                </v:rect>
                <v:rect id="Rectangle 7395" o:spid="_x0000_s1196" style="position:absolute;left:24838;top:12046;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HyMcA&#10;AADdAAAADwAAAGRycy9kb3ducmV2LnhtbESPT2vCQBTE7wW/w/IEb3Wj0mqiq4i26LH+AfX2yD6T&#10;YPZtyG5N2k/vCoUeh5n5DTNbtKYUd6pdYVnBoB+BIE6tLjhTcDx8vk5AOI+ssbRMCn7IwWLeeZlh&#10;om3DO7rvfSYChF2CCnLvq0RKl+Zk0PVtRRy8q60N+iDrTOoamwA3pRxG0bs0WHBYyLGiVU7pbf9t&#10;FGwm1fK8tb9NVn5cNqevU7w+xF6pXrddTkF4av1/+K+91QrGo/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nB8j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18"/>
                          </w:rPr>
                          <w:t xml:space="preserve"> </w:t>
                        </w:r>
                      </w:p>
                    </w:txbxContent>
                  </v:textbox>
                </v:rect>
                <v:shape id="Shape 244309" o:spid="_x0000_s1197" style="position:absolute;left:10360;top:16506;width:16243;height:17983;visibility:visible;mso-wrap-style:square;v-text-anchor:top" coordsize="1624330,179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JLccA&#10;AADfAAAADwAAAGRycy9kb3ducmV2LnhtbESPQWsCMRSE70L/Q3hCb5popdTVKFIQ2otQLcXjM3lu&#10;Fjcv2026rv31TaHQ4zAz3zDLde9r0VEbq8AaJmMFgtgEW3Gp4f2wHT2BiAnZYh2YNNwownp1N1hi&#10;YcOV36jbp1JkCMcCNbiUmkLKaBx5jOPQEGfvHFqPKcu2lLbFa4b7Wk6VepQeK84LDht6dmQu+y+v&#10;gT8/XlWnvo8Ot5vJ6eLMYdcZre+H/WYBIlGf/sN/7RerYTqbPag5/P7JX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7SS3HAAAA3wAAAA8AAAAAAAAAAAAAAAAAmAIAAGRy&#10;cy9kb3ducmV2LnhtbFBLBQYAAAAABAAEAPUAAACMAwAAAAA=&#10;" path="m,l1624330,r,1798321l,1798321,,e" stroked="f" strokeweight="0">
                  <v:stroke miterlimit="83231f" joinstyle="miter"/>
                  <v:path arrowok="t" textboxrect="0,0,1624330,1798321"/>
                </v:shape>
                <v:shape id="Shape 7397" o:spid="_x0000_s1198" style="position:absolute;left:10360;top:16506;width:16243;height:17983;visibility:visible;mso-wrap-style:square;v-text-anchor:top" coordsize="1624330,179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kBMYA&#10;AADdAAAADwAAAGRycy9kb3ducmV2LnhtbESP3UoDMRSE7wXfIRzBuzarhVbXpqVUpBaEYu3P7WFz&#10;TBY3J0uSbte3b4SCl8PMfMNM571rREch1p4VPAwLEMSV1zUbBbuvt8ETiJiQNTaeScEvRZjPbm+m&#10;WGp/5k/qtsmIDOFYogKbUltKGStLDuPQt8TZ+/bBYcoyGKkDnjPcNfKxKMbSYc15wWJLS0vVz/bk&#10;FIz3pjusUb5+dJtjsHs9OppipdT9Xb94AZGoT//ha/tdK5iMnifw9yY/AT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kBMYAAADdAAAADwAAAAAAAAAAAAAAAACYAgAAZHJz&#10;L2Rvd25yZXYueG1sUEsFBgAAAAAEAAQA9QAAAIsDAAAAAA==&#10;" path="m,1798321r1624330,l1624330,,,,,1798321xe" filled="f" strokecolor="#8064a2" strokeweight="1pt">
                  <v:stroke miterlimit="83231f" joinstyle="miter"/>
                  <v:path arrowok="t" textboxrect="0,0,1624330,1798321"/>
                </v:shape>
                <v:shape id="Picture 7398" o:spid="_x0000_s1199" type="#_x0000_t75" style="position:absolute;left:10424;top:17029;width:16116;height:16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UcTvGAAAA3QAAAA8AAABkcnMvZG93bnJldi54bWxET01rwkAQvRf6H5YpeKsbK9SYuooIxYLV&#10;0FTB3qbZaRLMzsbsqum/dw+Cx8f7nsw6U4szta6yrGDQj0AQ51ZXXCjYfr8/xyCcR9ZYWyYF/+Rg&#10;Nn18mGCi7YW/6Jz5QoQQdgkqKL1vEildXpJB17cNceD+bGvQB9gWUrd4CeGmli9R9CoNVhwaSmxo&#10;UVJ+yE5GweG4Wtfj3f7nd7ON48/lKR2kWapU76mbv4Hw1Pm7+Ob+0ApGw3GYG96EJyC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RxO8YAAADdAAAADwAAAAAAAAAAAAAA&#10;AACfAgAAZHJzL2Rvd25yZXYueG1sUEsFBgAAAAAEAAQA9wAAAJIDAAAAAA==&#10;">
                  <v:imagedata r:id="rId19" o:title=""/>
                </v:shape>
                <v:rect id="Rectangle 185771" o:spid="_x0000_s1200" style="position:absolute;left:12110;top:17082;width:16950;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fLcUA&#10;AADfAAAADwAAAGRycy9kb3ducmV2LnhtbERPTWvCQBC9F/wPywi91Y1Ca0yzEdEWPdYo2N6G7DQJ&#10;ZmdDdmvS/npXKHh8vO90OZhGXKhztWUF00kEgriwuuZSwfHw/hSDcB5ZY2OZFPySg2U2ekgx0bbn&#10;PV1yX4oQwi5BBZX3bSKlKyoy6Ca2JQ7ct+0M+gC7UuoO+xBuGjmLohdpsObQUGFL64qKc/5jFGzj&#10;dvW5s3992bx9bU8fp8XmsPBKPY6H1SsIT4O/i//dOx3mx8/z+RRufwI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J8txQAAAN8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u w:val="single" w:color="000000"/>
                          </w:rPr>
                          <w:t>Management Company</w:t>
                        </w:r>
                      </w:p>
                    </w:txbxContent>
                  </v:textbox>
                </v:rect>
                <v:rect id="Rectangle 7400" o:spid="_x0000_s1201" style="position:absolute;left:24853;top:17082;width:42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8ssIA&#10;AADdAAAADwAAAGRycy9kb3ducmV2LnhtbERPy4rCMBTdC/5DuII7TR3E0WoUcRRd+gJ1d2mubbG5&#10;KU20nfl6sxhweTjv2aIxhXhR5XLLCgb9CARxYnXOqYLzadMbg3AeWWNhmRT8koPFvN2aYaxtzQd6&#10;HX0qQgi7GBVk3pexlC7JyKDr25I4cHdbGfQBVqnUFdYh3BTyK4pG0mDOoSHDklYZJY/j0yjYjsvl&#10;dWf/6rRY37aX/WXyc5p4pbqdZjkF4anxH/G/e6cVfA+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8PyywgAAAN0AAAAPAAAAAAAAAAAAAAAAAJgCAABkcnMvZG93&#10;bnJldi54bWxQSwUGAAAAAAQABAD1AAAAhwM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37850" o:spid="_x0000_s1202" style="position:absolute;left:11341;top:20046;width:9238;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vH8YA&#10;AADeAAAADwAAAGRycy9kb3ducmV2LnhtbESPy2rCQBSG94W+w3AK7uqkLWqMjiKtoktvoO4OmWMS&#10;mjkTMqOJPr2zEFz+/De+8bQ1pbhS7QrLCr66EQji1OqCMwX73eIzBuE8ssbSMim4kYPp5P1tjIm2&#10;DW/ouvWZCCPsElSQe18lUro0J4Ouayvi4J1tbdAHWWdS19iEcVPK7yjqS4MFh4ccK/rNKf3fXoyC&#10;ZVzNjit7b7Jyfloe1ofh327olep8tLMRCE+tf4Wf7ZVW8DOIewEg4AQUkJ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5vH8YAAADe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Management </w:t>
                        </w:r>
                      </w:p>
                    </w:txbxContent>
                  </v:textbox>
                </v:rect>
                <v:rect id="Rectangle 37851" o:spid="_x0000_s1203" style="position:absolute;left:22730;top:20046;width:4277;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KhMgA&#10;AADeAAAADwAAAGRycy9kb3ducmV2LnhtbESPT2vCQBTE70K/w/IK3nSTStuYZhVRix79U7C9PbKv&#10;SWj2bciuJvrpu4WCx2FmfsNk897U4kKtqywriMcRCOLc6ooLBR/H91ECwnlkjbVlUnAlB/PZwyDD&#10;VNuO93Q5+EIECLsUFZTeN6mULi/JoBvbhjh437Y16INsC6lb7ALc1PIpil6kwYrDQokNLUvKfw5n&#10;o2CTNIvPrb11Rb3+2px2p+nqOPVKDR/7xRsIT72/h//bW61g8po8x/B3J1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4sqEyAAAAN4AAAAPAAAAAAAAAAAAAAAAAJgCAABk&#10;cnMvZG93bnJldi54bWxQSwUGAAAAAAQABAD1AAAAjQMAAAAA&#10;" filled="f" stroked="f">
                  <v:textbox inset="0,0,0,0">
                    <w:txbxContent>
                      <w:p w:rsidR="00BB52D7" w:rsidRDefault="00E33AE6">
                        <w:pPr>
                          <w:spacing w:after="160" w:line="259" w:lineRule="auto"/>
                          <w:ind w:left="0" w:firstLine="0"/>
                          <w:jc w:val="left"/>
                        </w:pPr>
                        <w:r>
                          <w:rPr>
                            <w:sz w:val="20"/>
                          </w:rPr>
                          <w:t xml:space="preserve">board </w:t>
                        </w:r>
                      </w:p>
                    </w:txbxContent>
                  </v:textbox>
                </v:rect>
                <v:rect id="Rectangle 7403" o:spid="_x0000_s1204" style="position:absolute;left:11341;top:21509;width:17639;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ixccA&#10;AADdAAAADwAAAGRycy9kb3ducmV2LnhtbESPT2vCQBTE7wW/w/KE3uqmVqxJXUX8gx5tLKS9PbKv&#10;STD7NmRXk/bTdwuCx2FmfsPMl72pxZVaV1lW8DyKQBDnVldcKPg47Z5mIJxH1lhbJgU/5GC5GDzM&#10;MdG243e6pr4QAcIuQQWl900ipctLMuhGtiEO3rdtDfog20LqFrsAN7UcR9FUGqw4LJTY0Lqk/Jxe&#10;jIL9rFl9HuxvV9Tbr312zOLNKfZKPQ771RsIT72/h2/tg1bwOole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iYsX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composed of 3 Members: </w:t>
                        </w:r>
                      </w:p>
                    </w:txbxContent>
                  </v:textbox>
                </v:rect>
                <v:rect id="Rectangle 7404" o:spid="_x0000_s1205" style="position:absolute;left:24602;top:21509;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v6scYA&#10;AADdAAAADwAAAGRycy9kb3ducmV2LnhtbESPS4vCQBCE78L+h6EXvOlkRXxkHUVWRY++QPfWZHqT&#10;sJmekBlN9Nc7guCxqKqvqMmsMYW4UuVyywq+uhEI4sTqnFMFx8OqMwLhPLLGwjIpuJGD2fSjNcFY&#10;25p3dN37VAQIuxgVZN6XsZQuycig69qSOHh/tjLog6xSqSusA9wUshdFA2kw57CQYUk/GSX/+4tR&#10;sB6V8/PG3uu0WP6uT9vTeHEYe6Xan838G4Snxr/Dr/ZGKxj2oz4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v6sc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05" o:spid="_x0000_s1206" style="position:absolute;left:13627;top:24488;width:56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fKscA&#10;AADdAAAADwAAAGRycy9kb3ducmV2LnhtbESPT2vCQBTE7wW/w/KE3uqmUq1JXUX8gx5tLKS9PbKv&#10;STD7NmRXk/bTdwuCx2FmfsPMl72pxZVaV1lW8DyKQBDnVldcKPg47Z5mIJxH1lhbJgU/5GC5GDzM&#10;MdG243e6pr4QAcIuQQWl900ipctLMuhGtiEO3rdtDfog20LqFrsAN7UcR9FUGqw4LJTY0Lqk/Jxe&#10;jIL9rFl9HuxvV9Tbr312zOLNKfZKPQ771RsIT72/h2/tg1bw+hJN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HXyr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w:t>
                        </w:r>
                      </w:p>
                    </w:txbxContent>
                  </v:textbox>
                </v:rect>
                <v:rect id="Rectangle 7406" o:spid="_x0000_s1207" style="position:absolute;left:15913;top:24488;width:6147;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BXccA&#10;AADdAAAADwAAAGRycy9kb3ducmV2LnhtbESPQWvCQBSE74L/YXmF3nTTIhpTVxGr6LE1BdvbI/ua&#10;hO6+Ddmtif56tyD0OMzMN8xi1VsjztT62rGCp3ECgrhwuuZSwUe+G6UgfEDWaByTggt5WC2HgwVm&#10;2nX8TudjKEWEsM9QQRVCk0npi4os+rFriKP37VqLIcq2lLrFLsKtkc9JMpUWa44LFTa0qaj4Of5a&#10;Bfu0WX8e3LUrzfZrf3o7zV/zeVDq8aFfv4AI1If/8L190Apmk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VwV3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Member </w:t>
                        </w:r>
                      </w:p>
                    </w:txbxContent>
                  </v:textbox>
                </v:rect>
                <v:rect id="Rectangle 7407" o:spid="_x0000_s1208" style="position:absolute;left:20538;top:24488;width:1780;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kxscA&#10;AADdAAAADwAAAGRycy9kb3ducmV2LnhtbESPQWvCQBSE7wX/w/KE3upGKY2mriLakhzbKGhvj+wz&#10;CWbfhuzWRH99t1DocZiZb5jlejCNuFLnassKppMIBHFhdc2lgsP+/WkOwnlkjY1lUnAjB+vV6GGJ&#10;ibY9f9I196UIEHYJKqi8bxMpXVGRQTexLXHwzrYz6IPsSqk77APcNHIWRS/SYM1hocKWthUVl/zb&#10;KEjn7eaU2XtfNm9f6fHjuNjtF16px/GweQXhafD/4b92phXEz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ZZMb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A;</w:t>
                        </w:r>
                      </w:p>
                    </w:txbxContent>
                  </v:textbox>
                </v:rect>
                <v:rect id="Rectangle 7408" o:spid="_x0000_s1209" style="position:absolute;left:21882;top:24488;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wtMIA&#10;AADdAAAADwAAAGRycy9kb3ducmV2LnhtbERPy4rCMBTdC/5DuII7TR3E0WoUcRRd+gJ1d2mubbG5&#10;KU20nfl6sxhweTjv2aIxhXhR5XLLCgb9CARxYnXOqYLzadMbg3AeWWNhmRT8koPFvN2aYaxtzQd6&#10;HX0qQgi7GBVk3pexlC7JyKDr25I4cHdbGfQBVqnUFdYh3BTyK4pG0mDOoSHDklYZJY/j0yjYjsvl&#10;dWf/6rRY37aX/WXyc5p4pbqdZjkF4anxH/G/e6cVfA+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C0wgAAAN0AAAAPAAAAAAAAAAAAAAAAAJgCAABkcnMvZG93&#10;bnJldi54bWxQSwUGAAAAAAQABAD1AAAAhwM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09" o:spid="_x0000_s1210" style="position:absolute;left:22202;top:24488;width:2432;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pVL8YA&#10;AADdAAAADwAAAGRycy9kb3ducmV2LnhtbESPT2vCQBTE70K/w/IK3nTTIppEV5Gq6NE/BdvbI/tM&#10;QrNvQ3Y1sZ++Kwg9DjPzG2a26EwlbtS40rKCt2EEgjizuuRcwedpM4hBOI+ssbJMCu7kYDF/6c0w&#10;1bblA92OPhcBwi5FBYX3dSqlywoy6Ia2Jg7exTYGfZBNLnWDbYCbSr5H0VgaLDksFFjTR0HZz/Fq&#10;FGzjevm1s79tXq2/t+f9OVmdEq9U/7VbTkF46vx/+NneaQWTU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pVL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and</w:t>
                        </w:r>
                      </w:p>
                    </w:txbxContent>
                  </v:textbox>
                </v:rect>
                <v:rect id="Rectangle 7410" o:spid="_x0000_s1211" style="position:absolute;left:24023;top:24488;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qb8MA&#10;AADdAAAADwAAAGRycy9kb3ducmV2LnhtbERPTYvCMBC9C/6HMMLeNFVkV6tRRF30qFVQb0MztsVm&#10;Upqs7e6vN4cFj4/3PV+2phRPql1hWcFwEIEgTq0uOFNwPn33JyCcR9ZYWiYFv+Rgueh25hhr2/CR&#10;nonPRAhhF6OC3PsqltKlORl0A1sRB+5ua4M+wDqTusYmhJtSjqLoUxosODTkWNE6p/SR/BgFu0m1&#10;uu7tX5OV29vucrhMN6epV+qj165mIDy1/i3+d++1gq/xMO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lqb8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11" o:spid="_x0000_s1212" style="position:absolute;left:13627;top:27475;width:56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P9MYA&#10;AADdAAAADwAAAGRycy9kb3ducmV2LnhtbESPT2vCQBTE7wW/w/KE3uompViNriJV0WP9A+rtkX0m&#10;wezbkF1N9NO7hYLHYWZ+w4ynrSnFjWpXWFYQ9yIQxKnVBWcK9rvlxwCE88gaS8uk4E4OppPO2xgT&#10;bRve0G3rMxEg7BJUkHtfJVK6NCeDrmcr4uCdbW3QB1lnUtfYBLgp5WcU9aXBgsNCjhX95JRetlej&#10;YDWoZse1fTRZuTitDr+H4Xw39Eq9d9vZCISn1r/C/+21VvD9Fc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XP9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w:t>
                        </w:r>
                      </w:p>
                    </w:txbxContent>
                  </v:textbox>
                </v:rect>
                <v:rect id="Rectangle 7412" o:spid="_x0000_s1213" style="position:absolute;left:15913;top:27475;width:6147;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Rg8YA&#10;AADdAAAADwAAAGRycy9kb3ducmV2LnhtbESPS4vCQBCE78L+h6EXvOlEER/RUWRV9Ohjwd1bk2mT&#10;sJmekBlN9Nc7grDHoqq+omaLxhTiRpXLLSvodSMQxInVOacKvk+bzhiE88gaC8uk4E4OFvOP1gxj&#10;bWs+0O3oUxEg7GJUkHlfxlK6JCODrmtL4uBdbGXQB1mlUldYB7gpZD+KhtJgzmEhw5K+Mkr+jlej&#10;YDsulz87+6jTYv27Pe/Pk9Vp4pVqfzbLKQhPjf8Pv9s7rWA06PX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dRg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Member </w:t>
                        </w:r>
                      </w:p>
                    </w:txbxContent>
                  </v:textbox>
                </v:rect>
                <v:rect id="Rectangle 7413" o:spid="_x0000_s1214" style="position:absolute;left:20538;top:27475;width:1689;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0GMYA&#10;AADdAAAADwAAAGRycy9kb3ducmV2LnhtbESPQWvCQBSE74L/YXmCN91Yi9XUVUQterRaUG+P7GsS&#10;mn0bsquJ/npXEHocZuYbZjpvTCGuVLncsoJBPwJBnFidc6rg5/DVG4NwHlljYZkU3MjBfNZuTTHW&#10;tuZvuu59KgKEXYwKMu/LWEqXZGTQ9W1JHLxfWxn0QVap1BXWAW4K+RZFI2kw57CQYUnLjJK//cUo&#10;2IzLxWlr73VarM+b4+44WR0mXqlup1l8gvDU+P/wq73VCj7eB0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v0GM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B;</w:t>
                        </w:r>
                      </w:p>
                    </w:txbxContent>
                  </v:textbox>
                </v:rect>
                <v:rect id="Rectangle 7414" o:spid="_x0000_s1215" style="position:absolute;left:21813;top:27475;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sbMYA&#10;AADdAAAADwAAAGRycy9kb3ducmV2LnhtbESPS4vCQBCE78L+h6EXvOlEER/RUWRV9Ohjwd1bk2mT&#10;sJmekBlN9Nc7grDHoqq+omaLxhTiRpXLLSvodSMQxInVOacKvk+bzhiE88gaC8uk4E4OFvOP1gxj&#10;bWs+0O3oUxEg7GJUkHlfxlK6JCODrmtL4uBdbGXQB1mlUldYB7gpZD+KhtJgzmEhw5K+Mkr+jlej&#10;YDsulz87+6jTYv27Pe/Pk9Vp4pVqfzbLKQhPjf8Pv9s7rWA06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Jsb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15" o:spid="_x0000_s1216" style="position:absolute;left:22133;top:27475;width:2855;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7J98YA&#10;AADdAAAADwAAAGRycy9kb3ducmV2LnhtbESPQWvCQBSE74L/YXmCN91YrNXUVUQterRaUG+P7GsS&#10;mn0bsquJ/npXEHocZuYbZjpvTCGuVLncsoJBPwJBnFidc6rg5/DVG4NwHlljYZkU3MjBfNZuTTHW&#10;tuZvuu59KgKEXYwKMu/LWEqXZGTQ9W1JHLxfWxn0QVap1BXWAW4K+RZFI2kw57CQYUnLjJK//cUo&#10;2IzLxWlr73VarM+b4+44WR0mXqlup1l8gvDU+P/wq73VCj6G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7J9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and </w:t>
                        </w:r>
                      </w:p>
                    </w:txbxContent>
                  </v:textbox>
                </v:rect>
                <v:rect id="Rectangle 7416" o:spid="_x0000_s1217" style="position:absolute;left:24274;top:27475;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XgMYA&#10;AADdAAAADwAAAGRycy9kb3ducmV2LnhtbESPS4vCQBCE78L+h6EXvOlEER/RUWRV9Ohjwd1bk2mT&#10;sJmekBlN9Nc7grDHoqq+omaLxhTiRpXLLSvodSMQxInVOacKvk+bzhiE88gaC8uk4E4OFvOP1gxj&#10;bWs+0O3oUxEg7GJUkHlfxlK6JCODrmtL4uBdbGXQB1mlUldYB7gpZD+KhtJgzmEhw5K+Mkr+jlej&#10;YDsulz87+6jTYv27Pe/Pk9Vp4pVqfzbLKQhPjf8Pv9s7rWA06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xXg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17" o:spid="_x0000_s1218" style="position:absolute;left:13627;top:30462;width:56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yG8cA&#10;AADdAAAADwAAAGRycy9kb3ducmV2LnhtbESPQWvCQBSE7wX/w/IKvdWNRWqMriLWYo41EWxvj+wz&#10;Cc2+DdmtSfvrXaHgcZiZb5jlejCNuFDnassKJuMIBHFhdc2lgmP+/hyDcB5ZY2OZFPySg/Vq9LDE&#10;RNueD3TJfCkChF2CCirv20RKV1Rk0I1tSxy8s+0M+iC7UuoO+wA3jXyJoldpsOawUGFL24qK7+zH&#10;KNjH7eYztX992ey+9qeP0/wtn3ulnh6HzQKEp8Hfw//tVCuYTSc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A8hv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w:t>
                        </w:r>
                      </w:p>
                    </w:txbxContent>
                  </v:textbox>
                </v:rect>
                <v:rect id="Rectangle 7418" o:spid="_x0000_s1219" style="position:absolute;left:15913;top:30462;width:7262;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macMA&#10;AADdAAAADwAAAGRycy9kb3ducmV2LnhtbERPTYvCMBC9C/6HMMLeNFVkV6tRRF30qFVQb0MztsVm&#10;Upqs7e6vN4cFj4/3PV+2phRPql1hWcFwEIEgTq0uOFNwPn33JyCcR9ZYWiYFv+Rgueh25hhr2/CR&#10;nonPRAhhF6OC3PsqltKlORl0A1sRB+5ua4M+wDqTusYmhJtSjqLoUxosODTkWNE6p/SR/BgFu0m1&#10;uu7tX5OV29vucrhMN6epV+qj165mIDy1/i3+d++1gq/x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9mac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Employee </w:t>
                        </w:r>
                      </w:p>
                    </w:txbxContent>
                  </v:textbox>
                </v:rect>
                <v:rect id="Rectangle 7419" o:spid="_x0000_s1220" style="position:absolute;left:21371;top:30462;width:1660;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D8scA&#10;AADdAAAADwAAAGRycy9kb3ducmV2LnhtbESPT2vCQBTE74LfYXmCN91YpCYxq0j/oEerhdTbI/ua&#10;hGbfhuzWpP30XUHocZiZ3zDZdjCNuFLnassKFvMIBHFhdc2lgvfz6ywG4TyyxsYyKfghB9vNeJRh&#10;qm3Pb3Q9+VIECLsUFVTet6mUrqjIoJvbljh4n7Yz6IPsSqk77APcNPIhih6lwZrDQoUtPVVUfJ2+&#10;jYJ93O4+Dva3L5uXyz4/5snzOfFKTSfDbg3C0+D/w/f2QStYLRc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w/L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X.</w:t>
                        </w:r>
                      </w:p>
                    </w:txbxContent>
                  </v:textbox>
                </v:rect>
                <v:rect id="Rectangle 7420" o:spid="_x0000_s1221" style="position:absolute;left:22613;top:30462;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Wg0sMA&#10;AADdAAAADwAAAGRycy9kb3ducmV2LnhtbERPy4rCMBTdC/MP4Q6403Rk8FGNIjqiS6cOqLtLc23L&#10;NDelibb69WYhuDyc92zRmlLcqHaFZQVf/QgEcWp1wZmCv8OmNwbhPLLG0jIpuJODxfyjM8NY24Z/&#10;6Zb4TIQQdjEqyL2vYildmpNB17cVceAutjboA6wzqWtsQrgp5SCKhtJgwaEhx4pWOaX/ydUo2I6r&#10;5WlnH01W/py3x/1xsj5MvFLdz3Y5BeGp9W/xy73TCkbfg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Wg0s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21" o:spid="_x0000_s1222" style="position:absolute;left:11341;top:3345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FScYA&#10;AADdAAAADwAAAGRycy9kb3ducmV2LnhtbESPS4vCQBCE78L+h6EXvOlEER/RUWRV9Ohjwd1bk2mT&#10;sJmekBlN9Nc7grDHoqq+omaLxhTiRpXLLSvodSMQxInVOacKvk+bzhiE88gaC8uk4E4OFvOP1gxj&#10;bWs+0O3oUxEg7GJUkHlfxlK6JCODrmtL4uBdbGXQB1mlUldYB7gpZD+KhtJgzmEhw5K+Mkr+jlej&#10;YDsulz87+6jTYv27Pe/Pk9Vp4pVqfzbLKQhPjf8Pv9s7rWA06Pf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kFScYAAADd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shape id="Shape 244310" o:spid="_x0000_s1223" style="position:absolute;left:30433;top:16506;width:16954;height:17983;visibility:visible;mso-wrap-style:square;v-text-anchor:top" coordsize="1695450,179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ZmcYA&#10;AADfAAAADwAAAGRycy9kb3ducmV2LnhtbESPQUsDMRCF74L/IYzgRdps6yKyNi0iCMKeWhe9Dpvp&#10;JriZLEnarv565yB4HN687/FtdnMY1ZlS9pENrJYVKOI+Ws+Dge79dfEIKhdki2NkMvBNGXbb66sN&#10;NjZeeE/nQxmUQDg3aMCVMjVa595RwLyME7Fkx5gCFjnToG3Ci8DDqNdV9aADepYFhxO9OOq/Dqcg&#10;lJ+PwZ262Om+9vv2rm0/R5+Mub2Zn59AFZrL//Nf+80aWNf1/UoMxEdc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iZmcYAAADfAAAADwAAAAAAAAAAAAAAAACYAgAAZHJz&#10;L2Rvd25yZXYueG1sUEsFBgAAAAAEAAQA9QAAAIsDAAAAAA==&#10;" path="m,l1695450,r,1798321l,1798321,,e" stroked="f" strokeweight="0">
                  <v:stroke miterlimit="83231f" joinstyle="miter"/>
                  <v:path arrowok="t" textboxrect="0,0,1695450,1798321"/>
                </v:shape>
                <v:shape id="Shape 7423" o:spid="_x0000_s1224" style="position:absolute;left:30433;top:16506;width:16954;height:17983;visibility:visible;mso-wrap-style:square;v-text-anchor:top" coordsize="1695450,1798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AWsYA&#10;AADdAAAADwAAAGRycy9kb3ducmV2LnhtbESP0WrCQBRE3wv+w3ILvpS6qUpb0qwiFrXoU20/4JK9&#10;yYZm7ybZ1cS/dwuCj8PMnGGy5WBrcabOV44VvEwSEMS50xWXCn5/Ns/vIHxA1lg7JgUX8rBcjB4y&#10;TLXr+ZvOx1CKCGGfogITQpNK6XNDFv3ENcTRK1xnMUTZlVJ32Ee4reU0SV6lxYrjgsGG1obyv+PJ&#10;KlizTNqn8rOQ7bY/7FszO+F+p9T4cVh9gAg0hHv41v7SCt7m0xn8v4lP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BAWsYAAADdAAAADwAAAAAAAAAAAAAAAACYAgAAZHJz&#10;L2Rvd25yZXYueG1sUEsFBgAAAAAEAAQA9QAAAIsDAAAAAA==&#10;" path="m,1798321r1695450,l1695450,,,,,1798321xe" filled="f" strokecolor="#8064a2" strokeweight="1pt">
                  <v:stroke miterlimit="83231f" joinstyle="miter"/>
                  <v:path arrowok="t" textboxrect="0,0,1695450,1798321"/>
                </v:shape>
                <v:shape id="Picture 7424" o:spid="_x0000_s1225" type="#_x0000_t75" style="position:absolute;left:30495;top:17029;width:16832;height:16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3THAAAA3QAAAA8AAABkcnMvZG93bnJldi54bWxEj0FrwkAUhO+F/oflFXqrG0NQia4iLUL1&#10;UKkp1OMj+0yi2bcxuybpv+8WhB6HmfmGWawGU4uOWldZVjAeRSCIc6srLhR8ZZuXGQjnkTXWlknB&#10;DzlYLR8fFphq2/MndQdfiABhl6KC0vsmldLlJRl0I9sQB+9kW4M+yLaQusU+wE0t4yiaSIMVh4US&#10;G3otKb8cbkbBkH/TMWvOH7P9sdjWO5PZ6fVNqeenYT0H4Wnw/+F7+10rmCZxAn9vwhOQy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Xgx3THAAAA3QAAAA8AAAAAAAAAAAAA&#10;AAAAnwIAAGRycy9kb3ducmV2LnhtbFBLBQYAAAAABAAEAPcAAACTAwAAAAA=&#10;">
                  <v:imagedata r:id="rId20" o:title=""/>
                </v:shape>
                <v:rect id="Rectangle 185772" o:spid="_x0000_s1226" style="position:absolute;left:35948;top:17082;width:7885;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BWsUA&#10;AADfAAAADwAAAGRycy9kb3ducmV2LnhtbERPTWvCQBC9F/wPywi91Y1Ca0xdRbQlOWos2N6G7DQJ&#10;ZmdDdmvS/npXEHp8vO/lejCNuFDnassKppMIBHFhdc2lgo/j+1MMwnlkjY1lUvBLDtar0cMSE217&#10;PtAl96UIIewSVFB53yZSuqIig25iW+LAfdvOoA+wK6XusA/hppGzKHqRBmsODRW2tK2oOOc/RkEa&#10;t5vPzP71ZfP2lZ72p8XuuPBKPY6HzSsIT4P/F9/dmQ7z4+f5fAa3PwG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pgFaxQAAAN8AAAAPAAAAAAAAAAAAAAAAAJgCAABkcnMv&#10;ZG93bnJldi54bWxQSwUGAAAAAAQABAD1AAAAigMAAAAA&#10;" filled="f" stroked="f">
                  <v:textbox inset="0,0,0,0">
                    <w:txbxContent>
                      <w:p w:rsidR="00BB52D7" w:rsidRDefault="00E33AE6">
                        <w:pPr>
                          <w:spacing w:after="160" w:line="259" w:lineRule="auto"/>
                          <w:ind w:left="0" w:firstLine="0"/>
                          <w:jc w:val="left"/>
                        </w:pPr>
                        <w:r>
                          <w:rPr>
                            <w:b/>
                            <w:sz w:val="20"/>
                            <w:u w:val="single" w:color="000000"/>
                          </w:rPr>
                          <w:t>Depositary</w:t>
                        </w:r>
                      </w:p>
                    </w:txbxContent>
                  </v:textbox>
                </v:rect>
                <v:rect id="Rectangle 7426" o:spid="_x0000_s1227" style="position:absolute;left:41876;top:17082;width:42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PcYA&#10;AADdAAAADwAAAGRycy9kb3ducmV2LnhtbESPS4vCQBCE74L/YWjBm05WFh/RUURX9Ohjwd1bk2mT&#10;sJmekBlN9Nc7grDHoqq+omaLxhTiRpXLLSv46EcgiBOrc04VfJ82vTEI55E1FpZJwZ0cLObt1gxj&#10;bWs+0O3oUxEg7GJUkHlfxlK6JCODrm9L4uBdbGXQB1mlUldYB7gp5CCKhtJgzmEhw5JWGSV/x6tR&#10;sB2Xy5+dfdRp8fW7Pe/Pk/Vp4pXqdprlFISnxv+H3+2dVjD6HA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dPc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 xml:space="preserve"> </w:t>
                        </w:r>
                      </w:p>
                    </w:txbxContent>
                  </v:textbox>
                </v:rect>
                <v:rect id="Rectangle 37853" o:spid="_x0000_s1228" style="position:absolute;left:43520;top:20046;width:4268;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aMcA&#10;AADeAAAADwAAAGRycy9kb3ducmV2LnhtbESPT2vCQBTE74V+h+UVvNVNFTWmriL+QY9WBfX2yL4m&#10;odm3Ibua6KfvFoQeh5n5DTOZtaYUN6pdYVnBRzcCQZxaXXCm4HhYv8cgnEfWWFomBXdyMJu+vkww&#10;0bbhL7rtfSYChF2CCnLvq0RKl+Zk0HVtRRy8b1sb9EHWmdQ1NgFuStmLoqE0WHBYyLGiRU7pz/5q&#10;FGzian7e2keTlavL5rQ7jZeHsVeq89bOP0F4av1/+NneagX9UTzow9+dcAX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88Wj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board </w:t>
                        </w:r>
                      </w:p>
                    </w:txbxContent>
                  </v:textbox>
                </v:rect>
                <v:rect id="Rectangle 37852" o:spid="_x0000_s1229" style="position:absolute;left:31414;top:20046;width:9239;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BU88cA&#10;AADeAAAADwAAAGRycy9kb3ducmV2LnhtbESPT2vCQBTE70K/w/IEb7pR0cbUVcQ/6NFqwfb2yL4m&#10;odm3Ibua6KfvFoQeh5n5DTNftqYUN6pdYVnBcBCBIE6tLjhT8HHe9WMQziNrLC2Tgjs5WC5eOnNM&#10;tG34nW4nn4kAYZeggtz7KpHSpTkZdANbEQfv29YGfZB1JnWNTYCbUo6iaCoNFhwWcqxonVP6c7oa&#10;Bfu4Wn0e7KPJyu3X/nK8zDbnmVeq121XbyA8tf4//GwftILxazwZwd+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wVPPHAAAA3g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Management </w:t>
                        </w:r>
                      </w:p>
                    </w:txbxContent>
                  </v:textbox>
                </v:rect>
                <v:rect id="Rectangle 7429" o:spid="_x0000_s1230" style="position:absolute;left:31414;top:21509;width:17446;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JT8YA&#10;AADdAAAADwAAAGRycy9kb3ducmV2LnhtbESPQWvCQBSE74L/YXkFb7qpSDUxq4it6LFqIfX2yL4m&#10;odm3IbuatL++WxA8DjPzDZOue1OLG7WusqzgeRKBIM6trrhQ8HHejRcgnEfWWFsmBT/kYL0aDlJM&#10;tO34SLeTL0SAsEtQQel9k0jp8pIMuoltiIP3ZVuDPsi2kLrFLsBNLadR9CINVhwWSmxoW1L+fboa&#10;BftFs/k82N+uqN8u++w9i1/PsVdq9NRvliA89f4RvrcPWsF8No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8JT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composed of 3 members: </w:t>
                        </w:r>
                      </w:p>
                    </w:txbxContent>
                  </v:textbox>
                </v:rect>
                <v:rect id="Rectangle 7430" o:spid="_x0000_s1231" style="position:absolute;left:44538;top:21509;width:42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2D8QA&#10;AADdAAAADwAAAGRycy9kb3ducmV2LnhtbERPy2rCQBTdC/7DcAvudNIHNkkdRVolWfoo2O4umdsk&#10;mLkTMqNJ+/WdheDycN6L1WAacaXO1ZYVPM4iEMSF1TWXCj6P22kMwnlkjY1lUvBLDlbL8WiBqbY9&#10;7+l68KUIIexSVFB536ZSuqIig25mW+LA/djOoA+wK6XusA/hppFPUTSXBmsODRW29F5RcT5cjIIs&#10;btdfuf3ry2bznZ12p+TjmHilJg/D+g2Ep8HfxTd3rhW8vjy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cNg/EAAAA3QAAAA8AAAAAAAAAAAAAAAAAmAIAAGRycy9k&#10;b3ducmV2LnhtbFBLBQYAAAAABAAEAPUAAACJAw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31" o:spid="_x0000_s1232" style="position:absolute;left:33700;top:24488;width:56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TlMYA&#10;AADdAAAADwAAAGRycy9kb3ducmV2LnhtbESPQWvCQBSE74L/YXmCN91Yi9XUVUQterRaUG+P7GsS&#10;mn0bsquJ/npXEHocZuYbZjpvTCGuVLncsoJBPwJBnFidc6rg5/DVG4NwHlljYZkU3MjBfNZuTTHW&#10;tuZvuu59KgKEXYwKMu/LWEqXZGTQ9W1JHLxfWxn0QVap1BXWAW4K+RZFI2kw57CQYUnLjJK//cUo&#10;2IzLxWlr73VarM+b4+44WR0mXqlup1l8gvDU+P/wq73VCj7eh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CTl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w:t>
                        </w:r>
                      </w:p>
                    </w:txbxContent>
                  </v:textbox>
                </v:rect>
                <v:rect id="Rectangle 7432" o:spid="_x0000_s1233" style="position:absolute;left:35986;top:24488;width:6147;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N48cA&#10;AADdAAAADwAAAGRycy9kb3ducmV2LnhtbESPQWvCQBSE74X+h+UVequbWrGauopoJTlqLKi3R/Y1&#10;Cc2+DdmtSfvrXUHwOMzMN8xs0ZtanKl1lWUFr4MIBHFudcWFgq/95mUCwnlkjbVlUvBHDhbzx4cZ&#10;xtp2vKNz5gsRIOxiVFB638RSurwkg25gG+LgfdvWoA+yLaRusQtwU8thFI2lwYrDQokNrUrKf7Jf&#10;oyCZNMtjav+7ov48JYftYbreT71Sz0/98gOEp97fw7d2qhW8j96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DeP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Member </w:t>
                        </w:r>
                      </w:p>
                    </w:txbxContent>
                  </v:textbox>
                </v:rect>
                <v:rect id="Rectangle 7433" o:spid="_x0000_s1234" style="position:absolute;left:40612;top:24488;width:1222;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oeMcA&#10;AADdAAAADwAAAGRycy9kb3ducmV2LnhtbESPT2vCQBTE74LfYXmCN91YS6upq0htSY7+Kai3R/Y1&#10;CWbfhuzWpP30rlDwOMzMb5jFqjOVuFLjSssKJuMIBHFmdcm5gq/D52gGwnlkjZVlUvBLDlbLfm+B&#10;sbYt7+i697kIEHYxKii8r2MpXVaQQTe2NXHwvm1j0AfZ5FI32Aa4qeRTFL1IgyWHhQJrei8ou+x/&#10;jIJkVq9Pqf1r8+rjnBy3x/nmMPdKDQfd+g2Ep84/wv/tVCt4fZ5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OqHj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C</w:t>
                        </w:r>
                      </w:p>
                    </w:txbxContent>
                  </v:textbox>
                </v:rect>
                <v:rect id="Rectangle 7434" o:spid="_x0000_s1235" style="position:absolute;left:41526;top:24488;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cwDMYA&#10;AADdAAAADwAAAGRycy9kb3ducmV2LnhtbESPQWvCQBSE74L/YXmCN91YxWrqKlIVPdpYUG+P7GsS&#10;zL4N2dWk/fXdgtDjMDPfMItVa0rxoNoVlhWMhhEI4tTqgjMFn6fdYAbCeWSNpWVS8E0OVstuZ4Gx&#10;tg1/0CPxmQgQdjEqyL2vYildmpNBN7QVcfC+bG3QB1lnUtfYBLgp5UsUTaXBgsNCjhW955TekrtR&#10;sJ9V68vB/jRZub3uz8fzfHOae6X6vXb9BsJT6//Dz/ZBK3idjC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cwDM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35" o:spid="_x0000_s1236" style="position:absolute;left:41846;top:24488;width:3329;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Vl8YA&#10;AADdAAAADwAAAGRycy9kb3ducmV2LnhtbESPW2vCQBSE34X+h+UUfNNNvZu6inhBH60Ktm+H7GkS&#10;mj0bsquJ/fVuQejjMDPfMLNFYwpxo8rllhW8dSMQxInVOacKzqdtZwLCeWSNhWVScCcHi/lLa4ax&#10;tjV/0O3oUxEg7GJUkHlfxlK6JCODrmtL4uB928qgD7JKpa6wDnBTyF4UjaTBnMNChiWtMkp+jlej&#10;YDcpl597+1unxeZrdzlcpuvT1CvVfm2W7yA8Nf4//GzvtYLxoD+E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uVl8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and</w:t>
                        </w:r>
                      </w:p>
                    </w:txbxContent>
                  </v:textbox>
                </v:rect>
                <v:rect id="Rectangle 7436" o:spid="_x0000_s1237" style="position:absolute;left:44348;top:24488;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L4McA&#10;AADdAAAADwAAAGRycy9kb3ducmV2LnhtbESPT2vCQBTE7wW/w/KE3pqNtaSauopURY/+Kai3R/Y1&#10;CWbfhuzWpP30bkHwOMzMb5jJrDOVuFLjSssKBlEMgjizuuRcwddh9TIC4TyyxsoyKfglB7Np72mC&#10;qbYt7+i697kIEHYpKii8r1MpXVaQQRfZmjh437Yx6INscqkbbAPcVPI1jhNpsOSwUGBNnwVll/2P&#10;UbAe1fPTxv61ebU8r4/b43hxGHulnvvd/AOEp84/wvf2Rit4fxsm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5C+D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37" o:spid="_x0000_s1238" style="position:absolute;left:33700;top:27475;width:56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ue8cA&#10;AADdAAAADwAAAGRycy9kb3ducmV2LnhtbESPQWvCQBSE74X+h+UVequbWqkasxGxLXrUKKi3R/aZ&#10;hGbfhuzWRH99Vyj0OMzMN0wy700tLtS6yrKC10EEgji3uuJCwX739TIB4TyyxtoyKbiSg3n6+JBg&#10;rG3HW7pkvhABwi5GBaX3TSyly0sy6Aa2IQ7e2bYGfZBtIXWLXYCbWg6j6F0arDgslNjQsqT8O/sx&#10;ClaTZnFc21tX1J+n1WFzmH7spl6p56d+MQPhqff/4b/2WisYj97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1rnv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w:t>
                        </w:r>
                      </w:p>
                    </w:txbxContent>
                  </v:textbox>
                </v:rect>
                <v:rect id="Rectangle 7438" o:spid="_x0000_s1239" style="position:absolute;left:35986;top:27475;width:9004;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6CcQA&#10;AADdAAAADwAAAGRycy9kb3ducmV2LnhtbERPy2rCQBTdC/7DcAvudNIHNkkdRVolWfoo2O4umdsk&#10;mLkTMqNJ+/WdheDycN6L1WAacaXO1ZYVPM4iEMSF1TWXCj6P22kMwnlkjY1lUvBLDlbL8WiBqbY9&#10;7+l68KUIIexSVFB536ZSuqIig25mW+LA/djOoA+wK6XusA/hppFPUTSXBmsODRW29F5RcT5cjIIs&#10;btdfuf3ry2bznZ12p+TjmHilJg/D+g2Ep8HfxTd3rhW8vjyHu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OgnEAAAA3QAAAA8AAAAAAAAAAAAAAAAAmAIAAGRycy9k&#10;b3ducmV2LnhtbFBLBQYAAAAABAAEAPUAAACJAwAAAAA=&#10;" filled="f" stroked="f">
                  <v:textbox inset="0,0,0,0">
                    <w:txbxContent>
                      <w:p w:rsidR="00BB52D7" w:rsidRDefault="00E33AE6">
                        <w:pPr>
                          <w:spacing w:after="160" w:line="259" w:lineRule="auto"/>
                          <w:ind w:left="0" w:firstLine="0"/>
                          <w:jc w:val="left"/>
                        </w:pPr>
                        <w:r>
                          <w:rPr>
                            <w:sz w:val="20"/>
                          </w:rPr>
                          <w:t xml:space="preserve">and Member </w:t>
                        </w:r>
                      </w:p>
                    </w:txbxContent>
                  </v:textbox>
                </v:rect>
                <v:rect id="Rectangle 7439" o:spid="_x0000_s1240" style="position:absolute;left:42763;top:27475;width:1780;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fkscA&#10;AADdAAAADwAAAGRycy9kb3ducmV2LnhtbESPT2vCQBTE7wW/w/IEb3Wjlmqiq4i26LH+AfX2yD6T&#10;YPZtyG5N2k/vCoUeh5n5DTNbtKYUd6pdYVnBoB+BIE6tLjhTcDx8vk5AOI+ssbRMCn7IwWLeeZlh&#10;om3DO7rvfSYChF2CCnLvq0RKl+Zk0PVtRRy8q60N+iDrTOoamwA3pRxG0bs0WHBYyLGiVU7pbf9t&#10;FGwm1fK8tb9NVn5cNqevU7w+xF6pXrddTkF4av1/+K+91QrGb6M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n5LHAAAA3QAAAA8AAAAAAAAAAAAAAAAAmAIAAGRy&#10;cy9kb3ducmV2LnhtbFBLBQYAAAAABAAEAPUAAACMAwAAAAA=&#10;" filled="f" stroked="f">
                  <v:textbox inset="0,0,0,0">
                    <w:txbxContent>
                      <w:p w:rsidR="00BB52D7" w:rsidRDefault="00E33AE6">
                        <w:pPr>
                          <w:spacing w:after="160" w:line="259" w:lineRule="auto"/>
                          <w:ind w:left="0" w:firstLine="0"/>
                          <w:jc w:val="left"/>
                        </w:pPr>
                        <w:r>
                          <w:rPr>
                            <w:b/>
                            <w:sz w:val="20"/>
                          </w:rPr>
                          <w:t>D;</w:t>
                        </w:r>
                      </w:p>
                    </w:txbxContent>
                  </v:textbox>
                </v:rect>
                <v:rect id="Rectangle 7440" o:spid="_x0000_s1241" style="position:absolute;left:44104;top:27475;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pFcsMA&#10;AADdAAAADwAAAGRycy9kb3ducmV2LnhtbERPTYvCMBC9L/gfwgje1lSRVbtGEXXRo1bB3dvQzLbF&#10;ZlKaaKu/3hwEj4/3PVu0phQ3ql1hWcGgH4EgTq0uOFNwOv58TkA4j6yxtEwK7uRgMe98zDDWtuED&#10;3RKfiRDCLkYFufdVLKVLczLo+rYiDty/rQ36AOtM6hqbEG5KOYyiL2mw4NCQY0WrnNJLcjUKtpNq&#10;+buzjyYrN3/b8/48XR+nXqlet11+g/DU+rf45d5pBePRK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pFcsMAAADdAAAADwAAAAAAAAAAAAAAAACYAgAAZHJzL2Rv&#10;d25yZXYueG1sUEsFBgAAAAAEAAQA9QAAAIg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41" o:spid="_x0000_s1242" style="position:absolute;left:44424;top:27475;width:2432;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g6cYA&#10;AADdAAAADwAAAGRycy9kb3ducmV2LnhtbESPS4vCQBCE78L+h6EXvOlEER/RUWRV9Ohjwd1bk2mT&#10;sJmekBlN9Nc7grDHoqq+omaLxhTiRpXLLSvodSMQxInVOacKvk+bzhiE88gaC8uk4E4OFvOP1gxj&#10;bWs+0O3oUxEg7GJUkHlfxlK6JCODrmtL4uBdbGXQB1mlUldYB7gpZD+KhtJgzmEhw5K+Mkr+jlej&#10;YDsulz87+6jTYv27Pe/Pk9Vp4pVqfzbLKQhPjf8Pv9s7rWA0G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bg6c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and</w:t>
                        </w:r>
                      </w:p>
                    </w:txbxContent>
                  </v:textbox>
                </v:rect>
                <v:rect id="Rectangle 7442" o:spid="_x0000_s1243" style="position:absolute;left:46253;top:27475;width:423;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nsYA&#10;AADdAAAADwAAAGRycy9kb3ducmV2LnhtbESPT4vCMBTE7wt+h/AEb2uqiKvVKLKr6NE/C+rt0Tzb&#10;YvNSmmirn94IC3scZuY3zHTemELcqXK5ZQW9bgSCOLE651TB72H1OQLhPLLGwjIpeJCD+az1McVY&#10;25p3dN/7VAQIuxgVZN6XsZQuycig69qSOHgXWxn0QVap1BXWAW4K2Y+ioTSYc1jIsKTvjJLr/mYU&#10;rEfl4rSxzzotluf1cXsc/xzGXqlOu1lMQHhq/H/4r73RCr4Ggz6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R+ns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43" o:spid="_x0000_s1244" style="position:absolute;left:33700;top:30516;width:564;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bBcYA&#10;AADdAAAADwAAAGRycy9kb3ducmV2LnhtbESPQWvCQBSE74L/YXmCN91YxWrqKlIVPdpYUG+P7GsS&#10;zL4N2dWk/fXdgtDjMDPfMItVa0rxoNoVlhWMhhEI4tTqgjMFn6fdYAbCeWSNpWVS8E0OVstuZ4Gx&#10;tg1/0CPxmQgQdjEqyL2vYildmpNBN7QVcfC+bG3QB1lnUtfYBLgp5UsUTaXBgsNCjhW955TekrtR&#10;sJ9V68vB/jRZub3uz8fzfHOae6X6vXb9BsJT6//Dz/ZBK3idTM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jbBcYAAADdAAAADwAAAAAAAAAAAAAAAACYAgAAZHJz&#10;L2Rvd25yZXYueG1sUEsFBgAAAAAEAAQA9QAAAIsDAAAAAA==&#10;" filled="f" stroked="f">
                  <v:textbox inset="0,0,0,0">
                    <w:txbxContent>
                      <w:p w:rsidR="00BB52D7" w:rsidRDefault="00E33AE6">
                        <w:pPr>
                          <w:spacing w:after="160" w:line="259" w:lineRule="auto"/>
                          <w:ind w:left="0" w:firstLine="0"/>
                          <w:jc w:val="left"/>
                        </w:pPr>
                        <w:r>
                          <w:rPr>
                            <w:sz w:val="20"/>
                          </w:rPr>
                          <w:t>-</w:t>
                        </w:r>
                      </w:p>
                    </w:txbxContent>
                  </v:textbox>
                </v:rect>
                <v:rect id="Rectangle 7444" o:spid="_x0000_s1245" style="position:absolute;left:35986;top:30516;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DcccA&#10;AADdAAAADwAAAGRycy9kb3ducmV2LnhtbESPQWvCQBSE74X+h+UJvTUbJbQxuorUFj22KkRvj+wz&#10;CWbfhuzWpP56t1DocZiZb5j5cjCNuFLnassKxlEMgriwuuZSwWH/8ZyCcB5ZY2OZFPyQg+Xi8WGO&#10;mbY9f9F150sRIOwyVFB532ZSuqIigy6yLXHwzrYz6IPsSqk77APcNHISxy/SYM1hocKW3ioqLrtv&#10;o2CTtqvj1t76snk/bfLPfLreT71ST6NhNQPhafD/4b/2Vit4TZI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hQ3H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v:rect id="Rectangle 7445" o:spid="_x0000_s1246" style="position:absolute;left:36306;top:30516;width:726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m6scA&#10;AADdAAAADwAAAGRycy9kb3ducmV2LnhtbESPT2vCQBTE74LfYXmCN91YbKupq0htSY7+Kai3R/Y1&#10;CWbfhuzWpP30rlDwOMzMb5jFqjOVuFLjSssKJuMIBHFmdcm5gq/D52gGwnlkjZVlUvBLDlbLfm+B&#10;sbYt7+i697kIEHYxKii8r2MpXVaQQTe2NXHwvm1j0AfZ5FI32Aa4qeRTFL1IgyWHhQJrei8ou+x/&#10;jIJkVq9Pqf1r8+rjnBy3x/nmMPdKDQfd+g2Ep84/wv/tVCt4nU6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t5ur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Employee </w:t>
                        </w:r>
                      </w:p>
                    </w:txbxContent>
                  </v:textbox>
                </v:rect>
                <v:rect id="Rectangle 7446" o:spid="_x0000_s1247" style="position:absolute;left:41770;top:30516;width:1649;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4ncYA&#10;AADdAAAADwAAAGRycy9kb3ducmV2LnhtbESPT4vCMBTE74LfITxhb5oq4mo1iqiLHtc/oN4ezbMt&#10;Ni+lydqun94sLHgcZuY3zGzRmEI8qHK5ZQX9XgSCOLE651TB6fjVHYNwHlljYZkU/JKDxbzdmmGs&#10;bc17ehx8KgKEXYwKMu/LWEqXZGTQ9WxJHLybrQz6IKtU6grrADeFHETRSBrMOSxkWNIqo+R++DEK&#10;tuNyednZZ50Wm+v2/H2erI8Tr9RHp1lOQXhq/Dv8395pBZ/D4Qj+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94ncYAAADdAAAADwAAAAAAAAAAAAAAAACYAgAAZHJz&#10;L2Rvd25yZXYueG1sUEsFBgAAAAAEAAQA9QAAAIsDAAAAAA==&#10;" filled="f" stroked="f">
                  <v:textbox inset="0,0,0,0">
                    <w:txbxContent>
                      <w:p w:rsidR="00BB52D7" w:rsidRDefault="00E33AE6">
                        <w:pPr>
                          <w:spacing w:after="160" w:line="259" w:lineRule="auto"/>
                          <w:ind w:left="0" w:firstLine="0"/>
                          <w:jc w:val="left"/>
                        </w:pPr>
                        <w:r>
                          <w:rPr>
                            <w:b/>
                            <w:sz w:val="20"/>
                          </w:rPr>
                          <w:t>Y.</w:t>
                        </w:r>
                      </w:p>
                    </w:txbxContent>
                  </v:textbox>
                </v:rect>
                <v:rect id="Rectangle 7447" o:spid="_x0000_s1248" style="position:absolute;left:43007;top:30516;width:423;height:1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dBscA&#10;AADdAAAADwAAAGRycy9kb3ducmV2LnhtbESPQWvCQBSE7wX/w/KE3uqmIlWjq4htSY41Cra3R/aZ&#10;hGbfhuw2SfvrXaHgcZiZb5j1djC16Kh1lWUFz5MIBHFudcWFgtPx/WkBwnlkjbVlUvBLDrab0cMa&#10;Y217PlCX+UIECLsYFZTeN7GULi/JoJvYhjh4F9sa9EG2hdQt9gFuajmNohdpsOKwUGJD+5Ly7+zH&#10;KEgWze4ztX99Ub99JeeP8/L1uPRKPY6H3QqEp8Hfw//tVCuYz2Z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3QbHAAAA3QAAAA8AAAAAAAAAAAAAAAAAmAIAAGRy&#10;cy9kb3ducmV2LnhtbFBLBQYAAAAABAAEAPUAAACMAwAAAAA=&#10;" filled="f" stroked="f">
                  <v:textbox inset="0,0,0,0">
                    <w:txbxContent>
                      <w:p w:rsidR="00BB52D7" w:rsidRDefault="00E33AE6">
                        <w:pPr>
                          <w:spacing w:after="160" w:line="259" w:lineRule="auto"/>
                          <w:ind w:left="0" w:firstLine="0"/>
                          <w:jc w:val="left"/>
                        </w:pPr>
                        <w:r>
                          <w:rPr>
                            <w:sz w:val="20"/>
                          </w:rPr>
                          <w:t xml:space="preserve"> </w:t>
                        </w:r>
                      </w:p>
                    </w:txbxContent>
                  </v:textbox>
                </v:rect>
                <w10:anchorlock/>
              </v:group>
            </w:pict>
          </mc:Fallback>
        </mc:AlternateContent>
      </w:r>
    </w:p>
    <w:p w:rsidR="00BB52D7" w:rsidRDefault="00E33AE6">
      <w:pPr>
        <w:spacing w:after="216" w:line="259" w:lineRule="auto"/>
        <w:ind w:left="851" w:firstLine="0"/>
        <w:jc w:val="left"/>
      </w:pPr>
      <w:r>
        <w:t xml:space="preserve"> </w:t>
      </w:r>
    </w:p>
    <w:p w:rsidR="00BB52D7" w:rsidRDefault="00E33AE6">
      <w:pPr>
        <w:spacing w:after="199"/>
        <w:ind w:left="846" w:right="843"/>
      </w:pPr>
      <w:r>
        <w:t>In consequence, on the assumption that the annual cost of employing an independent board members amounts, on an EU average, to €21,052</w:t>
      </w:r>
      <w:r>
        <w:rPr>
          <w:vertAlign w:val="superscript"/>
        </w:rPr>
        <w:footnoteReference w:id="70"/>
      </w:r>
      <w:r>
        <w:t xml:space="preserve"> (without taking into account the cost of the recruitment process), the overall costs of requiring one-third or two indep</w:t>
      </w:r>
      <w:r>
        <w:t>endent board members for the entire EU is estimated to be approximately 3,765 € million</w:t>
      </w:r>
      <w:r>
        <w:rPr>
          <w:vertAlign w:val="superscript"/>
        </w:rPr>
        <w:footnoteReference w:id="71"/>
      </w:r>
      <w:r>
        <w:t xml:space="preserve">. </w:t>
      </w:r>
    </w:p>
    <w:p w:rsidR="00BB52D7" w:rsidRDefault="00E33AE6">
      <w:pPr>
        <w:spacing w:after="254"/>
        <w:ind w:left="846" w:right="843"/>
      </w:pPr>
      <w:r>
        <w:t>Despite the efforts to limit cost, this impact assessment concludes that the proposed quorum of one-third or two independent board members is an efficient and effect</w:t>
      </w:r>
      <w:r>
        <w:t>ive tool to safeguard independent behavior of both entities' boards. The following considerations are relevant in this respect</w:t>
      </w:r>
      <w:r>
        <w:rPr>
          <w:vertAlign w:val="superscript"/>
        </w:rPr>
        <w:footnoteReference w:id="72"/>
      </w:r>
      <w:r>
        <w:t xml:space="preserve">: </w:t>
      </w:r>
    </w:p>
    <w:p w:rsidR="00BB52D7" w:rsidRDefault="00E33AE6">
      <w:pPr>
        <w:numPr>
          <w:ilvl w:val="0"/>
          <w:numId w:val="12"/>
        </w:numPr>
        <w:ind w:right="843" w:hanging="360"/>
      </w:pPr>
      <w:r>
        <w:lastRenderedPageBreak/>
        <w:t>Most Member States have procedures and rules in place that avoid that the views of an independent board member are ignored. Un</w:t>
      </w:r>
      <w:r>
        <w:t>der applicable corporate governance provisions (see Annex 14 for a detailed overview), the views of independent board member has to be recorded in the minutes of the board meeting. The dissenting board member can require that his/her dissenting views are d</w:t>
      </w:r>
      <w:r>
        <w:t>ocumented. The dissenting board member also has the option of informing the national competent regulator of his/her concerns. In some instances, there is even a duty to inform the competent regulator of information which the regulator would expect to be ap</w:t>
      </w:r>
      <w:r>
        <w:t xml:space="preserve">prised of.  </w:t>
      </w:r>
    </w:p>
    <w:p w:rsidR="00BB52D7" w:rsidRDefault="00E33AE6">
      <w:pPr>
        <w:numPr>
          <w:ilvl w:val="0"/>
          <w:numId w:val="12"/>
        </w:numPr>
        <w:ind w:right="843" w:hanging="360"/>
      </w:pPr>
      <w:r>
        <w:t xml:space="preserve">In addition, documentation and record keeping requirements govern the operation of most company's boards. </w:t>
      </w:r>
    </w:p>
    <w:p w:rsidR="00BB52D7" w:rsidRDefault="00E33AE6">
      <w:pPr>
        <w:numPr>
          <w:ilvl w:val="0"/>
          <w:numId w:val="12"/>
        </w:numPr>
        <w:ind w:right="843" w:hanging="360"/>
      </w:pPr>
      <w:r>
        <w:t>National competent authorities have general information gathering and investigation powers which would comprise the power to require the provision of information or to require reports from company and its officers as well as provide the regulator with acce</w:t>
      </w:r>
      <w:r>
        <w:t>ss to any records, files, tapes or computer systems, which are within the company's possession or control</w:t>
      </w:r>
      <w:r>
        <w:rPr>
          <w:vertAlign w:val="superscript"/>
        </w:rPr>
        <w:footnoteReference w:id="73"/>
      </w:r>
      <w:r>
        <w:t xml:space="preserve">.  </w:t>
      </w:r>
    </w:p>
    <w:p w:rsidR="00BB52D7" w:rsidRDefault="00E33AE6">
      <w:pPr>
        <w:numPr>
          <w:ilvl w:val="0"/>
          <w:numId w:val="12"/>
        </w:numPr>
        <w:ind w:right="843" w:hanging="360"/>
      </w:pPr>
      <w:r>
        <w:t xml:space="preserve">Depending on the specific circumstances, competent regulators have a variety of intervention powers against asset managers, depositaries or third </w:t>
      </w:r>
      <w:r>
        <w:t>party custodians that do not comply with the above corporate governance principles. These powers can go up to revocation of a company's authorization, public censure or financial penalties</w:t>
      </w:r>
      <w:r>
        <w:rPr>
          <w:vertAlign w:val="superscript"/>
        </w:rPr>
        <w:footnoteReference w:id="74"/>
      </w:r>
      <w:r>
        <w:t xml:space="preserve">.    </w:t>
      </w:r>
    </w:p>
    <w:p w:rsidR="00BB52D7" w:rsidRDefault="00E33AE6">
      <w:pPr>
        <w:spacing w:after="0"/>
        <w:ind w:left="846" w:right="843"/>
      </w:pPr>
      <w:r>
        <w:t>The Commission's services have carefully considered ESMA's re</w:t>
      </w:r>
      <w:r>
        <w:t xml:space="preserve">asoning and conclude that the proposed rule safeguards that the board of entities that belong to a corporate group contains a sufficient level of independent representation that acts as a counterweight to the </w:t>
      </w:r>
    </w:p>
    <w:p w:rsidR="00BB52D7" w:rsidRDefault="00E33AE6">
      <w:pPr>
        <w:ind w:left="846" w:right="843"/>
      </w:pPr>
      <w:r>
        <w:t>"group" members that are represented on both e</w:t>
      </w:r>
      <w:r>
        <w:t>ntities' boards. It should be underlined that the non-group representatives' role is to express the interests of UCITS shareholder. An independent voice on the group entities' board appears necessary to counterbalance the corporate interest that is represe</w:t>
      </w:r>
      <w:r>
        <w:t>nted by the "group" members on both entities boards. The Commission's services also agree that it is preferable that the non-group representative is not a lone voice on a board whose views will therefore rarely be taken into consideration. Therefore, the r</w:t>
      </w:r>
      <w:r>
        <w:t>ule that there should be at least two independent members on both group entities' boards is also endorsed. It should be point out that this rule entails a risk that, in practice, this rule will be interpreted as stating that two members per board are suffi</w:t>
      </w:r>
      <w:r>
        <w:t xml:space="preserve">cient, irrespective of the size of a board. To counteract this minimalist interpretation, the Commission's services stress that the rule seeks to have a sufficient quorum of independent members and that group companies should be encouraged to appoint more </w:t>
      </w:r>
      <w:r>
        <w:t xml:space="preserve">than two independent board members. Such a choice </w:t>
      </w:r>
      <w:r>
        <w:lastRenderedPageBreak/>
        <w:t xml:space="preserve">would express their willingness to listen to and respect a maximum of voices on their respective boards that are not swayed by group interests.  </w:t>
      </w:r>
    </w:p>
    <w:p w:rsidR="00BB52D7" w:rsidRDefault="00E33AE6">
      <w:pPr>
        <w:spacing w:after="18"/>
        <w:ind w:left="846" w:right="843"/>
      </w:pPr>
      <w:r>
        <w:t>On the other hand, the special situation of small boards sho</w:t>
      </w:r>
      <w:r>
        <w:t>uld be acknowledged. Should a board comprise less than the average of five to seven members, requiring two independent members might cause additional cost for smaller entities, which usually coincides with having smaller boards. Therefore, the ESMA rule of</w:t>
      </w:r>
      <w:r>
        <w:t xml:space="preserve"> only requiring one-third of members to be independent from the group appears as a proportionate response. In this context the Commission's services point to the additional cost of having to appoint independent directors </w:t>
      </w:r>
    </w:p>
    <w:p w:rsidR="00BB52D7" w:rsidRDefault="00E33AE6">
      <w:pPr>
        <w:numPr>
          <w:ilvl w:val="0"/>
          <w:numId w:val="13"/>
        </w:numPr>
        <w:ind w:right="807" w:hanging="360"/>
        <w:jc w:val="left"/>
      </w:pPr>
      <w:r>
        <w:t>mentioned in particular in Table 7</w:t>
      </w:r>
      <w:r>
        <w:t xml:space="preserve"> - that amounts on average to between €10,000 and 30,000 annually. For smaller entities whose boards are limited to three or four members, this would engender additional costs of between € 20,000 and € 60,000 annually. In light of this burden, the Commissi</w:t>
      </w:r>
      <w:r>
        <w:t xml:space="preserve">on's services agree with ESMA that small boards should only be obliged to have at least one-third of independent directors. Due to downward rounding, this implies that boards of three and four member in total would only need to appoint </w:t>
      </w:r>
      <w:r>
        <w:rPr>
          <w:u w:val="single" w:color="000000"/>
        </w:rPr>
        <w:t>one</w:t>
      </w:r>
      <w:r>
        <w:t xml:space="preserve"> independent memb</w:t>
      </w:r>
      <w:r>
        <w:t xml:space="preserve">er. </w:t>
      </w:r>
    </w:p>
    <w:p w:rsidR="00BB52D7" w:rsidRDefault="00E33AE6">
      <w:pPr>
        <w:ind w:left="846" w:right="843"/>
      </w:pPr>
      <w:r>
        <w:t xml:space="preserve">Table 7 summarizes the research on the cost of independent directors that would need to be appointed in the main fund jurisdictions which represent more than 80% of the UCITS market, as displays in </w:t>
      </w:r>
      <w:r>
        <w:rPr>
          <w:b/>
        </w:rPr>
        <w:t>Option 2.3</w:t>
      </w:r>
      <w:r>
        <w:t>.  It then compares this cost with an estim</w:t>
      </w:r>
      <w:r>
        <w:t xml:space="preserve">ate of the cost that </w:t>
      </w:r>
      <w:r>
        <w:rPr>
          <w:b/>
        </w:rPr>
        <w:t>Option 2.2</w:t>
      </w:r>
      <w:r>
        <w:t xml:space="preserve"> would entail in these jurisdictions.   </w:t>
      </w:r>
    </w:p>
    <w:p w:rsidR="00BB52D7" w:rsidRDefault="00E33AE6">
      <w:pPr>
        <w:spacing w:after="256"/>
        <w:ind w:left="846" w:right="843"/>
      </w:pPr>
      <w:r>
        <w:t>The table is based on a series of assumptions</w:t>
      </w:r>
      <w:r>
        <w:rPr>
          <w:vertAlign w:val="superscript"/>
        </w:rPr>
        <w:footnoteReference w:id="75"/>
      </w:r>
      <w:r>
        <w:t xml:space="preserve">:  </w:t>
      </w:r>
    </w:p>
    <w:p w:rsidR="00BB52D7" w:rsidRDefault="00E33AE6">
      <w:pPr>
        <w:numPr>
          <w:ilvl w:val="0"/>
          <w:numId w:val="13"/>
        </w:numPr>
        <w:spacing w:after="3" w:line="245" w:lineRule="auto"/>
        <w:ind w:right="807" w:hanging="360"/>
        <w:jc w:val="left"/>
      </w:pPr>
      <w:r>
        <w:t>National authorities of the relevant fund domiciles delivered estimates of the amount of operators concerned by the rules on additiona</w:t>
      </w:r>
      <w:r>
        <w:t xml:space="preserve">l independent directorships and provided estimates on the overall amount of independent directors that would be required to comply with Option 2.3 (third column) as well as the expected salary cost (fourth column). </w:t>
      </w:r>
    </w:p>
    <w:p w:rsidR="00BB52D7" w:rsidRDefault="00E33AE6">
      <w:pPr>
        <w:spacing w:after="0" w:line="259" w:lineRule="auto"/>
        <w:ind w:left="1571" w:firstLine="0"/>
        <w:jc w:val="left"/>
      </w:pPr>
      <w:r>
        <w:t xml:space="preserve"> </w:t>
      </w:r>
    </w:p>
    <w:p w:rsidR="00BB52D7" w:rsidRDefault="00E33AE6">
      <w:pPr>
        <w:numPr>
          <w:ilvl w:val="0"/>
          <w:numId w:val="13"/>
        </w:numPr>
        <w:spacing w:after="3" w:line="245" w:lineRule="auto"/>
        <w:ind w:right="807" w:hanging="360"/>
        <w:jc w:val="left"/>
      </w:pPr>
      <w:r>
        <w:t>Stakeholders estimate that a small in-</w:t>
      </w:r>
      <w:r>
        <w:t xml:space="preserve">house depositary (&lt; 2 billion in AuM) will have costs of € 150,000 to transfer these assets to an independent custodian – assuming that these costs are linear, this result in a cost of € 75,000/1 billion asset under management.  </w:t>
      </w:r>
    </w:p>
    <w:p w:rsidR="00BB52D7" w:rsidRDefault="00E33AE6">
      <w:pPr>
        <w:spacing w:after="0" w:line="259" w:lineRule="auto"/>
        <w:ind w:left="851" w:firstLine="0"/>
        <w:jc w:val="left"/>
      </w:pPr>
      <w:r>
        <w:rPr>
          <w:b/>
          <w:i/>
        </w:rPr>
        <w:t xml:space="preserve"> </w:t>
      </w:r>
    </w:p>
    <w:p w:rsidR="00BB52D7" w:rsidRDefault="00E33AE6">
      <w:pPr>
        <w:pStyle w:val="Heading5"/>
        <w:ind w:left="846" w:right="488"/>
      </w:pPr>
      <w:r>
        <w:t>Table 7 –Comparison of t</w:t>
      </w:r>
      <w:r>
        <w:t>he costs of appointing independent members with  the costs of a</w:t>
      </w:r>
      <w:r>
        <w:rPr>
          <w:u w:val="none"/>
        </w:rPr>
        <w:t xml:space="preserve"> </w:t>
      </w:r>
      <w:r>
        <w:t>structural separation</w:t>
      </w:r>
      <w:r>
        <w:rPr>
          <w:u w:val="none"/>
        </w:rPr>
        <w:t xml:space="preserve"> </w:t>
      </w:r>
    </w:p>
    <w:tbl>
      <w:tblPr>
        <w:tblStyle w:val="TableGrid"/>
        <w:tblW w:w="9625" w:type="dxa"/>
        <w:tblInd w:w="287" w:type="dxa"/>
        <w:tblCellMar>
          <w:top w:w="16" w:type="dxa"/>
          <w:left w:w="67" w:type="dxa"/>
          <w:bottom w:w="0" w:type="dxa"/>
          <w:right w:w="0" w:type="dxa"/>
        </w:tblCellMar>
        <w:tblLook w:val="04A0" w:firstRow="1" w:lastRow="0" w:firstColumn="1" w:lastColumn="0" w:noHBand="0" w:noVBand="1"/>
      </w:tblPr>
      <w:tblGrid>
        <w:gridCol w:w="1494"/>
        <w:gridCol w:w="1432"/>
        <w:gridCol w:w="1054"/>
        <w:gridCol w:w="1829"/>
        <w:gridCol w:w="1153"/>
        <w:gridCol w:w="1282"/>
        <w:gridCol w:w="1381"/>
      </w:tblGrid>
      <w:tr w:rsidR="00BB52D7">
        <w:trPr>
          <w:trHeight w:val="2224"/>
        </w:trPr>
        <w:tc>
          <w:tcPr>
            <w:tcW w:w="1493"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70" w:firstLine="0"/>
              <w:jc w:val="center"/>
            </w:pPr>
            <w:r>
              <w:rPr>
                <w:b/>
              </w:rPr>
              <w:t xml:space="preserve">Country </w:t>
            </w:r>
          </w:p>
        </w:tc>
        <w:tc>
          <w:tcPr>
            <w:tcW w:w="1432"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70" w:firstLine="0"/>
              <w:jc w:val="left"/>
            </w:pPr>
            <w:r>
              <w:rPr>
                <w:b/>
                <w:u w:val="single" w:color="000000"/>
              </w:rPr>
              <w:t>Option 2.3</w:t>
            </w:r>
            <w:r>
              <w:rPr>
                <w:b/>
              </w:rPr>
              <w:t xml:space="preserve">: </w:t>
            </w:r>
          </w:p>
          <w:p w:rsidR="00BB52D7" w:rsidRDefault="00E33AE6">
            <w:pPr>
              <w:spacing w:after="0" w:line="259" w:lineRule="auto"/>
              <w:ind w:left="0" w:firstLine="0"/>
              <w:jc w:val="center"/>
            </w:pPr>
            <w:r>
              <w:rPr>
                <w:b/>
              </w:rPr>
              <w:t xml:space="preserve">Number of operators affected </w:t>
            </w:r>
          </w:p>
        </w:tc>
        <w:tc>
          <w:tcPr>
            <w:tcW w:w="1054"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101" w:firstLine="0"/>
              <w:jc w:val="left"/>
            </w:pPr>
            <w:r>
              <w:rPr>
                <w:b/>
                <w:u w:val="single" w:color="000000"/>
              </w:rPr>
              <w:t>Option</w:t>
            </w:r>
            <w:r>
              <w:rPr>
                <w:b/>
              </w:rPr>
              <w:t xml:space="preserve"> </w:t>
            </w:r>
          </w:p>
          <w:p w:rsidR="00BB52D7" w:rsidRDefault="00E33AE6">
            <w:pPr>
              <w:spacing w:after="0" w:line="239" w:lineRule="auto"/>
              <w:ind w:left="0" w:firstLine="0"/>
              <w:jc w:val="center"/>
            </w:pPr>
            <w:r>
              <w:rPr>
                <w:b/>
                <w:u w:val="single" w:color="000000"/>
              </w:rPr>
              <w:t>2.3</w:t>
            </w:r>
            <w:r>
              <w:rPr>
                <w:b/>
              </w:rPr>
              <w:t xml:space="preserve">: No. of </w:t>
            </w:r>
          </w:p>
          <w:p w:rsidR="00BB52D7" w:rsidRDefault="00E33AE6">
            <w:pPr>
              <w:spacing w:after="0" w:line="259" w:lineRule="auto"/>
              <w:ind w:left="35" w:firstLine="0"/>
            </w:pPr>
            <w:r>
              <w:rPr>
                <w:b/>
              </w:rPr>
              <w:t>addition</w:t>
            </w:r>
          </w:p>
          <w:p w:rsidR="00BB52D7" w:rsidRDefault="00E33AE6">
            <w:pPr>
              <w:spacing w:after="0" w:line="259" w:lineRule="auto"/>
              <w:ind w:left="0" w:right="62" w:firstLine="0"/>
              <w:jc w:val="center"/>
            </w:pPr>
            <w:r>
              <w:rPr>
                <w:b/>
              </w:rPr>
              <w:t xml:space="preserve">al </w:t>
            </w:r>
          </w:p>
          <w:p w:rsidR="00BB52D7" w:rsidRDefault="00E33AE6">
            <w:pPr>
              <w:spacing w:after="0" w:line="259" w:lineRule="auto"/>
              <w:ind w:left="50" w:firstLine="0"/>
              <w:jc w:val="left"/>
            </w:pPr>
            <w:r>
              <w:rPr>
                <w:b/>
              </w:rPr>
              <w:t>director</w:t>
            </w:r>
          </w:p>
          <w:p w:rsidR="00BB52D7" w:rsidRDefault="00E33AE6">
            <w:pPr>
              <w:spacing w:after="0" w:line="259" w:lineRule="auto"/>
              <w:ind w:left="0" w:right="62" w:firstLine="0"/>
              <w:jc w:val="center"/>
            </w:pPr>
            <w:r>
              <w:rPr>
                <w:b/>
              </w:rPr>
              <w:t xml:space="preserve">s </w:t>
            </w:r>
          </w:p>
        </w:tc>
        <w:tc>
          <w:tcPr>
            <w:tcW w:w="1829"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46" w:firstLine="56"/>
              <w:jc w:val="center"/>
            </w:pPr>
            <w:r>
              <w:rPr>
                <w:b/>
                <w:u w:val="single" w:color="000000"/>
              </w:rPr>
              <w:t>Option 2.3</w:t>
            </w:r>
            <w:r>
              <w:rPr>
                <w:b/>
              </w:rPr>
              <w:t>: Average Annual cost/independen t director (</w:t>
            </w:r>
            <w:r>
              <w:rPr>
                <w:b/>
                <w:u w:val="single" w:color="000000"/>
              </w:rPr>
              <w:t>in €</w:t>
            </w:r>
            <w:r>
              <w:rPr>
                <w:b/>
              </w:rPr>
              <w:t xml:space="preserve">) </w:t>
            </w:r>
          </w:p>
        </w:tc>
        <w:tc>
          <w:tcPr>
            <w:tcW w:w="1153"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34" w:line="238" w:lineRule="auto"/>
              <w:ind w:left="0" w:right="54" w:firstLine="14"/>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53721</wp:posOffset>
                      </wp:positionH>
                      <wp:positionV relativeFrom="paragraph">
                        <wp:posOffset>327813</wp:posOffset>
                      </wp:positionV>
                      <wp:extent cx="190500" cy="14478"/>
                      <wp:effectExtent l="0" t="0" r="0" b="0"/>
                      <wp:wrapNone/>
                      <wp:docPr id="195443" name="Group 195443"/>
                      <wp:cNvGraphicFramePr/>
                      <a:graphic xmlns:a="http://schemas.openxmlformats.org/drawingml/2006/main">
                        <a:graphicData uri="http://schemas.microsoft.com/office/word/2010/wordprocessingGroup">
                          <wpg:wgp>
                            <wpg:cNvGrpSpPr/>
                            <wpg:grpSpPr>
                              <a:xfrm>
                                <a:off x="0" y="0"/>
                                <a:ext cx="190500" cy="14478"/>
                                <a:chOff x="0" y="0"/>
                                <a:chExt cx="190500" cy="14478"/>
                              </a:xfrm>
                            </wpg:grpSpPr>
                            <wps:wsp>
                              <wps:cNvPr id="244311" name="Shape 244311"/>
                              <wps:cNvSpPr/>
                              <wps:spPr>
                                <a:xfrm>
                                  <a:off x="0" y="0"/>
                                  <a:ext cx="190500" cy="14478"/>
                                </a:xfrm>
                                <a:custGeom>
                                  <a:avLst/>
                                  <a:gdLst/>
                                  <a:ahLst/>
                                  <a:cxnLst/>
                                  <a:rect l="0" t="0" r="0" b="0"/>
                                  <a:pathLst>
                                    <a:path w="190500" h="14478">
                                      <a:moveTo>
                                        <a:pt x="0" y="0"/>
                                      </a:moveTo>
                                      <a:lnTo>
                                        <a:pt x="190500" y="0"/>
                                      </a:lnTo>
                                      <a:lnTo>
                                        <a:pt x="190500" y="14478"/>
                                      </a:lnTo>
                                      <a:lnTo>
                                        <a:pt x="0" y="14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C71EA5" id="Group 195443" o:spid="_x0000_s1026" style="position:absolute;margin-left:4.25pt;margin-top:25.8pt;width:15pt;height:1.15pt;z-index:-251657216" coordsize="19050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">
                      <v:shape id="Shape 244311" o:spid="_x0000_s1027" style="position:absolute;width:190500;height:14478;visibility:visible;mso-wrap-style:square;v-text-anchor:top" coordsize="190500,14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ct8oA&#10;AADfAAAADwAAAGRycy9kb3ducmV2LnhtbESPQWvCQBCF7wX/wzKCF6mbpGJL6iqiCLYHsbaHHofs&#10;NAnNzIbsqrG/vlsoeHy8ed+bN1/23Kgzdb52YiCdJKBICmdrKQ18vG/vn0D5gGKxcUIGruRhuRjc&#10;zTG37iJvdD6GUkWI+BwNVCG0uda+qIjRT1xLEr0v1zGGKLtS2w4vEc6NzpJkphlriQ0VtrSuqPg+&#10;nji+kZ2u49efx+Tlc7YtV3zgzXjPxoyG/eoZVKA+3I7/0ztrIJtOH9IU/vZECOjF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AFHLfKAAAA3wAAAA8AAAAAAAAAAAAAAAAAmAIA&#10;AGRycy9kb3ducmV2LnhtbFBLBQYAAAAABAAEAPUAAACPAwAAAAA=&#10;" path="m,l190500,r,14478l,14478,,e" fillcolor="black" stroked="f" strokeweight="0">
                        <v:stroke miterlimit="83231f" joinstyle="miter"/>
                        <v:path arrowok="t" textboxrect="0,0,190500,14478"/>
                      </v:shape>
                    </v:group>
                  </w:pict>
                </mc:Fallback>
              </mc:AlternateContent>
            </w:r>
            <w:r>
              <w:rPr>
                <w:b/>
                <w:u w:val="single" w:color="000000"/>
              </w:rPr>
              <w:t>Option</w:t>
            </w:r>
            <w:r>
              <w:rPr>
                <w:b/>
              </w:rPr>
              <w:t xml:space="preserve"> </w:t>
            </w:r>
            <w:r>
              <w:rPr>
                <w:b/>
              </w:rPr>
              <w:t xml:space="preserve">2.3: Total additiona l annual cost per country </w:t>
            </w:r>
          </w:p>
          <w:p w:rsidR="00BB52D7" w:rsidRDefault="00E33AE6">
            <w:pPr>
              <w:spacing w:after="0" w:line="259" w:lineRule="auto"/>
              <w:ind w:left="0" w:right="62" w:firstLine="0"/>
              <w:jc w:val="center"/>
            </w:pPr>
            <w:r>
              <w:rPr>
                <w:b/>
              </w:rPr>
              <w:t>(</w:t>
            </w:r>
            <w:r>
              <w:rPr>
                <w:b/>
                <w:u w:val="single" w:color="000000"/>
              </w:rPr>
              <w:t>in  €</w:t>
            </w:r>
            <w:r>
              <w:rPr>
                <w:b/>
              </w:rPr>
              <w:t xml:space="preserve">) </w:t>
            </w:r>
          </w:p>
        </w:tc>
        <w:tc>
          <w:tcPr>
            <w:tcW w:w="1282"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65" w:firstLine="0"/>
              <w:jc w:val="center"/>
            </w:pPr>
            <w:r>
              <w:rPr>
                <w:b/>
                <w:u w:val="single" w:color="000000"/>
              </w:rPr>
              <w:t>Option</w:t>
            </w:r>
            <w:r>
              <w:rPr>
                <w:b/>
              </w:rPr>
              <w:t xml:space="preserve"> </w:t>
            </w:r>
          </w:p>
          <w:p w:rsidR="00BB52D7" w:rsidRDefault="00E33AE6">
            <w:pPr>
              <w:spacing w:after="0" w:line="238" w:lineRule="auto"/>
              <w:ind w:left="0" w:firstLine="0"/>
              <w:jc w:val="center"/>
            </w:pPr>
            <w:r>
              <w:rPr>
                <w:b/>
                <w:u w:val="single" w:color="000000"/>
              </w:rPr>
              <w:t>2.2</w:t>
            </w:r>
            <w:r>
              <w:rPr>
                <w:b/>
              </w:rPr>
              <w:t xml:space="preserve">: custodial </w:t>
            </w:r>
          </w:p>
          <w:p w:rsidR="00BB52D7" w:rsidRDefault="00E33AE6">
            <w:pPr>
              <w:spacing w:after="0" w:line="238" w:lineRule="auto"/>
              <w:ind w:left="32" w:right="37" w:firstLine="0"/>
              <w:jc w:val="center"/>
            </w:pPr>
            <w:r>
              <w:rPr>
                <w:b/>
              </w:rPr>
              <w:t xml:space="preserve">assets to be </w:t>
            </w:r>
          </w:p>
          <w:p w:rsidR="00BB52D7" w:rsidRDefault="00E33AE6">
            <w:pPr>
              <w:spacing w:after="0" w:line="259" w:lineRule="auto"/>
              <w:ind w:left="0" w:right="53" w:firstLine="0"/>
              <w:jc w:val="center"/>
            </w:pPr>
            <w:r>
              <w:rPr>
                <w:b/>
              </w:rPr>
              <w:t xml:space="preserve">transferre d (in billion €) </w:t>
            </w:r>
          </w:p>
        </w:tc>
        <w:tc>
          <w:tcPr>
            <w:tcW w:w="1381"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45" w:firstLine="0"/>
              <w:jc w:val="left"/>
            </w:pPr>
            <w:r>
              <w:rPr>
                <w:b/>
                <w:u w:val="single" w:color="000000"/>
              </w:rPr>
              <w:t>Option 2.2</w:t>
            </w:r>
            <w:r>
              <w:rPr>
                <w:b/>
              </w:rPr>
              <w:t xml:space="preserve">: </w:t>
            </w:r>
          </w:p>
          <w:p w:rsidR="00BB52D7" w:rsidRDefault="00E33AE6">
            <w:pPr>
              <w:spacing w:after="0" w:line="238" w:lineRule="auto"/>
              <w:ind w:left="0" w:firstLine="0"/>
              <w:jc w:val="center"/>
            </w:pPr>
            <w:r>
              <w:rPr>
                <w:b/>
              </w:rPr>
              <w:t xml:space="preserve">Additional cost per </w:t>
            </w:r>
          </w:p>
          <w:p w:rsidR="00BB52D7" w:rsidRDefault="00E33AE6">
            <w:pPr>
              <w:spacing w:after="0" w:line="259" w:lineRule="auto"/>
              <w:ind w:left="55" w:firstLine="0"/>
              <w:jc w:val="left"/>
            </w:pPr>
            <w:r>
              <w:rPr>
                <w:b/>
              </w:rPr>
              <w:t xml:space="preserve">country (in </w:t>
            </w:r>
          </w:p>
          <w:p w:rsidR="00BB52D7" w:rsidRDefault="00E33AE6">
            <w:pPr>
              <w:spacing w:after="0" w:line="259" w:lineRule="auto"/>
              <w:ind w:left="0" w:right="64" w:firstLine="0"/>
              <w:jc w:val="center"/>
            </w:pPr>
            <w:r>
              <w:rPr>
                <w:b/>
                <w:u w:val="single" w:color="000000"/>
              </w:rPr>
              <w:t>€</w:t>
            </w:r>
            <w:r>
              <w:rPr>
                <w:b/>
              </w:rPr>
              <w:t xml:space="preserve">)  </w:t>
            </w:r>
          </w:p>
        </w:tc>
      </w:tr>
      <w:tr w:rsidR="00BB52D7">
        <w:trPr>
          <w:trHeight w:val="1422"/>
        </w:trPr>
        <w:tc>
          <w:tcPr>
            <w:tcW w:w="149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pPr>
            <w:r>
              <w:rPr>
                <w:b/>
              </w:rPr>
              <w:lastRenderedPageBreak/>
              <w:t xml:space="preserve">Luxembourg </w:t>
            </w:r>
          </w:p>
        </w:tc>
        <w:tc>
          <w:tcPr>
            <w:tcW w:w="1432" w:type="dxa"/>
            <w:tcBorders>
              <w:top w:val="single" w:sz="8" w:space="0" w:color="000000"/>
              <w:left w:val="single" w:sz="8" w:space="0" w:color="000000"/>
              <w:bottom w:val="single" w:sz="8" w:space="0" w:color="000000"/>
              <w:right w:val="single" w:sz="8" w:space="0" w:color="000000"/>
            </w:tcBorders>
          </w:tcPr>
          <w:p w:rsidR="00BB52D7" w:rsidRDefault="00E33AE6">
            <w:pPr>
              <w:spacing w:after="19" w:line="238" w:lineRule="auto"/>
              <w:ind w:left="0" w:firstLine="0"/>
              <w:jc w:val="center"/>
            </w:pPr>
            <w:r>
              <w:t xml:space="preserve">30 depositaries </w:t>
            </w:r>
          </w:p>
          <w:p w:rsidR="00BB52D7" w:rsidRDefault="00E33AE6">
            <w:pPr>
              <w:spacing w:after="0" w:line="259" w:lineRule="auto"/>
              <w:ind w:left="0" w:firstLine="35"/>
              <w:jc w:val="center"/>
            </w:pPr>
            <w:r>
              <w:t xml:space="preserve">47 management companies </w:t>
            </w:r>
          </w:p>
        </w:tc>
        <w:tc>
          <w:tcPr>
            <w:tcW w:w="1054"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2" w:firstLine="0"/>
              <w:jc w:val="center"/>
            </w:pPr>
            <w:r>
              <w:t xml:space="preserve">104 </w:t>
            </w:r>
          </w:p>
        </w:tc>
        <w:tc>
          <w:tcPr>
            <w:tcW w:w="1829"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€ 30,000 </w:t>
            </w:r>
          </w:p>
        </w:tc>
        <w:tc>
          <w:tcPr>
            <w:tcW w:w="115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58" w:firstLine="0"/>
              <w:jc w:val="left"/>
            </w:pPr>
            <w:r>
              <w:t xml:space="preserve">3,120,000 </w:t>
            </w:r>
          </w:p>
        </w:tc>
        <w:tc>
          <w:tcPr>
            <w:tcW w:w="1282"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jc w:val="center"/>
            </w:pPr>
            <w:r>
              <w:t xml:space="preserve">31% = 819 bn </w:t>
            </w:r>
          </w:p>
        </w:tc>
        <w:tc>
          <w:tcPr>
            <w:tcW w:w="1381"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61,425,000 </w:t>
            </w:r>
          </w:p>
        </w:tc>
      </w:tr>
      <w:tr w:rsidR="00BB52D7">
        <w:trPr>
          <w:trHeight w:val="572"/>
        </w:trPr>
        <w:tc>
          <w:tcPr>
            <w:tcW w:w="149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jc w:val="left"/>
            </w:pPr>
            <w:r>
              <w:rPr>
                <w:b/>
              </w:rPr>
              <w:t xml:space="preserve">France  </w:t>
            </w:r>
          </w:p>
        </w:tc>
        <w:tc>
          <w:tcPr>
            <w:tcW w:w="1432"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center"/>
            </w:pPr>
            <w:r>
              <w:t xml:space="preserve">25 depositaries </w:t>
            </w:r>
          </w:p>
        </w:tc>
        <w:tc>
          <w:tcPr>
            <w:tcW w:w="1054"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2" w:firstLine="0"/>
              <w:jc w:val="center"/>
            </w:pPr>
            <w:r>
              <w:t xml:space="preserve">50 </w:t>
            </w:r>
          </w:p>
        </w:tc>
        <w:tc>
          <w:tcPr>
            <w:tcW w:w="1829"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€ 10,000 </w:t>
            </w:r>
          </w:p>
        </w:tc>
        <w:tc>
          <w:tcPr>
            <w:tcW w:w="115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500,000 </w:t>
            </w:r>
          </w:p>
        </w:tc>
        <w:tc>
          <w:tcPr>
            <w:tcW w:w="1282"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center"/>
            </w:pPr>
            <w:r>
              <w:t xml:space="preserve">62% = 710 bn </w:t>
            </w:r>
          </w:p>
        </w:tc>
        <w:tc>
          <w:tcPr>
            <w:tcW w:w="1381"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53,250,000 </w:t>
            </w:r>
          </w:p>
        </w:tc>
      </w:tr>
      <w:tr w:rsidR="00BB52D7">
        <w:trPr>
          <w:trHeight w:val="1420"/>
        </w:trPr>
        <w:tc>
          <w:tcPr>
            <w:tcW w:w="149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jc w:val="left"/>
            </w:pPr>
            <w:r>
              <w:rPr>
                <w:b/>
              </w:rPr>
              <w:t xml:space="preserve">Ireland </w:t>
            </w:r>
          </w:p>
        </w:tc>
        <w:tc>
          <w:tcPr>
            <w:tcW w:w="1432" w:type="dxa"/>
            <w:tcBorders>
              <w:top w:val="single" w:sz="8" w:space="0" w:color="000000"/>
              <w:left w:val="single" w:sz="8" w:space="0" w:color="000000"/>
              <w:bottom w:val="single" w:sz="8" w:space="0" w:color="000000"/>
              <w:right w:val="single" w:sz="8" w:space="0" w:color="000000"/>
            </w:tcBorders>
          </w:tcPr>
          <w:p w:rsidR="00BB52D7" w:rsidRDefault="00E33AE6">
            <w:pPr>
              <w:spacing w:after="20" w:line="238" w:lineRule="auto"/>
              <w:ind w:left="17" w:right="21" w:firstLine="0"/>
              <w:jc w:val="center"/>
            </w:pPr>
            <w:r>
              <w:t xml:space="preserve">7 depositaries </w:t>
            </w:r>
          </w:p>
          <w:p w:rsidR="00BB52D7" w:rsidRDefault="00E33AE6">
            <w:pPr>
              <w:spacing w:after="0" w:line="259" w:lineRule="auto"/>
              <w:ind w:left="0" w:right="64" w:firstLine="0"/>
              <w:jc w:val="center"/>
            </w:pPr>
            <w:r>
              <w:t xml:space="preserve">7 </w:t>
            </w:r>
          </w:p>
          <w:p w:rsidR="00BB52D7" w:rsidRDefault="00E33AE6">
            <w:pPr>
              <w:spacing w:after="0" w:line="259" w:lineRule="auto"/>
              <w:ind w:left="0" w:firstLine="0"/>
              <w:jc w:val="center"/>
            </w:pPr>
            <w:r>
              <w:t xml:space="preserve">management companies </w:t>
            </w:r>
          </w:p>
        </w:tc>
        <w:tc>
          <w:tcPr>
            <w:tcW w:w="1054"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49" w:line="259" w:lineRule="auto"/>
              <w:ind w:left="0" w:right="64" w:firstLine="0"/>
              <w:jc w:val="center"/>
            </w:pPr>
            <w:r>
              <w:rPr>
                <w:color w:val="0000FF"/>
                <w:sz w:val="22"/>
                <w:u w:val="single" w:color="0000FF"/>
              </w:rPr>
              <w:t>None</w:t>
            </w:r>
            <w:r>
              <w:rPr>
                <w:sz w:val="22"/>
                <w:vertAlign w:val="superscript"/>
              </w:rPr>
              <w:footnoteReference w:id="76"/>
            </w:r>
            <w:r>
              <w:rPr>
                <w:color w:val="0000FF"/>
                <w:sz w:val="22"/>
              </w:rPr>
              <w:t xml:space="preserve"> </w:t>
            </w:r>
          </w:p>
          <w:p w:rsidR="00BB52D7" w:rsidRDefault="00E33AE6">
            <w:pPr>
              <w:spacing w:after="0" w:line="259" w:lineRule="auto"/>
              <w:ind w:left="0" w:right="7" w:firstLine="0"/>
              <w:jc w:val="center"/>
            </w:pPr>
            <w:r>
              <w:rPr>
                <w:color w:val="0000FF"/>
                <w:sz w:val="22"/>
              </w:rPr>
              <w:t xml:space="preserve"> </w:t>
            </w:r>
          </w:p>
        </w:tc>
        <w:tc>
          <w:tcPr>
            <w:tcW w:w="1829"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€ 20,000 </w:t>
            </w:r>
          </w:p>
        </w:tc>
        <w:tc>
          <w:tcPr>
            <w:tcW w:w="115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None </w:t>
            </w:r>
          </w:p>
        </w:tc>
        <w:tc>
          <w:tcPr>
            <w:tcW w:w="1282"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jc w:val="center"/>
            </w:pPr>
            <w:r>
              <w:t xml:space="preserve">9% = 114 bn </w:t>
            </w:r>
          </w:p>
        </w:tc>
        <w:tc>
          <w:tcPr>
            <w:tcW w:w="1381"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8,550,000 </w:t>
            </w:r>
          </w:p>
        </w:tc>
      </w:tr>
      <w:tr w:rsidR="00BB52D7">
        <w:trPr>
          <w:trHeight w:val="851"/>
        </w:trPr>
        <w:tc>
          <w:tcPr>
            <w:tcW w:w="149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jc w:val="left"/>
            </w:pPr>
            <w:r>
              <w:rPr>
                <w:b/>
              </w:rPr>
              <w:t xml:space="preserve">United Kingdom </w:t>
            </w:r>
          </w:p>
        </w:tc>
        <w:tc>
          <w:tcPr>
            <w:tcW w:w="1432"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3 </w:t>
            </w:r>
          </w:p>
          <w:p w:rsidR="00BB52D7" w:rsidRDefault="00E33AE6">
            <w:pPr>
              <w:spacing w:after="0" w:line="259" w:lineRule="auto"/>
              <w:ind w:left="0" w:firstLine="0"/>
              <w:jc w:val="center"/>
            </w:pPr>
            <w:r>
              <w:t xml:space="preserve">management companies </w:t>
            </w:r>
          </w:p>
        </w:tc>
        <w:tc>
          <w:tcPr>
            <w:tcW w:w="1054"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2" w:firstLine="0"/>
              <w:jc w:val="center"/>
            </w:pPr>
            <w:r>
              <w:t xml:space="preserve">6 </w:t>
            </w:r>
          </w:p>
        </w:tc>
        <w:tc>
          <w:tcPr>
            <w:tcW w:w="1829"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€ 24,208</w:t>
            </w:r>
            <w:r>
              <w:t xml:space="preserve"> </w:t>
            </w:r>
          </w:p>
        </w:tc>
        <w:tc>
          <w:tcPr>
            <w:tcW w:w="115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145,000 </w:t>
            </w:r>
          </w:p>
        </w:tc>
        <w:tc>
          <w:tcPr>
            <w:tcW w:w="1282"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17" w:firstLine="0"/>
            </w:pPr>
            <w:r>
              <w:t xml:space="preserve">3% = 26 bn </w:t>
            </w:r>
          </w:p>
        </w:tc>
        <w:tc>
          <w:tcPr>
            <w:tcW w:w="1381"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8" w:firstLine="0"/>
              <w:jc w:val="right"/>
            </w:pPr>
            <w:r>
              <w:t xml:space="preserve">1,950 </w:t>
            </w:r>
          </w:p>
        </w:tc>
      </w:tr>
      <w:tr w:rsidR="00BB52D7">
        <w:trPr>
          <w:trHeight w:val="296"/>
        </w:trPr>
        <w:tc>
          <w:tcPr>
            <w:tcW w:w="1493"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firstLine="0"/>
              <w:jc w:val="left"/>
            </w:pPr>
            <w:r>
              <w:rPr>
                <w:b/>
              </w:rPr>
              <w:t xml:space="preserve">Total </w:t>
            </w:r>
          </w:p>
        </w:tc>
        <w:tc>
          <w:tcPr>
            <w:tcW w:w="1432"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4" w:firstLine="0"/>
              <w:jc w:val="center"/>
            </w:pPr>
            <w:r>
              <w:rPr>
                <w:b/>
              </w:rPr>
              <w:t xml:space="preserve">  </w:t>
            </w:r>
          </w:p>
        </w:tc>
        <w:tc>
          <w:tcPr>
            <w:tcW w:w="1054"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2" w:firstLine="0"/>
              <w:jc w:val="center"/>
            </w:pPr>
            <w:r>
              <w:rPr>
                <w:b/>
              </w:rPr>
              <w:t xml:space="preserve">  </w:t>
            </w:r>
          </w:p>
        </w:tc>
        <w:tc>
          <w:tcPr>
            <w:tcW w:w="1829"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124" w:firstLine="0"/>
              <w:jc w:val="center"/>
            </w:pPr>
            <w:r>
              <w:rPr>
                <w:b/>
              </w:rPr>
              <w:t xml:space="preserve">€ 21,052  </w:t>
            </w:r>
          </w:p>
        </w:tc>
        <w:tc>
          <w:tcPr>
            <w:tcW w:w="1153"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32" w:firstLine="0"/>
              <w:jc w:val="left"/>
            </w:pPr>
            <w:r>
              <w:rPr>
                <w:b/>
              </w:rPr>
              <w:t xml:space="preserve">3,765,000  </w:t>
            </w:r>
          </w:p>
        </w:tc>
        <w:tc>
          <w:tcPr>
            <w:tcW w:w="1282"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3" w:firstLine="0"/>
              <w:jc w:val="center"/>
            </w:pPr>
            <w:r>
              <w:rPr>
                <w:b/>
              </w:rPr>
              <w:t xml:space="preserve">  </w:t>
            </w:r>
          </w:p>
        </w:tc>
        <w:tc>
          <w:tcPr>
            <w:tcW w:w="1381"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26" w:firstLine="0"/>
            </w:pPr>
            <w:r>
              <w:rPr>
                <w:b/>
              </w:rPr>
              <w:t xml:space="preserve">125,175,000 </w:t>
            </w:r>
          </w:p>
        </w:tc>
      </w:tr>
    </w:tbl>
    <w:p w:rsidR="00BB52D7" w:rsidRDefault="00E33AE6">
      <w:pPr>
        <w:spacing w:after="254" w:line="264" w:lineRule="auto"/>
        <w:ind w:left="846" w:right="9"/>
        <w:jc w:val="left"/>
      </w:pPr>
      <w:r>
        <w:rPr>
          <w:i/>
          <w:sz w:val="20"/>
        </w:rPr>
        <w:t xml:space="preserve">Source: Commission service's own calculations on the basis of data submitted by the regulatory authorities of Luxembourg, France, Ireland and the United-Kingdom.  </w:t>
      </w:r>
    </w:p>
    <w:p w:rsidR="00BB52D7" w:rsidRDefault="00E33AE6">
      <w:pPr>
        <w:spacing w:after="17" w:line="259" w:lineRule="auto"/>
        <w:ind w:left="851" w:firstLine="0"/>
        <w:jc w:val="left"/>
      </w:pPr>
      <w:r>
        <w:rPr>
          <w:i/>
          <w:sz w:val="20"/>
        </w:rPr>
        <w:t xml:space="preserve"> </w:t>
      </w:r>
    </w:p>
    <w:p w:rsidR="00BB52D7" w:rsidRDefault="00E33AE6">
      <w:pPr>
        <w:ind w:left="846" w:right="843"/>
      </w:pPr>
      <w:r>
        <w:t>The cost of appointing independent members of the management body of the depositary/third party to whom the custody has been delegated and management company will cost €</w:t>
      </w:r>
      <w:r>
        <w:rPr>
          <w:b/>
        </w:rPr>
        <w:t>3,765 million.</w:t>
      </w:r>
      <w:r>
        <w:t xml:space="preserve"> Structural separation, on the other hand, will generate costs of around </w:t>
      </w:r>
      <w:r>
        <w:rPr>
          <w:b/>
        </w:rPr>
        <w:t xml:space="preserve">€125,175 million. </w:t>
      </w:r>
      <w:r>
        <w:t>The appointment of independent members is, therefore, significantly less costly than requiring the structural separation. Although the cost of appointing independent members is an annual cost, this option is still less costly when compare</w:t>
      </w:r>
      <w:r>
        <w:t xml:space="preserve">d to </w:t>
      </w:r>
      <w:r>
        <w:rPr>
          <w:b/>
        </w:rPr>
        <w:t>Option 2.2</w:t>
      </w:r>
      <w:r>
        <w:t>: it will take at least 33 years of remunerating independent directors before the one-off cost of structural separation is reached. In the same vein, the cost of appointing independent members can be mitigated by reducing the number of board</w:t>
      </w:r>
      <w:r>
        <w:t xml:space="preserve"> members. In consequence, this overall cost of board salaries may actually remain stable.  </w:t>
      </w:r>
    </w:p>
    <w:p w:rsidR="00BB52D7" w:rsidRDefault="00E33AE6">
      <w:pPr>
        <w:ind w:left="846" w:right="843"/>
      </w:pPr>
      <w:r>
        <w:rPr>
          <w:b/>
        </w:rPr>
        <w:t>Option 2.3</w:t>
      </w:r>
      <w:r>
        <w:t xml:space="preserve"> will provide a high standard of investor protection without the significant cost involved in </w:t>
      </w:r>
      <w:r>
        <w:rPr>
          <w:b/>
        </w:rPr>
        <w:t>Option 2.2</w:t>
      </w:r>
      <w:r>
        <w:t xml:space="preserve">. The costs of </w:t>
      </w:r>
      <w:r>
        <w:rPr>
          <w:b/>
        </w:rPr>
        <w:t>Option 2.3</w:t>
      </w:r>
      <w:r>
        <w:t xml:space="preserve"> are limited to the annua</w:t>
      </w:r>
      <w:r>
        <w:t xml:space="preserve">l salaries of independent board members. </w:t>
      </w:r>
      <w:r>
        <w:rPr>
          <w:b/>
        </w:rPr>
        <w:t>Option 2.3</w:t>
      </w:r>
      <w:r>
        <w:t xml:space="preserve"> will not create additional administrative costs as the justification of the choice of the depositary, the policy of conflict of interest should already be in place.  </w:t>
      </w:r>
    </w:p>
    <w:p w:rsidR="00BB52D7" w:rsidRDefault="00E33AE6">
      <w:pPr>
        <w:ind w:left="846" w:right="843"/>
      </w:pPr>
      <w:r>
        <w:rPr>
          <w:b/>
        </w:rPr>
        <w:t>Option 2.3</w:t>
      </w:r>
      <w:r>
        <w:t xml:space="preserve"> will provide safeguards no</w:t>
      </w:r>
      <w:r>
        <w:t>t only in the case of conflict of interest arising from the ownership or group inclusion but also in case where the conflict of interest arising from commercial links. For example, whatever the choice of the depositary is, the management/investment company</w:t>
      </w:r>
      <w:r>
        <w:t xml:space="preserve"> will have to justify its choice. But also </w:t>
      </w:r>
      <w:r>
        <w:rPr>
          <w:b/>
        </w:rPr>
        <w:t>Option 2.3</w:t>
      </w:r>
      <w:r>
        <w:t xml:space="preserve"> entails some additional cost, as most of the largest depositary/third party to whom the custody has been delegated, will have to restructure their management body to provide for at least two or one thir</w:t>
      </w:r>
      <w:r>
        <w:t xml:space="preserve">d of independent members. These requirements have not always been met in the past. On the other hand, the requirement to have a minimum of independent members on the management body of the management company/investment company and the depositary/third </w:t>
      </w:r>
      <w:r>
        <w:lastRenderedPageBreak/>
        <w:t>part</w:t>
      </w:r>
      <w:r>
        <w:t xml:space="preserve">y to whom the custody has been delegated will provide important safeguards against potential conflicts of interest.  </w:t>
      </w:r>
    </w:p>
    <w:p w:rsidR="00BB52D7" w:rsidRDefault="00E33AE6">
      <w:pPr>
        <w:ind w:left="846" w:right="843"/>
      </w:pPr>
      <w:r>
        <w:rPr>
          <w:b/>
        </w:rPr>
        <w:t>Option 2.3</w:t>
      </w:r>
      <w:r>
        <w:t xml:space="preserve"> emerges as the most effective in protecting investors. </w:t>
      </w:r>
      <w:r>
        <w:rPr>
          <w:b/>
        </w:rPr>
        <w:t xml:space="preserve">Option 2.3 </w:t>
      </w:r>
      <w:r>
        <w:t xml:space="preserve">is also the most efficient in minimising restructuring costs </w:t>
      </w:r>
      <w:r>
        <w:t xml:space="preserve">without undermining investor’s protection.  </w:t>
      </w:r>
    </w:p>
    <w:p w:rsidR="00BB52D7" w:rsidRDefault="00E33AE6">
      <w:pPr>
        <w:pStyle w:val="Heading5"/>
        <w:ind w:left="846" w:right="488"/>
      </w:pPr>
      <w:r>
        <w:t>Table 8 - Independence requirement – Corporate links - comparison of options</w:t>
      </w:r>
      <w:r>
        <w:rPr>
          <w:u w:val="none"/>
        </w:rPr>
        <w:t xml:space="preserve">  </w:t>
      </w:r>
    </w:p>
    <w:tbl>
      <w:tblPr>
        <w:tblStyle w:val="TableGrid"/>
        <w:tblW w:w="9066" w:type="dxa"/>
        <w:tblInd w:w="794" w:type="dxa"/>
        <w:tblCellMar>
          <w:top w:w="9" w:type="dxa"/>
          <w:left w:w="56" w:type="dxa"/>
          <w:bottom w:w="0" w:type="dxa"/>
          <w:right w:w="34" w:type="dxa"/>
        </w:tblCellMar>
        <w:tblLook w:val="04A0" w:firstRow="1" w:lastRow="0" w:firstColumn="1" w:lastColumn="0" w:noHBand="0" w:noVBand="1"/>
      </w:tblPr>
      <w:tblGrid>
        <w:gridCol w:w="4876"/>
        <w:gridCol w:w="1702"/>
        <w:gridCol w:w="2488"/>
      </w:tblGrid>
      <w:tr w:rsidR="00BB52D7">
        <w:trPr>
          <w:trHeight w:val="280"/>
        </w:trPr>
        <w:tc>
          <w:tcPr>
            <w:tcW w:w="4876"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b/>
              </w:rPr>
              <w:t xml:space="preserve"> </w:t>
            </w:r>
          </w:p>
          <w:p w:rsidR="00BB52D7" w:rsidRDefault="00E33AE6">
            <w:pPr>
              <w:spacing w:after="0" w:line="259" w:lineRule="auto"/>
              <w:ind w:left="0" w:firstLine="0"/>
              <w:jc w:val="left"/>
            </w:pPr>
            <w:r>
              <w:rPr>
                <w:b/>
              </w:rPr>
              <w:t xml:space="preserve"> </w:t>
            </w:r>
          </w:p>
        </w:tc>
        <w:tc>
          <w:tcPr>
            <w:tcW w:w="1702" w:type="dxa"/>
            <w:tcBorders>
              <w:top w:val="single" w:sz="4" w:space="0" w:color="000000"/>
              <w:left w:val="single" w:sz="4" w:space="0" w:color="000000"/>
              <w:bottom w:val="nil"/>
              <w:right w:val="single" w:sz="4" w:space="0" w:color="000000"/>
            </w:tcBorders>
            <w:shd w:val="clear" w:color="auto" w:fill="D9D9D9"/>
          </w:tcPr>
          <w:p w:rsidR="00BB52D7" w:rsidRDefault="00E33AE6">
            <w:pPr>
              <w:spacing w:after="0" w:line="259" w:lineRule="auto"/>
              <w:ind w:left="128" w:firstLine="0"/>
              <w:jc w:val="left"/>
            </w:pPr>
            <w:r>
              <w:rPr>
                <w:b/>
              </w:rPr>
              <w:t xml:space="preserve">Effectiveness </w:t>
            </w:r>
          </w:p>
        </w:tc>
        <w:tc>
          <w:tcPr>
            <w:tcW w:w="2488"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2" w:firstLine="0"/>
              <w:jc w:val="center"/>
            </w:pPr>
            <w:r>
              <w:rPr>
                <w:b/>
              </w:rPr>
              <w:t xml:space="preserve">Efficiency </w:t>
            </w:r>
          </w:p>
          <w:p w:rsidR="00BB52D7" w:rsidRDefault="00E33AE6">
            <w:pPr>
              <w:spacing w:after="0" w:line="259" w:lineRule="auto"/>
              <w:ind w:left="0" w:firstLine="0"/>
              <w:jc w:val="center"/>
            </w:pPr>
            <w:r>
              <w:rPr>
                <w:b/>
              </w:rPr>
              <w:t xml:space="preserve">Limiting administrative burden </w:t>
            </w:r>
          </w:p>
        </w:tc>
      </w:tr>
      <w:tr w:rsidR="00BB52D7">
        <w:trPr>
          <w:trHeight w:val="556"/>
        </w:trPr>
        <w:tc>
          <w:tcPr>
            <w:tcW w:w="0" w:type="auto"/>
            <w:vMerge/>
            <w:tcBorders>
              <w:top w:val="nil"/>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c>
          <w:tcPr>
            <w:tcW w:w="1702" w:type="dxa"/>
            <w:tcBorders>
              <w:top w:val="nil"/>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center"/>
            </w:pPr>
            <w:r>
              <w:rPr>
                <w:b/>
              </w:rPr>
              <w:t xml:space="preserve">Investor protection  </w:t>
            </w:r>
          </w:p>
        </w:tc>
        <w:tc>
          <w:tcPr>
            <w:tcW w:w="0" w:type="auto"/>
            <w:vMerge/>
            <w:tcBorders>
              <w:top w:val="nil"/>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r>
      <w:tr w:rsidR="00BB52D7">
        <w:trPr>
          <w:trHeight w:val="287"/>
        </w:trPr>
        <w:tc>
          <w:tcPr>
            <w:tcW w:w="48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Option 2.2: structural separation </w:t>
            </w:r>
          </w:p>
        </w:tc>
        <w:tc>
          <w:tcPr>
            <w:tcW w:w="17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3" w:firstLine="0"/>
              <w:jc w:val="center"/>
            </w:pPr>
            <w:r>
              <w:t xml:space="preserve">++ </w:t>
            </w:r>
          </w:p>
        </w:tc>
        <w:tc>
          <w:tcPr>
            <w:tcW w:w="248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2" w:firstLine="0"/>
              <w:jc w:val="center"/>
            </w:pPr>
            <w:r>
              <w:t xml:space="preserve">-- </w:t>
            </w:r>
          </w:p>
        </w:tc>
      </w:tr>
      <w:tr w:rsidR="00BB52D7">
        <w:trPr>
          <w:trHeight w:val="839"/>
        </w:trPr>
        <w:tc>
          <w:tcPr>
            <w:tcW w:w="487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Option 2.3: corporate governance safeguards for entities that belong to the same group or have cross-shareholdings </w:t>
            </w:r>
          </w:p>
        </w:tc>
        <w:tc>
          <w:tcPr>
            <w:tcW w:w="17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3" w:firstLine="0"/>
              <w:jc w:val="center"/>
            </w:pPr>
            <w:r>
              <w:rPr>
                <w:b/>
              </w:rPr>
              <w:t xml:space="preserve">++ </w:t>
            </w:r>
          </w:p>
        </w:tc>
        <w:tc>
          <w:tcPr>
            <w:tcW w:w="248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3" w:firstLine="0"/>
              <w:jc w:val="center"/>
            </w:pPr>
            <w:r>
              <w:rPr>
                <w:b/>
              </w:rPr>
              <w:t xml:space="preserve">- </w:t>
            </w:r>
          </w:p>
        </w:tc>
      </w:tr>
    </w:tbl>
    <w:p w:rsidR="00BB52D7" w:rsidRDefault="00E33AE6">
      <w:pPr>
        <w:spacing w:after="254" w:line="264" w:lineRule="auto"/>
        <w:ind w:left="846" w:right="9"/>
        <w:jc w:val="left"/>
      </w:pPr>
      <w:r>
        <w:rPr>
          <w:i/>
          <w:sz w:val="20"/>
        </w:rPr>
        <w:t xml:space="preserve">Magnitude of impact as compared with the baseline scenario: ++strongly positive; + positive; - - strongly negative;- </w:t>
      </w:r>
      <w:r>
        <w:rPr>
          <w:i/>
          <w:sz w:val="20"/>
        </w:rPr>
        <w:t xml:space="preserve">negative; ≈marginal; ? uncertain; n.a. not applicable.  </w:t>
      </w:r>
    </w:p>
    <w:p w:rsidR="00BB52D7" w:rsidRDefault="00E33AE6">
      <w:pPr>
        <w:spacing w:after="254" w:line="248" w:lineRule="auto"/>
        <w:ind w:left="846" w:right="488"/>
        <w:jc w:val="left"/>
      </w:pPr>
      <w:r>
        <w:rPr>
          <w:b/>
          <w:i/>
          <w:u w:val="single" w:color="000000"/>
        </w:rPr>
        <w:t>Table 9 – Summary of the overall proposal on the independence action.</w:t>
      </w:r>
      <w:r>
        <w:rPr>
          <w:b/>
          <w:i/>
        </w:rPr>
        <w:t xml:space="preserve"> </w:t>
      </w:r>
    </w:p>
    <w:p w:rsidR="00BB52D7" w:rsidRDefault="00E33AE6">
      <w:pPr>
        <w:pBdr>
          <w:top w:val="single" w:sz="4" w:space="0" w:color="000000"/>
          <w:left w:val="single" w:sz="4" w:space="0" w:color="000000"/>
          <w:bottom w:val="single" w:sz="4" w:space="0" w:color="000000"/>
          <w:right w:val="single" w:sz="4" w:space="0" w:color="000000"/>
        </w:pBdr>
        <w:spacing w:after="237" w:line="242" w:lineRule="auto"/>
        <w:ind w:left="846" w:right="840"/>
      </w:pPr>
      <w:r>
        <w:t>In order to differentiate between the situation where management/investment company and depositaries/third party to whom the cus</w:t>
      </w:r>
      <w:r>
        <w:t xml:space="preserve">tody has been delegated, are not in the same group and those that are in the same group, the final policy choice would adopt a three-fold structure:  </w:t>
      </w:r>
    </w:p>
    <w:p w:rsidR="00BB52D7" w:rsidRDefault="00E33AE6">
      <w:pPr>
        <w:pBdr>
          <w:top w:val="single" w:sz="4" w:space="0" w:color="000000"/>
          <w:left w:val="single" w:sz="4" w:space="0" w:color="000000"/>
          <w:bottom w:val="single" w:sz="4" w:space="0" w:color="000000"/>
          <w:right w:val="single" w:sz="4" w:space="0" w:color="000000"/>
        </w:pBdr>
        <w:spacing w:after="237" w:line="238" w:lineRule="auto"/>
        <w:ind w:left="846" w:right="840"/>
      </w:pPr>
      <w:r>
        <w:rPr>
          <w:b/>
        </w:rPr>
        <w:t>Situation A: Management/investment company and depositaries/third party to whom the custody has been dele</w:t>
      </w:r>
      <w:r>
        <w:rPr>
          <w:b/>
        </w:rPr>
        <w:t xml:space="preserve">gated are </w:t>
      </w:r>
      <w:r>
        <w:rPr>
          <w:b/>
          <w:u w:val="single" w:color="000000"/>
        </w:rPr>
        <w:t>not</w:t>
      </w:r>
      <w:r>
        <w:rPr>
          <w:b/>
        </w:rPr>
        <w:t xml:space="preserve"> linked by cross-shareholdings of more than 10% and do </w:t>
      </w:r>
      <w:r>
        <w:rPr>
          <w:b/>
          <w:u w:val="single" w:color="000000"/>
        </w:rPr>
        <w:t>not</w:t>
      </w:r>
      <w:r>
        <w:rPr>
          <w:b/>
        </w:rPr>
        <w:t xml:space="preserve"> belong to the same group: </w:t>
      </w:r>
    </w:p>
    <w:p w:rsidR="00BB52D7" w:rsidRDefault="00E33AE6">
      <w:pPr>
        <w:pBdr>
          <w:top w:val="single" w:sz="4" w:space="0" w:color="000000"/>
          <w:left w:val="single" w:sz="4" w:space="0" w:color="000000"/>
          <w:bottom w:val="single" w:sz="4" w:space="0" w:color="000000"/>
          <w:right w:val="single" w:sz="4" w:space="0" w:color="000000"/>
        </w:pBdr>
        <w:spacing w:after="270" w:line="242" w:lineRule="auto"/>
        <w:ind w:left="846" w:right="840"/>
      </w:pPr>
      <w:r>
        <w:t>1) No dual membership of the relevant boards of both entities (management and/or supervisory board, as applicable).</w:t>
      </w:r>
      <w:r>
        <w:rPr>
          <w:vertAlign w:val="superscript"/>
        </w:rPr>
        <w:footnoteReference w:id="77"/>
      </w:r>
      <w:r>
        <w:t xml:space="preserve">  </w:t>
      </w:r>
    </w:p>
    <w:p w:rsidR="00BB52D7" w:rsidRDefault="00E33AE6">
      <w:pPr>
        <w:pBdr>
          <w:top w:val="single" w:sz="4" w:space="0" w:color="000000"/>
          <w:left w:val="single" w:sz="4" w:space="0" w:color="000000"/>
          <w:bottom w:val="single" w:sz="4" w:space="0" w:color="000000"/>
          <w:right w:val="single" w:sz="4" w:space="0" w:color="000000"/>
        </w:pBdr>
        <w:spacing w:after="237" w:line="238" w:lineRule="auto"/>
        <w:ind w:left="846" w:right="840"/>
      </w:pPr>
      <w:r>
        <w:rPr>
          <w:b/>
        </w:rPr>
        <w:t>Situation B: Management/investment companies and depositaries/third party to whom custody has been delegated are linked by cross-shareholdings of more than 10% and asset managers and depositaries/third party to whom the custody has been delegated belong to</w:t>
      </w:r>
      <w:r>
        <w:rPr>
          <w:b/>
        </w:rPr>
        <w:t xml:space="preserve"> the same group: </w:t>
      </w:r>
    </w:p>
    <w:p w:rsidR="00BB52D7" w:rsidRDefault="00E33AE6">
      <w:pPr>
        <w:numPr>
          <w:ilvl w:val="0"/>
          <w:numId w:val="14"/>
        </w:numPr>
        <w:pBdr>
          <w:top w:val="single" w:sz="4" w:space="0" w:color="000000"/>
          <w:left w:val="single" w:sz="4" w:space="0" w:color="000000"/>
          <w:bottom w:val="single" w:sz="4" w:space="0" w:color="000000"/>
          <w:right w:val="single" w:sz="4" w:space="0" w:color="000000"/>
        </w:pBdr>
        <w:spacing w:after="237" w:line="242" w:lineRule="auto"/>
        <w:ind w:right="840"/>
      </w:pPr>
      <w:r>
        <w:t xml:space="preserve">No dual membership of the relevant boards of both entities (management and/or supervisory board, as applicable); </w:t>
      </w:r>
    </w:p>
    <w:p w:rsidR="00BB52D7" w:rsidRDefault="00E33AE6">
      <w:pPr>
        <w:numPr>
          <w:ilvl w:val="0"/>
          <w:numId w:val="14"/>
        </w:numPr>
        <w:pBdr>
          <w:top w:val="single" w:sz="4" w:space="0" w:color="000000"/>
          <w:left w:val="single" w:sz="4" w:space="0" w:color="000000"/>
          <w:bottom w:val="single" w:sz="4" w:space="0" w:color="000000"/>
          <w:right w:val="single" w:sz="4" w:space="0" w:color="000000"/>
        </w:pBdr>
        <w:spacing w:after="237" w:line="242" w:lineRule="auto"/>
        <w:ind w:right="840"/>
      </w:pPr>
      <w:r>
        <w:t xml:space="preserve">Processes for the selection of a depositary shall be documented and be made available to competent authorities to demonstrate that selection of the "group" member is based on objective grounds;  </w:t>
      </w:r>
    </w:p>
    <w:p w:rsidR="00BB52D7" w:rsidRDefault="00E33AE6">
      <w:pPr>
        <w:numPr>
          <w:ilvl w:val="0"/>
          <w:numId w:val="14"/>
        </w:numPr>
        <w:pBdr>
          <w:top w:val="single" w:sz="4" w:space="0" w:color="000000"/>
          <w:left w:val="single" w:sz="4" w:space="0" w:color="000000"/>
          <w:bottom w:val="single" w:sz="4" w:space="0" w:color="000000"/>
          <w:right w:val="single" w:sz="4" w:space="0" w:color="000000"/>
        </w:pBdr>
        <w:spacing w:after="237" w:line="242" w:lineRule="auto"/>
        <w:ind w:right="840"/>
      </w:pPr>
      <w:r>
        <w:t>Processes to manage the conflicts of interest that may arise</w:t>
      </w:r>
      <w:r>
        <w:t xml:space="preserve"> out of joint membership of a group or from cross-shareholdings shall be documented and shall be made available to competent authorities.  </w:t>
      </w:r>
    </w:p>
    <w:p w:rsidR="00BB52D7" w:rsidRDefault="00E33AE6">
      <w:pPr>
        <w:pBdr>
          <w:top w:val="single" w:sz="4" w:space="0" w:color="000000"/>
          <w:left w:val="single" w:sz="4" w:space="0" w:color="000000"/>
          <w:bottom w:val="single" w:sz="4" w:space="0" w:color="000000"/>
          <w:right w:val="single" w:sz="4" w:space="0" w:color="000000"/>
        </w:pBdr>
        <w:spacing w:after="237" w:line="238" w:lineRule="auto"/>
        <w:ind w:left="846" w:right="840"/>
      </w:pPr>
      <w:r>
        <w:rPr>
          <w:b/>
        </w:rPr>
        <w:lastRenderedPageBreak/>
        <w:t>Situation C: Special safeguard only for management/investment companies and depositaries/third party to whom the cus</w:t>
      </w:r>
      <w:r>
        <w:rPr>
          <w:b/>
        </w:rPr>
        <w:t xml:space="preserve">tody has been delegated belong to the same group: </w:t>
      </w:r>
    </w:p>
    <w:p w:rsidR="00BB52D7" w:rsidRDefault="00E33AE6">
      <w:pPr>
        <w:numPr>
          <w:ilvl w:val="0"/>
          <w:numId w:val="14"/>
        </w:numPr>
        <w:pBdr>
          <w:top w:val="single" w:sz="4" w:space="0" w:color="000000"/>
          <w:left w:val="single" w:sz="4" w:space="0" w:color="000000"/>
          <w:bottom w:val="single" w:sz="4" w:space="0" w:color="000000"/>
          <w:right w:val="single" w:sz="4" w:space="0" w:color="000000"/>
        </w:pBdr>
        <w:spacing w:after="267" w:line="242" w:lineRule="auto"/>
        <w:ind w:right="840"/>
      </w:pPr>
      <w:r>
        <w:t>At least one-third or two, whichever is the lesser, of the persons that are appointed to the supervisory board (or the management body where the management board is in charge of supervisory function) of ea</w:t>
      </w:r>
      <w:r>
        <w:t>ch of the entities shall have no material or personal affiliation with the other entity.</w:t>
      </w:r>
      <w:r>
        <w:rPr>
          <w:b/>
          <w:i/>
        </w:rPr>
        <w:t xml:space="preserve"> </w:t>
      </w:r>
    </w:p>
    <w:p w:rsidR="00BB52D7" w:rsidRDefault="00E33AE6">
      <w:pPr>
        <w:pStyle w:val="Heading5"/>
        <w:ind w:left="846" w:right="488"/>
      </w:pPr>
      <w:r>
        <w:t>Table 10 - Overall impact of the preferred options</w:t>
      </w:r>
      <w:r>
        <w:rPr>
          <w:u w:val="none"/>
        </w:rPr>
        <w:t xml:space="preserve"> </w:t>
      </w:r>
    </w:p>
    <w:tbl>
      <w:tblPr>
        <w:tblStyle w:val="TableGrid"/>
        <w:tblW w:w="9746" w:type="dxa"/>
        <w:tblInd w:w="744" w:type="dxa"/>
        <w:tblCellMar>
          <w:top w:w="40" w:type="dxa"/>
          <w:left w:w="107" w:type="dxa"/>
          <w:bottom w:w="0" w:type="dxa"/>
          <w:right w:w="67" w:type="dxa"/>
        </w:tblCellMar>
        <w:tblLook w:val="04A0" w:firstRow="1" w:lastRow="0" w:firstColumn="1" w:lastColumn="0" w:noHBand="0" w:noVBand="1"/>
      </w:tblPr>
      <w:tblGrid>
        <w:gridCol w:w="913"/>
        <w:gridCol w:w="2164"/>
        <w:gridCol w:w="1617"/>
        <w:gridCol w:w="1634"/>
        <w:gridCol w:w="1454"/>
        <w:gridCol w:w="1964"/>
      </w:tblGrid>
      <w:tr w:rsidR="00BB52D7">
        <w:trPr>
          <w:trHeight w:val="666"/>
        </w:trPr>
        <w:tc>
          <w:tcPr>
            <w:tcW w:w="91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rFonts w:ascii="Calibri" w:eastAsia="Calibri" w:hAnsi="Calibri" w:cs="Calibri"/>
                <w:b/>
                <w:sz w:val="18"/>
              </w:rPr>
              <w:t xml:space="preserve"> </w:t>
            </w:r>
          </w:p>
        </w:tc>
        <w:tc>
          <w:tcPr>
            <w:tcW w:w="2164"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firstLine="0"/>
              <w:jc w:val="left"/>
            </w:pPr>
            <w:r>
              <w:rPr>
                <w:rFonts w:ascii="Calibri" w:eastAsia="Calibri" w:hAnsi="Calibri" w:cs="Calibri"/>
                <w:b/>
                <w:sz w:val="18"/>
              </w:rPr>
              <w:t xml:space="preserve">Impacts on investors </w:t>
            </w:r>
          </w:p>
        </w:tc>
        <w:tc>
          <w:tcPr>
            <w:tcW w:w="1617"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40" w:lineRule="auto"/>
              <w:ind w:left="1" w:firstLine="0"/>
            </w:pPr>
            <w:r>
              <w:rPr>
                <w:rFonts w:ascii="Calibri" w:eastAsia="Calibri" w:hAnsi="Calibri" w:cs="Calibri"/>
                <w:b/>
                <w:sz w:val="18"/>
              </w:rPr>
              <w:t xml:space="preserve">Impacts on Asset Managers and </w:t>
            </w:r>
          </w:p>
          <w:p w:rsidR="00BB52D7" w:rsidRDefault="00E33AE6">
            <w:pPr>
              <w:spacing w:after="0" w:line="259" w:lineRule="auto"/>
              <w:ind w:left="1" w:firstLine="0"/>
              <w:jc w:val="left"/>
            </w:pPr>
            <w:r>
              <w:rPr>
                <w:rFonts w:ascii="Calibri" w:eastAsia="Calibri" w:hAnsi="Calibri" w:cs="Calibri"/>
                <w:b/>
                <w:sz w:val="18"/>
              </w:rPr>
              <w:t xml:space="preserve">depositaries </w:t>
            </w:r>
          </w:p>
        </w:tc>
        <w:tc>
          <w:tcPr>
            <w:tcW w:w="1634"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firstLine="0"/>
              <w:jc w:val="left"/>
            </w:pPr>
            <w:r>
              <w:rPr>
                <w:rFonts w:ascii="Calibri" w:eastAsia="Calibri" w:hAnsi="Calibri" w:cs="Calibri"/>
                <w:b/>
                <w:sz w:val="18"/>
              </w:rPr>
              <w:t xml:space="preserve">Impacts on SMEs </w:t>
            </w:r>
          </w:p>
        </w:tc>
        <w:tc>
          <w:tcPr>
            <w:tcW w:w="1454"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tabs>
                <w:tab w:val="right" w:pos="1280"/>
              </w:tabs>
              <w:spacing w:after="0" w:line="259" w:lineRule="auto"/>
              <w:ind w:left="0" w:firstLine="0"/>
              <w:jc w:val="left"/>
            </w:pPr>
            <w:r>
              <w:rPr>
                <w:rFonts w:ascii="Calibri" w:eastAsia="Calibri" w:hAnsi="Calibri" w:cs="Calibri"/>
                <w:b/>
                <w:sz w:val="18"/>
              </w:rPr>
              <w:t xml:space="preserve">Impacts </w:t>
            </w:r>
            <w:r>
              <w:rPr>
                <w:rFonts w:ascii="Calibri" w:eastAsia="Calibri" w:hAnsi="Calibri" w:cs="Calibri"/>
                <w:b/>
                <w:sz w:val="18"/>
              </w:rPr>
              <w:tab/>
              <w:t xml:space="preserve">on </w:t>
            </w:r>
          </w:p>
          <w:p w:rsidR="00BB52D7" w:rsidRDefault="00E33AE6">
            <w:pPr>
              <w:spacing w:after="0" w:line="259" w:lineRule="auto"/>
              <w:ind w:left="1" w:firstLine="0"/>
              <w:jc w:val="left"/>
            </w:pPr>
            <w:r>
              <w:rPr>
                <w:rFonts w:ascii="Calibri" w:eastAsia="Calibri" w:hAnsi="Calibri" w:cs="Calibri"/>
                <w:b/>
                <w:sz w:val="18"/>
              </w:rPr>
              <w:t xml:space="preserve">Financial </w:t>
            </w:r>
          </w:p>
          <w:p w:rsidR="00BB52D7" w:rsidRDefault="00E33AE6">
            <w:pPr>
              <w:spacing w:after="0" w:line="259" w:lineRule="auto"/>
              <w:ind w:left="1" w:firstLine="0"/>
              <w:jc w:val="left"/>
            </w:pPr>
            <w:r>
              <w:rPr>
                <w:rFonts w:ascii="Calibri" w:eastAsia="Calibri" w:hAnsi="Calibri" w:cs="Calibri"/>
                <w:b/>
                <w:sz w:val="18"/>
              </w:rPr>
              <w:t xml:space="preserve">Stability </w:t>
            </w:r>
          </w:p>
        </w:tc>
        <w:tc>
          <w:tcPr>
            <w:tcW w:w="1964"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tabs>
                <w:tab w:val="center" w:pos="858"/>
                <w:tab w:val="center" w:pos="1250"/>
                <w:tab w:val="right" w:pos="1791"/>
              </w:tabs>
              <w:spacing w:after="0" w:line="259" w:lineRule="auto"/>
              <w:ind w:left="0" w:firstLine="0"/>
              <w:jc w:val="left"/>
            </w:pPr>
            <w:r>
              <w:rPr>
                <w:rFonts w:ascii="Calibri" w:eastAsia="Calibri" w:hAnsi="Calibri" w:cs="Calibri"/>
                <w:b/>
                <w:sz w:val="18"/>
              </w:rPr>
              <w:t xml:space="preserve">Impacts </w:t>
            </w:r>
            <w:r>
              <w:rPr>
                <w:rFonts w:ascii="Calibri" w:eastAsia="Calibri" w:hAnsi="Calibri" w:cs="Calibri"/>
                <w:b/>
                <w:sz w:val="18"/>
              </w:rPr>
              <w:tab/>
              <w:t xml:space="preserve">on </w:t>
            </w:r>
            <w:r>
              <w:rPr>
                <w:rFonts w:ascii="Calibri" w:eastAsia="Calibri" w:hAnsi="Calibri" w:cs="Calibri"/>
                <w:b/>
                <w:sz w:val="18"/>
              </w:rPr>
              <w:tab/>
              <w:t xml:space="preserve">the </w:t>
            </w:r>
            <w:r>
              <w:rPr>
                <w:rFonts w:ascii="Calibri" w:eastAsia="Calibri" w:hAnsi="Calibri" w:cs="Calibri"/>
                <w:b/>
                <w:sz w:val="18"/>
              </w:rPr>
              <w:tab/>
              <w:t xml:space="preserve">EU </w:t>
            </w:r>
          </w:p>
          <w:p w:rsidR="00BB52D7" w:rsidRDefault="00E33AE6">
            <w:pPr>
              <w:spacing w:after="0" w:line="259" w:lineRule="auto"/>
              <w:ind w:left="2" w:firstLine="0"/>
              <w:jc w:val="left"/>
            </w:pPr>
            <w:r>
              <w:rPr>
                <w:rFonts w:ascii="Calibri" w:eastAsia="Calibri" w:hAnsi="Calibri" w:cs="Calibri"/>
                <w:b/>
                <w:sz w:val="18"/>
              </w:rPr>
              <w:t>competitiveness</w:t>
            </w:r>
            <w:r>
              <w:rPr>
                <w:rFonts w:ascii="Calibri" w:eastAsia="Calibri" w:hAnsi="Calibri" w:cs="Calibri"/>
                <w:b/>
                <w:sz w:val="18"/>
                <w:vertAlign w:val="superscript"/>
              </w:rPr>
              <w:footnoteReference w:id="78"/>
            </w:r>
            <w:r>
              <w:rPr>
                <w:rFonts w:ascii="Calibri" w:eastAsia="Calibri" w:hAnsi="Calibri" w:cs="Calibri"/>
                <w:b/>
                <w:sz w:val="18"/>
              </w:rPr>
              <w:t xml:space="preserve"> </w:t>
            </w:r>
          </w:p>
        </w:tc>
      </w:tr>
      <w:tr w:rsidR="00BB52D7">
        <w:trPr>
          <w:trHeight w:val="2210"/>
        </w:trPr>
        <w:tc>
          <w:tcPr>
            <w:tcW w:w="91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rFonts w:ascii="Calibri" w:eastAsia="Calibri" w:hAnsi="Calibri" w:cs="Calibri"/>
                <w:b/>
                <w:sz w:val="18"/>
              </w:rPr>
              <w:t xml:space="preserve">Option </w:t>
            </w:r>
          </w:p>
          <w:p w:rsidR="00BB52D7" w:rsidRDefault="00E33AE6">
            <w:pPr>
              <w:spacing w:after="0" w:line="259" w:lineRule="auto"/>
              <w:ind w:left="0" w:firstLine="0"/>
              <w:jc w:val="left"/>
            </w:pPr>
            <w:r>
              <w:rPr>
                <w:rFonts w:ascii="Calibri" w:eastAsia="Calibri" w:hAnsi="Calibri" w:cs="Calibri"/>
                <w:b/>
                <w:sz w:val="18"/>
              </w:rPr>
              <w:t xml:space="preserve">1.2 </w:t>
            </w:r>
          </w:p>
        </w:tc>
        <w:tc>
          <w:tcPr>
            <w:tcW w:w="2164" w:type="dxa"/>
            <w:tcBorders>
              <w:top w:val="single" w:sz="4" w:space="0" w:color="000000"/>
              <w:left w:val="single" w:sz="4" w:space="0" w:color="000000"/>
              <w:bottom w:val="single" w:sz="4" w:space="0" w:color="000000"/>
              <w:right w:val="single" w:sz="4" w:space="0" w:color="000000"/>
            </w:tcBorders>
          </w:tcPr>
          <w:p w:rsidR="00BB52D7" w:rsidRDefault="00E33AE6">
            <w:pPr>
              <w:spacing w:after="11" w:line="240" w:lineRule="auto"/>
              <w:ind w:left="1" w:right="41" w:firstLine="0"/>
            </w:pPr>
            <w:r>
              <w:rPr>
                <w:rFonts w:ascii="Calibri" w:eastAsia="Calibri" w:hAnsi="Calibri" w:cs="Calibri"/>
                <w:sz w:val="18"/>
              </w:rPr>
              <w:t xml:space="preserve">(++) Provide the clearest safeguard to ensure independent behaviour of both boards. </w:t>
            </w:r>
          </w:p>
          <w:p w:rsidR="00BB52D7" w:rsidRDefault="00E33AE6">
            <w:pPr>
              <w:tabs>
                <w:tab w:val="center" w:pos="996"/>
                <w:tab w:val="right" w:pos="1990"/>
              </w:tabs>
              <w:spacing w:after="0" w:line="259" w:lineRule="auto"/>
              <w:ind w:left="0" w:firstLine="0"/>
              <w:jc w:val="left"/>
            </w:pPr>
            <w:r>
              <w:rPr>
                <w:rFonts w:ascii="Calibri" w:eastAsia="Calibri" w:hAnsi="Calibri" w:cs="Calibri"/>
                <w:sz w:val="18"/>
              </w:rPr>
              <w:t xml:space="preserve">(++) </w:t>
            </w:r>
            <w:r>
              <w:rPr>
                <w:rFonts w:ascii="Calibri" w:eastAsia="Calibri" w:hAnsi="Calibri" w:cs="Calibri"/>
                <w:sz w:val="18"/>
              </w:rPr>
              <w:tab/>
              <w:t xml:space="preserve">Reinforce </w:t>
            </w:r>
            <w:r>
              <w:rPr>
                <w:rFonts w:ascii="Calibri" w:eastAsia="Calibri" w:hAnsi="Calibri" w:cs="Calibri"/>
                <w:sz w:val="18"/>
              </w:rPr>
              <w:tab/>
              <w:t xml:space="preserve">the </w:t>
            </w:r>
          </w:p>
          <w:p w:rsidR="00BB52D7" w:rsidRDefault="00E33AE6">
            <w:pPr>
              <w:spacing w:after="0" w:line="259" w:lineRule="auto"/>
              <w:ind w:left="1" w:firstLine="0"/>
              <w:jc w:val="left"/>
            </w:pPr>
            <w:r>
              <w:rPr>
                <w:rFonts w:ascii="Calibri" w:eastAsia="Calibri" w:hAnsi="Calibri" w:cs="Calibri"/>
                <w:sz w:val="18"/>
              </w:rPr>
              <w:t xml:space="preserve">investor confidence </w:t>
            </w:r>
          </w:p>
        </w:tc>
        <w:tc>
          <w:tcPr>
            <w:tcW w:w="161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right="41" w:firstLine="0"/>
            </w:pPr>
            <w:r>
              <w:rPr>
                <w:rFonts w:ascii="Calibri" w:eastAsia="Calibri" w:hAnsi="Calibri" w:cs="Calibri"/>
                <w:sz w:val="18"/>
              </w:rPr>
              <w:t xml:space="preserve">(-) Restructuring costs due to the appointment of new board </w:t>
            </w:r>
          </w:p>
          <w:p w:rsidR="00BB52D7" w:rsidRDefault="00E33AE6">
            <w:pPr>
              <w:spacing w:after="0" w:line="259" w:lineRule="auto"/>
              <w:ind w:left="1" w:firstLine="0"/>
              <w:jc w:val="left"/>
            </w:pPr>
            <w:r>
              <w:rPr>
                <w:rFonts w:ascii="Calibri" w:eastAsia="Calibri" w:hAnsi="Calibri" w:cs="Calibri"/>
                <w:sz w:val="18"/>
              </w:rPr>
              <w:t xml:space="preserve">members </w:t>
            </w:r>
          </w:p>
          <w:p w:rsidR="00BB52D7" w:rsidRDefault="00E33AE6">
            <w:pPr>
              <w:spacing w:after="0" w:line="259" w:lineRule="auto"/>
              <w:ind w:left="1" w:firstLine="0"/>
              <w:jc w:val="left"/>
            </w:pPr>
            <w:r>
              <w:rPr>
                <w:rFonts w:ascii="Calibri" w:eastAsia="Calibri" w:hAnsi="Calibri" w:cs="Calibri"/>
                <w:sz w:val="18"/>
              </w:rPr>
              <w:t xml:space="preserve">(+) Limitation of the costs in case of dual structure </w:t>
            </w:r>
          </w:p>
        </w:tc>
        <w:tc>
          <w:tcPr>
            <w:tcW w:w="163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2" w:firstLine="0"/>
            </w:pPr>
            <w:r>
              <w:rPr>
                <w:rFonts w:ascii="Calibri" w:eastAsia="Calibri" w:hAnsi="Calibri" w:cs="Calibri"/>
                <w:sz w:val="18"/>
              </w:rPr>
              <w:t xml:space="preserve">(+) Reduction of board members can decrease the restructuring costs. </w:t>
            </w:r>
          </w:p>
        </w:tc>
        <w:tc>
          <w:tcPr>
            <w:tcW w:w="145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rFonts w:ascii="Calibri" w:eastAsia="Calibri" w:hAnsi="Calibri" w:cs="Calibri"/>
                <w:sz w:val="18"/>
              </w:rPr>
              <w:t xml:space="preserve">N.A </w:t>
            </w:r>
          </w:p>
        </w:tc>
        <w:tc>
          <w:tcPr>
            <w:tcW w:w="196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2" w:right="40" w:firstLine="0"/>
            </w:pPr>
            <w:r>
              <w:rPr>
                <w:rFonts w:ascii="Calibri" w:eastAsia="Calibri" w:hAnsi="Calibri" w:cs="Calibri"/>
                <w:sz w:val="18"/>
              </w:rPr>
              <w:t xml:space="preserve">(+) Neutralisation of additional cost burden, as executive board directors are rarely compensated for their position on a board. </w:t>
            </w:r>
          </w:p>
          <w:p w:rsidR="00BB52D7" w:rsidRDefault="00E33AE6">
            <w:pPr>
              <w:spacing w:after="0" w:line="259" w:lineRule="auto"/>
              <w:ind w:left="2" w:firstLine="0"/>
              <w:jc w:val="left"/>
            </w:pPr>
            <w:r>
              <w:rPr>
                <w:rFonts w:ascii="Calibri" w:eastAsia="Calibri" w:hAnsi="Calibri" w:cs="Calibri"/>
                <w:sz w:val="18"/>
              </w:rPr>
              <w:t xml:space="preserve"> </w:t>
            </w:r>
          </w:p>
          <w:p w:rsidR="00BB52D7" w:rsidRDefault="00E33AE6">
            <w:pPr>
              <w:spacing w:after="0" w:line="259" w:lineRule="auto"/>
              <w:ind w:left="2" w:right="40" w:firstLine="0"/>
            </w:pPr>
            <w:r>
              <w:rPr>
                <w:rFonts w:ascii="Calibri" w:eastAsia="Calibri" w:hAnsi="Calibri" w:cs="Calibri"/>
                <w:sz w:val="18"/>
              </w:rPr>
              <w:t>(+) Reduction of board members can decrease the restructuring costs.</w:t>
            </w:r>
            <w:r>
              <w:rPr>
                <w:rFonts w:ascii="Calibri" w:eastAsia="Calibri" w:hAnsi="Calibri" w:cs="Calibri"/>
                <w:sz w:val="18"/>
                <w:vertAlign w:val="subscript"/>
              </w:rPr>
              <w:t xml:space="preserve"> </w:t>
            </w:r>
          </w:p>
        </w:tc>
      </w:tr>
      <w:tr w:rsidR="00BB52D7">
        <w:trPr>
          <w:trHeight w:val="4404"/>
        </w:trPr>
        <w:tc>
          <w:tcPr>
            <w:tcW w:w="91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rFonts w:ascii="Calibri" w:eastAsia="Calibri" w:hAnsi="Calibri" w:cs="Calibri"/>
                <w:b/>
                <w:sz w:val="18"/>
              </w:rPr>
              <w:t xml:space="preserve">Option </w:t>
            </w:r>
          </w:p>
          <w:p w:rsidR="00BB52D7" w:rsidRDefault="00E33AE6">
            <w:pPr>
              <w:spacing w:after="0" w:line="259" w:lineRule="auto"/>
              <w:ind w:left="0" w:firstLine="0"/>
              <w:jc w:val="left"/>
            </w:pPr>
            <w:r>
              <w:rPr>
                <w:rFonts w:ascii="Calibri" w:eastAsia="Calibri" w:hAnsi="Calibri" w:cs="Calibri"/>
                <w:b/>
                <w:sz w:val="18"/>
              </w:rPr>
              <w:t xml:space="preserve">2.3 </w:t>
            </w:r>
          </w:p>
        </w:tc>
        <w:tc>
          <w:tcPr>
            <w:tcW w:w="216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right="42" w:firstLine="0"/>
            </w:pPr>
            <w:r>
              <w:rPr>
                <w:rFonts w:ascii="Calibri" w:eastAsia="Calibri" w:hAnsi="Calibri" w:cs="Calibri"/>
                <w:sz w:val="18"/>
              </w:rPr>
              <w:t xml:space="preserve">(++) The appointment of independent board members improves overall level of governance and thus </w:t>
            </w:r>
          </w:p>
          <w:p w:rsidR="00BB52D7" w:rsidRDefault="00E33AE6">
            <w:pPr>
              <w:spacing w:after="0" w:line="259" w:lineRule="auto"/>
              <w:ind w:left="1" w:firstLine="0"/>
              <w:jc w:val="left"/>
            </w:pPr>
            <w:r>
              <w:rPr>
                <w:rFonts w:ascii="Calibri" w:eastAsia="Calibri" w:hAnsi="Calibri" w:cs="Calibri"/>
                <w:sz w:val="18"/>
              </w:rPr>
              <w:t xml:space="preserve">investor protection </w:t>
            </w:r>
          </w:p>
          <w:p w:rsidR="00BB52D7" w:rsidRDefault="00E33AE6">
            <w:pPr>
              <w:spacing w:after="0" w:line="242" w:lineRule="auto"/>
              <w:ind w:left="1" w:right="42" w:firstLine="0"/>
            </w:pPr>
            <w:r>
              <w:rPr>
                <w:rFonts w:ascii="Calibri" w:eastAsia="Calibri" w:hAnsi="Calibri" w:cs="Calibri"/>
                <w:sz w:val="18"/>
              </w:rPr>
              <w:t xml:space="preserve">(++) The documentation process on the selection of the depositary is adding more responsibility to the asset managers when it selects </w:t>
            </w:r>
            <w:r>
              <w:rPr>
                <w:rFonts w:ascii="Calibri" w:eastAsia="Calibri" w:hAnsi="Calibri" w:cs="Calibri"/>
                <w:sz w:val="18"/>
              </w:rPr>
              <w:tab/>
              <w:t xml:space="preserve">its </w:t>
            </w:r>
          </w:p>
          <w:p w:rsidR="00BB52D7" w:rsidRDefault="00E33AE6">
            <w:pPr>
              <w:spacing w:after="0" w:line="259" w:lineRule="auto"/>
              <w:ind w:left="1" w:firstLine="0"/>
              <w:jc w:val="left"/>
            </w:pPr>
            <w:r>
              <w:rPr>
                <w:rFonts w:ascii="Calibri" w:eastAsia="Calibri" w:hAnsi="Calibri" w:cs="Calibri"/>
                <w:sz w:val="18"/>
              </w:rPr>
              <w:t xml:space="preserve">depositary/custodian  </w:t>
            </w:r>
          </w:p>
        </w:tc>
        <w:tc>
          <w:tcPr>
            <w:tcW w:w="161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right="41" w:firstLine="0"/>
            </w:pPr>
            <w:r>
              <w:rPr>
                <w:rFonts w:ascii="Calibri" w:eastAsia="Calibri" w:hAnsi="Calibri" w:cs="Calibri"/>
                <w:sz w:val="18"/>
              </w:rPr>
              <w:t xml:space="preserve">(-) Restructuring costs due to the appointment of independent </w:t>
            </w:r>
          </w:p>
          <w:p w:rsidR="00BB52D7" w:rsidRDefault="00E33AE6">
            <w:pPr>
              <w:spacing w:after="0" w:line="259" w:lineRule="auto"/>
              <w:ind w:left="1" w:firstLine="0"/>
              <w:jc w:val="left"/>
            </w:pPr>
            <w:r>
              <w:rPr>
                <w:rFonts w:ascii="Calibri" w:eastAsia="Calibri" w:hAnsi="Calibri" w:cs="Calibri"/>
                <w:sz w:val="18"/>
              </w:rPr>
              <w:t xml:space="preserve">board members </w:t>
            </w:r>
          </w:p>
          <w:p w:rsidR="00BB52D7" w:rsidRDefault="00E33AE6">
            <w:pPr>
              <w:spacing w:after="0" w:line="259" w:lineRule="auto"/>
              <w:ind w:left="1" w:firstLine="0"/>
              <w:jc w:val="left"/>
            </w:pPr>
            <w:r>
              <w:rPr>
                <w:rFonts w:ascii="Calibri" w:eastAsia="Calibri" w:hAnsi="Calibri" w:cs="Calibri"/>
                <w:sz w:val="18"/>
              </w:rPr>
              <w:t xml:space="preserve"> </w:t>
            </w:r>
          </w:p>
          <w:p w:rsidR="00BB52D7" w:rsidRDefault="00E33AE6">
            <w:pPr>
              <w:spacing w:after="0" w:line="259" w:lineRule="auto"/>
              <w:ind w:left="1" w:firstLine="0"/>
              <w:jc w:val="left"/>
            </w:pPr>
            <w:r>
              <w:rPr>
                <w:rFonts w:ascii="Calibri" w:eastAsia="Calibri" w:hAnsi="Calibri" w:cs="Calibri"/>
                <w:sz w:val="18"/>
              </w:rPr>
              <w:t xml:space="preserve"> </w:t>
            </w:r>
          </w:p>
        </w:tc>
        <w:tc>
          <w:tcPr>
            <w:tcW w:w="163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0" w:lineRule="auto"/>
              <w:ind w:left="1" w:firstLine="0"/>
              <w:jc w:val="left"/>
            </w:pPr>
            <w:r>
              <w:rPr>
                <w:rFonts w:ascii="Calibri" w:eastAsia="Calibri" w:hAnsi="Calibri" w:cs="Calibri"/>
                <w:sz w:val="18"/>
              </w:rPr>
              <w:t xml:space="preserve">(+) </w:t>
            </w:r>
            <w:r>
              <w:rPr>
                <w:rFonts w:ascii="Calibri" w:eastAsia="Calibri" w:hAnsi="Calibri" w:cs="Calibri"/>
                <w:sz w:val="18"/>
              </w:rPr>
              <w:tab/>
              <w:t>Mainta</w:t>
            </w:r>
            <w:r>
              <w:rPr>
                <w:rFonts w:ascii="Calibri" w:eastAsia="Calibri" w:hAnsi="Calibri" w:cs="Calibri"/>
                <w:sz w:val="18"/>
              </w:rPr>
              <w:t xml:space="preserve">ins competition in the depositary/custody markets </w:t>
            </w:r>
          </w:p>
          <w:p w:rsidR="00BB52D7" w:rsidRDefault="00E33AE6">
            <w:pPr>
              <w:spacing w:after="0" w:line="246" w:lineRule="auto"/>
              <w:ind w:left="1" w:firstLine="0"/>
              <w:jc w:val="left"/>
            </w:pPr>
            <w:r>
              <w:rPr>
                <w:rFonts w:ascii="Calibri" w:eastAsia="Calibri" w:hAnsi="Calibri" w:cs="Calibri"/>
                <w:sz w:val="18"/>
              </w:rPr>
              <w:t xml:space="preserve">(+) The costs of appointing independent board member </w:t>
            </w:r>
            <w:r>
              <w:rPr>
                <w:rFonts w:ascii="Calibri" w:eastAsia="Calibri" w:hAnsi="Calibri" w:cs="Calibri"/>
                <w:sz w:val="18"/>
              </w:rPr>
              <w:tab/>
              <w:t xml:space="preserve">are limited when the board </w:t>
            </w:r>
            <w:r>
              <w:rPr>
                <w:rFonts w:ascii="Calibri" w:eastAsia="Calibri" w:hAnsi="Calibri" w:cs="Calibri"/>
                <w:sz w:val="18"/>
              </w:rPr>
              <w:tab/>
              <w:t xml:space="preserve">comprises three </w:t>
            </w:r>
            <w:r>
              <w:rPr>
                <w:rFonts w:ascii="Calibri" w:eastAsia="Calibri" w:hAnsi="Calibri" w:cs="Calibri"/>
                <w:sz w:val="18"/>
              </w:rPr>
              <w:tab/>
              <w:t xml:space="preserve">or </w:t>
            </w:r>
            <w:r>
              <w:rPr>
                <w:rFonts w:ascii="Calibri" w:eastAsia="Calibri" w:hAnsi="Calibri" w:cs="Calibri"/>
                <w:sz w:val="18"/>
              </w:rPr>
              <w:tab/>
              <w:t xml:space="preserve">less members. </w:t>
            </w:r>
          </w:p>
          <w:p w:rsidR="00BB52D7" w:rsidRDefault="00E33AE6">
            <w:pPr>
              <w:spacing w:after="0" w:line="259" w:lineRule="auto"/>
              <w:ind w:left="1" w:firstLine="0"/>
              <w:jc w:val="left"/>
            </w:pPr>
            <w:r>
              <w:rPr>
                <w:rFonts w:ascii="Calibri" w:eastAsia="Calibri" w:hAnsi="Calibri" w:cs="Calibri"/>
                <w:sz w:val="18"/>
              </w:rPr>
              <w:t xml:space="preserve">(+)Restructuring costs due to the appointment </w:t>
            </w:r>
            <w:r>
              <w:rPr>
                <w:rFonts w:ascii="Calibri" w:eastAsia="Calibri" w:hAnsi="Calibri" w:cs="Calibri"/>
                <w:sz w:val="18"/>
              </w:rPr>
              <w:tab/>
              <w:t xml:space="preserve">of independent board members is limited </w:t>
            </w:r>
            <w:r>
              <w:rPr>
                <w:rFonts w:ascii="Calibri" w:eastAsia="Calibri" w:hAnsi="Calibri" w:cs="Calibri"/>
                <w:sz w:val="18"/>
              </w:rPr>
              <w:t xml:space="preserve">to group scenario (+) Many of the governance </w:t>
            </w:r>
          </w:p>
        </w:tc>
        <w:tc>
          <w:tcPr>
            <w:tcW w:w="145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rFonts w:ascii="Calibri" w:eastAsia="Calibri" w:hAnsi="Calibri" w:cs="Calibri"/>
                <w:sz w:val="18"/>
              </w:rPr>
              <w:t xml:space="preserve">(+)The </w:t>
            </w:r>
          </w:p>
          <w:p w:rsidR="00BB52D7" w:rsidRDefault="00E33AE6">
            <w:pPr>
              <w:spacing w:after="12" w:line="240" w:lineRule="auto"/>
              <w:ind w:left="1" w:right="42" w:firstLine="0"/>
            </w:pPr>
            <w:r>
              <w:rPr>
                <w:rFonts w:ascii="Calibri" w:eastAsia="Calibri" w:hAnsi="Calibri" w:cs="Calibri"/>
                <w:sz w:val="18"/>
              </w:rPr>
              <w:t xml:space="preserve">depositary market can be seen as being already concentrated. In consequence, </w:t>
            </w:r>
          </w:p>
          <w:p w:rsidR="00BB52D7" w:rsidRDefault="00E33AE6">
            <w:pPr>
              <w:spacing w:after="7" w:line="245" w:lineRule="auto"/>
              <w:ind w:left="1" w:firstLine="0"/>
              <w:jc w:val="left"/>
            </w:pPr>
            <w:r>
              <w:rPr>
                <w:rFonts w:ascii="Calibri" w:eastAsia="Calibri" w:hAnsi="Calibri" w:cs="Calibri"/>
                <w:sz w:val="18"/>
              </w:rPr>
              <w:t xml:space="preserve">the </w:t>
            </w:r>
            <w:r>
              <w:rPr>
                <w:rFonts w:ascii="Calibri" w:eastAsia="Calibri" w:hAnsi="Calibri" w:cs="Calibri"/>
                <w:sz w:val="18"/>
              </w:rPr>
              <w:tab/>
              <w:t xml:space="preserve">preferred option maintained the statuo-quo and does </w:t>
            </w:r>
            <w:r>
              <w:rPr>
                <w:rFonts w:ascii="Calibri" w:eastAsia="Calibri" w:hAnsi="Calibri" w:cs="Calibri"/>
                <w:sz w:val="18"/>
              </w:rPr>
              <w:tab/>
              <w:t xml:space="preserve">not contribute </w:t>
            </w:r>
            <w:r>
              <w:rPr>
                <w:rFonts w:ascii="Calibri" w:eastAsia="Calibri" w:hAnsi="Calibri" w:cs="Calibri"/>
                <w:sz w:val="18"/>
              </w:rPr>
              <w:tab/>
              <w:t xml:space="preserve">to reinforce </w:t>
            </w:r>
            <w:r>
              <w:rPr>
                <w:rFonts w:ascii="Calibri" w:eastAsia="Calibri" w:hAnsi="Calibri" w:cs="Calibri"/>
                <w:sz w:val="18"/>
              </w:rPr>
              <w:tab/>
              <w:t xml:space="preserve">the concentration </w:t>
            </w:r>
          </w:p>
          <w:p w:rsidR="00BB52D7" w:rsidRDefault="00E33AE6">
            <w:pPr>
              <w:tabs>
                <w:tab w:val="center" w:pos="658"/>
                <w:tab w:val="right" w:pos="1280"/>
              </w:tabs>
              <w:spacing w:after="0" w:line="259" w:lineRule="auto"/>
              <w:ind w:left="0" w:firstLine="0"/>
              <w:jc w:val="left"/>
            </w:pPr>
            <w:r>
              <w:rPr>
                <w:rFonts w:ascii="Calibri" w:eastAsia="Calibri" w:hAnsi="Calibri" w:cs="Calibri"/>
                <w:sz w:val="18"/>
              </w:rPr>
              <w:t xml:space="preserve">level </w:t>
            </w:r>
            <w:r>
              <w:rPr>
                <w:rFonts w:ascii="Calibri" w:eastAsia="Calibri" w:hAnsi="Calibri" w:cs="Calibri"/>
                <w:sz w:val="18"/>
              </w:rPr>
              <w:tab/>
              <w:t xml:space="preserve">of </w:t>
            </w:r>
            <w:r>
              <w:rPr>
                <w:rFonts w:ascii="Calibri" w:eastAsia="Calibri" w:hAnsi="Calibri" w:cs="Calibri"/>
                <w:sz w:val="18"/>
              </w:rPr>
              <w:tab/>
              <w:t xml:space="preserve">this </w:t>
            </w:r>
          </w:p>
          <w:p w:rsidR="00BB52D7" w:rsidRDefault="00E33AE6">
            <w:pPr>
              <w:spacing w:after="0" w:line="259" w:lineRule="auto"/>
              <w:ind w:left="1" w:firstLine="0"/>
              <w:jc w:val="left"/>
            </w:pPr>
            <w:r>
              <w:rPr>
                <w:rFonts w:ascii="Calibri" w:eastAsia="Calibri" w:hAnsi="Calibri" w:cs="Calibri"/>
                <w:sz w:val="18"/>
              </w:rPr>
              <w:t xml:space="preserve">sector </w:t>
            </w:r>
          </w:p>
        </w:tc>
        <w:tc>
          <w:tcPr>
            <w:tcW w:w="1964" w:type="dxa"/>
            <w:tcBorders>
              <w:top w:val="single" w:sz="4" w:space="0" w:color="000000"/>
              <w:left w:val="single" w:sz="4" w:space="0" w:color="000000"/>
              <w:bottom w:val="single" w:sz="4" w:space="0" w:color="000000"/>
              <w:right w:val="single" w:sz="4" w:space="0" w:color="000000"/>
            </w:tcBorders>
          </w:tcPr>
          <w:p w:rsidR="00BB52D7" w:rsidRDefault="00E33AE6">
            <w:pPr>
              <w:tabs>
                <w:tab w:val="right" w:pos="1791"/>
              </w:tabs>
              <w:spacing w:after="0" w:line="259" w:lineRule="auto"/>
              <w:ind w:left="0" w:firstLine="0"/>
              <w:jc w:val="left"/>
            </w:pPr>
            <w:r>
              <w:rPr>
                <w:rFonts w:ascii="Calibri" w:eastAsia="Calibri" w:hAnsi="Calibri" w:cs="Calibri"/>
                <w:sz w:val="18"/>
              </w:rPr>
              <w:t xml:space="preserve">(+) </w:t>
            </w:r>
            <w:r>
              <w:rPr>
                <w:rFonts w:ascii="Calibri" w:eastAsia="Calibri" w:hAnsi="Calibri" w:cs="Calibri"/>
                <w:sz w:val="18"/>
              </w:rPr>
              <w:tab/>
              <w:t xml:space="preserve">Reflects </w:t>
            </w:r>
          </w:p>
          <w:p w:rsidR="00BB52D7" w:rsidRDefault="00E33AE6">
            <w:pPr>
              <w:spacing w:after="0" w:line="259" w:lineRule="auto"/>
              <w:ind w:left="2" w:right="41" w:firstLine="0"/>
            </w:pPr>
            <w:r>
              <w:rPr>
                <w:rFonts w:ascii="Calibri" w:eastAsia="Calibri" w:hAnsi="Calibri" w:cs="Calibri"/>
                <w:sz w:val="18"/>
              </w:rPr>
              <w:t xml:space="preserve">international standards, no negative impact on the EU competitiveness. </w:t>
            </w:r>
          </w:p>
        </w:tc>
      </w:tr>
      <w:tr w:rsidR="00BB52D7">
        <w:trPr>
          <w:trHeight w:val="1768"/>
        </w:trPr>
        <w:tc>
          <w:tcPr>
            <w:tcW w:w="912" w:type="dxa"/>
            <w:tcBorders>
              <w:top w:val="single" w:sz="4" w:space="0" w:color="000000"/>
              <w:left w:val="single" w:sz="4" w:space="0" w:color="000000"/>
              <w:bottom w:val="single" w:sz="4" w:space="0" w:color="000000"/>
              <w:right w:val="single" w:sz="4" w:space="0" w:color="000000"/>
            </w:tcBorders>
            <w:vAlign w:val="center"/>
          </w:tcPr>
          <w:p w:rsidR="00BB52D7" w:rsidRDefault="00BB52D7">
            <w:pPr>
              <w:spacing w:after="160" w:line="259" w:lineRule="auto"/>
              <w:ind w:left="0" w:firstLine="0"/>
              <w:jc w:val="left"/>
            </w:pPr>
          </w:p>
        </w:tc>
        <w:tc>
          <w:tcPr>
            <w:tcW w:w="2164" w:type="dxa"/>
            <w:tcBorders>
              <w:top w:val="single" w:sz="4" w:space="0" w:color="000000"/>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c>
          <w:tcPr>
            <w:tcW w:w="1617" w:type="dxa"/>
            <w:tcBorders>
              <w:top w:val="single" w:sz="4" w:space="0" w:color="000000"/>
              <w:left w:val="single" w:sz="4" w:space="0" w:color="000000"/>
              <w:bottom w:val="single" w:sz="4" w:space="0" w:color="000000"/>
              <w:right w:val="single" w:sz="4" w:space="0" w:color="000000"/>
            </w:tcBorders>
            <w:vAlign w:val="center"/>
          </w:tcPr>
          <w:p w:rsidR="00BB52D7" w:rsidRDefault="00BB52D7">
            <w:pPr>
              <w:spacing w:after="160" w:line="259" w:lineRule="auto"/>
              <w:ind w:left="0" w:firstLine="0"/>
              <w:jc w:val="left"/>
            </w:pPr>
          </w:p>
        </w:tc>
        <w:tc>
          <w:tcPr>
            <w:tcW w:w="163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47" w:lineRule="auto"/>
              <w:ind w:left="0" w:right="41" w:firstLine="0"/>
              <w:jc w:val="right"/>
            </w:pPr>
            <w:r>
              <w:rPr>
                <w:rFonts w:ascii="Calibri" w:eastAsia="Calibri" w:hAnsi="Calibri" w:cs="Calibri"/>
                <w:sz w:val="18"/>
              </w:rPr>
              <w:t xml:space="preserve">procedures inherent </w:t>
            </w:r>
            <w:r>
              <w:rPr>
                <w:rFonts w:ascii="Calibri" w:eastAsia="Calibri" w:hAnsi="Calibri" w:cs="Calibri"/>
                <w:sz w:val="18"/>
              </w:rPr>
              <w:tab/>
              <w:t xml:space="preserve">in </w:t>
            </w:r>
            <w:r>
              <w:rPr>
                <w:rFonts w:ascii="Calibri" w:eastAsia="Calibri" w:hAnsi="Calibri" w:cs="Calibri"/>
                <w:sz w:val="18"/>
              </w:rPr>
              <w:tab/>
              <w:t xml:space="preserve">this option are already in place and will not </w:t>
            </w:r>
            <w:r>
              <w:rPr>
                <w:rFonts w:ascii="Calibri" w:eastAsia="Calibri" w:hAnsi="Calibri" w:cs="Calibri"/>
                <w:sz w:val="18"/>
              </w:rPr>
              <w:tab/>
              <w:t xml:space="preserve">create </w:t>
            </w:r>
          </w:p>
          <w:p w:rsidR="00BB52D7" w:rsidRDefault="00E33AE6">
            <w:pPr>
              <w:spacing w:after="0" w:line="259" w:lineRule="auto"/>
              <w:ind w:left="0" w:firstLine="0"/>
              <w:jc w:val="left"/>
            </w:pPr>
            <w:r>
              <w:rPr>
                <w:noProof/>
              </w:rPr>
              <w:drawing>
                <wp:inline distT="0" distB="0" distL="0" distR="0">
                  <wp:extent cx="813816" cy="365760"/>
                  <wp:effectExtent l="0" t="0" r="0" b="0"/>
                  <wp:docPr id="233902" name="Picture 233902"/>
                  <wp:cNvGraphicFramePr/>
                  <a:graphic xmlns:a="http://schemas.openxmlformats.org/drawingml/2006/main">
                    <a:graphicData uri="http://schemas.openxmlformats.org/drawingml/2006/picture">
                      <pic:pic xmlns:pic="http://schemas.openxmlformats.org/drawingml/2006/picture">
                        <pic:nvPicPr>
                          <pic:cNvPr id="233902" name="Picture 233902"/>
                          <pic:cNvPicPr/>
                        </pic:nvPicPr>
                        <pic:blipFill>
                          <a:blip r:embed="rId21"/>
                          <a:stretch>
                            <a:fillRect/>
                          </a:stretch>
                        </pic:blipFill>
                        <pic:spPr>
                          <a:xfrm>
                            <a:off x="0" y="0"/>
                            <a:ext cx="813816" cy="365760"/>
                          </a:xfrm>
                          <a:prstGeom prst="rect">
                            <a:avLst/>
                          </a:prstGeom>
                        </pic:spPr>
                      </pic:pic>
                    </a:graphicData>
                  </a:graphic>
                </wp:inline>
              </w:drawing>
            </w:r>
          </w:p>
        </w:tc>
        <w:tc>
          <w:tcPr>
            <w:tcW w:w="1454" w:type="dxa"/>
            <w:tcBorders>
              <w:top w:val="single" w:sz="4" w:space="0" w:color="000000"/>
              <w:left w:val="single" w:sz="4" w:space="0" w:color="000000"/>
              <w:bottom w:val="single" w:sz="4" w:space="0" w:color="000000"/>
              <w:right w:val="single" w:sz="4" w:space="0" w:color="000000"/>
            </w:tcBorders>
            <w:vAlign w:val="bottom"/>
          </w:tcPr>
          <w:p w:rsidR="00BB52D7" w:rsidRDefault="00BB52D7">
            <w:pPr>
              <w:spacing w:after="160" w:line="259" w:lineRule="auto"/>
              <w:ind w:left="0" w:firstLine="0"/>
              <w:jc w:val="left"/>
            </w:pPr>
          </w:p>
        </w:tc>
        <w:tc>
          <w:tcPr>
            <w:tcW w:w="1964" w:type="dxa"/>
            <w:tcBorders>
              <w:top w:val="single" w:sz="4" w:space="0" w:color="000000"/>
              <w:left w:val="single" w:sz="4" w:space="0" w:color="000000"/>
              <w:bottom w:val="single" w:sz="4" w:space="0" w:color="000000"/>
              <w:right w:val="single" w:sz="4" w:space="0" w:color="000000"/>
            </w:tcBorders>
            <w:vAlign w:val="center"/>
          </w:tcPr>
          <w:p w:rsidR="00BB52D7" w:rsidRDefault="00BB52D7">
            <w:pPr>
              <w:spacing w:after="160" w:line="259" w:lineRule="auto"/>
              <w:ind w:left="0" w:firstLine="0"/>
              <w:jc w:val="left"/>
            </w:pPr>
          </w:p>
        </w:tc>
      </w:tr>
    </w:tbl>
    <w:p w:rsidR="00BB52D7" w:rsidRDefault="00E33AE6">
      <w:pPr>
        <w:spacing w:after="293" w:line="264" w:lineRule="auto"/>
        <w:ind w:left="846" w:right="9"/>
        <w:jc w:val="left"/>
      </w:pPr>
      <w:r>
        <w:rPr>
          <w:i/>
          <w:sz w:val="20"/>
        </w:rPr>
        <w:lastRenderedPageBreak/>
        <w:t xml:space="preserve">Magnitude of impact as compared with the baseline scenario: ++strongly positive; + positive; - - strongly negative;- negative; ≈marginal; ? uncertain; n.a. not applicable.  </w:t>
      </w:r>
    </w:p>
    <w:p w:rsidR="00BB52D7" w:rsidRDefault="00E33AE6">
      <w:pPr>
        <w:pStyle w:val="Heading1"/>
        <w:ind w:left="846"/>
      </w:pPr>
      <w:bookmarkStart w:id="21" w:name="_Toc240981"/>
      <w:r>
        <w:rPr>
          <w:sz w:val="24"/>
        </w:rPr>
        <w:t>7.</w:t>
      </w:r>
      <w:r>
        <w:t xml:space="preserve"> </w:t>
      </w:r>
      <w:r>
        <w:rPr>
          <w:sz w:val="24"/>
        </w:rPr>
        <w:t>C</w:t>
      </w:r>
      <w:r>
        <w:t>HOICE OF A LEGAL INSTRUMENT</w:t>
      </w:r>
      <w:r>
        <w:rPr>
          <w:sz w:val="24"/>
        </w:rPr>
        <w:t xml:space="preserve"> </w:t>
      </w:r>
      <w:bookmarkEnd w:id="21"/>
    </w:p>
    <w:p w:rsidR="00BB52D7" w:rsidRDefault="00E33AE6">
      <w:pPr>
        <w:ind w:left="846" w:right="843"/>
      </w:pPr>
      <w:r>
        <w:t>The Union's right to act is discussed in the impa</w:t>
      </w:r>
      <w:r>
        <w:t xml:space="preserve">ct assessment which accompanied the UCITS V Directive. In sum, the UCITS V aims at providing a clear and consistent framework for the regulation and supervision of UCITS in the EU and at further contributing to the creation of a single European market for </w:t>
      </w:r>
      <w:r>
        <w:t xml:space="preserve">UCITS in line with the legal base underpinning EU legislation in this area (Article 53(1) TFEU). </w:t>
      </w:r>
    </w:p>
    <w:p w:rsidR="00BB52D7" w:rsidRDefault="00E33AE6">
      <w:pPr>
        <w:ind w:left="846" w:right="843"/>
      </w:pPr>
      <w:r>
        <w:t>Drawing guidance from these overarching objectives there is a clearly perceived need to have a uniform set of rules binding depositories, which delegate custo</w:t>
      </w:r>
      <w:r>
        <w:t>dy of UCITS assets to third parties or which operate in a setting liable to undermine their independence. This is why instead of relying on a co-existence of different national regulations the Commission was tasked with the adoption of common rules coverin</w:t>
      </w:r>
      <w:r>
        <w:t xml:space="preserve">g all regulatory aspects listed in Annex 10, which are not discussed in this impact assessment.  </w:t>
      </w:r>
    </w:p>
    <w:p w:rsidR="00BB52D7" w:rsidRDefault="00E33AE6">
      <w:pPr>
        <w:ind w:left="846" w:right="843"/>
      </w:pPr>
      <w:r>
        <w:t>Most of the UCITS V empowerments, except for Article 25(2) UCITS, to a large extent mirror the provisions on depositaries provided in the AIFMD. Owning to the</w:t>
      </w:r>
      <w:r>
        <w:t xml:space="preserve"> fact that the delegated act adopted to supplement the AIFMD is a Regulation (Delegated Regulation 231/2013), the rules imposed on UCITS depositaries should be presented in the same legal form in order to ensure the same level of investor protection. There</w:t>
      </w:r>
      <w:r>
        <w:t xml:space="preserve"> are a number of other good reasons why the Commission should discharge this duty by adopting a Regulation.  </w:t>
      </w:r>
    </w:p>
    <w:p w:rsidR="00BB52D7" w:rsidRDefault="00E33AE6">
      <w:pPr>
        <w:ind w:left="846" w:right="843"/>
      </w:pPr>
      <w:r>
        <w:t>First and foremost, a directly applicable legal act would provide all those concerned with a clear set of uniform rules and ensure an effective an</w:t>
      </w:r>
      <w:r>
        <w:t xml:space="preserve">d comparable level of UCITS investor protection across the Union. This is due to an important advantage of Regulations that they do not require transposition. Directly applicable rules bring an immediate clarity on the legal requirements and substantially </w:t>
      </w:r>
      <w:r>
        <w:t xml:space="preserve">contribute to legal certainty.  </w:t>
      </w:r>
    </w:p>
    <w:p w:rsidR="00BB52D7" w:rsidRDefault="00E33AE6">
      <w:pPr>
        <w:ind w:left="846" w:right="843"/>
      </w:pPr>
      <w:r>
        <w:t xml:space="preserve">Secondly, since a Regulation does not require transposition, any future modifications of the regulation would be brought about more quickly than having to wait for transposition of the EU law by national legislators.  </w:t>
      </w:r>
    </w:p>
    <w:p w:rsidR="00BB52D7" w:rsidRDefault="00E33AE6">
      <w:pPr>
        <w:ind w:left="846" w:right="843"/>
      </w:pPr>
      <w:r>
        <w:t>It w</w:t>
      </w:r>
      <w:r>
        <w:t>ould be effective to discharge the empowerment concerning the 'independent action' laid down in Article 25(2) UCITS in the same legal text. Having all rules applicable to depositaries in the same legal act would contribute to legal clarity for market parti</w:t>
      </w:r>
      <w:r>
        <w:t xml:space="preserve">cipants,   </w:t>
      </w:r>
    </w:p>
    <w:p w:rsidR="00BB52D7" w:rsidRDefault="00E33AE6">
      <w:pPr>
        <w:ind w:left="846" w:right="843"/>
      </w:pPr>
      <w:r>
        <w:t xml:space="preserve">Therefore a Regulation seems to be the best instrument for avoiding any possible conflicts of interest between asset managers and their depositaries.   </w:t>
      </w:r>
    </w:p>
    <w:p w:rsidR="00BB52D7" w:rsidRDefault="00E33AE6">
      <w:pPr>
        <w:ind w:left="846" w:right="843"/>
      </w:pPr>
      <w:r>
        <w:t>Against these considerations, and taking into account that all other empowerments under UCITS V will be adopted in the form of a Regulation, the Commission services consider a Regulation rather than a Directive to be the most appropriate instrument for def</w:t>
      </w:r>
      <w:r>
        <w:t xml:space="preserve">ining the meaning of the term “acting independently”. </w:t>
      </w:r>
    </w:p>
    <w:p w:rsidR="00BB52D7" w:rsidRDefault="00E33AE6">
      <w:pPr>
        <w:spacing w:after="274"/>
        <w:ind w:left="846" w:right="843"/>
      </w:pPr>
      <w:r>
        <w:t xml:space="preserve">The legal basis for action at level 2 is provided (and delineated) by the power of the Commission to adopt delegated acts in Article 112a of the UCITS Directive (as amended by UCITS V). </w:t>
      </w:r>
    </w:p>
    <w:p w:rsidR="00BB52D7" w:rsidRDefault="00E33AE6">
      <w:pPr>
        <w:pStyle w:val="Heading1"/>
        <w:ind w:left="846"/>
      </w:pPr>
      <w:bookmarkStart w:id="22" w:name="_Toc240982"/>
      <w:r>
        <w:rPr>
          <w:sz w:val="24"/>
        </w:rPr>
        <w:lastRenderedPageBreak/>
        <w:t>6</w:t>
      </w:r>
      <w:r>
        <w:rPr>
          <w:rFonts w:ascii="Arial" w:eastAsia="Arial" w:hAnsi="Arial" w:cs="Arial"/>
          <w:sz w:val="24"/>
        </w:rPr>
        <w:t xml:space="preserve"> </w:t>
      </w:r>
      <w:r>
        <w:rPr>
          <w:sz w:val="24"/>
        </w:rPr>
        <w:t>M</w:t>
      </w:r>
      <w:r>
        <w:t xml:space="preserve">ONITORING AND EVALUATION </w:t>
      </w:r>
      <w:r>
        <w:rPr>
          <w:sz w:val="24"/>
        </w:rPr>
        <w:t xml:space="preserve"> </w:t>
      </w:r>
      <w:bookmarkEnd w:id="22"/>
    </w:p>
    <w:p w:rsidR="00BB52D7" w:rsidRDefault="00E33AE6">
      <w:pPr>
        <w:spacing w:after="0"/>
        <w:ind w:left="846" w:right="843"/>
      </w:pPr>
      <w:r>
        <w:t>In its role as the guardian of the Treaties, the Commission's services shall duly monitor Member States’ application of the delegated acts adopted under the UCITS Directive. Failing this, the Commission shall pursue Article 258 T</w:t>
      </w:r>
      <w:r>
        <w:t>FEU against those Member States that fail to fulfil their obligations under the Treaties. The monitoring shall rely on a constant dialogue with Member States through ESMA and with a vast stakeholder network including market participants (i.e. fund manageme</w:t>
      </w:r>
      <w:r>
        <w:t xml:space="preserve">nt companies, depositaries, and their relative industry associations) and investors via their representative bodies. </w:t>
      </w:r>
    </w:p>
    <w:p w:rsidR="00BB52D7" w:rsidRDefault="00E33AE6">
      <w:pPr>
        <w:spacing w:after="0"/>
        <w:ind w:left="846" w:right="843"/>
      </w:pPr>
      <w:r>
        <w:t>It will be necessary to monitor permanently the effects of the Delegated Regulation from its entry into application in order to ensure tha</w:t>
      </w:r>
      <w:r>
        <w:t xml:space="preserve">t everything works smoothly without adverse impacts on specific stakeholders. </w:t>
      </w:r>
    </w:p>
    <w:p w:rsidR="00BB52D7" w:rsidRDefault="00E33AE6">
      <w:pPr>
        <w:spacing w:after="0" w:line="259" w:lineRule="auto"/>
        <w:ind w:left="851" w:firstLine="0"/>
        <w:jc w:val="left"/>
      </w:pPr>
      <w:r>
        <w:t xml:space="preserve"> </w:t>
      </w:r>
    </w:p>
    <w:p w:rsidR="00BB52D7" w:rsidRDefault="00E33AE6">
      <w:pPr>
        <w:spacing w:after="0"/>
        <w:ind w:left="846" w:right="843"/>
      </w:pPr>
      <w:r>
        <w:t xml:space="preserve">Several indicators should be taken into account during the monitoring and evaluation of the level 2 measures such as: </w:t>
      </w:r>
    </w:p>
    <w:p w:rsidR="00BB52D7" w:rsidRDefault="00E33AE6">
      <w:pPr>
        <w:numPr>
          <w:ilvl w:val="0"/>
          <w:numId w:val="15"/>
        </w:numPr>
        <w:spacing w:after="0"/>
        <w:ind w:right="843" w:hanging="360"/>
      </w:pPr>
      <w:r>
        <w:t>The number of claims received via the whistleblowing cha</w:t>
      </w:r>
      <w:r>
        <w:t xml:space="preserve">nnel or via other channels from board members.  </w:t>
      </w:r>
    </w:p>
    <w:p w:rsidR="00BB52D7" w:rsidRDefault="00E33AE6">
      <w:pPr>
        <w:numPr>
          <w:ilvl w:val="0"/>
          <w:numId w:val="15"/>
        </w:numPr>
        <w:spacing w:after="10"/>
        <w:ind w:right="843" w:hanging="360"/>
      </w:pPr>
      <w:r>
        <w:t xml:space="preserve">The number of enforcement procedures and sanctions. </w:t>
      </w:r>
    </w:p>
    <w:p w:rsidR="00BB52D7" w:rsidRDefault="00E33AE6">
      <w:pPr>
        <w:numPr>
          <w:ilvl w:val="0"/>
          <w:numId w:val="15"/>
        </w:numPr>
        <w:spacing w:after="10"/>
        <w:ind w:right="843" w:hanging="360"/>
      </w:pPr>
      <w:r>
        <w:t xml:space="preserve">The number of board members removed. </w:t>
      </w:r>
    </w:p>
    <w:p w:rsidR="00BB52D7" w:rsidRDefault="00E33AE6">
      <w:pPr>
        <w:numPr>
          <w:ilvl w:val="0"/>
          <w:numId w:val="15"/>
        </w:numPr>
        <w:spacing w:after="0"/>
        <w:ind w:right="843" w:hanging="360"/>
      </w:pPr>
      <w:r>
        <w:t>The number of time that the national competent authority has used its interventions powers on the specific issues re</w:t>
      </w:r>
      <w:r>
        <w:t xml:space="preserve">lating to this impact assessment. </w:t>
      </w:r>
    </w:p>
    <w:p w:rsidR="00BB52D7" w:rsidRDefault="00E33AE6">
      <w:pPr>
        <w:spacing w:after="0" w:line="259" w:lineRule="auto"/>
        <w:ind w:left="851" w:firstLine="0"/>
        <w:jc w:val="left"/>
      </w:pPr>
      <w:r>
        <w:t xml:space="preserve"> </w:t>
      </w:r>
    </w:p>
    <w:p w:rsidR="00BB52D7" w:rsidRDefault="00E33AE6">
      <w:pPr>
        <w:spacing w:after="10"/>
        <w:ind w:left="846" w:right="843"/>
      </w:pPr>
      <w:r>
        <w:t xml:space="preserve">In particular achieving of the following objectives is to be monitored: </w:t>
      </w:r>
    </w:p>
    <w:p w:rsidR="00BB52D7" w:rsidRDefault="00E33AE6">
      <w:pPr>
        <w:numPr>
          <w:ilvl w:val="0"/>
          <w:numId w:val="16"/>
        </w:numPr>
        <w:spacing w:after="10"/>
        <w:ind w:right="843" w:hanging="360"/>
      </w:pPr>
      <w:r>
        <w:t xml:space="preserve">ensuring insolvency protection of UCITS assets; </w:t>
      </w:r>
    </w:p>
    <w:p w:rsidR="00BB52D7" w:rsidRDefault="00E33AE6">
      <w:pPr>
        <w:numPr>
          <w:ilvl w:val="0"/>
          <w:numId w:val="16"/>
        </w:numPr>
        <w:spacing w:after="12"/>
        <w:ind w:right="843" w:hanging="360"/>
      </w:pPr>
      <w:r>
        <w:t>protecting UCITS investors interest by ensuring that management/investment company and the deposi</w:t>
      </w:r>
      <w:r>
        <w:t xml:space="preserve">tary/ custodian act independently of management/investment UCITS company from the depository; </w:t>
      </w:r>
    </w:p>
    <w:p w:rsidR="00BB52D7" w:rsidRDefault="00E33AE6">
      <w:pPr>
        <w:numPr>
          <w:ilvl w:val="0"/>
          <w:numId w:val="16"/>
        </w:numPr>
        <w:spacing w:after="10"/>
        <w:ind w:right="843" w:hanging="360"/>
      </w:pPr>
      <w:r>
        <w:t xml:space="preserve">ensuring cross-sectoral consistency. </w:t>
      </w:r>
    </w:p>
    <w:p w:rsidR="00BB52D7" w:rsidRDefault="00E33AE6">
      <w:pPr>
        <w:spacing w:after="0" w:line="259" w:lineRule="auto"/>
        <w:ind w:left="851" w:firstLine="0"/>
        <w:jc w:val="left"/>
      </w:pPr>
      <w:r>
        <w:t xml:space="preserve"> </w:t>
      </w:r>
    </w:p>
    <w:p w:rsidR="00BB52D7" w:rsidRDefault="00E33AE6">
      <w:pPr>
        <w:spacing w:after="29"/>
        <w:ind w:left="846" w:right="843"/>
      </w:pPr>
      <w:r>
        <w:t xml:space="preserve">The evaluation shall be carried out by the Commission's services, in cooperation with ESMA and/or with the aid of external consultants for the purpose of measuring those more specific aspects tied to the application of the regulation. The evaluation shall </w:t>
      </w:r>
      <w:r>
        <w:t xml:space="preserve">concentrate its attention on the following aspects in particular: </w:t>
      </w:r>
    </w:p>
    <w:p w:rsidR="00BB52D7" w:rsidRDefault="00E33AE6">
      <w:pPr>
        <w:numPr>
          <w:ilvl w:val="0"/>
          <w:numId w:val="16"/>
        </w:numPr>
        <w:spacing w:after="10"/>
        <w:ind w:right="843" w:hanging="360"/>
      </w:pPr>
      <w:r>
        <w:t xml:space="preserve">Estimate of a depositary’s operating costs resulting from the conditions on custody delegation and assess whether the obligations set sufficiently provide consumer protection; </w:t>
      </w:r>
    </w:p>
    <w:p w:rsidR="00BB52D7" w:rsidRDefault="00E33AE6">
      <w:pPr>
        <w:numPr>
          <w:ilvl w:val="0"/>
          <w:numId w:val="16"/>
        </w:numPr>
        <w:ind w:right="843" w:hanging="360"/>
      </w:pPr>
      <w:r>
        <w:t xml:space="preserve">Estimate of </w:t>
      </w:r>
      <w:r>
        <w:t>the costs due to the organizational and functional changes of the depositories and management/investment companies carried out in order to ensure that they act independently and whether the set of rules imposed achieve the objective of consumer protection.</w:t>
      </w:r>
      <w:r>
        <w:t xml:space="preserve"> </w:t>
      </w:r>
    </w:p>
    <w:p w:rsidR="00BB52D7" w:rsidRDefault="00E33AE6">
      <w:pPr>
        <w:spacing w:after="0" w:line="259" w:lineRule="auto"/>
        <w:ind w:left="1211" w:firstLine="0"/>
        <w:jc w:val="left"/>
      </w:pPr>
      <w:r>
        <w:rPr>
          <w:b/>
          <w:color w:val="222222"/>
        </w:rPr>
        <w:t xml:space="preserve"> </w:t>
      </w:r>
    </w:p>
    <w:p w:rsidR="00BB52D7" w:rsidRDefault="00E33AE6">
      <w:pPr>
        <w:pStyle w:val="Heading1"/>
        <w:spacing w:after="108" w:line="248" w:lineRule="auto"/>
        <w:ind w:left="861"/>
        <w:jc w:val="both"/>
      </w:pPr>
      <w:bookmarkStart w:id="23" w:name="_Toc240983"/>
      <w:r>
        <w:rPr>
          <w:sz w:val="24"/>
        </w:rPr>
        <w:t>ANNEXES</w:t>
      </w:r>
      <w:r>
        <w:t xml:space="preserve"> </w:t>
      </w:r>
      <w:r>
        <w:rPr>
          <w:sz w:val="24"/>
        </w:rPr>
        <w:t xml:space="preserve"> </w:t>
      </w:r>
      <w:bookmarkEnd w:id="23"/>
    </w:p>
    <w:p w:rsidR="00BB52D7" w:rsidRDefault="00E33AE6">
      <w:pPr>
        <w:pStyle w:val="Heading2"/>
        <w:spacing w:after="10" w:line="249" w:lineRule="auto"/>
        <w:ind w:left="1221" w:right="576"/>
      </w:pPr>
      <w:bookmarkStart w:id="24" w:name="_Toc240984"/>
      <w:r>
        <w:rPr>
          <w:i w:val="0"/>
          <w:color w:val="222222"/>
          <w:u w:val="none"/>
        </w:rPr>
        <w:t xml:space="preserve">Annex 1: Glossary </w:t>
      </w:r>
      <w:bookmarkEnd w:id="24"/>
    </w:p>
    <w:p w:rsidR="00BB52D7" w:rsidRDefault="00E33AE6">
      <w:pPr>
        <w:spacing w:after="93" w:line="259" w:lineRule="auto"/>
        <w:ind w:left="851" w:firstLine="0"/>
        <w:jc w:val="left"/>
      </w:pPr>
      <w:r>
        <w:rPr>
          <w:b/>
        </w:rPr>
        <w:t xml:space="preserve"> </w:t>
      </w:r>
    </w:p>
    <w:p w:rsidR="00BB52D7" w:rsidRDefault="00E33AE6">
      <w:pPr>
        <w:spacing w:after="109"/>
        <w:ind w:left="846" w:right="843"/>
      </w:pPr>
      <w:r>
        <w:rPr>
          <w:b/>
        </w:rPr>
        <w:t>Alternative Investment Fund (AIF):</w:t>
      </w:r>
      <w:r>
        <w:t xml:space="preserve"> is a legal structure to pool assets and hold investments. It usually has no economic life on its own; the key decisions in relation to the management and marketing of AIF are taken by th</w:t>
      </w:r>
      <w:r>
        <w:t xml:space="preserve">e AIFM. AIF span a wide range of legal structures, including closed and open-end funds and partnerships. </w:t>
      </w:r>
    </w:p>
    <w:p w:rsidR="00BB52D7" w:rsidRDefault="00E33AE6">
      <w:pPr>
        <w:spacing w:after="109"/>
        <w:ind w:left="846" w:right="843"/>
      </w:pPr>
      <w:r>
        <w:rPr>
          <w:b/>
        </w:rPr>
        <w:lastRenderedPageBreak/>
        <w:t>Alternative Investment Fund Manager (AIFM)</w:t>
      </w:r>
      <w:r>
        <w:t>: is responsible for the management of investment portfolios of AIF. Typical tasks include, for example, the</w:t>
      </w:r>
      <w:r>
        <w:t xml:space="preserve"> provision of internal governance structures, risk management, the delegation of functions to third parties and relations with investors. </w:t>
      </w:r>
    </w:p>
    <w:p w:rsidR="00BB52D7" w:rsidRDefault="00E33AE6">
      <w:pPr>
        <w:spacing w:after="109"/>
        <w:ind w:left="846" w:right="843"/>
      </w:pPr>
      <w:r>
        <w:rPr>
          <w:b/>
        </w:rPr>
        <w:t>Assets under management</w:t>
      </w:r>
      <w:r>
        <w:t xml:space="preserve">: value of assets that an investment company manages on behalf of investors. </w:t>
      </w:r>
    </w:p>
    <w:p w:rsidR="00BB52D7" w:rsidRDefault="00E33AE6">
      <w:pPr>
        <w:pStyle w:val="Heading6"/>
        <w:spacing w:after="12"/>
        <w:ind w:right="0"/>
        <w:jc w:val="both"/>
      </w:pPr>
      <w:r>
        <w:rPr>
          <w:i w:val="0"/>
          <w:u w:val="none"/>
        </w:rPr>
        <w:t>Centralized secu</w:t>
      </w:r>
      <w:r>
        <w:rPr>
          <w:i w:val="0"/>
          <w:u w:val="none"/>
        </w:rPr>
        <w:t>rities depository</w:t>
      </w:r>
      <w:r>
        <w:rPr>
          <w:b w:val="0"/>
          <w:i w:val="0"/>
          <w:u w:val="none"/>
        </w:rPr>
        <w:t xml:space="preserve">: an entity that </w:t>
      </w:r>
    </w:p>
    <w:p w:rsidR="00BB52D7" w:rsidRDefault="00E33AE6">
      <w:pPr>
        <w:numPr>
          <w:ilvl w:val="0"/>
          <w:numId w:val="17"/>
        </w:numPr>
        <w:spacing w:after="10"/>
        <w:ind w:right="843" w:hanging="260"/>
      </w:pPr>
      <w:r>
        <w:t xml:space="preserve">enables securities transactions to be processed and settled by book entry </w:t>
      </w:r>
    </w:p>
    <w:p w:rsidR="00BB52D7" w:rsidRDefault="00E33AE6">
      <w:pPr>
        <w:numPr>
          <w:ilvl w:val="0"/>
          <w:numId w:val="17"/>
        </w:numPr>
        <w:spacing w:after="10"/>
        <w:ind w:right="843" w:hanging="260"/>
      </w:pPr>
      <w:r>
        <w:t xml:space="preserve">provides custodial services (e.g. the administration of corporate actions and redemptions) </w:t>
      </w:r>
    </w:p>
    <w:p w:rsidR="00BB52D7" w:rsidRDefault="00E33AE6">
      <w:pPr>
        <w:numPr>
          <w:ilvl w:val="0"/>
          <w:numId w:val="17"/>
        </w:numPr>
        <w:spacing w:after="10"/>
        <w:ind w:right="843" w:hanging="260"/>
      </w:pPr>
      <w:r>
        <w:t xml:space="preserve">plays an active role in ensuring the integrity of securities issues </w:t>
      </w:r>
    </w:p>
    <w:p w:rsidR="00BB52D7" w:rsidRDefault="00E33AE6">
      <w:pPr>
        <w:spacing w:after="109"/>
        <w:ind w:left="846" w:right="843"/>
      </w:pPr>
      <w:r>
        <w:t xml:space="preserve">Securities can be held in a physical (but immobilised) form or in a dematerialised form (whereby they exist only as electronic records) </w:t>
      </w:r>
    </w:p>
    <w:p w:rsidR="00BB52D7" w:rsidRDefault="00E33AE6">
      <w:pPr>
        <w:spacing w:after="110"/>
        <w:ind w:left="846" w:right="843"/>
      </w:pPr>
      <w:r>
        <w:rPr>
          <w:b/>
        </w:rPr>
        <w:t>Competent authority</w:t>
      </w:r>
      <w:r>
        <w:t>: Any organization that has the</w:t>
      </w:r>
      <w:r>
        <w:t xml:space="preserve"> legally delegated or invested authority, capacity, or power to perform a designated function. In the context of AIFMD, it refers to the body which is in charge of supervising securities markets. </w:t>
      </w:r>
    </w:p>
    <w:p w:rsidR="00BB52D7" w:rsidRDefault="00E33AE6">
      <w:pPr>
        <w:spacing w:after="109"/>
        <w:ind w:left="846" w:right="843"/>
      </w:pPr>
      <w:r>
        <w:rPr>
          <w:b/>
        </w:rPr>
        <w:t>Custodian</w:t>
      </w:r>
      <w:r>
        <w:t>: an entity, often a credit institution, which act</w:t>
      </w:r>
      <w:r>
        <w:t xml:space="preserve">s as "account provider" and provides securities custody services to its customers, i.e. holding and administration of securities owned by a third party. </w:t>
      </w:r>
    </w:p>
    <w:p w:rsidR="00BB52D7" w:rsidRDefault="00E33AE6">
      <w:pPr>
        <w:spacing w:after="109"/>
        <w:ind w:left="846" w:right="843"/>
      </w:pPr>
      <w:r>
        <w:rPr>
          <w:b/>
        </w:rPr>
        <w:t>Depositary</w:t>
      </w:r>
      <w:r>
        <w:t>: a credit institution that keeps assets or securities on behalf of a client, e.g. an AIF. T</w:t>
      </w:r>
      <w:r>
        <w:t xml:space="preserve">he depositary has two primary functions: to safe-keep the AIF's assets and to oversee its compliance with the AIF rules and with applicable law and regulation.  </w:t>
      </w:r>
    </w:p>
    <w:p w:rsidR="00BB52D7" w:rsidRDefault="00E33AE6">
      <w:pPr>
        <w:spacing w:after="109"/>
        <w:ind w:left="846" w:right="843"/>
      </w:pPr>
      <w:r>
        <w:rPr>
          <w:b/>
        </w:rPr>
        <w:t>ESMA</w:t>
      </w:r>
      <w:r>
        <w:t xml:space="preserve">: The European Securities and Markets Authority is the successor body to CESR, continuing </w:t>
      </w:r>
      <w:r>
        <w:t xml:space="preserve">work in the securities and markets area as an independent agency and also with the other two former level three committees. </w:t>
      </w:r>
      <w:r>
        <w:rPr>
          <w:color w:val="0000FF"/>
          <w:u w:val="single" w:color="0000FF"/>
        </w:rPr>
        <w:t>http://www.esma.europa.eu</w:t>
      </w:r>
      <w:r>
        <w:t xml:space="preserve">  </w:t>
      </w:r>
    </w:p>
    <w:p w:rsidR="00BB52D7" w:rsidRDefault="00E33AE6">
      <w:pPr>
        <w:spacing w:after="109"/>
        <w:ind w:left="846" w:right="843"/>
      </w:pPr>
      <w:r>
        <w:rPr>
          <w:b/>
        </w:rPr>
        <w:t>Liability</w:t>
      </w:r>
      <w:r>
        <w:t>: an entity's legal debts or obligations that arise during the course of business operations. R</w:t>
      </w:r>
      <w:r>
        <w:t xml:space="preserve">ecorded like asset and equity on the balance sheet, liabilities include loans, mortgages or any duty that entails settlement by future transfer. </w:t>
      </w:r>
    </w:p>
    <w:p w:rsidR="00BB52D7" w:rsidRDefault="00E33AE6">
      <w:pPr>
        <w:spacing w:after="109"/>
        <w:ind w:left="846" w:right="843"/>
      </w:pPr>
      <w:r>
        <w:rPr>
          <w:b/>
        </w:rPr>
        <w:t>Management body</w:t>
      </w:r>
      <w:r>
        <w:t>: a body with ultimate decision-making authority in a management/investment company or deposita</w:t>
      </w:r>
      <w:r>
        <w:t>ry, comprising the supervisory and the managerial functions, or only the managerial function if the two functions are separated. Where, according to national law, the management company, investment company or depositary has in place different bodies with s</w:t>
      </w:r>
      <w:r>
        <w:t>pecific functions, the requirements laid down in this Directive directed at the management body or at the management body in its supervisory function shall also, or shall instead, apply to those members of other bodies of the management company, investment</w:t>
      </w:r>
      <w:r>
        <w:t xml:space="preserve"> company or depositary to whom the applicable national law assigns the respective responsibility. </w:t>
      </w:r>
    </w:p>
    <w:p w:rsidR="00BB52D7" w:rsidRDefault="00E33AE6">
      <w:pPr>
        <w:spacing w:after="0"/>
        <w:ind w:left="846" w:right="843"/>
      </w:pPr>
      <w:r>
        <w:rPr>
          <w:b/>
        </w:rPr>
        <w:t>Net Asset Value</w:t>
      </w:r>
      <w:r>
        <w:t xml:space="preserve">: value of a fund's total assets, minus its liabilities. The NAV per share is used to determine prices available to investors for redemptions </w:t>
      </w:r>
      <w:r>
        <w:t xml:space="preserve">and subscriptions. </w:t>
      </w:r>
    </w:p>
    <w:p w:rsidR="00BB52D7" w:rsidRDefault="00E33AE6">
      <w:pPr>
        <w:spacing w:after="109"/>
        <w:ind w:left="846" w:right="843"/>
      </w:pPr>
      <w:r>
        <w:rPr>
          <w:b/>
        </w:rPr>
        <w:t>Safekeeping</w:t>
      </w:r>
      <w:r>
        <w:t xml:space="preserve">: the keeping of assets by a financial institution; the act of holding client's securities or other assets on its behalf. </w:t>
      </w:r>
    </w:p>
    <w:p w:rsidR="00BB52D7" w:rsidRDefault="00E33AE6">
      <w:pPr>
        <w:spacing w:after="109"/>
        <w:ind w:left="846" w:right="843"/>
      </w:pPr>
      <w:r>
        <w:rPr>
          <w:b/>
        </w:rPr>
        <w:t>Segregation</w:t>
      </w:r>
      <w:r>
        <w:t>: a method of protecting a client's assets by holding them separately from those of the cus</w:t>
      </w:r>
      <w:r>
        <w:t xml:space="preserve">todian (or other clients, as the case may be). </w:t>
      </w:r>
    </w:p>
    <w:p w:rsidR="00BB52D7" w:rsidRDefault="00E33AE6">
      <w:pPr>
        <w:spacing w:after="109"/>
        <w:ind w:left="846" w:right="843"/>
      </w:pPr>
      <w:r>
        <w:rPr>
          <w:b/>
        </w:rPr>
        <w:t>Settlement</w:t>
      </w:r>
      <w:r>
        <w:t xml:space="preserve">: the completion of a transaction or of processing with the aim of discharging participants' obligations through the transfer of funds and/or securities. A settlement may be final or provisional.  </w:t>
      </w:r>
    </w:p>
    <w:p w:rsidR="00BB52D7" w:rsidRDefault="00E33AE6">
      <w:pPr>
        <w:spacing w:after="109"/>
        <w:ind w:left="846" w:right="843"/>
      </w:pPr>
      <w:r>
        <w:rPr>
          <w:b/>
        </w:rPr>
        <w:lastRenderedPageBreak/>
        <w:t>Sub-custodian</w:t>
      </w:r>
      <w:r>
        <w:t xml:space="preserve">: any company/institution providing custody administration services on behalf of other custodians who may not have an operation in the country concerned. </w:t>
      </w:r>
    </w:p>
    <w:p w:rsidR="00BB52D7" w:rsidRDefault="00E33AE6">
      <w:pPr>
        <w:spacing w:after="109"/>
        <w:ind w:left="846" w:right="843"/>
      </w:pPr>
      <w:r>
        <w:rPr>
          <w:b/>
        </w:rPr>
        <w:t>Systemic risk</w:t>
      </w:r>
      <w:r>
        <w:t>: the risk that the inability of one participant to meet its obligations in</w:t>
      </w:r>
      <w:r>
        <w:t xml:space="preserve"> a system will cause other participants to be unable to meet their obligations when they become due, potentially with spill over effects (e.g. significant liquidity or credit problems) threatening the stability of or confidence in the financial system. Tha</w:t>
      </w:r>
      <w:r>
        <w:t xml:space="preserve">t inability to meet obligations can be caused by operational or financial problems. </w:t>
      </w:r>
    </w:p>
    <w:p w:rsidR="00BB52D7" w:rsidRDefault="00E33AE6">
      <w:pPr>
        <w:spacing w:after="109"/>
        <w:ind w:left="846" w:right="843"/>
      </w:pPr>
      <w:r>
        <w:rPr>
          <w:b/>
        </w:rPr>
        <w:t>Transferable security</w:t>
      </w:r>
      <w:r>
        <w:t xml:space="preserve">: means classes of securities which are negotiable on the capital market with the exception of instruments of payment. </w:t>
      </w:r>
    </w:p>
    <w:p w:rsidR="00BB52D7" w:rsidRDefault="00E33AE6">
      <w:pPr>
        <w:spacing w:after="109"/>
        <w:ind w:left="846" w:right="843"/>
      </w:pPr>
      <w:r>
        <w:rPr>
          <w:b/>
        </w:rPr>
        <w:t>UCITS</w:t>
      </w:r>
      <w:r>
        <w:t>: Undertakings for Collec</w:t>
      </w:r>
      <w:r>
        <w:t xml:space="preserve">tive Investment in Transferable Securities Directives, a standardised and regulated type of asset pooling. </w:t>
      </w:r>
    </w:p>
    <w:p w:rsidR="00BB52D7" w:rsidRDefault="00E33AE6">
      <w:pPr>
        <w:spacing w:after="110"/>
        <w:ind w:left="846" w:right="843"/>
      </w:pPr>
      <w:r>
        <w:rPr>
          <w:b/>
        </w:rPr>
        <w:t>Underlying asset</w:t>
      </w:r>
      <w:r>
        <w:t>: is a term used in derivatives trading, such as with options. A derivative is a financial instrument whose price is based (derived)</w:t>
      </w:r>
      <w:r>
        <w:t xml:space="preserve"> from a different asset. The underlying asset is the financial instrument (e.g., stock, futures, commodity, currency or index) on which a derivative's price is based.  </w:t>
      </w:r>
    </w:p>
    <w:p w:rsidR="00BB52D7" w:rsidRDefault="00E33AE6">
      <w:pPr>
        <w:spacing w:after="0" w:line="259" w:lineRule="auto"/>
        <w:ind w:left="851" w:firstLine="0"/>
        <w:jc w:val="left"/>
      </w:pPr>
      <w:r>
        <w:t xml:space="preserve"> </w:t>
      </w:r>
    </w:p>
    <w:p w:rsidR="00BB52D7" w:rsidRDefault="00E33AE6">
      <w:pPr>
        <w:spacing w:after="98" w:line="259" w:lineRule="auto"/>
        <w:ind w:left="851" w:firstLine="0"/>
        <w:jc w:val="left"/>
      </w:pPr>
      <w:r>
        <w:t xml:space="preserve"> </w:t>
      </w:r>
    </w:p>
    <w:p w:rsidR="00BB52D7" w:rsidRDefault="00E33AE6">
      <w:pPr>
        <w:pStyle w:val="Heading2"/>
        <w:spacing w:after="228" w:line="249" w:lineRule="auto"/>
        <w:ind w:left="1221" w:right="576"/>
      </w:pPr>
      <w:bookmarkStart w:id="25" w:name="_Toc240985"/>
      <w:r>
        <w:rPr>
          <w:i w:val="0"/>
          <w:color w:val="222222"/>
          <w:u w:val="none"/>
        </w:rPr>
        <w:t xml:space="preserve">Annex 2: Short description of the UCITS Directives and scope and timetable of the </w:t>
      </w:r>
      <w:bookmarkEnd w:id="25"/>
    </w:p>
    <w:p w:rsidR="00BB52D7" w:rsidRDefault="00E33AE6">
      <w:pPr>
        <w:pStyle w:val="Heading3"/>
        <w:spacing w:after="228" w:line="249" w:lineRule="auto"/>
        <w:ind w:left="1221" w:right="576"/>
      </w:pPr>
      <w:bookmarkStart w:id="26" w:name="_Toc240986"/>
      <w:r>
        <w:rPr>
          <w:i w:val="0"/>
          <w:color w:val="222222"/>
          <w:u w:val="none"/>
        </w:rPr>
        <w:t xml:space="preserve">level 2 work  </w:t>
      </w:r>
      <w:bookmarkEnd w:id="26"/>
    </w:p>
    <w:p w:rsidR="00BB52D7" w:rsidRDefault="00E33AE6">
      <w:pPr>
        <w:pStyle w:val="Heading6"/>
        <w:spacing w:after="229"/>
        <w:ind w:left="1939" w:right="0"/>
        <w:jc w:val="both"/>
      </w:pPr>
      <w:r>
        <w:rPr>
          <w:i w:val="0"/>
          <w:u w:val="none"/>
        </w:rPr>
        <w:t>1.</w:t>
      </w:r>
      <w:r>
        <w:rPr>
          <w:rFonts w:ascii="Arial" w:eastAsia="Arial" w:hAnsi="Arial" w:cs="Arial"/>
          <w:i w:val="0"/>
          <w:u w:val="none"/>
        </w:rPr>
        <w:t xml:space="preserve"> </w:t>
      </w:r>
      <w:r>
        <w:rPr>
          <w:i w:val="0"/>
          <w:u w:val="none"/>
        </w:rPr>
        <w:t xml:space="preserve">The UCITS Directives  </w:t>
      </w:r>
    </w:p>
    <w:p w:rsidR="00BB52D7" w:rsidRDefault="00E33AE6">
      <w:pPr>
        <w:ind w:left="846" w:right="843"/>
      </w:pPr>
      <w:r>
        <w:t>The UCITS Directive provides for harmonised requirements for entities engaged in the management and marketing of UCITS to investors in the EU. UCITS and their management companies have to be authorised, and in order to obtain this authorisation they have t</w:t>
      </w:r>
      <w:r>
        <w:t>o comply with the requirements of the Directive. Authorisation of a UCITS is granted once the home Member State of a UCITS is satisfied that the requirements on own capital, risk management, investment policies, redemptions, obligation regarding the deposi</w:t>
      </w:r>
      <w:r>
        <w:t xml:space="preserve">tary are satisfied.   </w:t>
      </w:r>
    </w:p>
    <w:p w:rsidR="00BB52D7" w:rsidRDefault="00E33AE6">
      <w:pPr>
        <w:ind w:left="846" w:right="843"/>
      </w:pPr>
      <w:r>
        <w:t xml:space="preserve">The UCITS Directive has amended the UCITS Directive in the areas of depositaries, remuneration policies and sanctions.  </w:t>
      </w:r>
    </w:p>
    <w:p w:rsidR="00BB52D7" w:rsidRDefault="00E33AE6">
      <w:pPr>
        <w:ind w:left="846" w:right="843"/>
      </w:pPr>
      <w:r>
        <w:t xml:space="preserve">Depositaries play a key role in the protection of UCITS investors. They safe-keep the investment assets held by </w:t>
      </w:r>
      <w:r>
        <w:t>a UCITS, thereby ensuring protection from insolvency or fraud. Depositaries also exercise oversight of the fund operations, including monitoring of a UCITS' cash flows. The UCITS V Directive has clarified and harmonised the depositary functions, the condit</w:t>
      </w:r>
      <w:r>
        <w:t xml:space="preserve">ions under which delegation can take place, the eligible entities allowed to act as depositaries, and the depositary's liability. </w:t>
      </w:r>
    </w:p>
    <w:p w:rsidR="00BB52D7" w:rsidRDefault="00E33AE6">
      <w:pPr>
        <w:ind w:left="846" w:right="843"/>
      </w:pPr>
      <w:r>
        <w:t>UCITS V contains a variety of empowerments to the Commission pertaining to the strengthened role and liability of depositarie</w:t>
      </w:r>
      <w:r>
        <w:t>s. These empowerments concern the particulars that need to be included in the written contract appointing the third party to whom the safekeeping functions have been delegated by the depositary, the depositary's oversight duties, its cash monitoring duties</w:t>
      </w:r>
      <w:r>
        <w:t>, safe-keeping duties, the scope of financial instruments that are to be included within the scope of the depositary's custody duties, due diligence requirements, obligations pertaining to asset segregation, the conditions subject to which and circumstance</w:t>
      </w:r>
      <w:r>
        <w:t xml:space="preserve">s in which financial instruments held in custody are to be considered to be lost, the definition of an external events </w:t>
      </w:r>
      <w:r>
        <w:lastRenderedPageBreak/>
        <w:t>beyond reasonable control, the consequences of which would have been unavoidable despite all reasonable efforts to the contrary related t</w:t>
      </w:r>
      <w:r>
        <w:t xml:space="preserve">o the liability regime.  </w:t>
      </w:r>
    </w:p>
    <w:p w:rsidR="00BB52D7" w:rsidRDefault="00E33AE6">
      <w:pPr>
        <w:ind w:left="846" w:right="843"/>
      </w:pPr>
      <w:r>
        <w:t>All of these issues have already been assessed in the corresponding impact assessment on the depositaries duties and liability that preceded the above-mentioned Delegated Regulation 231/2013. Since the changes related to those iss</w:t>
      </w:r>
      <w:r>
        <w:t>ues which will appear in the delegated act adopted to specify certain provisions of UCITS V are rather technical and do not bring about any significant changes they are not discussed in this impact assessment. In addition, these provisions have already bee</w:t>
      </w:r>
      <w:r>
        <w:t xml:space="preserve">n implemented for depositories in Delegated Regulation 231/2013. As there were no changes afterwards and those measures seem to be efficient at this stage they could be also extended on the UCITS regulation as well with some adjustments where needed. This </w:t>
      </w:r>
      <w:r>
        <w:t>would ensure consistency between the European regulation regimes by providing a sufficient level of investor protection which is crucial for ensuring safety and trust in the EU funds for retail investors. Taking into account the above, the correlated measu</w:t>
      </w:r>
      <w:r>
        <w:t xml:space="preserve">res with respect to these empowerment and, where applicable the modifications thereto, are mentioned in Annex 9.  </w:t>
      </w:r>
    </w:p>
    <w:p w:rsidR="00BB52D7" w:rsidRDefault="00E33AE6">
      <w:pPr>
        <w:spacing w:after="251"/>
        <w:ind w:left="846" w:right="843"/>
      </w:pPr>
      <w:r>
        <w:t xml:space="preserve">In these circumstances, the present impact assessment can be concentrated on the two additional empowerments contained in UCITS V related to </w:t>
      </w:r>
      <w:r>
        <w:t xml:space="preserve">depositary:  </w:t>
      </w:r>
    </w:p>
    <w:p w:rsidR="00BB52D7" w:rsidRDefault="00E33AE6">
      <w:pPr>
        <w:numPr>
          <w:ilvl w:val="0"/>
          <w:numId w:val="18"/>
        </w:numPr>
        <w:ind w:right="843" w:hanging="360"/>
      </w:pPr>
      <w:r>
        <w:t xml:space="preserve">The steps to be taken by the third party to ensure insolvency protection of UCITS assets referred to in point (d) of Article 22a (3) UCITS; </w:t>
      </w:r>
    </w:p>
    <w:p w:rsidR="00BB52D7" w:rsidRDefault="00E33AE6">
      <w:pPr>
        <w:numPr>
          <w:ilvl w:val="0"/>
          <w:numId w:val="18"/>
        </w:numPr>
        <w:ind w:right="843" w:hanging="360"/>
      </w:pPr>
      <w:r>
        <w:t xml:space="preserve">The conditions for fulfilling the independence requirement referred to in Article 25 (2) UCITS. </w:t>
      </w:r>
    </w:p>
    <w:p w:rsidR="00BB52D7" w:rsidRDefault="00E33AE6">
      <w:pPr>
        <w:pStyle w:val="Heading6"/>
        <w:spacing w:after="12"/>
        <w:ind w:left="1939" w:right="0"/>
        <w:jc w:val="both"/>
      </w:pPr>
      <w:r>
        <w:rPr>
          <w:i w:val="0"/>
          <w:u w:val="none"/>
        </w:rPr>
        <w:t>2.</w:t>
      </w:r>
      <w:r>
        <w:rPr>
          <w:rFonts w:ascii="Arial" w:eastAsia="Arial" w:hAnsi="Arial" w:cs="Arial"/>
          <w:i w:val="0"/>
          <w:u w:val="none"/>
        </w:rPr>
        <w:t xml:space="preserve"> </w:t>
      </w:r>
      <w:r>
        <w:rPr>
          <w:b w:val="0"/>
          <w:i w:val="0"/>
          <w:u w:val="none"/>
        </w:rPr>
        <w:t xml:space="preserve"> </w:t>
      </w:r>
      <w:r>
        <w:rPr>
          <w:i w:val="0"/>
          <w:u w:val="none"/>
        </w:rPr>
        <w:t xml:space="preserve">List of delegated acts  </w:t>
      </w:r>
    </w:p>
    <w:tbl>
      <w:tblPr>
        <w:tblStyle w:val="TableGrid"/>
        <w:tblW w:w="9073" w:type="dxa"/>
        <w:tblInd w:w="851" w:type="dxa"/>
        <w:tblCellMar>
          <w:top w:w="17" w:type="dxa"/>
          <w:left w:w="28" w:type="dxa"/>
          <w:bottom w:w="0" w:type="dxa"/>
          <w:right w:w="15" w:type="dxa"/>
        </w:tblCellMar>
        <w:tblLook w:val="04A0" w:firstRow="1" w:lastRow="0" w:firstColumn="1" w:lastColumn="0" w:noHBand="0" w:noVBand="1"/>
      </w:tblPr>
      <w:tblGrid>
        <w:gridCol w:w="296"/>
        <w:gridCol w:w="1973"/>
        <w:gridCol w:w="6804"/>
      </w:tblGrid>
      <w:tr w:rsidR="00BB52D7">
        <w:trPr>
          <w:trHeight w:val="291"/>
        </w:trPr>
        <w:tc>
          <w:tcPr>
            <w:tcW w:w="29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39" w:firstLine="0"/>
              <w:jc w:val="center"/>
            </w:pPr>
            <w:r>
              <w:rPr>
                <w:sz w:val="22"/>
              </w:rPr>
              <w:t xml:space="preserve"> </w:t>
            </w:r>
          </w:p>
        </w:tc>
        <w:tc>
          <w:tcPr>
            <w:tcW w:w="197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15" w:firstLine="0"/>
              <w:jc w:val="center"/>
            </w:pPr>
            <w:r>
              <w:rPr>
                <w:b/>
                <w:sz w:val="22"/>
              </w:rPr>
              <w:t xml:space="preserve">Article </w:t>
            </w:r>
          </w:p>
        </w:tc>
        <w:tc>
          <w:tcPr>
            <w:tcW w:w="680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16" w:firstLine="0"/>
              <w:jc w:val="center"/>
            </w:pPr>
            <w:r>
              <w:rPr>
                <w:b/>
                <w:sz w:val="22"/>
              </w:rPr>
              <w:t xml:space="preserve">Description </w:t>
            </w:r>
          </w:p>
        </w:tc>
      </w:tr>
      <w:tr w:rsidR="00BB52D7">
        <w:trPr>
          <w:trHeight w:val="425"/>
        </w:trPr>
        <w:tc>
          <w:tcPr>
            <w:tcW w:w="29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4" w:firstLine="0"/>
              <w:jc w:val="left"/>
            </w:pPr>
            <w:r>
              <w:rPr>
                <w:sz w:val="22"/>
              </w:rPr>
              <w:t xml:space="preserve">1 </w:t>
            </w:r>
          </w:p>
        </w:tc>
        <w:tc>
          <w:tcPr>
            <w:tcW w:w="197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Article 22(2) </w:t>
            </w:r>
          </w:p>
        </w:tc>
        <w:tc>
          <w:tcPr>
            <w:tcW w:w="680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The particulars that need to be included in the written contract </w:t>
            </w:r>
          </w:p>
        </w:tc>
      </w:tr>
      <w:tr w:rsidR="00BB52D7">
        <w:trPr>
          <w:trHeight w:val="272"/>
        </w:trPr>
        <w:tc>
          <w:tcPr>
            <w:tcW w:w="29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4" w:firstLine="0"/>
              <w:jc w:val="left"/>
            </w:pPr>
            <w:r>
              <w:rPr>
                <w:sz w:val="22"/>
              </w:rPr>
              <w:t xml:space="preserve">2 </w:t>
            </w:r>
          </w:p>
        </w:tc>
        <w:tc>
          <w:tcPr>
            <w:tcW w:w="197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rPr>
                <w:sz w:val="22"/>
              </w:rPr>
              <w:t xml:space="preserve">Article 22(3), (4), (5) </w:t>
            </w:r>
          </w:p>
        </w:tc>
        <w:tc>
          <w:tcPr>
            <w:tcW w:w="680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The conditions for performing the depositary functions </w:t>
            </w:r>
          </w:p>
        </w:tc>
      </w:tr>
      <w:tr w:rsidR="00BB52D7">
        <w:trPr>
          <w:trHeight w:val="289"/>
        </w:trPr>
        <w:tc>
          <w:tcPr>
            <w:tcW w:w="29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4" w:firstLine="0"/>
              <w:jc w:val="left"/>
            </w:pPr>
            <w:r>
              <w:rPr>
                <w:sz w:val="22"/>
              </w:rPr>
              <w:t xml:space="preserve">3 </w:t>
            </w:r>
          </w:p>
        </w:tc>
        <w:tc>
          <w:tcPr>
            <w:tcW w:w="197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Article 22a(2) </w:t>
            </w:r>
          </w:p>
        </w:tc>
        <w:tc>
          <w:tcPr>
            <w:tcW w:w="6805" w:type="dxa"/>
            <w:tcBorders>
              <w:top w:val="single" w:sz="8" w:space="0" w:color="000000"/>
              <w:left w:val="single" w:sz="8" w:space="0" w:color="000000"/>
              <w:bottom w:val="single" w:sz="4" w:space="0" w:color="000000"/>
              <w:right w:val="single" w:sz="8" w:space="0" w:color="000000"/>
            </w:tcBorders>
          </w:tcPr>
          <w:p w:rsidR="00BB52D7" w:rsidRDefault="00E33AE6">
            <w:pPr>
              <w:spacing w:after="0" w:line="259" w:lineRule="auto"/>
              <w:ind w:left="0" w:firstLine="0"/>
              <w:jc w:val="left"/>
            </w:pPr>
            <w:r>
              <w:rPr>
                <w:sz w:val="22"/>
              </w:rPr>
              <w:t xml:space="preserve">The due diligence duties of depositaries </w:t>
            </w:r>
          </w:p>
        </w:tc>
      </w:tr>
      <w:tr w:rsidR="00BB52D7">
        <w:trPr>
          <w:trHeight w:val="292"/>
        </w:trPr>
        <w:tc>
          <w:tcPr>
            <w:tcW w:w="29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4" w:firstLine="0"/>
              <w:jc w:val="left"/>
            </w:pPr>
            <w:r>
              <w:rPr>
                <w:sz w:val="22"/>
              </w:rPr>
              <w:t xml:space="preserve">4 </w:t>
            </w:r>
          </w:p>
        </w:tc>
        <w:tc>
          <w:tcPr>
            <w:tcW w:w="197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Article 22a(3) </w:t>
            </w:r>
          </w:p>
        </w:tc>
        <w:tc>
          <w:tcPr>
            <w:tcW w:w="6805" w:type="dxa"/>
            <w:tcBorders>
              <w:top w:val="single" w:sz="4"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The segregation obligation </w:t>
            </w:r>
          </w:p>
        </w:tc>
      </w:tr>
      <w:tr w:rsidR="00BB52D7">
        <w:trPr>
          <w:trHeight w:val="289"/>
        </w:trPr>
        <w:tc>
          <w:tcPr>
            <w:tcW w:w="296"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64" w:firstLine="0"/>
              <w:jc w:val="left"/>
            </w:pPr>
            <w:r>
              <w:rPr>
                <w:sz w:val="22"/>
              </w:rPr>
              <w:t xml:space="preserve">5 </w:t>
            </w:r>
          </w:p>
        </w:tc>
        <w:tc>
          <w:tcPr>
            <w:tcW w:w="1973"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Article 22a(3) </w:t>
            </w:r>
          </w:p>
        </w:tc>
        <w:tc>
          <w:tcPr>
            <w:tcW w:w="680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The steps to be taken by the third party </w:t>
            </w:r>
          </w:p>
        </w:tc>
      </w:tr>
      <w:tr w:rsidR="00BB52D7">
        <w:trPr>
          <w:trHeight w:val="546"/>
        </w:trPr>
        <w:tc>
          <w:tcPr>
            <w:tcW w:w="296"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64" w:firstLine="0"/>
              <w:jc w:val="left"/>
            </w:pPr>
            <w:r>
              <w:rPr>
                <w:sz w:val="22"/>
              </w:rPr>
              <w:t xml:space="preserve">6 </w:t>
            </w:r>
          </w:p>
        </w:tc>
        <w:tc>
          <w:tcPr>
            <w:tcW w:w="197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jc w:val="left"/>
            </w:pPr>
            <w:r>
              <w:rPr>
                <w:sz w:val="22"/>
              </w:rPr>
              <w:t xml:space="preserve">Article 24 </w:t>
            </w:r>
          </w:p>
        </w:tc>
        <w:tc>
          <w:tcPr>
            <w:tcW w:w="680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The conditions subject to which and circumstances in which financial instruments held in custody are to be considered to be lost </w:t>
            </w:r>
          </w:p>
        </w:tc>
      </w:tr>
      <w:tr w:rsidR="00BB52D7">
        <w:trPr>
          <w:trHeight w:val="799"/>
        </w:trPr>
        <w:tc>
          <w:tcPr>
            <w:tcW w:w="296"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64" w:firstLine="0"/>
              <w:jc w:val="left"/>
            </w:pPr>
            <w:r>
              <w:rPr>
                <w:sz w:val="22"/>
              </w:rPr>
              <w:t xml:space="preserve">7 </w:t>
            </w:r>
          </w:p>
        </w:tc>
        <w:tc>
          <w:tcPr>
            <w:tcW w:w="1973"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jc w:val="left"/>
            </w:pPr>
            <w:r>
              <w:rPr>
                <w:sz w:val="22"/>
              </w:rPr>
              <w:t xml:space="preserve">Article 24(1) </w:t>
            </w:r>
          </w:p>
        </w:tc>
        <w:tc>
          <w:tcPr>
            <w:tcW w:w="680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jc w:val="left"/>
            </w:pPr>
            <w:r>
              <w:rPr>
                <w:sz w:val="22"/>
              </w:rPr>
              <w:t xml:space="preserve">What is to be understood by external events beyond reasonable control, the consequences of which would have been unavoidable despite all reasonable efforts to the contrary </w:t>
            </w:r>
          </w:p>
        </w:tc>
      </w:tr>
      <w:tr w:rsidR="00BB52D7">
        <w:trPr>
          <w:trHeight w:val="541"/>
        </w:trPr>
        <w:tc>
          <w:tcPr>
            <w:tcW w:w="296" w:type="dxa"/>
            <w:tcBorders>
              <w:top w:val="single" w:sz="8" w:space="0" w:color="000000"/>
              <w:left w:val="single" w:sz="8" w:space="0" w:color="000000"/>
              <w:bottom w:val="single" w:sz="4" w:space="0" w:color="000000"/>
              <w:right w:val="single" w:sz="8" w:space="0" w:color="000000"/>
            </w:tcBorders>
            <w:vAlign w:val="center"/>
          </w:tcPr>
          <w:p w:rsidR="00BB52D7" w:rsidRDefault="00E33AE6">
            <w:pPr>
              <w:spacing w:after="0" w:line="259" w:lineRule="auto"/>
              <w:ind w:left="64" w:firstLine="0"/>
              <w:jc w:val="left"/>
            </w:pPr>
            <w:r>
              <w:rPr>
                <w:sz w:val="22"/>
              </w:rPr>
              <w:t xml:space="preserve">8 </w:t>
            </w:r>
          </w:p>
        </w:tc>
        <w:tc>
          <w:tcPr>
            <w:tcW w:w="1973" w:type="dxa"/>
            <w:tcBorders>
              <w:top w:val="single" w:sz="8" w:space="0" w:color="000000"/>
              <w:left w:val="single" w:sz="8" w:space="0" w:color="000000"/>
              <w:bottom w:val="single" w:sz="4" w:space="0" w:color="000000"/>
              <w:right w:val="single" w:sz="8" w:space="0" w:color="000000"/>
            </w:tcBorders>
            <w:vAlign w:val="center"/>
          </w:tcPr>
          <w:p w:rsidR="00BB52D7" w:rsidRDefault="00E33AE6">
            <w:pPr>
              <w:spacing w:after="0" w:line="259" w:lineRule="auto"/>
              <w:ind w:left="0" w:firstLine="0"/>
              <w:jc w:val="left"/>
            </w:pPr>
            <w:r>
              <w:rPr>
                <w:sz w:val="22"/>
              </w:rPr>
              <w:t xml:space="preserve">Article 25(2) </w:t>
            </w:r>
          </w:p>
        </w:tc>
        <w:tc>
          <w:tcPr>
            <w:tcW w:w="6805" w:type="dxa"/>
            <w:tcBorders>
              <w:top w:val="single" w:sz="8" w:space="0" w:color="000000"/>
              <w:left w:val="single" w:sz="8" w:space="0" w:color="000000"/>
              <w:bottom w:val="single" w:sz="4" w:space="0" w:color="000000"/>
              <w:right w:val="single" w:sz="8" w:space="0" w:color="000000"/>
            </w:tcBorders>
            <w:vAlign w:val="center"/>
          </w:tcPr>
          <w:p w:rsidR="00BB52D7" w:rsidRDefault="00E33AE6">
            <w:pPr>
              <w:spacing w:after="0" w:line="259" w:lineRule="auto"/>
              <w:ind w:left="0" w:firstLine="0"/>
              <w:jc w:val="left"/>
            </w:pPr>
            <w:r>
              <w:rPr>
                <w:sz w:val="22"/>
              </w:rPr>
              <w:t xml:space="preserve">The conditions for fulfilling the independence requirement </w:t>
            </w:r>
          </w:p>
        </w:tc>
      </w:tr>
    </w:tbl>
    <w:p w:rsidR="00BB52D7" w:rsidRDefault="00E33AE6">
      <w:pPr>
        <w:pStyle w:val="Heading6"/>
        <w:spacing w:after="12"/>
        <w:ind w:left="1939" w:right="0"/>
        <w:jc w:val="both"/>
      </w:pPr>
      <w:r>
        <w:rPr>
          <w:i w:val="0"/>
          <w:u w:val="none"/>
        </w:rPr>
        <w:t>3.</w:t>
      </w:r>
      <w:r>
        <w:rPr>
          <w:rFonts w:ascii="Arial" w:eastAsia="Arial" w:hAnsi="Arial" w:cs="Arial"/>
          <w:i w:val="0"/>
          <w:u w:val="none"/>
        </w:rPr>
        <w:t xml:space="preserve"> </w:t>
      </w:r>
      <w:r>
        <w:rPr>
          <w:i w:val="0"/>
          <w:u w:val="none"/>
        </w:rPr>
        <w:t xml:space="preserve"> (Indicative) Timetable for UCITS V Level 2 work </w:t>
      </w:r>
    </w:p>
    <w:tbl>
      <w:tblPr>
        <w:tblStyle w:val="TableGrid"/>
        <w:tblW w:w="9116" w:type="dxa"/>
        <w:tblInd w:w="828" w:type="dxa"/>
        <w:tblCellMar>
          <w:top w:w="8" w:type="dxa"/>
          <w:left w:w="0" w:type="dxa"/>
          <w:bottom w:w="1" w:type="dxa"/>
          <w:right w:w="0" w:type="dxa"/>
        </w:tblCellMar>
        <w:tblLook w:val="04A0" w:firstRow="1" w:lastRow="0" w:firstColumn="1" w:lastColumn="0" w:noHBand="0" w:noVBand="1"/>
      </w:tblPr>
      <w:tblGrid>
        <w:gridCol w:w="339"/>
        <w:gridCol w:w="234"/>
        <w:gridCol w:w="434"/>
        <w:gridCol w:w="236"/>
        <w:gridCol w:w="776"/>
        <w:gridCol w:w="7097"/>
      </w:tblGrid>
      <w:tr w:rsidR="00BB52D7">
        <w:trPr>
          <w:trHeight w:val="350"/>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570" w:firstLine="0"/>
              <w:jc w:val="left"/>
            </w:pPr>
            <w:r>
              <w:rPr>
                <w:b/>
                <w:sz w:val="22"/>
              </w:rPr>
              <w:t xml:space="preserve">Date </w:t>
            </w:r>
          </w:p>
        </w:tc>
        <w:tc>
          <w:tcPr>
            <w:tcW w:w="7098" w:type="dxa"/>
            <w:tcBorders>
              <w:top w:val="single" w:sz="8" w:space="0" w:color="000000"/>
              <w:left w:val="nil"/>
              <w:bottom w:val="single" w:sz="8" w:space="0" w:color="000000"/>
              <w:right w:val="single" w:sz="8" w:space="0" w:color="000000"/>
            </w:tcBorders>
          </w:tcPr>
          <w:p w:rsidR="00BB52D7" w:rsidRDefault="00E33AE6">
            <w:pPr>
              <w:spacing w:after="0" w:line="259" w:lineRule="auto"/>
              <w:ind w:left="0" w:right="437" w:firstLine="0"/>
              <w:jc w:val="center"/>
            </w:pPr>
            <w:r>
              <w:rPr>
                <w:b/>
                <w:sz w:val="22"/>
              </w:rPr>
              <w:t xml:space="preserve">Milestones </w:t>
            </w:r>
          </w:p>
        </w:tc>
      </w:tr>
      <w:tr w:rsidR="00BB52D7">
        <w:trPr>
          <w:trHeight w:val="320"/>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203" w:firstLine="0"/>
              <w:jc w:val="left"/>
            </w:pPr>
            <w:r>
              <w:rPr>
                <w:sz w:val="22"/>
              </w:rPr>
              <w:t xml:space="preserve">26 June 2014 </w:t>
            </w:r>
          </w:p>
        </w:tc>
        <w:tc>
          <w:tcPr>
            <w:tcW w:w="7098" w:type="dxa"/>
            <w:tcBorders>
              <w:top w:val="single" w:sz="8" w:space="0" w:color="000000"/>
              <w:left w:val="nil"/>
              <w:bottom w:val="single" w:sz="8" w:space="0" w:color="000000"/>
              <w:right w:val="single" w:sz="8" w:space="0" w:color="000000"/>
            </w:tcBorders>
          </w:tcPr>
          <w:p w:rsidR="00BB52D7" w:rsidRDefault="00E33AE6">
            <w:pPr>
              <w:spacing w:after="0" w:line="259" w:lineRule="auto"/>
              <w:ind w:left="1512" w:firstLine="0"/>
              <w:jc w:val="left"/>
            </w:pPr>
            <w:r>
              <w:rPr>
                <w:sz w:val="22"/>
              </w:rPr>
              <w:t xml:space="preserve">Commission request for advice to ESMA </w:t>
            </w:r>
          </w:p>
        </w:tc>
      </w:tr>
      <w:tr w:rsidR="00BB52D7">
        <w:trPr>
          <w:trHeight w:val="320"/>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222" w:firstLine="0"/>
              <w:jc w:val="left"/>
            </w:pPr>
            <w:r>
              <w:rPr>
                <w:sz w:val="22"/>
              </w:rPr>
              <w:t xml:space="preserve">29 July 2014 </w:t>
            </w:r>
          </w:p>
        </w:tc>
        <w:tc>
          <w:tcPr>
            <w:tcW w:w="7098" w:type="dxa"/>
            <w:tcBorders>
              <w:top w:val="single" w:sz="8" w:space="0" w:color="000000"/>
              <w:left w:val="nil"/>
              <w:bottom w:val="single" w:sz="8" w:space="0" w:color="000000"/>
              <w:right w:val="single" w:sz="8" w:space="0" w:color="000000"/>
            </w:tcBorders>
          </w:tcPr>
          <w:p w:rsidR="00BB52D7" w:rsidRDefault="00E33AE6">
            <w:pPr>
              <w:spacing w:after="0" w:line="259" w:lineRule="auto"/>
              <w:ind w:left="1448" w:firstLine="0"/>
              <w:jc w:val="left"/>
            </w:pPr>
            <w:r>
              <w:rPr>
                <w:sz w:val="22"/>
              </w:rPr>
              <w:t xml:space="preserve">ESMA roundtable of external stakeholders </w:t>
            </w:r>
          </w:p>
        </w:tc>
      </w:tr>
      <w:tr w:rsidR="00BB52D7">
        <w:trPr>
          <w:trHeight w:val="526"/>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570" w:right="278" w:hanging="236"/>
              <w:jc w:val="left"/>
            </w:pPr>
            <w:r>
              <w:rPr>
                <w:sz w:val="22"/>
              </w:rPr>
              <w:t xml:space="preserve">28 August 2014 </w:t>
            </w:r>
          </w:p>
        </w:tc>
        <w:tc>
          <w:tcPr>
            <w:tcW w:w="7098" w:type="dxa"/>
            <w:tcBorders>
              <w:top w:val="single" w:sz="8" w:space="0" w:color="000000"/>
              <w:left w:val="nil"/>
              <w:bottom w:val="single" w:sz="8" w:space="0" w:color="000000"/>
              <w:right w:val="single" w:sz="8" w:space="0" w:color="000000"/>
            </w:tcBorders>
            <w:vAlign w:val="bottom"/>
          </w:tcPr>
          <w:p w:rsidR="00BB52D7" w:rsidRDefault="00E33AE6">
            <w:pPr>
              <w:spacing w:after="0" w:line="259" w:lineRule="auto"/>
              <w:ind w:left="0" w:firstLine="0"/>
              <w:jc w:val="left"/>
            </w:pPr>
            <w:r>
              <w:rPr>
                <w:sz w:val="22"/>
              </w:rPr>
              <w:t xml:space="preserve">UCITS V published in Official Journal, entry into force 17 September 2014 </w:t>
            </w:r>
          </w:p>
        </w:tc>
      </w:tr>
      <w:tr w:rsidR="00BB52D7">
        <w:trPr>
          <w:trHeight w:val="779"/>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149" w:right="322" w:firstLine="34"/>
              <w:jc w:val="left"/>
            </w:pPr>
            <w:r>
              <w:rPr>
                <w:sz w:val="22"/>
              </w:rPr>
              <w:lastRenderedPageBreak/>
              <w:t xml:space="preserve">26 September till 24 October 2014 </w:t>
            </w:r>
          </w:p>
        </w:tc>
        <w:tc>
          <w:tcPr>
            <w:tcW w:w="7098" w:type="dxa"/>
            <w:tcBorders>
              <w:top w:val="single" w:sz="8" w:space="0" w:color="000000"/>
              <w:left w:val="nil"/>
              <w:bottom w:val="single" w:sz="8" w:space="0" w:color="000000"/>
              <w:right w:val="single" w:sz="8" w:space="0" w:color="000000"/>
            </w:tcBorders>
            <w:vAlign w:val="bottom"/>
          </w:tcPr>
          <w:p w:rsidR="00BB52D7" w:rsidRDefault="00E33AE6">
            <w:pPr>
              <w:spacing w:after="0" w:line="259" w:lineRule="auto"/>
              <w:ind w:left="1283" w:firstLine="0"/>
              <w:jc w:val="left"/>
            </w:pPr>
            <w:r>
              <w:rPr>
                <w:sz w:val="22"/>
              </w:rPr>
              <w:t xml:space="preserve">ESMA consultation on draft technical advice ( </w:t>
            </w:r>
          </w:p>
        </w:tc>
      </w:tr>
      <w:tr w:rsidR="00BB52D7">
        <w:trPr>
          <w:trHeight w:val="526"/>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570" w:right="131" w:hanging="382"/>
              <w:jc w:val="left"/>
            </w:pPr>
            <w:r>
              <w:rPr>
                <w:sz w:val="22"/>
              </w:rPr>
              <w:t xml:space="preserve">28 November 2014 </w:t>
            </w:r>
          </w:p>
        </w:tc>
        <w:tc>
          <w:tcPr>
            <w:tcW w:w="7098" w:type="dxa"/>
            <w:tcBorders>
              <w:top w:val="single" w:sz="8" w:space="0" w:color="000000"/>
              <w:left w:val="nil"/>
              <w:bottom w:val="single" w:sz="8" w:space="0" w:color="000000"/>
              <w:right w:val="single" w:sz="8" w:space="0" w:color="000000"/>
            </w:tcBorders>
            <w:vAlign w:val="bottom"/>
          </w:tcPr>
          <w:p w:rsidR="00BB52D7" w:rsidRDefault="00E33AE6">
            <w:pPr>
              <w:spacing w:after="0" w:line="259" w:lineRule="auto"/>
              <w:ind w:left="904" w:firstLine="0"/>
              <w:jc w:val="left"/>
            </w:pPr>
            <w:r>
              <w:rPr>
                <w:sz w:val="22"/>
              </w:rPr>
              <w:t xml:space="preserve">Submission of ESMA advice to European Commission </w:t>
            </w:r>
          </w:p>
        </w:tc>
      </w:tr>
      <w:tr w:rsidR="00BB52D7">
        <w:trPr>
          <w:trHeight w:val="320"/>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173" w:firstLine="0"/>
              <w:jc w:val="left"/>
            </w:pPr>
            <w:r>
              <w:rPr>
                <w:sz w:val="22"/>
              </w:rPr>
              <w:t xml:space="preserve">23 April 2015 </w:t>
            </w:r>
          </w:p>
        </w:tc>
        <w:tc>
          <w:tcPr>
            <w:tcW w:w="7098" w:type="dxa"/>
            <w:tcBorders>
              <w:top w:val="single" w:sz="8" w:space="0" w:color="000000"/>
              <w:left w:val="nil"/>
              <w:bottom w:val="single" w:sz="8" w:space="0" w:color="000000"/>
              <w:right w:val="single" w:sz="8" w:space="0" w:color="000000"/>
            </w:tcBorders>
          </w:tcPr>
          <w:p w:rsidR="00BB52D7" w:rsidRDefault="00E33AE6">
            <w:pPr>
              <w:spacing w:after="0" w:line="259" w:lineRule="auto"/>
              <w:ind w:left="110" w:firstLine="0"/>
              <w:jc w:val="left"/>
            </w:pPr>
            <w:r>
              <w:rPr>
                <w:sz w:val="22"/>
              </w:rPr>
              <w:t xml:space="preserve">Consultation of </w:t>
            </w:r>
            <w:r>
              <w:t xml:space="preserve">EGESC </w:t>
            </w:r>
            <w:r>
              <w:rPr>
                <w:sz w:val="22"/>
              </w:rPr>
              <w:t xml:space="preserve">(Expert Group European Securities Committee) </w:t>
            </w:r>
          </w:p>
        </w:tc>
      </w:tr>
      <w:tr w:rsidR="00BB52D7">
        <w:trPr>
          <w:trHeight w:val="779"/>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188" w:firstLine="0"/>
              <w:jc w:val="left"/>
            </w:pPr>
            <w:r>
              <w:rPr>
                <w:sz w:val="22"/>
              </w:rPr>
              <w:t xml:space="preserve">25 November </w:t>
            </w:r>
          </w:p>
          <w:p w:rsidR="00BB52D7" w:rsidRDefault="00E33AE6">
            <w:pPr>
              <w:spacing w:after="0" w:line="259" w:lineRule="auto"/>
              <w:ind w:left="282" w:firstLine="0"/>
              <w:jc w:val="left"/>
            </w:pPr>
            <w:r>
              <w:rPr>
                <w:sz w:val="22"/>
              </w:rPr>
              <w:t xml:space="preserve">2014 till 16 </w:t>
            </w:r>
          </w:p>
          <w:p w:rsidR="00BB52D7" w:rsidRDefault="00E33AE6">
            <w:pPr>
              <w:spacing w:after="0" w:line="259" w:lineRule="auto"/>
              <w:ind w:left="256" w:firstLine="0"/>
              <w:jc w:val="left"/>
            </w:pPr>
            <w:r>
              <w:rPr>
                <w:sz w:val="22"/>
              </w:rPr>
              <w:t xml:space="preserve">March 2015 </w:t>
            </w:r>
          </w:p>
        </w:tc>
        <w:tc>
          <w:tcPr>
            <w:tcW w:w="7098" w:type="dxa"/>
            <w:tcBorders>
              <w:top w:val="single" w:sz="8" w:space="0" w:color="000000"/>
              <w:left w:val="nil"/>
              <w:bottom w:val="single" w:sz="8" w:space="0" w:color="000000"/>
              <w:right w:val="single" w:sz="8" w:space="0" w:color="000000"/>
            </w:tcBorders>
            <w:vAlign w:val="center"/>
          </w:tcPr>
          <w:p w:rsidR="00BB52D7" w:rsidRDefault="00E33AE6">
            <w:pPr>
              <w:spacing w:after="0" w:line="259" w:lineRule="auto"/>
              <w:ind w:left="1623" w:firstLine="0"/>
              <w:jc w:val="left"/>
            </w:pPr>
            <w:r>
              <w:rPr>
                <w:sz w:val="22"/>
              </w:rPr>
              <w:t xml:space="preserve">European Commission Steering Group </w:t>
            </w:r>
          </w:p>
        </w:tc>
      </w:tr>
      <w:tr w:rsidR="00BB52D7">
        <w:trPr>
          <w:trHeight w:val="320"/>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203" w:firstLine="0"/>
              <w:jc w:val="left"/>
            </w:pPr>
            <w:r>
              <w:rPr>
                <w:sz w:val="22"/>
              </w:rPr>
              <w:t xml:space="preserve">19 May 2015 </w:t>
            </w:r>
          </w:p>
        </w:tc>
        <w:tc>
          <w:tcPr>
            <w:tcW w:w="7098" w:type="dxa"/>
            <w:tcBorders>
              <w:top w:val="single" w:sz="8" w:space="0" w:color="000000"/>
              <w:left w:val="nil"/>
              <w:bottom w:val="single" w:sz="8" w:space="0" w:color="000000"/>
              <w:right w:val="single" w:sz="8" w:space="0" w:color="000000"/>
            </w:tcBorders>
          </w:tcPr>
          <w:p w:rsidR="00BB52D7" w:rsidRDefault="00E33AE6">
            <w:pPr>
              <w:spacing w:after="0" w:line="259" w:lineRule="auto"/>
              <w:ind w:left="0" w:right="438" w:firstLine="0"/>
              <w:jc w:val="center"/>
            </w:pPr>
            <w:r>
              <w:rPr>
                <w:sz w:val="22"/>
              </w:rPr>
              <w:t xml:space="preserve">Submission of IA report to IAB </w:t>
            </w:r>
          </w:p>
        </w:tc>
      </w:tr>
      <w:tr w:rsidR="00BB52D7">
        <w:trPr>
          <w:trHeight w:val="322"/>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203" w:firstLine="0"/>
              <w:jc w:val="left"/>
            </w:pPr>
            <w:r>
              <w:rPr>
                <w:sz w:val="22"/>
              </w:rPr>
              <w:t xml:space="preserve">17 June 2015 </w:t>
            </w:r>
          </w:p>
        </w:tc>
        <w:tc>
          <w:tcPr>
            <w:tcW w:w="7098" w:type="dxa"/>
            <w:tcBorders>
              <w:top w:val="single" w:sz="8" w:space="0" w:color="000000"/>
              <w:left w:val="nil"/>
              <w:bottom w:val="single" w:sz="8" w:space="0" w:color="000000"/>
              <w:right w:val="single" w:sz="8" w:space="0" w:color="000000"/>
            </w:tcBorders>
          </w:tcPr>
          <w:p w:rsidR="00BB52D7" w:rsidRDefault="00E33AE6">
            <w:pPr>
              <w:spacing w:after="0" w:line="259" w:lineRule="auto"/>
              <w:ind w:left="0" w:right="438" w:firstLine="0"/>
              <w:jc w:val="center"/>
            </w:pPr>
            <w:r>
              <w:rPr>
                <w:sz w:val="22"/>
              </w:rPr>
              <w:t xml:space="preserve">IAB meeting </w:t>
            </w:r>
          </w:p>
        </w:tc>
      </w:tr>
      <w:tr w:rsidR="00BB52D7">
        <w:trPr>
          <w:trHeight w:val="260"/>
        </w:trPr>
        <w:tc>
          <w:tcPr>
            <w:tcW w:w="573" w:type="dxa"/>
            <w:gridSpan w:val="2"/>
            <w:tcBorders>
              <w:top w:val="single" w:sz="8" w:space="0" w:color="000000"/>
              <w:left w:val="single" w:sz="8" w:space="0" w:color="000000"/>
              <w:bottom w:val="nil"/>
              <w:right w:val="nil"/>
            </w:tcBorders>
          </w:tcPr>
          <w:p w:rsidR="00BB52D7" w:rsidRDefault="00BB52D7">
            <w:pPr>
              <w:spacing w:after="160" w:line="259" w:lineRule="auto"/>
              <w:ind w:left="0" w:firstLine="0"/>
              <w:jc w:val="left"/>
            </w:pPr>
          </w:p>
        </w:tc>
        <w:tc>
          <w:tcPr>
            <w:tcW w:w="434" w:type="dxa"/>
            <w:tcBorders>
              <w:top w:val="single" w:sz="8" w:space="0" w:color="000000"/>
              <w:left w:val="nil"/>
              <w:bottom w:val="nil"/>
              <w:right w:val="nil"/>
            </w:tcBorders>
            <w:shd w:val="clear" w:color="auto" w:fill="FFFF00"/>
          </w:tcPr>
          <w:p w:rsidR="00BB52D7" w:rsidRDefault="00E33AE6">
            <w:pPr>
              <w:spacing w:after="0" w:line="259" w:lineRule="auto"/>
              <w:ind w:left="0" w:firstLine="0"/>
            </w:pPr>
            <w:r>
              <w:rPr>
                <w:i/>
                <w:sz w:val="22"/>
              </w:rPr>
              <w:t>to be</w:t>
            </w:r>
          </w:p>
        </w:tc>
        <w:tc>
          <w:tcPr>
            <w:tcW w:w="1012" w:type="dxa"/>
            <w:gridSpan w:val="2"/>
            <w:tcBorders>
              <w:top w:val="single" w:sz="8" w:space="0" w:color="000000"/>
              <w:left w:val="nil"/>
              <w:bottom w:val="nil"/>
              <w:right w:val="nil"/>
            </w:tcBorders>
          </w:tcPr>
          <w:p w:rsidR="00BB52D7" w:rsidRDefault="00E33AE6">
            <w:pPr>
              <w:spacing w:after="0" w:line="259" w:lineRule="auto"/>
              <w:ind w:left="0" w:firstLine="0"/>
              <w:jc w:val="left"/>
            </w:pPr>
            <w:r>
              <w:rPr>
                <w:i/>
                <w:sz w:val="22"/>
              </w:rPr>
              <w:t xml:space="preserve"> </w:t>
            </w:r>
          </w:p>
        </w:tc>
        <w:tc>
          <w:tcPr>
            <w:tcW w:w="7098" w:type="dxa"/>
            <w:vMerge w:val="restart"/>
            <w:tcBorders>
              <w:top w:val="single" w:sz="8" w:space="0" w:color="000000"/>
              <w:left w:val="nil"/>
              <w:bottom w:val="single" w:sz="8" w:space="0" w:color="000000"/>
              <w:right w:val="single" w:sz="8" w:space="0" w:color="000000"/>
            </w:tcBorders>
            <w:vAlign w:val="center"/>
          </w:tcPr>
          <w:p w:rsidR="00BB52D7" w:rsidRDefault="00E33AE6">
            <w:pPr>
              <w:spacing w:after="0" w:line="259" w:lineRule="auto"/>
              <w:ind w:left="0" w:right="436" w:firstLine="0"/>
              <w:jc w:val="center"/>
            </w:pPr>
            <w:r>
              <w:rPr>
                <w:sz w:val="22"/>
              </w:rPr>
              <w:t>Launch ISC</w:t>
            </w:r>
            <w:r>
              <w:rPr>
                <w:i/>
                <w:sz w:val="22"/>
              </w:rPr>
              <w:t xml:space="preserve"> </w:t>
            </w:r>
          </w:p>
        </w:tc>
      </w:tr>
      <w:tr w:rsidR="00BB52D7">
        <w:trPr>
          <w:trHeight w:val="263"/>
        </w:trPr>
        <w:tc>
          <w:tcPr>
            <w:tcW w:w="339" w:type="dxa"/>
            <w:tcBorders>
              <w:top w:val="nil"/>
              <w:left w:val="single" w:sz="8" w:space="0" w:color="000000"/>
              <w:bottom w:val="single" w:sz="8" w:space="0" w:color="000000"/>
              <w:right w:val="nil"/>
            </w:tcBorders>
          </w:tcPr>
          <w:p w:rsidR="00BB52D7" w:rsidRDefault="00BB52D7">
            <w:pPr>
              <w:spacing w:after="160" w:line="259" w:lineRule="auto"/>
              <w:ind w:left="0" w:firstLine="0"/>
              <w:jc w:val="left"/>
            </w:pPr>
          </w:p>
        </w:tc>
        <w:tc>
          <w:tcPr>
            <w:tcW w:w="904" w:type="dxa"/>
            <w:gridSpan w:val="3"/>
            <w:tcBorders>
              <w:top w:val="nil"/>
              <w:left w:val="nil"/>
              <w:bottom w:val="single" w:sz="8" w:space="0" w:color="000000"/>
              <w:right w:val="nil"/>
            </w:tcBorders>
            <w:shd w:val="clear" w:color="auto" w:fill="FFFF00"/>
          </w:tcPr>
          <w:p w:rsidR="00BB52D7" w:rsidRDefault="00E33AE6">
            <w:pPr>
              <w:spacing w:after="0" w:line="259" w:lineRule="auto"/>
              <w:ind w:left="0" w:firstLine="0"/>
            </w:pPr>
            <w:r>
              <w:rPr>
                <w:i/>
                <w:sz w:val="22"/>
              </w:rPr>
              <w:t>completed</w:t>
            </w:r>
          </w:p>
        </w:tc>
        <w:tc>
          <w:tcPr>
            <w:tcW w:w="776" w:type="dxa"/>
            <w:tcBorders>
              <w:top w:val="nil"/>
              <w:left w:val="nil"/>
              <w:bottom w:val="single" w:sz="8" w:space="0" w:color="000000"/>
              <w:right w:val="nil"/>
            </w:tcBorders>
          </w:tcPr>
          <w:p w:rsidR="00BB52D7" w:rsidRDefault="00E33AE6">
            <w:pPr>
              <w:spacing w:after="0" w:line="259" w:lineRule="auto"/>
              <w:ind w:left="0" w:firstLine="0"/>
              <w:jc w:val="left"/>
            </w:pPr>
            <w:r>
              <w:rPr>
                <w:i/>
                <w:sz w:val="22"/>
              </w:rPr>
              <w:t xml:space="preserve"> </w:t>
            </w: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262"/>
        </w:trPr>
        <w:tc>
          <w:tcPr>
            <w:tcW w:w="573" w:type="dxa"/>
            <w:gridSpan w:val="2"/>
            <w:tcBorders>
              <w:top w:val="single" w:sz="8" w:space="0" w:color="000000"/>
              <w:left w:val="single" w:sz="8" w:space="0" w:color="000000"/>
              <w:bottom w:val="nil"/>
              <w:right w:val="nil"/>
            </w:tcBorders>
          </w:tcPr>
          <w:p w:rsidR="00BB52D7" w:rsidRDefault="00BB52D7">
            <w:pPr>
              <w:spacing w:after="160" w:line="259" w:lineRule="auto"/>
              <w:ind w:left="0" w:firstLine="0"/>
              <w:jc w:val="left"/>
            </w:pPr>
          </w:p>
        </w:tc>
        <w:tc>
          <w:tcPr>
            <w:tcW w:w="434" w:type="dxa"/>
            <w:tcBorders>
              <w:top w:val="single" w:sz="8" w:space="0" w:color="000000"/>
              <w:left w:val="nil"/>
              <w:bottom w:val="nil"/>
              <w:right w:val="nil"/>
            </w:tcBorders>
            <w:shd w:val="clear" w:color="auto" w:fill="FFFF00"/>
          </w:tcPr>
          <w:p w:rsidR="00BB52D7" w:rsidRDefault="00E33AE6">
            <w:pPr>
              <w:spacing w:after="0" w:line="259" w:lineRule="auto"/>
              <w:ind w:left="0" w:firstLine="0"/>
            </w:pPr>
            <w:r>
              <w:rPr>
                <w:i/>
                <w:sz w:val="22"/>
              </w:rPr>
              <w:t>to be</w:t>
            </w:r>
          </w:p>
        </w:tc>
        <w:tc>
          <w:tcPr>
            <w:tcW w:w="1012" w:type="dxa"/>
            <w:gridSpan w:val="2"/>
            <w:tcBorders>
              <w:top w:val="single" w:sz="8" w:space="0" w:color="000000"/>
              <w:left w:val="nil"/>
              <w:bottom w:val="nil"/>
              <w:right w:val="nil"/>
            </w:tcBorders>
          </w:tcPr>
          <w:p w:rsidR="00BB52D7" w:rsidRDefault="00E33AE6">
            <w:pPr>
              <w:spacing w:after="0" w:line="259" w:lineRule="auto"/>
              <w:ind w:left="0" w:firstLine="0"/>
              <w:jc w:val="left"/>
            </w:pPr>
            <w:r>
              <w:rPr>
                <w:i/>
                <w:sz w:val="22"/>
              </w:rPr>
              <w:t xml:space="preserve"> </w:t>
            </w:r>
          </w:p>
        </w:tc>
        <w:tc>
          <w:tcPr>
            <w:tcW w:w="7098" w:type="dxa"/>
            <w:vMerge w:val="restart"/>
            <w:tcBorders>
              <w:top w:val="single" w:sz="8" w:space="0" w:color="000000"/>
              <w:left w:val="nil"/>
              <w:bottom w:val="single" w:sz="8" w:space="0" w:color="000000"/>
              <w:right w:val="single" w:sz="8" w:space="0" w:color="000000"/>
            </w:tcBorders>
            <w:vAlign w:val="center"/>
          </w:tcPr>
          <w:p w:rsidR="00BB52D7" w:rsidRDefault="00E33AE6">
            <w:pPr>
              <w:spacing w:after="0" w:line="259" w:lineRule="auto"/>
              <w:ind w:left="0" w:right="437" w:firstLine="0"/>
              <w:jc w:val="center"/>
            </w:pPr>
            <w:r>
              <w:rPr>
                <w:i/>
                <w:sz w:val="22"/>
              </w:rPr>
              <w:t xml:space="preserve">Translation  </w:t>
            </w:r>
          </w:p>
        </w:tc>
      </w:tr>
      <w:tr w:rsidR="00BB52D7">
        <w:trPr>
          <w:trHeight w:val="263"/>
        </w:trPr>
        <w:tc>
          <w:tcPr>
            <w:tcW w:w="339" w:type="dxa"/>
            <w:tcBorders>
              <w:top w:val="nil"/>
              <w:left w:val="single" w:sz="8" w:space="0" w:color="000000"/>
              <w:bottom w:val="single" w:sz="8" w:space="0" w:color="000000"/>
              <w:right w:val="nil"/>
            </w:tcBorders>
          </w:tcPr>
          <w:p w:rsidR="00BB52D7" w:rsidRDefault="00BB52D7">
            <w:pPr>
              <w:spacing w:after="160" w:line="259" w:lineRule="auto"/>
              <w:ind w:left="0" w:firstLine="0"/>
              <w:jc w:val="left"/>
            </w:pPr>
          </w:p>
        </w:tc>
        <w:tc>
          <w:tcPr>
            <w:tcW w:w="904" w:type="dxa"/>
            <w:gridSpan w:val="3"/>
            <w:tcBorders>
              <w:top w:val="nil"/>
              <w:left w:val="nil"/>
              <w:bottom w:val="single" w:sz="8" w:space="0" w:color="000000"/>
              <w:right w:val="nil"/>
            </w:tcBorders>
            <w:shd w:val="clear" w:color="auto" w:fill="FFFF00"/>
          </w:tcPr>
          <w:p w:rsidR="00BB52D7" w:rsidRDefault="00E33AE6">
            <w:pPr>
              <w:spacing w:after="0" w:line="259" w:lineRule="auto"/>
              <w:ind w:left="0" w:firstLine="0"/>
            </w:pPr>
            <w:r>
              <w:rPr>
                <w:i/>
                <w:sz w:val="22"/>
              </w:rPr>
              <w:t>completed</w:t>
            </w:r>
          </w:p>
        </w:tc>
        <w:tc>
          <w:tcPr>
            <w:tcW w:w="776" w:type="dxa"/>
            <w:tcBorders>
              <w:top w:val="nil"/>
              <w:left w:val="nil"/>
              <w:bottom w:val="single" w:sz="8" w:space="0" w:color="000000"/>
              <w:right w:val="nil"/>
            </w:tcBorders>
          </w:tcPr>
          <w:p w:rsidR="00BB52D7" w:rsidRDefault="00E33AE6">
            <w:pPr>
              <w:spacing w:after="0" w:line="259" w:lineRule="auto"/>
              <w:ind w:left="0" w:firstLine="0"/>
              <w:jc w:val="left"/>
            </w:pPr>
            <w:r>
              <w:rPr>
                <w:i/>
                <w:sz w:val="22"/>
              </w:rPr>
              <w:t xml:space="preserve"> </w:t>
            </w: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263"/>
        </w:trPr>
        <w:tc>
          <w:tcPr>
            <w:tcW w:w="573" w:type="dxa"/>
            <w:gridSpan w:val="2"/>
            <w:tcBorders>
              <w:top w:val="single" w:sz="8" w:space="0" w:color="000000"/>
              <w:left w:val="single" w:sz="8" w:space="0" w:color="000000"/>
              <w:bottom w:val="nil"/>
              <w:right w:val="nil"/>
            </w:tcBorders>
          </w:tcPr>
          <w:p w:rsidR="00BB52D7" w:rsidRDefault="00BB52D7">
            <w:pPr>
              <w:spacing w:after="160" w:line="259" w:lineRule="auto"/>
              <w:ind w:left="0" w:firstLine="0"/>
              <w:jc w:val="left"/>
            </w:pPr>
          </w:p>
        </w:tc>
        <w:tc>
          <w:tcPr>
            <w:tcW w:w="434" w:type="dxa"/>
            <w:tcBorders>
              <w:top w:val="single" w:sz="8" w:space="0" w:color="000000"/>
              <w:left w:val="nil"/>
              <w:bottom w:val="nil"/>
              <w:right w:val="nil"/>
            </w:tcBorders>
            <w:shd w:val="clear" w:color="auto" w:fill="FFFF00"/>
          </w:tcPr>
          <w:p w:rsidR="00BB52D7" w:rsidRDefault="00E33AE6">
            <w:pPr>
              <w:spacing w:after="0" w:line="259" w:lineRule="auto"/>
              <w:ind w:left="0" w:firstLine="0"/>
            </w:pPr>
            <w:r>
              <w:rPr>
                <w:i/>
                <w:sz w:val="22"/>
              </w:rPr>
              <w:t>to be</w:t>
            </w:r>
          </w:p>
        </w:tc>
        <w:tc>
          <w:tcPr>
            <w:tcW w:w="1012" w:type="dxa"/>
            <w:gridSpan w:val="2"/>
            <w:tcBorders>
              <w:top w:val="single" w:sz="8" w:space="0" w:color="000000"/>
              <w:left w:val="nil"/>
              <w:bottom w:val="nil"/>
              <w:right w:val="nil"/>
            </w:tcBorders>
          </w:tcPr>
          <w:p w:rsidR="00BB52D7" w:rsidRDefault="00E33AE6">
            <w:pPr>
              <w:spacing w:after="0" w:line="259" w:lineRule="auto"/>
              <w:ind w:left="0" w:firstLine="0"/>
              <w:jc w:val="left"/>
            </w:pPr>
            <w:r>
              <w:rPr>
                <w:i/>
                <w:sz w:val="22"/>
              </w:rPr>
              <w:t xml:space="preserve"> </w:t>
            </w:r>
          </w:p>
        </w:tc>
        <w:tc>
          <w:tcPr>
            <w:tcW w:w="7098" w:type="dxa"/>
            <w:vMerge w:val="restart"/>
            <w:tcBorders>
              <w:top w:val="single" w:sz="8" w:space="0" w:color="000000"/>
              <w:left w:val="nil"/>
              <w:bottom w:val="single" w:sz="8" w:space="0" w:color="000000"/>
              <w:right w:val="single" w:sz="8" w:space="0" w:color="000000"/>
            </w:tcBorders>
            <w:vAlign w:val="center"/>
          </w:tcPr>
          <w:p w:rsidR="00BB52D7" w:rsidRDefault="00E33AE6">
            <w:pPr>
              <w:spacing w:after="0" w:line="259" w:lineRule="auto"/>
              <w:ind w:left="1565" w:firstLine="0"/>
              <w:jc w:val="left"/>
            </w:pPr>
            <w:r>
              <w:rPr>
                <w:i/>
                <w:sz w:val="22"/>
              </w:rPr>
              <w:t xml:space="preserve">Adoption of L2 measures by the College </w:t>
            </w:r>
          </w:p>
        </w:tc>
      </w:tr>
      <w:tr w:rsidR="00BB52D7">
        <w:trPr>
          <w:trHeight w:val="262"/>
        </w:trPr>
        <w:tc>
          <w:tcPr>
            <w:tcW w:w="339" w:type="dxa"/>
            <w:tcBorders>
              <w:top w:val="nil"/>
              <w:left w:val="single" w:sz="8" w:space="0" w:color="000000"/>
              <w:bottom w:val="single" w:sz="8" w:space="0" w:color="000000"/>
              <w:right w:val="nil"/>
            </w:tcBorders>
          </w:tcPr>
          <w:p w:rsidR="00BB52D7" w:rsidRDefault="00BB52D7">
            <w:pPr>
              <w:spacing w:after="160" w:line="259" w:lineRule="auto"/>
              <w:ind w:left="0" w:firstLine="0"/>
              <w:jc w:val="left"/>
            </w:pPr>
          </w:p>
        </w:tc>
        <w:tc>
          <w:tcPr>
            <w:tcW w:w="904" w:type="dxa"/>
            <w:gridSpan w:val="3"/>
            <w:tcBorders>
              <w:top w:val="nil"/>
              <w:left w:val="nil"/>
              <w:bottom w:val="single" w:sz="8" w:space="0" w:color="000000"/>
              <w:right w:val="nil"/>
            </w:tcBorders>
            <w:shd w:val="clear" w:color="auto" w:fill="FFFF00"/>
          </w:tcPr>
          <w:p w:rsidR="00BB52D7" w:rsidRDefault="00E33AE6">
            <w:pPr>
              <w:spacing w:after="0" w:line="259" w:lineRule="auto"/>
              <w:ind w:left="0" w:firstLine="0"/>
            </w:pPr>
            <w:r>
              <w:rPr>
                <w:i/>
                <w:sz w:val="22"/>
              </w:rPr>
              <w:t>completed</w:t>
            </w:r>
          </w:p>
        </w:tc>
        <w:tc>
          <w:tcPr>
            <w:tcW w:w="776" w:type="dxa"/>
            <w:tcBorders>
              <w:top w:val="nil"/>
              <w:left w:val="nil"/>
              <w:bottom w:val="single" w:sz="8" w:space="0" w:color="000000"/>
              <w:right w:val="nil"/>
            </w:tcBorders>
          </w:tcPr>
          <w:p w:rsidR="00BB52D7" w:rsidRDefault="00E33AE6">
            <w:pPr>
              <w:spacing w:after="0" w:line="259" w:lineRule="auto"/>
              <w:ind w:left="0" w:firstLine="0"/>
              <w:jc w:val="left"/>
            </w:pPr>
            <w:r>
              <w:rPr>
                <w:i/>
                <w:sz w:val="22"/>
              </w:rPr>
              <w:t xml:space="preserve"> </w:t>
            </w: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263"/>
        </w:trPr>
        <w:tc>
          <w:tcPr>
            <w:tcW w:w="573" w:type="dxa"/>
            <w:gridSpan w:val="2"/>
            <w:tcBorders>
              <w:top w:val="single" w:sz="8" w:space="0" w:color="000000"/>
              <w:left w:val="single" w:sz="8" w:space="0" w:color="000000"/>
              <w:bottom w:val="nil"/>
              <w:right w:val="nil"/>
            </w:tcBorders>
          </w:tcPr>
          <w:p w:rsidR="00BB52D7" w:rsidRDefault="00BB52D7">
            <w:pPr>
              <w:spacing w:after="160" w:line="259" w:lineRule="auto"/>
              <w:ind w:left="0" w:firstLine="0"/>
              <w:jc w:val="left"/>
            </w:pPr>
          </w:p>
        </w:tc>
        <w:tc>
          <w:tcPr>
            <w:tcW w:w="434" w:type="dxa"/>
            <w:tcBorders>
              <w:top w:val="single" w:sz="8" w:space="0" w:color="000000"/>
              <w:left w:val="nil"/>
              <w:bottom w:val="nil"/>
              <w:right w:val="nil"/>
            </w:tcBorders>
            <w:shd w:val="clear" w:color="auto" w:fill="FFFF00"/>
          </w:tcPr>
          <w:p w:rsidR="00BB52D7" w:rsidRDefault="00E33AE6">
            <w:pPr>
              <w:spacing w:after="0" w:line="259" w:lineRule="auto"/>
              <w:ind w:left="0" w:firstLine="0"/>
            </w:pPr>
            <w:r>
              <w:rPr>
                <w:i/>
                <w:sz w:val="22"/>
              </w:rPr>
              <w:t>to be</w:t>
            </w:r>
          </w:p>
        </w:tc>
        <w:tc>
          <w:tcPr>
            <w:tcW w:w="1012" w:type="dxa"/>
            <w:gridSpan w:val="2"/>
            <w:tcBorders>
              <w:top w:val="single" w:sz="8" w:space="0" w:color="000000"/>
              <w:left w:val="nil"/>
              <w:bottom w:val="nil"/>
              <w:right w:val="nil"/>
            </w:tcBorders>
          </w:tcPr>
          <w:p w:rsidR="00BB52D7" w:rsidRDefault="00E33AE6">
            <w:pPr>
              <w:spacing w:after="0" w:line="259" w:lineRule="auto"/>
              <w:ind w:left="0" w:firstLine="0"/>
              <w:jc w:val="left"/>
            </w:pPr>
            <w:r>
              <w:rPr>
                <w:i/>
                <w:sz w:val="22"/>
              </w:rPr>
              <w:t xml:space="preserve"> </w:t>
            </w:r>
          </w:p>
        </w:tc>
        <w:tc>
          <w:tcPr>
            <w:tcW w:w="7098" w:type="dxa"/>
            <w:vMerge w:val="restart"/>
            <w:tcBorders>
              <w:top w:val="single" w:sz="8" w:space="0" w:color="000000"/>
              <w:left w:val="nil"/>
              <w:bottom w:val="single" w:sz="8" w:space="0" w:color="000000"/>
              <w:right w:val="single" w:sz="8" w:space="0" w:color="000000"/>
            </w:tcBorders>
          </w:tcPr>
          <w:p w:rsidR="00BB52D7" w:rsidRDefault="00E33AE6">
            <w:pPr>
              <w:spacing w:after="0" w:line="259" w:lineRule="auto"/>
              <w:ind w:left="1302" w:right="532" w:hanging="803"/>
              <w:jc w:val="left"/>
            </w:pPr>
            <w:r>
              <w:rPr>
                <w:i/>
                <w:sz w:val="22"/>
              </w:rPr>
              <w:t xml:space="preserve">End of period for EP and Council to object to Level 2 measures,  MS start implementation of Level 2 Directives </w:t>
            </w:r>
          </w:p>
        </w:tc>
      </w:tr>
      <w:tr w:rsidR="00BB52D7">
        <w:trPr>
          <w:trHeight w:val="261"/>
        </w:trPr>
        <w:tc>
          <w:tcPr>
            <w:tcW w:w="339" w:type="dxa"/>
            <w:tcBorders>
              <w:top w:val="nil"/>
              <w:left w:val="single" w:sz="8" w:space="0" w:color="000000"/>
              <w:bottom w:val="single" w:sz="8" w:space="0" w:color="000000"/>
              <w:right w:val="nil"/>
            </w:tcBorders>
          </w:tcPr>
          <w:p w:rsidR="00BB52D7" w:rsidRDefault="00BB52D7">
            <w:pPr>
              <w:spacing w:after="160" w:line="259" w:lineRule="auto"/>
              <w:ind w:left="0" w:firstLine="0"/>
              <w:jc w:val="left"/>
            </w:pPr>
          </w:p>
        </w:tc>
        <w:tc>
          <w:tcPr>
            <w:tcW w:w="904" w:type="dxa"/>
            <w:gridSpan w:val="3"/>
            <w:tcBorders>
              <w:top w:val="nil"/>
              <w:left w:val="nil"/>
              <w:bottom w:val="single" w:sz="8" w:space="0" w:color="000000"/>
              <w:right w:val="nil"/>
            </w:tcBorders>
            <w:shd w:val="clear" w:color="auto" w:fill="FFFF00"/>
          </w:tcPr>
          <w:p w:rsidR="00BB52D7" w:rsidRDefault="00E33AE6">
            <w:pPr>
              <w:spacing w:after="0" w:line="259" w:lineRule="auto"/>
              <w:ind w:left="0" w:firstLine="0"/>
            </w:pPr>
            <w:r>
              <w:rPr>
                <w:i/>
                <w:sz w:val="22"/>
              </w:rPr>
              <w:t>completed</w:t>
            </w:r>
          </w:p>
        </w:tc>
        <w:tc>
          <w:tcPr>
            <w:tcW w:w="776" w:type="dxa"/>
            <w:tcBorders>
              <w:top w:val="nil"/>
              <w:left w:val="nil"/>
              <w:bottom w:val="single" w:sz="8" w:space="0" w:color="000000"/>
              <w:right w:val="nil"/>
            </w:tcBorders>
          </w:tcPr>
          <w:p w:rsidR="00BB52D7" w:rsidRDefault="00E33AE6">
            <w:pPr>
              <w:spacing w:after="0" w:line="259" w:lineRule="auto"/>
              <w:ind w:left="0" w:firstLine="0"/>
              <w:jc w:val="left"/>
            </w:pPr>
            <w:r>
              <w:rPr>
                <w:i/>
                <w:sz w:val="22"/>
              </w:rPr>
              <w:t xml:space="preserve"> </w:t>
            </w: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23"/>
        </w:trPr>
        <w:tc>
          <w:tcPr>
            <w:tcW w:w="2019" w:type="dxa"/>
            <w:gridSpan w:val="5"/>
            <w:tcBorders>
              <w:top w:val="single" w:sz="8" w:space="0" w:color="000000"/>
              <w:left w:val="single" w:sz="8" w:space="0" w:color="000000"/>
              <w:bottom w:val="single" w:sz="8" w:space="0" w:color="000000"/>
              <w:right w:val="nil"/>
            </w:tcBorders>
          </w:tcPr>
          <w:p w:rsidR="00BB52D7" w:rsidRDefault="00E33AE6">
            <w:pPr>
              <w:spacing w:after="0" w:line="259" w:lineRule="auto"/>
              <w:ind w:left="112" w:firstLine="0"/>
              <w:jc w:val="left"/>
            </w:pPr>
            <w:r>
              <w:rPr>
                <w:i/>
                <w:sz w:val="22"/>
              </w:rPr>
              <w:t xml:space="preserve">18 March 2016 </w:t>
            </w:r>
          </w:p>
        </w:tc>
        <w:tc>
          <w:tcPr>
            <w:tcW w:w="7098" w:type="dxa"/>
            <w:tcBorders>
              <w:top w:val="single" w:sz="8" w:space="0" w:color="000000"/>
              <w:left w:val="nil"/>
              <w:bottom w:val="single" w:sz="8" w:space="0" w:color="000000"/>
              <w:right w:val="single" w:sz="8" w:space="0" w:color="000000"/>
            </w:tcBorders>
          </w:tcPr>
          <w:p w:rsidR="00BB52D7" w:rsidRDefault="00E33AE6">
            <w:pPr>
              <w:spacing w:after="0" w:line="259" w:lineRule="auto"/>
              <w:ind w:left="1739" w:firstLine="0"/>
              <w:jc w:val="left"/>
            </w:pPr>
            <w:r>
              <w:rPr>
                <w:i/>
                <w:sz w:val="22"/>
              </w:rPr>
              <w:t xml:space="preserve">UCITS V Level 1 and 2 taking effect </w:t>
            </w:r>
          </w:p>
        </w:tc>
      </w:tr>
    </w:tbl>
    <w:p w:rsidR="00BB52D7" w:rsidRDefault="00E33AE6">
      <w:pPr>
        <w:spacing w:after="257" w:line="259" w:lineRule="auto"/>
        <w:ind w:left="851" w:firstLine="0"/>
        <w:jc w:val="left"/>
      </w:pPr>
      <w:r>
        <w:rPr>
          <w:sz w:val="20"/>
        </w:rPr>
        <w:t xml:space="preserve"> </w:t>
      </w:r>
    </w:p>
    <w:p w:rsidR="00BB52D7" w:rsidRDefault="00E33AE6">
      <w:pPr>
        <w:spacing w:after="0" w:line="259" w:lineRule="auto"/>
        <w:ind w:left="851" w:firstLine="0"/>
        <w:jc w:val="left"/>
      </w:pPr>
      <w:r>
        <w:t xml:space="preserve"> </w:t>
      </w:r>
    </w:p>
    <w:p w:rsidR="00BB52D7" w:rsidRDefault="00E33AE6">
      <w:pPr>
        <w:pStyle w:val="Heading2"/>
        <w:spacing w:after="228" w:line="249" w:lineRule="auto"/>
        <w:ind w:left="846" w:right="576"/>
      </w:pPr>
      <w:bookmarkStart w:id="27" w:name="_Toc240987"/>
      <w:r>
        <w:rPr>
          <w:i w:val="0"/>
          <w:color w:val="222222"/>
          <w:u w:val="none"/>
        </w:rPr>
        <w:t xml:space="preserve">Annex 3: Overview of UCITS sector </w:t>
      </w:r>
      <w:bookmarkEnd w:id="27"/>
    </w:p>
    <w:p w:rsidR="00BB52D7" w:rsidRDefault="00E33AE6">
      <w:pPr>
        <w:pStyle w:val="Heading6"/>
        <w:spacing w:after="216"/>
        <w:ind w:left="846" w:right="488"/>
      </w:pPr>
      <w:r>
        <w:t>Table 1 - AuM by UCITS Type (September 2014)</w:t>
      </w:r>
      <w:r>
        <w:rPr>
          <w:u w:val="none"/>
        </w:rPr>
        <w:t xml:space="preserve"> </w:t>
      </w:r>
    </w:p>
    <w:p w:rsidR="00BB52D7" w:rsidRDefault="00E33AE6">
      <w:pPr>
        <w:spacing w:after="123" w:line="259" w:lineRule="auto"/>
        <w:ind w:left="0" w:right="1961" w:firstLine="0"/>
        <w:jc w:val="right"/>
      </w:pPr>
      <w:r>
        <w:rPr>
          <w:noProof/>
        </w:rPr>
        <w:drawing>
          <wp:inline distT="0" distB="0" distL="0" distR="0">
            <wp:extent cx="5016500" cy="2778125"/>
            <wp:effectExtent l="0" t="0" r="0" b="0"/>
            <wp:docPr id="9869" name="Picture 9869"/>
            <wp:cNvGraphicFramePr/>
            <a:graphic xmlns:a="http://schemas.openxmlformats.org/drawingml/2006/main">
              <a:graphicData uri="http://schemas.openxmlformats.org/drawingml/2006/picture">
                <pic:pic xmlns:pic="http://schemas.openxmlformats.org/drawingml/2006/picture">
                  <pic:nvPicPr>
                    <pic:cNvPr id="9869" name="Picture 9869"/>
                    <pic:cNvPicPr/>
                  </pic:nvPicPr>
                  <pic:blipFill>
                    <a:blip r:embed="rId22"/>
                    <a:stretch>
                      <a:fillRect/>
                    </a:stretch>
                  </pic:blipFill>
                  <pic:spPr>
                    <a:xfrm>
                      <a:off x="0" y="0"/>
                      <a:ext cx="5016500" cy="2778125"/>
                    </a:xfrm>
                    <a:prstGeom prst="rect">
                      <a:avLst/>
                    </a:prstGeom>
                  </pic:spPr>
                </pic:pic>
              </a:graphicData>
            </a:graphic>
          </wp:inline>
        </w:drawing>
      </w:r>
      <w:r>
        <w:t xml:space="preserve"> </w:t>
      </w:r>
    </w:p>
    <w:p w:rsidR="00BB52D7" w:rsidRDefault="00E33AE6">
      <w:pPr>
        <w:spacing w:after="254" w:line="264" w:lineRule="auto"/>
        <w:ind w:left="846" w:right="9"/>
        <w:jc w:val="left"/>
      </w:pPr>
      <w:r>
        <w:rPr>
          <w:i/>
          <w:sz w:val="20"/>
        </w:rPr>
        <w:lastRenderedPageBreak/>
        <w:t xml:space="preserve">Source:EFAMA: Asset Management in Europe, Facts and Figures, December 2014 </w:t>
      </w:r>
    </w:p>
    <w:p w:rsidR="00BB52D7" w:rsidRDefault="00E33AE6">
      <w:pPr>
        <w:ind w:left="846" w:right="843"/>
      </w:pPr>
      <w:r>
        <w:t>The breakdown of investment asset classes has remained relatively constant: equity and balanced funds account for almost 53% of the entire UCITS universe, the remaining funds either fall into the category of bond funds (29%), money market funds (12%) or ot</w:t>
      </w:r>
      <w:r>
        <w:t xml:space="preserve">hers.  </w:t>
      </w:r>
    </w:p>
    <w:p w:rsidR="00BB52D7" w:rsidRDefault="00E33AE6">
      <w:pPr>
        <w:ind w:left="846" w:right="843"/>
      </w:pPr>
      <w:r>
        <w:t>In terms of number of fund vehicles, the figures translate into 36,148 individual funds at the end of 2014 compared to 35,618 at end December 2013</w:t>
      </w:r>
      <w:r>
        <w:rPr>
          <w:vertAlign w:val="superscript"/>
        </w:rPr>
        <w:footnoteReference w:id="79"/>
      </w:r>
      <w:r>
        <w:t>. At the end of 2014, about 80% of UCITS assets are invested by funds domiciled in four jurisdictions</w:t>
      </w:r>
      <w:r>
        <w:t xml:space="preserve">: Luxembourg (35.2%), Ireland (17%), France (15.2%), and United Kingdom (13.2%).  </w:t>
      </w:r>
    </w:p>
    <w:p w:rsidR="00BB52D7" w:rsidRDefault="00E33AE6">
      <w:pPr>
        <w:spacing w:after="262"/>
        <w:ind w:left="846" w:right="843"/>
      </w:pPr>
      <w:r>
        <w:t>UCITS, upon establishment in one Member State, can be marketed to professional and retail investors throughout the EU. Institutional investors, notably pension funds and inv</w:t>
      </w:r>
      <w:r>
        <w:t>estment companies, represent the largest client category of the European asset management industry – they account for 76% of total AuM in Europe</w:t>
      </w:r>
      <w:r>
        <w:rPr>
          <w:vertAlign w:val="superscript"/>
        </w:rPr>
        <w:footnoteReference w:id="80"/>
      </w:r>
      <w:r>
        <w:t xml:space="preserve">.  </w:t>
      </w:r>
    </w:p>
    <w:p w:rsidR="00BB52D7" w:rsidRDefault="00E33AE6">
      <w:pPr>
        <w:ind w:left="846" w:right="843"/>
      </w:pPr>
      <w:r>
        <w:t>UCITS are managed by management companies</w:t>
      </w:r>
      <w:r>
        <w:rPr>
          <w:vertAlign w:val="superscript"/>
        </w:rPr>
        <w:footnoteReference w:id="81"/>
      </w:r>
      <w:r>
        <w:t>. The management companies charge a management fee</w:t>
      </w:r>
      <w:r>
        <w:rPr>
          <w:vertAlign w:val="superscript"/>
        </w:rPr>
        <w:footnoteReference w:id="82"/>
      </w:r>
      <w:r>
        <w:t xml:space="preserve"> which is paid</w:t>
      </w:r>
      <w:r>
        <w:t xml:space="preserve"> out of UCITS assets (i.e. born by UCITS investors). There are about 1200 UCITS management groups in the EU.  </w:t>
      </w:r>
    </w:p>
    <w:p w:rsidR="00BB52D7" w:rsidRDefault="00E33AE6">
      <w:pPr>
        <w:ind w:left="846" w:right="843"/>
      </w:pPr>
      <w:r>
        <w:t>Some management companies are self-standing asset managers while others are part of a banking or insurance group. A management company can be est</w:t>
      </w:r>
      <w:r>
        <w:t>ablished in one Member State and manage UCITS established in other Member States using the so-called management passport.</w:t>
      </w:r>
      <w:r>
        <w:rPr>
          <w:b/>
          <w:i/>
        </w:rPr>
        <w:t xml:space="preserve"> </w:t>
      </w:r>
    </w:p>
    <w:p w:rsidR="00BB52D7" w:rsidRDefault="00E33AE6">
      <w:pPr>
        <w:pStyle w:val="Heading6"/>
        <w:ind w:left="846" w:right="488"/>
      </w:pPr>
      <w:r>
        <w:lastRenderedPageBreak/>
        <w:t>Chart 1 - UCITS Net Assets by Country of Domiciliation Q4 2014</w:t>
      </w:r>
      <w:r>
        <w:rPr>
          <w:u w:val="none"/>
        </w:rPr>
        <w:t xml:space="preserve"> </w:t>
      </w:r>
    </w:p>
    <w:p w:rsidR="00BB52D7" w:rsidRDefault="00E33AE6">
      <w:pPr>
        <w:spacing w:after="6" w:line="259" w:lineRule="auto"/>
        <w:ind w:left="850" w:firstLine="0"/>
        <w:jc w:val="left"/>
      </w:pPr>
      <w:r>
        <w:rPr>
          <w:noProof/>
        </w:rPr>
        <w:drawing>
          <wp:inline distT="0" distB="0" distL="0" distR="0">
            <wp:extent cx="5767705" cy="4739005"/>
            <wp:effectExtent l="0" t="0" r="0" b="0"/>
            <wp:docPr id="9967" name="Picture 9967"/>
            <wp:cNvGraphicFramePr/>
            <a:graphic xmlns:a="http://schemas.openxmlformats.org/drawingml/2006/main">
              <a:graphicData uri="http://schemas.openxmlformats.org/drawingml/2006/picture">
                <pic:pic xmlns:pic="http://schemas.openxmlformats.org/drawingml/2006/picture">
                  <pic:nvPicPr>
                    <pic:cNvPr id="9967" name="Picture 9967"/>
                    <pic:cNvPicPr/>
                  </pic:nvPicPr>
                  <pic:blipFill>
                    <a:blip r:embed="rId23"/>
                    <a:stretch>
                      <a:fillRect/>
                    </a:stretch>
                  </pic:blipFill>
                  <pic:spPr>
                    <a:xfrm>
                      <a:off x="0" y="0"/>
                      <a:ext cx="5767705" cy="4739005"/>
                    </a:xfrm>
                    <a:prstGeom prst="rect">
                      <a:avLst/>
                    </a:prstGeom>
                  </pic:spPr>
                </pic:pic>
              </a:graphicData>
            </a:graphic>
          </wp:inline>
        </w:drawing>
      </w:r>
    </w:p>
    <w:p w:rsidR="00BB52D7" w:rsidRDefault="00E33AE6">
      <w:pPr>
        <w:spacing w:after="214" w:line="264" w:lineRule="auto"/>
        <w:ind w:left="846" w:right="9"/>
        <w:jc w:val="left"/>
      </w:pPr>
      <w:r>
        <w:rPr>
          <w:i/>
          <w:sz w:val="20"/>
        </w:rPr>
        <w:t>Source: EFAMA Quarterly Statistical Release No 60 (Fourth Quarter o</w:t>
      </w:r>
      <w:r>
        <w:rPr>
          <w:i/>
          <w:sz w:val="20"/>
        </w:rPr>
        <w:t>f 2014)</w:t>
      </w:r>
      <w:r>
        <w:t xml:space="preserve"> </w:t>
      </w:r>
    </w:p>
    <w:p w:rsidR="00BB52D7" w:rsidRDefault="00E33AE6">
      <w:pPr>
        <w:pStyle w:val="Heading6"/>
        <w:ind w:left="846" w:right="488"/>
      </w:pPr>
      <w:r>
        <w:t>Table 2 - UCITS Net Assets by Country of Domiciliation Q4 2014</w:t>
      </w:r>
      <w:r>
        <w:rPr>
          <w:u w:val="none"/>
        </w:rPr>
        <w:t xml:space="preserve"> </w:t>
      </w:r>
    </w:p>
    <w:tbl>
      <w:tblPr>
        <w:tblStyle w:val="TableGrid"/>
        <w:tblW w:w="4557" w:type="dxa"/>
        <w:tblInd w:w="838" w:type="dxa"/>
        <w:tblCellMar>
          <w:top w:w="17" w:type="dxa"/>
          <w:left w:w="0" w:type="dxa"/>
          <w:bottom w:w="0" w:type="dxa"/>
          <w:right w:w="8" w:type="dxa"/>
        </w:tblCellMar>
        <w:tblLook w:val="04A0" w:firstRow="1" w:lastRow="0" w:firstColumn="1" w:lastColumn="0" w:noHBand="0" w:noVBand="1"/>
      </w:tblPr>
      <w:tblGrid>
        <w:gridCol w:w="2173"/>
        <w:gridCol w:w="1535"/>
        <w:gridCol w:w="59"/>
        <w:gridCol w:w="790"/>
      </w:tblGrid>
      <w:tr w:rsidR="00BB52D7">
        <w:trPr>
          <w:trHeight w:val="569"/>
        </w:trPr>
        <w:tc>
          <w:tcPr>
            <w:tcW w:w="4557" w:type="dxa"/>
            <w:gridSpan w:val="4"/>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7" w:firstLine="0"/>
              <w:jc w:val="center"/>
            </w:pPr>
            <w:r>
              <w:rPr>
                <w:b/>
              </w:rPr>
              <w:t xml:space="preserve">Net Assets of the European UCITS </w:t>
            </w:r>
          </w:p>
          <w:p w:rsidR="00BB52D7" w:rsidRDefault="00E33AE6">
            <w:pPr>
              <w:spacing w:after="0" w:line="259" w:lineRule="auto"/>
              <w:ind w:left="6" w:firstLine="0"/>
              <w:jc w:val="center"/>
            </w:pPr>
            <w:r>
              <w:rPr>
                <w:b/>
              </w:rPr>
              <w:t xml:space="preserve">Industry </w:t>
            </w:r>
          </w:p>
        </w:tc>
      </w:tr>
      <w:tr w:rsidR="00BB52D7">
        <w:trPr>
          <w:trHeight w:val="334"/>
        </w:trPr>
        <w:tc>
          <w:tcPr>
            <w:tcW w:w="2174" w:type="dxa"/>
            <w:tcBorders>
              <w:top w:val="single" w:sz="8" w:space="0" w:color="000000"/>
              <w:left w:val="single" w:sz="8" w:space="0" w:color="000000"/>
              <w:bottom w:val="nil"/>
              <w:right w:val="single" w:sz="8" w:space="0" w:color="000000"/>
            </w:tcBorders>
            <w:shd w:val="clear" w:color="auto" w:fill="D9D9D9"/>
          </w:tcPr>
          <w:p w:rsidR="00BB52D7" w:rsidRDefault="00E33AE6">
            <w:pPr>
              <w:spacing w:after="0" w:line="259" w:lineRule="auto"/>
              <w:ind w:left="67" w:firstLine="0"/>
              <w:jc w:val="left"/>
            </w:pPr>
            <w:r>
              <w:rPr>
                <w:b/>
              </w:rPr>
              <w:t xml:space="preserve">  </w:t>
            </w:r>
          </w:p>
        </w:tc>
        <w:tc>
          <w:tcPr>
            <w:tcW w:w="2384" w:type="dxa"/>
            <w:gridSpan w:val="3"/>
            <w:tcBorders>
              <w:top w:val="single" w:sz="8" w:space="0" w:color="000000"/>
              <w:left w:val="single" w:sz="8" w:space="0" w:color="000000"/>
              <w:bottom w:val="nil"/>
              <w:right w:val="single" w:sz="8" w:space="0" w:color="000000"/>
            </w:tcBorders>
            <w:shd w:val="clear" w:color="auto" w:fill="D9D9D9"/>
          </w:tcPr>
          <w:p w:rsidR="00BB52D7" w:rsidRDefault="00E33AE6">
            <w:pPr>
              <w:spacing w:after="0" w:line="259" w:lineRule="auto"/>
              <w:ind w:left="8" w:firstLine="0"/>
              <w:jc w:val="center"/>
            </w:pPr>
            <w:r>
              <w:rPr>
                <w:b/>
              </w:rPr>
              <w:t xml:space="preserve">31/12/2014 </w:t>
            </w:r>
          </w:p>
        </w:tc>
      </w:tr>
      <w:tr w:rsidR="00BB52D7">
        <w:trPr>
          <w:trHeight w:val="299"/>
        </w:trPr>
        <w:tc>
          <w:tcPr>
            <w:tcW w:w="2174" w:type="dxa"/>
            <w:tcBorders>
              <w:top w:val="nil"/>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2" w:firstLine="0"/>
              <w:jc w:val="center"/>
            </w:pPr>
            <w:r>
              <w:rPr>
                <w:b/>
              </w:rPr>
              <w:t xml:space="preserve">Members </w:t>
            </w:r>
          </w:p>
        </w:tc>
        <w:tc>
          <w:tcPr>
            <w:tcW w:w="1594" w:type="dxa"/>
            <w:gridSpan w:val="2"/>
            <w:tcBorders>
              <w:top w:val="nil"/>
              <w:left w:val="single" w:sz="8" w:space="0" w:color="000000"/>
              <w:bottom w:val="single" w:sz="8" w:space="0" w:color="000000"/>
              <w:right w:val="nil"/>
            </w:tcBorders>
            <w:shd w:val="clear" w:color="auto" w:fill="D9D9D9"/>
          </w:tcPr>
          <w:p w:rsidR="00BB52D7" w:rsidRDefault="00E33AE6">
            <w:pPr>
              <w:spacing w:after="0" w:line="259" w:lineRule="auto"/>
              <w:ind w:left="350" w:firstLine="0"/>
              <w:jc w:val="left"/>
            </w:pPr>
            <w:r>
              <w:rPr>
                <w:b/>
              </w:rPr>
              <w:t xml:space="preserve">Eur m </w:t>
            </w:r>
          </w:p>
        </w:tc>
        <w:tc>
          <w:tcPr>
            <w:tcW w:w="790" w:type="dxa"/>
            <w:tcBorders>
              <w:top w:val="nil"/>
              <w:left w:val="nil"/>
              <w:bottom w:val="single" w:sz="8" w:space="0" w:color="000000"/>
              <w:right w:val="single" w:sz="8" w:space="0" w:color="000000"/>
            </w:tcBorders>
            <w:shd w:val="clear" w:color="auto" w:fill="D9D9D9"/>
          </w:tcPr>
          <w:p w:rsidR="00BB52D7" w:rsidRDefault="00E33AE6">
            <w:pPr>
              <w:spacing w:after="0" w:line="259" w:lineRule="auto"/>
              <w:ind w:left="0" w:firstLine="0"/>
              <w:jc w:val="left"/>
            </w:pPr>
            <w:r>
              <w:rPr>
                <w:b/>
              </w:rPr>
              <w:t xml:space="preserve">share </w:t>
            </w:r>
          </w:p>
        </w:tc>
      </w:tr>
      <w:tr w:rsidR="00BB52D7">
        <w:trPr>
          <w:trHeight w:val="327"/>
        </w:trPr>
        <w:tc>
          <w:tcPr>
            <w:tcW w:w="2174" w:type="dxa"/>
            <w:tcBorders>
              <w:top w:val="single" w:sz="8" w:space="0" w:color="000000"/>
              <w:left w:val="single" w:sz="8" w:space="0" w:color="000000"/>
              <w:bottom w:val="nil"/>
              <w:right w:val="single" w:sz="8" w:space="0" w:color="000000"/>
            </w:tcBorders>
          </w:tcPr>
          <w:p w:rsidR="00BB52D7" w:rsidRDefault="00E33AE6">
            <w:pPr>
              <w:spacing w:after="0" w:line="259" w:lineRule="auto"/>
              <w:ind w:left="67" w:firstLine="0"/>
              <w:jc w:val="left"/>
            </w:pPr>
            <w:r>
              <w:t xml:space="preserve">Austria </w:t>
            </w:r>
          </w:p>
        </w:tc>
        <w:tc>
          <w:tcPr>
            <w:tcW w:w="1594" w:type="dxa"/>
            <w:gridSpan w:val="2"/>
            <w:tcBorders>
              <w:top w:val="single" w:sz="8" w:space="0" w:color="000000"/>
              <w:left w:val="single" w:sz="8" w:space="0" w:color="000000"/>
              <w:bottom w:val="nil"/>
              <w:right w:val="nil"/>
            </w:tcBorders>
          </w:tcPr>
          <w:p w:rsidR="00BB52D7" w:rsidRDefault="00E33AE6">
            <w:pPr>
              <w:spacing w:after="0" w:line="259" w:lineRule="auto"/>
              <w:ind w:left="635" w:firstLine="0"/>
              <w:jc w:val="left"/>
            </w:pPr>
            <w:r>
              <w:t xml:space="preserve">83,553 </w:t>
            </w:r>
          </w:p>
        </w:tc>
        <w:tc>
          <w:tcPr>
            <w:tcW w:w="790" w:type="dxa"/>
            <w:tcBorders>
              <w:top w:val="single" w:sz="8" w:space="0" w:color="000000"/>
              <w:left w:val="nil"/>
              <w:bottom w:val="nil"/>
              <w:right w:val="single" w:sz="8" w:space="0" w:color="000000"/>
            </w:tcBorders>
          </w:tcPr>
          <w:p w:rsidR="00BB52D7" w:rsidRDefault="00E33AE6">
            <w:pPr>
              <w:spacing w:after="0" w:line="259" w:lineRule="auto"/>
              <w:ind w:left="221" w:firstLine="0"/>
              <w:jc w:val="left"/>
            </w:pPr>
            <w:r>
              <w:t xml:space="preserve">1.1%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Belgium </w:t>
            </w:r>
          </w:p>
        </w:tc>
        <w:tc>
          <w:tcPr>
            <w:tcW w:w="1594" w:type="dxa"/>
            <w:gridSpan w:val="2"/>
            <w:tcBorders>
              <w:top w:val="nil"/>
              <w:left w:val="single" w:sz="8" w:space="0" w:color="000000"/>
              <w:bottom w:val="nil"/>
              <w:right w:val="nil"/>
            </w:tcBorders>
          </w:tcPr>
          <w:p w:rsidR="00BB52D7" w:rsidRDefault="00E33AE6">
            <w:pPr>
              <w:spacing w:after="0" w:line="259" w:lineRule="auto"/>
              <w:ind w:left="515" w:firstLine="0"/>
              <w:jc w:val="left"/>
            </w:pPr>
            <w:r>
              <w:t xml:space="preserve">104,694 </w:t>
            </w:r>
          </w:p>
        </w:tc>
        <w:tc>
          <w:tcPr>
            <w:tcW w:w="790" w:type="dxa"/>
            <w:tcBorders>
              <w:top w:val="nil"/>
              <w:left w:val="nil"/>
              <w:bottom w:val="nil"/>
              <w:right w:val="single" w:sz="8" w:space="0" w:color="000000"/>
            </w:tcBorders>
          </w:tcPr>
          <w:p w:rsidR="00BB52D7" w:rsidRDefault="00E33AE6">
            <w:pPr>
              <w:spacing w:after="0" w:line="259" w:lineRule="auto"/>
              <w:ind w:left="221" w:firstLine="0"/>
              <w:jc w:val="left"/>
            </w:pPr>
            <w:r>
              <w:t xml:space="preserve">1.4%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Bulgaria </w:t>
            </w:r>
          </w:p>
        </w:tc>
        <w:tc>
          <w:tcPr>
            <w:tcW w:w="1594" w:type="dxa"/>
            <w:gridSpan w:val="2"/>
            <w:tcBorders>
              <w:top w:val="nil"/>
              <w:left w:val="single" w:sz="8" w:space="0" w:color="000000"/>
              <w:bottom w:val="nil"/>
              <w:right w:val="nil"/>
            </w:tcBorders>
          </w:tcPr>
          <w:p w:rsidR="00BB52D7" w:rsidRDefault="00E33AE6">
            <w:pPr>
              <w:spacing w:after="0" w:line="259" w:lineRule="auto"/>
              <w:ind w:left="935" w:firstLine="0"/>
              <w:jc w:val="left"/>
            </w:pPr>
            <w:r>
              <w:t xml:space="preserve">411 </w:t>
            </w:r>
          </w:p>
        </w:tc>
        <w:tc>
          <w:tcPr>
            <w:tcW w:w="790" w:type="dxa"/>
            <w:tcBorders>
              <w:top w:val="nil"/>
              <w:left w:val="nil"/>
              <w:bottom w:val="nil"/>
              <w:right w:val="single" w:sz="8" w:space="0" w:color="000000"/>
            </w:tcBorders>
          </w:tcPr>
          <w:p w:rsidR="00BB52D7" w:rsidRDefault="00E33AE6">
            <w:pPr>
              <w:spacing w:after="0" w:line="259" w:lineRule="auto"/>
              <w:ind w:left="221" w:firstLine="0"/>
              <w:jc w:val="left"/>
            </w:pPr>
            <w:r>
              <w:t xml:space="preserve">0.0%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Croatia </w:t>
            </w:r>
          </w:p>
        </w:tc>
        <w:tc>
          <w:tcPr>
            <w:tcW w:w="1594" w:type="dxa"/>
            <w:gridSpan w:val="2"/>
            <w:tcBorders>
              <w:top w:val="nil"/>
              <w:left w:val="single" w:sz="8" w:space="0" w:color="000000"/>
              <w:bottom w:val="nil"/>
              <w:right w:val="nil"/>
            </w:tcBorders>
          </w:tcPr>
          <w:p w:rsidR="00BB52D7" w:rsidRDefault="00E33AE6">
            <w:pPr>
              <w:spacing w:after="0" w:line="259" w:lineRule="auto"/>
              <w:ind w:left="755" w:firstLine="0"/>
              <w:jc w:val="left"/>
            </w:pPr>
            <w:r>
              <w:t xml:space="preserve">1,695 </w:t>
            </w:r>
          </w:p>
        </w:tc>
        <w:tc>
          <w:tcPr>
            <w:tcW w:w="790" w:type="dxa"/>
            <w:tcBorders>
              <w:top w:val="nil"/>
              <w:left w:val="nil"/>
              <w:bottom w:val="nil"/>
              <w:right w:val="single" w:sz="8" w:space="0" w:color="000000"/>
            </w:tcBorders>
          </w:tcPr>
          <w:p w:rsidR="00BB52D7" w:rsidRDefault="00E33AE6">
            <w:pPr>
              <w:spacing w:after="0" w:line="259" w:lineRule="auto"/>
              <w:ind w:left="221" w:firstLine="0"/>
              <w:jc w:val="left"/>
            </w:pPr>
            <w:r>
              <w:t xml:space="preserve">0.0%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Cyprus </w:t>
            </w:r>
          </w:p>
        </w:tc>
        <w:tc>
          <w:tcPr>
            <w:tcW w:w="1594" w:type="dxa"/>
            <w:gridSpan w:val="2"/>
            <w:tcBorders>
              <w:top w:val="nil"/>
              <w:left w:val="single" w:sz="8" w:space="0" w:color="000000"/>
              <w:bottom w:val="nil"/>
              <w:right w:val="nil"/>
            </w:tcBorders>
          </w:tcPr>
          <w:p w:rsidR="00BB52D7" w:rsidRDefault="00E33AE6">
            <w:pPr>
              <w:spacing w:after="0" w:line="259" w:lineRule="auto"/>
              <w:ind w:left="0" w:right="291" w:firstLine="0"/>
              <w:jc w:val="right"/>
            </w:pPr>
            <w:r>
              <w:t xml:space="preserve">- </w:t>
            </w:r>
          </w:p>
        </w:tc>
        <w:tc>
          <w:tcPr>
            <w:tcW w:w="790" w:type="dxa"/>
            <w:tcBorders>
              <w:top w:val="nil"/>
              <w:left w:val="nil"/>
              <w:bottom w:val="nil"/>
              <w:right w:val="single" w:sz="8" w:space="0" w:color="000000"/>
            </w:tcBorders>
          </w:tcPr>
          <w:p w:rsidR="00BB52D7" w:rsidRDefault="00E33AE6">
            <w:pPr>
              <w:spacing w:after="0" w:line="259" w:lineRule="auto"/>
              <w:ind w:left="240" w:firstLine="0"/>
              <w:jc w:val="left"/>
            </w:pPr>
            <w:r>
              <w:t xml:space="preserve">-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Czech Republic </w:t>
            </w:r>
          </w:p>
        </w:tc>
        <w:tc>
          <w:tcPr>
            <w:tcW w:w="1594" w:type="dxa"/>
            <w:gridSpan w:val="2"/>
            <w:tcBorders>
              <w:top w:val="nil"/>
              <w:left w:val="single" w:sz="8" w:space="0" w:color="000000"/>
              <w:bottom w:val="nil"/>
              <w:right w:val="nil"/>
            </w:tcBorders>
          </w:tcPr>
          <w:p w:rsidR="00BB52D7" w:rsidRDefault="00E33AE6">
            <w:pPr>
              <w:spacing w:after="0" w:line="259" w:lineRule="auto"/>
              <w:ind w:left="755" w:firstLine="0"/>
              <w:jc w:val="left"/>
            </w:pPr>
            <w:r>
              <w:t xml:space="preserve">5,984 </w:t>
            </w:r>
          </w:p>
        </w:tc>
        <w:tc>
          <w:tcPr>
            <w:tcW w:w="790" w:type="dxa"/>
            <w:tcBorders>
              <w:top w:val="nil"/>
              <w:left w:val="nil"/>
              <w:bottom w:val="nil"/>
              <w:right w:val="single" w:sz="8" w:space="0" w:color="000000"/>
            </w:tcBorders>
          </w:tcPr>
          <w:p w:rsidR="00BB52D7" w:rsidRDefault="00E33AE6">
            <w:pPr>
              <w:spacing w:after="0" w:line="259" w:lineRule="auto"/>
              <w:ind w:left="221" w:firstLine="0"/>
              <w:jc w:val="left"/>
            </w:pPr>
            <w:r>
              <w:t xml:space="preserve">0.1%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Denmark </w:t>
            </w:r>
          </w:p>
        </w:tc>
        <w:tc>
          <w:tcPr>
            <w:tcW w:w="1594" w:type="dxa"/>
            <w:gridSpan w:val="2"/>
            <w:tcBorders>
              <w:top w:val="nil"/>
              <w:left w:val="single" w:sz="8" w:space="0" w:color="000000"/>
              <w:bottom w:val="nil"/>
              <w:right w:val="nil"/>
            </w:tcBorders>
          </w:tcPr>
          <w:p w:rsidR="00BB52D7" w:rsidRDefault="00E33AE6">
            <w:pPr>
              <w:spacing w:after="0" w:line="259" w:lineRule="auto"/>
              <w:ind w:left="635" w:firstLine="0"/>
              <w:jc w:val="left"/>
            </w:pPr>
            <w:r>
              <w:t xml:space="preserve">99,947 </w:t>
            </w:r>
          </w:p>
        </w:tc>
        <w:tc>
          <w:tcPr>
            <w:tcW w:w="790" w:type="dxa"/>
            <w:tcBorders>
              <w:top w:val="nil"/>
              <w:left w:val="nil"/>
              <w:bottom w:val="nil"/>
              <w:right w:val="single" w:sz="8" w:space="0" w:color="000000"/>
            </w:tcBorders>
          </w:tcPr>
          <w:p w:rsidR="00BB52D7" w:rsidRDefault="00E33AE6">
            <w:pPr>
              <w:spacing w:after="0" w:line="259" w:lineRule="auto"/>
              <w:ind w:left="221" w:firstLine="0"/>
              <w:jc w:val="left"/>
            </w:pPr>
            <w:r>
              <w:t xml:space="preserve">1.3%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Estonia </w:t>
            </w:r>
          </w:p>
        </w:tc>
        <w:tc>
          <w:tcPr>
            <w:tcW w:w="1594" w:type="dxa"/>
            <w:gridSpan w:val="2"/>
            <w:tcBorders>
              <w:top w:val="nil"/>
              <w:left w:val="single" w:sz="8" w:space="0" w:color="000000"/>
              <w:bottom w:val="nil"/>
              <w:right w:val="nil"/>
            </w:tcBorders>
          </w:tcPr>
          <w:p w:rsidR="00BB52D7" w:rsidRDefault="00E33AE6">
            <w:pPr>
              <w:spacing w:after="0" w:line="259" w:lineRule="auto"/>
              <w:ind w:left="0" w:right="291" w:firstLine="0"/>
              <w:jc w:val="right"/>
            </w:pPr>
            <w:r>
              <w:t xml:space="preserve">- </w:t>
            </w:r>
          </w:p>
        </w:tc>
        <w:tc>
          <w:tcPr>
            <w:tcW w:w="790" w:type="dxa"/>
            <w:tcBorders>
              <w:top w:val="nil"/>
              <w:left w:val="nil"/>
              <w:bottom w:val="nil"/>
              <w:right w:val="single" w:sz="8" w:space="0" w:color="000000"/>
            </w:tcBorders>
          </w:tcPr>
          <w:p w:rsidR="00BB52D7" w:rsidRDefault="00E33AE6">
            <w:pPr>
              <w:spacing w:after="0" w:line="259" w:lineRule="auto"/>
              <w:ind w:left="240" w:firstLine="0"/>
              <w:jc w:val="left"/>
            </w:pPr>
            <w:r>
              <w:t xml:space="preserve">- </w:t>
            </w:r>
          </w:p>
        </w:tc>
      </w:tr>
      <w:tr w:rsidR="00BB52D7">
        <w:trPr>
          <w:trHeight w:val="286"/>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Finland </w:t>
            </w:r>
          </w:p>
        </w:tc>
        <w:tc>
          <w:tcPr>
            <w:tcW w:w="1594" w:type="dxa"/>
            <w:gridSpan w:val="2"/>
            <w:tcBorders>
              <w:top w:val="nil"/>
              <w:left w:val="single" w:sz="8" w:space="0" w:color="000000"/>
              <w:bottom w:val="nil"/>
              <w:right w:val="nil"/>
            </w:tcBorders>
          </w:tcPr>
          <w:p w:rsidR="00BB52D7" w:rsidRDefault="00E33AE6">
            <w:pPr>
              <w:spacing w:after="0" w:line="259" w:lineRule="auto"/>
              <w:ind w:left="635" w:firstLine="0"/>
              <w:jc w:val="left"/>
            </w:pPr>
            <w:r>
              <w:t xml:space="preserve">71,346 </w:t>
            </w:r>
          </w:p>
        </w:tc>
        <w:tc>
          <w:tcPr>
            <w:tcW w:w="790" w:type="dxa"/>
            <w:tcBorders>
              <w:top w:val="nil"/>
              <w:left w:val="nil"/>
              <w:bottom w:val="nil"/>
              <w:right w:val="single" w:sz="8" w:space="0" w:color="000000"/>
            </w:tcBorders>
          </w:tcPr>
          <w:p w:rsidR="00BB52D7" w:rsidRDefault="00E33AE6">
            <w:pPr>
              <w:spacing w:after="0" w:line="259" w:lineRule="auto"/>
              <w:ind w:left="221" w:firstLine="0"/>
              <w:jc w:val="left"/>
            </w:pPr>
            <w:r>
              <w:t xml:space="preserve">0.9% </w:t>
            </w:r>
          </w:p>
        </w:tc>
      </w:tr>
      <w:tr w:rsidR="00BB52D7">
        <w:trPr>
          <w:trHeight w:val="314"/>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France </w:t>
            </w:r>
          </w:p>
        </w:tc>
        <w:tc>
          <w:tcPr>
            <w:tcW w:w="1535" w:type="dxa"/>
            <w:tcBorders>
              <w:top w:val="nil"/>
              <w:left w:val="single" w:sz="8" w:space="0" w:color="000000"/>
              <w:bottom w:val="nil"/>
              <w:right w:val="nil"/>
            </w:tcBorders>
          </w:tcPr>
          <w:p w:rsidR="00BB52D7" w:rsidRDefault="00E33AE6">
            <w:pPr>
              <w:spacing w:after="0" w:line="259" w:lineRule="auto"/>
              <w:ind w:left="105" w:firstLine="0"/>
              <w:jc w:val="center"/>
            </w:pPr>
            <w:r>
              <w:t xml:space="preserve">1,145,928 </w:t>
            </w:r>
          </w:p>
        </w:tc>
        <w:tc>
          <w:tcPr>
            <w:tcW w:w="848" w:type="dxa"/>
            <w:gridSpan w:val="2"/>
            <w:tcBorders>
              <w:top w:val="nil"/>
              <w:left w:val="nil"/>
              <w:bottom w:val="nil"/>
              <w:right w:val="single" w:sz="8" w:space="0" w:color="000000"/>
            </w:tcBorders>
          </w:tcPr>
          <w:p w:rsidR="00BB52D7" w:rsidRDefault="00E33AE6">
            <w:pPr>
              <w:spacing w:after="0" w:line="259" w:lineRule="auto"/>
              <w:ind w:left="160" w:firstLine="0"/>
              <w:jc w:val="left"/>
            </w:pPr>
            <w:r>
              <w:t xml:space="preserve">15.2%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Germany </w:t>
            </w:r>
          </w:p>
        </w:tc>
        <w:tc>
          <w:tcPr>
            <w:tcW w:w="1535" w:type="dxa"/>
            <w:tcBorders>
              <w:top w:val="nil"/>
              <w:left w:val="single" w:sz="8" w:space="0" w:color="000000"/>
              <w:bottom w:val="nil"/>
              <w:right w:val="nil"/>
            </w:tcBorders>
          </w:tcPr>
          <w:p w:rsidR="00BB52D7" w:rsidRDefault="00E33AE6">
            <w:pPr>
              <w:spacing w:after="0" w:line="259" w:lineRule="auto"/>
              <w:ind w:left="517" w:firstLine="0"/>
              <w:jc w:val="left"/>
            </w:pPr>
            <w:r>
              <w:t xml:space="preserve">296,406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3.9%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Greece </w:t>
            </w:r>
          </w:p>
        </w:tc>
        <w:tc>
          <w:tcPr>
            <w:tcW w:w="1535" w:type="dxa"/>
            <w:tcBorders>
              <w:top w:val="nil"/>
              <w:left w:val="single" w:sz="8" w:space="0" w:color="000000"/>
              <w:bottom w:val="nil"/>
              <w:right w:val="nil"/>
            </w:tcBorders>
          </w:tcPr>
          <w:p w:rsidR="00BB52D7" w:rsidRDefault="00E33AE6">
            <w:pPr>
              <w:spacing w:after="0" w:line="259" w:lineRule="auto"/>
              <w:ind w:left="757" w:firstLine="0"/>
              <w:jc w:val="left"/>
            </w:pPr>
            <w:r>
              <w:t xml:space="preserve">4,781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0.1%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Hungary </w:t>
            </w:r>
          </w:p>
        </w:tc>
        <w:tc>
          <w:tcPr>
            <w:tcW w:w="1535" w:type="dxa"/>
            <w:tcBorders>
              <w:top w:val="nil"/>
              <w:left w:val="single" w:sz="8" w:space="0" w:color="000000"/>
              <w:bottom w:val="nil"/>
              <w:right w:val="nil"/>
            </w:tcBorders>
          </w:tcPr>
          <w:p w:rsidR="00BB52D7" w:rsidRDefault="00E33AE6">
            <w:pPr>
              <w:spacing w:after="0" w:line="259" w:lineRule="auto"/>
              <w:ind w:left="637" w:firstLine="0"/>
              <w:jc w:val="left"/>
            </w:pPr>
            <w:r>
              <w:t xml:space="preserve">11,416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0.2%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Ireland </w:t>
            </w:r>
          </w:p>
        </w:tc>
        <w:tc>
          <w:tcPr>
            <w:tcW w:w="1535" w:type="dxa"/>
            <w:tcBorders>
              <w:top w:val="nil"/>
              <w:left w:val="single" w:sz="8" w:space="0" w:color="000000"/>
              <w:bottom w:val="nil"/>
              <w:right w:val="nil"/>
            </w:tcBorders>
          </w:tcPr>
          <w:p w:rsidR="00BB52D7" w:rsidRDefault="00E33AE6">
            <w:pPr>
              <w:spacing w:after="0" w:line="259" w:lineRule="auto"/>
              <w:ind w:left="105" w:firstLine="0"/>
              <w:jc w:val="center"/>
            </w:pPr>
            <w:r>
              <w:t xml:space="preserve">1,274,477 </w:t>
            </w:r>
          </w:p>
        </w:tc>
        <w:tc>
          <w:tcPr>
            <w:tcW w:w="848" w:type="dxa"/>
            <w:gridSpan w:val="2"/>
            <w:tcBorders>
              <w:top w:val="nil"/>
              <w:left w:val="nil"/>
              <w:bottom w:val="nil"/>
              <w:right w:val="single" w:sz="8" w:space="0" w:color="000000"/>
            </w:tcBorders>
          </w:tcPr>
          <w:p w:rsidR="00BB52D7" w:rsidRDefault="00E33AE6">
            <w:pPr>
              <w:spacing w:after="0" w:line="259" w:lineRule="auto"/>
              <w:ind w:left="160" w:firstLine="0"/>
              <w:jc w:val="left"/>
            </w:pPr>
            <w:r>
              <w:t xml:space="preserve">17.0%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lastRenderedPageBreak/>
              <w:t xml:space="preserve">Italy </w:t>
            </w:r>
          </w:p>
        </w:tc>
        <w:tc>
          <w:tcPr>
            <w:tcW w:w="1535" w:type="dxa"/>
            <w:tcBorders>
              <w:top w:val="nil"/>
              <w:left w:val="single" w:sz="8" w:space="0" w:color="000000"/>
              <w:bottom w:val="nil"/>
              <w:right w:val="nil"/>
            </w:tcBorders>
          </w:tcPr>
          <w:p w:rsidR="00BB52D7" w:rsidRDefault="00E33AE6">
            <w:pPr>
              <w:spacing w:after="0" w:line="259" w:lineRule="auto"/>
              <w:ind w:left="517" w:firstLine="0"/>
              <w:jc w:val="left"/>
            </w:pPr>
            <w:r>
              <w:t xml:space="preserve">196,299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2.6%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Latvia </w:t>
            </w:r>
          </w:p>
        </w:tc>
        <w:tc>
          <w:tcPr>
            <w:tcW w:w="1535" w:type="dxa"/>
            <w:tcBorders>
              <w:top w:val="nil"/>
              <w:left w:val="single" w:sz="8" w:space="0" w:color="000000"/>
              <w:bottom w:val="nil"/>
              <w:right w:val="nil"/>
            </w:tcBorders>
          </w:tcPr>
          <w:p w:rsidR="00BB52D7" w:rsidRDefault="00E33AE6">
            <w:pPr>
              <w:spacing w:after="0" w:line="259" w:lineRule="auto"/>
              <w:ind w:left="0" w:right="232" w:firstLine="0"/>
              <w:jc w:val="right"/>
            </w:pPr>
            <w:r>
              <w:t xml:space="preserve">- </w:t>
            </w:r>
          </w:p>
        </w:tc>
        <w:tc>
          <w:tcPr>
            <w:tcW w:w="848" w:type="dxa"/>
            <w:gridSpan w:val="2"/>
            <w:tcBorders>
              <w:top w:val="nil"/>
              <w:left w:val="nil"/>
              <w:bottom w:val="nil"/>
              <w:right w:val="single" w:sz="8" w:space="0" w:color="000000"/>
            </w:tcBorders>
          </w:tcPr>
          <w:p w:rsidR="00BB52D7" w:rsidRDefault="00E33AE6">
            <w:pPr>
              <w:spacing w:after="0" w:line="259" w:lineRule="auto"/>
              <w:ind w:left="299" w:firstLine="0"/>
              <w:jc w:val="left"/>
            </w:pPr>
            <w:r>
              <w:t xml:space="preserve">-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Lithuania </w:t>
            </w:r>
          </w:p>
        </w:tc>
        <w:tc>
          <w:tcPr>
            <w:tcW w:w="1535" w:type="dxa"/>
            <w:tcBorders>
              <w:top w:val="nil"/>
              <w:left w:val="single" w:sz="8" w:space="0" w:color="000000"/>
              <w:bottom w:val="nil"/>
              <w:right w:val="nil"/>
            </w:tcBorders>
          </w:tcPr>
          <w:p w:rsidR="00BB52D7" w:rsidRDefault="00E33AE6">
            <w:pPr>
              <w:spacing w:after="0" w:line="259" w:lineRule="auto"/>
              <w:ind w:left="0" w:right="232" w:firstLine="0"/>
              <w:jc w:val="right"/>
            </w:pPr>
            <w:r>
              <w:t xml:space="preserve">- </w:t>
            </w:r>
          </w:p>
        </w:tc>
        <w:tc>
          <w:tcPr>
            <w:tcW w:w="848" w:type="dxa"/>
            <w:gridSpan w:val="2"/>
            <w:tcBorders>
              <w:top w:val="nil"/>
              <w:left w:val="nil"/>
              <w:bottom w:val="nil"/>
              <w:right w:val="single" w:sz="8" w:space="0" w:color="000000"/>
            </w:tcBorders>
          </w:tcPr>
          <w:p w:rsidR="00BB52D7" w:rsidRDefault="00E33AE6">
            <w:pPr>
              <w:spacing w:after="0" w:line="259" w:lineRule="auto"/>
              <w:ind w:left="299" w:firstLine="0"/>
              <w:jc w:val="left"/>
            </w:pPr>
            <w:r>
              <w:t xml:space="preserve">-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Luxembourg </w:t>
            </w:r>
          </w:p>
        </w:tc>
        <w:tc>
          <w:tcPr>
            <w:tcW w:w="1535" w:type="dxa"/>
            <w:tcBorders>
              <w:top w:val="nil"/>
              <w:left w:val="single" w:sz="8" w:space="0" w:color="000000"/>
              <w:bottom w:val="nil"/>
              <w:right w:val="nil"/>
            </w:tcBorders>
          </w:tcPr>
          <w:p w:rsidR="00BB52D7" w:rsidRDefault="00E33AE6">
            <w:pPr>
              <w:spacing w:after="0" w:line="259" w:lineRule="auto"/>
              <w:ind w:left="105" w:firstLine="0"/>
              <w:jc w:val="center"/>
            </w:pPr>
            <w:r>
              <w:t xml:space="preserve">2,642,504 </w:t>
            </w:r>
          </w:p>
        </w:tc>
        <w:tc>
          <w:tcPr>
            <w:tcW w:w="848" w:type="dxa"/>
            <w:gridSpan w:val="2"/>
            <w:tcBorders>
              <w:top w:val="nil"/>
              <w:left w:val="nil"/>
              <w:bottom w:val="nil"/>
              <w:right w:val="single" w:sz="8" w:space="0" w:color="000000"/>
            </w:tcBorders>
          </w:tcPr>
          <w:p w:rsidR="00BB52D7" w:rsidRDefault="00E33AE6">
            <w:pPr>
              <w:spacing w:after="0" w:line="259" w:lineRule="auto"/>
              <w:ind w:left="160" w:firstLine="0"/>
              <w:jc w:val="left"/>
            </w:pPr>
            <w:r>
              <w:t xml:space="preserve">35.2%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Malta </w:t>
            </w:r>
          </w:p>
        </w:tc>
        <w:tc>
          <w:tcPr>
            <w:tcW w:w="1535" w:type="dxa"/>
            <w:tcBorders>
              <w:top w:val="nil"/>
              <w:left w:val="single" w:sz="8" w:space="0" w:color="000000"/>
              <w:bottom w:val="nil"/>
              <w:right w:val="nil"/>
            </w:tcBorders>
          </w:tcPr>
          <w:p w:rsidR="00BB52D7" w:rsidRDefault="00E33AE6">
            <w:pPr>
              <w:spacing w:after="0" w:line="259" w:lineRule="auto"/>
              <w:ind w:left="757" w:firstLine="0"/>
              <w:jc w:val="left"/>
            </w:pPr>
            <w:r>
              <w:t xml:space="preserve">2,903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0.0%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Netherlands </w:t>
            </w:r>
          </w:p>
        </w:tc>
        <w:tc>
          <w:tcPr>
            <w:tcW w:w="1535" w:type="dxa"/>
            <w:tcBorders>
              <w:top w:val="nil"/>
              <w:left w:val="single" w:sz="8" w:space="0" w:color="000000"/>
              <w:bottom w:val="nil"/>
              <w:right w:val="nil"/>
            </w:tcBorders>
          </w:tcPr>
          <w:p w:rsidR="00BB52D7" w:rsidRDefault="00E33AE6">
            <w:pPr>
              <w:spacing w:after="0" w:line="259" w:lineRule="auto"/>
              <w:ind w:left="637" w:firstLine="0"/>
              <w:jc w:val="left"/>
            </w:pPr>
            <w:r>
              <w:t xml:space="preserve">62,393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0.8%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Poland </w:t>
            </w:r>
          </w:p>
        </w:tc>
        <w:tc>
          <w:tcPr>
            <w:tcW w:w="1535" w:type="dxa"/>
            <w:tcBorders>
              <w:top w:val="nil"/>
              <w:left w:val="single" w:sz="8" w:space="0" w:color="000000"/>
              <w:bottom w:val="nil"/>
              <w:right w:val="nil"/>
            </w:tcBorders>
          </w:tcPr>
          <w:p w:rsidR="00BB52D7" w:rsidRDefault="00E33AE6">
            <w:pPr>
              <w:spacing w:after="0" w:line="259" w:lineRule="auto"/>
              <w:ind w:left="637" w:firstLine="0"/>
              <w:jc w:val="left"/>
            </w:pPr>
            <w:r>
              <w:t xml:space="preserve">21,708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0.3%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Portugal </w:t>
            </w:r>
          </w:p>
        </w:tc>
        <w:tc>
          <w:tcPr>
            <w:tcW w:w="1535" w:type="dxa"/>
            <w:tcBorders>
              <w:top w:val="nil"/>
              <w:left w:val="single" w:sz="8" w:space="0" w:color="000000"/>
              <w:bottom w:val="nil"/>
              <w:right w:val="nil"/>
            </w:tcBorders>
          </w:tcPr>
          <w:p w:rsidR="00BB52D7" w:rsidRDefault="00E33AE6">
            <w:pPr>
              <w:spacing w:after="0" w:line="259" w:lineRule="auto"/>
              <w:ind w:left="757" w:firstLine="0"/>
              <w:jc w:val="left"/>
            </w:pPr>
            <w:r>
              <w:t xml:space="preserve">8,226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0.1%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Romania </w:t>
            </w:r>
          </w:p>
        </w:tc>
        <w:tc>
          <w:tcPr>
            <w:tcW w:w="1535" w:type="dxa"/>
            <w:tcBorders>
              <w:top w:val="nil"/>
              <w:left w:val="single" w:sz="8" w:space="0" w:color="000000"/>
              <w:bottom w:val="nil"/>
              <w:right w:val="nil"/>
            </w:tcBorders>
          </w:tcPr>
          <w:p w:rsidR="00BB52D7" w:rsidRDefault="00E33AE6">
            <w:pPr>
              <w:spacing w:after="0" w:line="259" w:lineRule="auto"/>
              <w:ind w:left="757" w:firstLine="0"/>
              <w:jc w:val="left"/>
            </w:pPr>
            <w:r>
              <w:t xml:space="preserve">4,079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0.1%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Slovakia </w:t>
            </w:r>
          </w:p>
        </w:tc>
        <w:tc>
          <w:tcPr>
            <w:tcW w:w="1535" w:type="dxa"/>
            <w:tcBorders>
              <w:top w:val="nil"/>
              <w:left w:val="single" w:sz="8" w:space="0" w:color="000000"/>
              <w:bottom w:val="nil"/>
              <w:right w:val="nil"/>
            </w:tcBorders>
          </w:tcPr>
          <w:p w:rsidR="00BB52D7" w:rsidRDefault="00E33AE6">
            <w:pPr>
              <w:spacing w:after="0" w:line="259" w:lineRule="auto"/>
              <w:ind w:left="757" w:firstLine="0"/>
              <w:jc w:val="left"/>
            </w:pPr>
            <w:r>
              <w:t xml:space="preserve">3,445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0,0%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Slovenia </w:t>
            </w:r>
          </w:p>
        </w:tc>
        <w:tc>
          <w:tcPr>
            <w:tcW w:w="1535" w:type="dxa"/>
            <w:tcBorders>
              <w:top w:val="nil"/>
              <w:left w:val="single" w:sz="8" w:space="0" w:color="000000"/>
              <w:bottom w:val="nil"/>
              <w:right w:val="nil"/>
            </w:tcBorders>
          </w:tcPr>
          <w:p w:rsidR="00BB52D7" w:rsidRDefault="00E33AE6">
            <w:pPr>
              <w:spacing w:after="0" w:line="259" w:lineRule="auto"/>
              <w:ind w:left="757" w:firstLine="0"/>
              <w:jc w:val="left"/>
            </w:pPr>
            <w:r>
              <w:t xml:space="preserve">2,143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0,0% </w:t>
            </w:r>
          </w:p>
        </w:tc>
      </w:tr>
      <w:tr w:rsidR="00BB52D7">
        <w:trPr>
          <w:trHeight w:val="300"/>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Spain </w:t>
            </w:r>
          </w:p>
        </w:tc>
        <w:tc>
          <w:tcPr>
            <w:tcW w:w="1535" w:type="dxa"/>
            <w:tcBorders>
              <w:top w:val="nil"/>
              <w:left w:val="single" w:sz="8" w:space="0" w:color="000000"/>
              <w:bottom w:val="nil"/>
              <w:right w:val="nil"/>
            </w:tcBorders>
          </w:tcPr>
          <w:p w:rsidR="00BB52D7" w:rsidRDefault="00E33AE6">
            <w:pPr>
              <w:spacing w:after="0" w:line="259" w:lineRule="auto"/>
              <w:ind w:left="517" w:firstLine="0"/>
              <w:jc w:val="left"/>
            </w:pPr>
            <w:r>
              <w:t xml:space="preserve">225,722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3.0% </w:t>
            </w:r>
          </w:p>
        </w:tc>
      </w:tr>
      <w:tr w:rsidR="00BB52D7">
        <w:trPr>
          <w:trHeight w:val="307"/>
        </w:trPr>
        <w:tc>
          <w:tcPr>
            <w:tcW w:w="2174" w:type="dxa"/>
            <w:tcBorders>
              <w:top w:val="nil"/>
              <w:left w:val="single" w:sz="8" w:space="0" w:color="000000"/>
              <w:bottom w:val="nil"/>
              <w:right w:val="single" w:sz="8" w:space="0" w:color="000000"/>
            </w:tcBorders>
          </w:tcPr>
          <w:p w:rsidR="00BB52D7" w:rsidRDefault="00E33AE6">
            <w:pPr>
              <w:spacing w:after="0" w:line="259" w:lineRule="auto"/>
              <w:ind w:left="67" w:firstLine="0"/>
              <w:jc w:val="left"/>
            </w:pPr>
            <w:r>
              <w:t xml:space="preserve">Sweden </w:t>
            </w:r>
          </w:p>
        </w:tc>
        <w:tc>
          <w:tcPr>
            <w:tcW w:w="1535" w:type="dxa"/>
            <w:tcBorders>
              <w:top w:val="nil"/>
              <w:left w:val="single" w:sz="8" w:space="0" w:color="000000"/>
              <w:bottom w:val="nil"/>
              <w:right w:val="nil"/>
            </w:tcBorders>
          </w:tcPr>
          <w:p w:rsidR="00BB52D7" w:rsidRDefault="00E33AE6">
            <w:pPr>
              <w:spacing w:after="0" w:line="259" w:lineRule="auto"/>
              <w:ind w:left="517" w:firstLine="0"/>
              <w:jc w:val="left"/>
            </w:pPr>
            <w:r>
              <w:t xml:space="preserve">248,930 </w:t>
            </w:r>
          </w:p>
        </w:tc>
        <w:tc>
          <w:tcPr>
            <w:tcW w:w="848" w:type="dxa"/>
            <w:gridSpan w:val="2"/>
            <w:tcBorders>
              <w:top w:val="nil"/>
              <w:left w:val="nil"/>
              <w:bottom w:val="nil"/>
              <w:right w:val="single" w:sz="8" w:space="0" w:color="000000"/>
            </w:tcBorders>
          </w:tcPr>
          <w:p w:rsidR="00BB52D7" w:rsidRDefault="00E33AE6">
            <w:pPr>
              <w:spacing w:after="0" w:line="259" w:lineRule="auto"/>
              <w:ind w:left="0" w:right="60" w:firstLine="0"/>
              <w:jc w:val="right"/>
            </w:pPr>
            <w:r>
              <w:t xml:space="preserve">3.3% </w:t>
            </w:r>
          </w:p>
        </w:tc>
      </w:tr>
      <w:tr w:rsidR="00BB52D7">
        <w:trPr>
          <w:trHeight w:val="306"/>
        </w:trPr>
        <w:tc>
          <w:tcPr>
            <w:tcW w:w="2174" w:type="dxa"/>
            <w:tcBorders>
              <w:top w:val="nil"/>
              <w:left w:val="single" w:sz="8" w:space="0" w:color="000000"/>
              <w:bottom w:val="single" w:sz="8" w:space="0" w:color="000000"/>
              <w:right w:val="single" w:sz="8" w:space="0" w:color="000000"/>
            </w:tcBorders>
          </w:tcPr>
          <w:p w:rsidR="00BB52D7" w:rsidRDefault="00E33AE6">
            <w:pPr>
              <w:spacing w:after="0" w:line="259" w:lineRule="auto"/>
              <w:ind w:left="67" w:firstLine="0"/>
              <w:jc w:val="left"/>
            </w:pPr>
            <w:r>
              <w:t xml:space="preserve">United Kingdom </w:t>
            </w:r>
          </w:p>
        </w:tc>
        <w:tc>
          <w:tcPr>
            <w:tcW w:w="1535" w:type="dxa"/>
            <w:tcBorders>
              <w:top w:val="nil"/>
              <w:left w:val="single" w:sz="8" w:space="0" w:color="000000"/>
              <w:bottom w:val="single" w:sz="8" w:space="0" w:color="000000"/>
              <w:right w:val="nil"/>
            </w:tcBorders>
          </w:tcPr>
          <w:p w:rsidR="00BB52D7" w:rsidRDefault="00E33AE6">
            <w:pPr>
              <w:spacing w:after="0" w:line="259" w:lineRule="auto"/>
              <w:ind w:left="517" w:firstLine="0"/>
              <w:jc w:val="left"/>
            </w:pPr>
            <w:r>
              <w:t xml:space="preserve">995,340 </w:t>
            </w:r>
          </w:p>
        </w:tc>
        <w:tc>
          <w:tcPr>
            <w:tcW w:w="848" w:type="dxa"/>
            <w:gridSpan w:val="2"/>
            <w:tcBorders>
              <w:top w:val="nil"/>
              <w:left w:val="nil"/>
              <w:bottom w:val="single" w:sz="8" w:space="0" w:color="000000"/>
              <w:right w:val="single" w:sz="8" w:space="0" w:color="000000"/>
            </w:tcBorders>
          </w:tcPr>
          <w:p w:rsidR="00BB52D7" w:rsidRDefault="00E33AE6">
            <w:pPr>
              <w:spacing w:after="0" w:line="259" w:lineRule="auto"/>
              <w:ind w:left="160" w:firstLine="0"/>
              <w:jc w:val="left"/>
            </w:pPr>
            <w:r>
              <w:t xml:space="preserve">13.2% </w:t>
            </w:r>
          </w:p>
        </w:tc>
      </w:tr>
      <w:tr w:rsidR="00BB52D7">
        <w:trPr>
          <w:trHeight w:val="330"/>
        </w:trPr>
        <w:tc>
          <w:tcPr>
            <w:tcW w:w="3709" w:type="dxa"/>
            <w:gridSpan w:val="2"/>
            <w:tcBorders>
              <w:top w:val="single" w:sz="8" w:space="0" w:color="000000"/>
              <w:left w:val="single" w:sz="8" w:space="0" w:color="000000"/>
              <w:bottom w:val="single" w:sz="8" w:space="0" w:color="000000"/>
              <w:right w:val="nil"/>
            </w:tcBorders>
            <w:shd w:val="clear" w:color="auto" w:fill="BFBFBF"/>
          </w:tcPr>
          <w:p w:rsidR="00BB52D7" w:rsidRDefault="00E33AE6">
            <w:pPr>
              <w:tabs>
                <w:tab w:val="center" w:pos="2988"/>
              </w:tabs>
              <w:spacing w:after="0" w:line="259" w:lineRule="auto"/>
              <w:ind w:left="0" w:firstLine="0"/>
              <w:jc w:val="left"/>
            </w:pPr>
            <w:r>
              <w:rPr>
                <w:b/>
              </w:rPr>
              <w:t xml:space="preserve">TOTAL </w:t>
            </w:r>
            <w:r>
              <w:rPr>
                <w:b/>
              </w:rPr>
              <w:tab/>
              <w:t xml:space="preserve">7,514,330 </w:t>
            </w:r>
          </w:p>
        </w:tc>
        <w:tc>
          <w:tcPr>
            <w:tcW w:w="848" w:type="dxa"/>
            <w:gridSpan w:val="2"/>
            <w:tcBorders>
              <w:top w:val="single" w:sz="8" w:space="0" w:color="000000"/>
              <w:left w:val="nil"/>
              <w:bottom w:val="single" w:sz="8" w:space="0" w:color="000000"/>
              <w:right w:val="single" w:sz="8" w:space="0" w:color="000000"/>
            </w:tcBorders>
            <w:shd w:val="clear" w:color="auto" w:fill="BFBFBF"/>
          </w:tcPr>
          <w:p w:rsidR="00BB52D7" w:rsidRDefault="00E33AE6">
            <w:pPr>
              <w:spacing w:after="0" w:line="259" w:lineRule="auto"/>
              <w:ind w:left="0" w:firstLine="0"/>
            </w:pPr>
            <w:r>
              <w:rPr>
                <w:b/>
              </w:rPr>
              <w:t xml:space="preserve">100.0% </w:t>
            </w:r>
          </w:p>
        </w:tc>
      </w:tr>
    </w:tbl>
    <w:p w:rsidR="00BB52D7" w:rsidRDefault="00E33AE6">
      <w:pPr>
        <w:spacing w:after="0" w:line="259" w:lineRule="auto"/>
        <w:ind w:left="851" w:firstLine="0"/>
        <w:jc w:val="left"/>
      </w:pPr>
      <w:r>
        <w:rPr>
          <w:b/>
        </w:rPr>
        <w:t xml:space="preserve"> </w:t>
      </w:r>
    </w:p>
    <w:p w:rsidR="00BB52D7" w:rsidRDefault="00E33AE6">
      <w:pPr>
        <w:spacing w:after="222" w:line="253" w:lineRule="auto"/>
        <w:ind w:left="846" w:right="133"/>
        <w:jc w:val="left"/>
      </w:pPr>
      <w:r>
        <w:rPr>
          <w:i/>
        </w:rPr>
        <w:t xml:space="preserve">Source: EFAMA: Asset Management in Europe, Facts and Figures, December 2014  </w:t>
      </w:r>
    </w:p>
    <w:p w:rsidR="00BB52D7" w:rsidRDefault="00E33AE6">
      <w:pPr>
        <w:pStyle w:val="Heading6"/>
        <w:ind w:left="846" w:right="488"/>
      </w:pPr>
      <w:r>
        <w:t>Table 3 - UCITS funds per investment area</w:t>
      </w:r>
      <w:r>
        <w:rPr>
          <w:u w:val="none"/>
        </w:rPr>
        <w:t xml:space="preserve">  </w:t>
      </w:r>
    </w:p>
    <w:tbl>
      <w:tblPr>
        <w:tblStyle w:val="TableGrid"/>
        <w:tblW w:w="5139" w:type="dxa"/>
        <w:tblInd w:w="836" w:type="dxa"/>
        <w:tblCellMar>
          <w:top w:w="3" w:type="dxa"/>
          <w:left w:w="107" w:type="dxa"/>
          <w:bottom w:w="5" w:type="dxa"/>
          <w:right w:w="46" w:type="dxa"/>
        </w:tblCellMar>
        <w:tblLook w:val="04A0" w:firstRow="1" w:lastRow="0" w:firstColumn="1" w:lastColumn="0" w:noHBand="0" w:noVBand="1"/>
      </w:tblPr>
      <w:tblGrid>
        <w:gridCol w:w="458"/>
        <w:gridCol w:w="3522"/>
        <w:gridCol w:w="1159"/>
      </w:tblGrid>
      <w:tr w:rsidR="00BB52D7">
        <w:trPr>
          <w:trHeight w:val="309"/>
        </w:trPr>
        <w:tc>
          <w:tcPr>
            <w:tcW w:w="458"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t xml:space="preserve">  </w:t>
            </w:r>
          </w:p>
        </w:tc>
        <w:tc>
          <w:tcPr>
            <w:tcW w:w="352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 w:firstLine="0"/>
              <w:jc w:val="left"/>
            </w:pPr>
            <w:r>
              <w:rPr>
                <w:b/>
              </w:rPr>
              <w:t xml:space="preserve">  </w:t>
            </w:r>
          </w:p>
        </w:tc>
        <w:tc>
          <w:tcPr>
            <w:tcW w:w="1159" w:type="dxa"/>
            <w:vMerge w:val="restart"/>
            <w:tcBorders>
              <w:top w:val="single" w:sz="4" w:space="0" w:color="000000"/>
              <w:left w:val="single" w:sz="4" w:space="0" w:color="000000"/>
              <w:bottom w:val="nil"/>
              <w:right w:val="single" w:sz="4" w:space="0" w:color="000000"/>
            </w:tcBorders>
            <w:shd w:val="clear" w:color="auto" w:fill="D9D9D9"/>
          </w:tcPr>
          <w:p w:rsidR="00BB52D7" w:rsidRDefault="00E33AE6">
            <w:pPr>
              <w:spacing w:after="0" w:line="259" w:lineRule="auto"/>
              <w:ind w:left="0" w:right="59" w:firstLine="0"/>
              <w:jc w:val="center"/>
            </w:pPr>
            <w:r>
              <w:rPr>
                <w:b/>
              </w:rPr>
              <w:t xml:space="preserve">Fund </w:t>
            </w:r>
          </w:p>
          <w:p w:rsidR="00BB52D7" w:rsidRDefault="00E33AE6">
            <w:pPr>
              <w:spacing w:after="0" w:line="259" w:lineRule="auto"/>
              <w:ind w:left="0" w:right="61" w:firstLine="0"/>
              <w:jc w:val="center"/>
            </w:pPr>
            <w:r>
              <w:rPr>
                <w:b/>
              </w:rPr>
              <w:t xml:space="preserve">Size </w:t>
            </w:r>
          </w:p>
        </w:tc>
      </w:tr>
      <w:tr w:rsidR="00BB52D7">
        <w:trPr>
          <w:trHeight w:val="251"/>
        </w:trPr>
        <w:tc>
          <w:tcPr>
            <w:tcW w:w="458" w:type="dxa"/>
            <w:tcBorders>
              <w:top w:val="single" w:sz="4" w:space="0" w:color="000000"/>
              <w:left w:val="single" w:sz="4" w:space="0" w:color="000000"/>
              <w:bottom w:val="nil"/>
              <w:right w:val="single" w:sz="4" w:space="0" w:color="000000"/>
            </w:tcBorders>
            <w:shd w:val="clear" w:color="auto" w:fill="D9D9D9"/>
          </w:tcPr>
          <w:p w:rsidR="00BB52D7" w:rsidRDefault="00BB52D7">
            <w:pPr>
              <w:spacing w:after="160" w:line="259" w:lineRule="auto"/>
              <w:ind w:left="0" w:firstLine="0"/>
              <w:jc w:val="left"/>
            </w:pPr>
          </w:p>
        </w:tc>
        <w:tc>
          <w:tcPr>
            <w:tcW w:w="3522" w:type="dxa"/>
            <w:tcBorders>
              <w:top w:val="single" w:sz="4" w:space="0" w:color="000000"/>
              <w:left w:val="single" w:sz="4" w:space="0" w:color="000000"/>
              <w:bottom w:val="nil"/>
              <w:right w:val="single" w:sz="4" w:space="0" w:color="000000"/>
            </w:tcBorders>
            <w:shd w:val="clear" w:color="auto" w:fill="D9D9D9"/>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center"/>
          </w:tcPr>
          <w:p w:rsidR="00BB52D7" w:rsidRDefault="00BB52D7">
            <w:pPr>
              <w:spacing w:after="160" w:line="259" w:lineRule="auto"/>
              <w:ind w:left="0" w:firstLine="0"/>
              <w:jc w:val="left"/>
            </w:pPr>
          </w:p>
        </w:tc>
      </w:tr>
      <w:tr w:rsidR="00BB52D7">
        <w:trPr>
          <w:trHeight w:val="277"/>
        </w:trPr>
        <w:tc>
          <w:tcPr>
            <w:tcW w:w="458" w:type="dxa"/>
            <w:tcBorders>
              <w:top w:val="nil"/>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t xml:space="preserve">  </w:t>
            </w:r>
          </w:p>
        </w:tc>
        <w:tc>
          <w:tcPr>
            <w:tcW w:w="3522" w:type="dxa"/>
            <w:tcBorders>
              <w:top w:val="nil"/>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 w:firstLine="0"/>
              <w:jc w:val="left"/>
            </w:pPr>
            <w:r>
              <w:rPr>
                <w:b/>
              </w:rPr>
              <w:t xml:space="preserve">Investment Area </w:t>
            </w:r>
          </w:p>
        </w:tc>
        <w:tc>
          <w:tcPr>
            <w:tcW w:w="1159" w:type="dxa"/>
            <w:tcBorders>
              <w:top w:val="nil"/>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56" w:firstLine="0"/>
              <w:jc w:val="left"/>
            </w:pPr>
            <w:r>
              <w:rPr>
                <w:b/>
              </w:rPr>
              <w:t xml:space="preserve">EUR bn </w:t>
            </w:r>
          </w:p>
        </w:tc>
      </w:tr>
      <w:tr w:rsidR="00BB52D7">
        <w:trPr>
          <w:trHeight w:val="309"/>
        </w:trPr>
        <w:tc>
          <w:tcPr>
            <w:tcW w:w="458"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t xml:space="preserve">  </w:t>
            </w:r>
          </w:p>
        </w:tc>
        <w:tc>
          <w:tcPr>
            <w:tcW w:w="352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 w:firstLine="0"/>
              <w:jc w:val="left"/>
            </w:pPr>
            <w:r>
              <w:rPr>
                <w:b/>
              </w:rPr>
              <w:t xml:space="preserve">Grand Total </w:t>
            </w:r>
          </w:p>
        </w:tc>
        <w:tc>
          <w:tcPr>
            <w:tcW w:w="1159"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60" w:firstLine="0"/>
              <w:jc w:val="right"/>
            </w:pPr>
            <w:r>
              <w:rPr>
                <w:b/>
              </w:rPr>
              <w:t xml:space="preserve">5,714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1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Global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1,952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2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Euroland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1,010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3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United Kingdom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683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4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United States of America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593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5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Europe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434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6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Global Emerging Mkts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348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7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Sweden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96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8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Asia Pacific ex Japan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71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right"/>
            </w:pPr>
            <w:r>
              <w:t xml:space="preserve">9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Europe ex UK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63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10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Japan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61 </w:t>
            </w:r>
          </w:p>
        </w:tc>
      </w:tr>
      <w:tr w:rsidR="00BB52D7">
        <w:trPr>
          <w:trHeight w:val="562"/>
        </w:trPr>
        <w:tc>
          <w:tcPr>
            <w:tcW w:w="458" w:type="dxa"/>
            <w:tcBorders>
              <w:top w:val="single" w:sz="4" w:space="0" w:color="000000"/>
              <w:left w:val="single" w:sz="4" w:space="0" w:color="000000"/>
              <w:bottom w:val="single" w:sz="4" w:space="0" w:color="000000"/>
              <w:right w:val="single" w:sz="4" w:space="0" w:color="000000"/>
            </w:tcBorders>
            <w:vAlign w:val="bottom"/>
          </w:tcPr>
          <w:p w:rsidR="00BB52D7" w:rsidRDefault="00E33AE6">
            <w:pPr>
              <w:spacing w:after="0" w:line="259" w:lineRule="auto"/>
              <w:ind w:left="4" w:firstLine="0"/>
              <w:jc w:val="left"/>
            </w:pPr>
            <w:r>
              <w:t xml:space="preserve">11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Asia Pacific ex Japan ex Australia </w:t>
            </w:r>
          </w:p>
        </w:tc>
        <w:tc>
          <w:tcPr>
            <w:tcW w:w="1159" w:type="dxa"/>
            <w:tcBorders>
              <w:top w:val="single" w:sz="4" w:space="0" w:color="000000"/>
              <w:left w:val="single" w:sz="4" w:space="0" w:color="000000"/>
              <w:bottom w:val="single" w:sz="4" w:space="0" w:color="000000"/>
              <w:right w:val="single" w:sz="4" w:space="0" w:color="000000"/>
            </w:tcBorders>
            <w:vAlign w:val="bottom"/>
          </w:tcPr>
          <w:p w:rsidR="00BB52D7" w:rsidRDefault="00E33AE6">
            <w:pPr>
              <w:spacing w:after="0" w:line="259" w:lineRule="auto"/>
              <w:ind w:left="0" w:right="60" w:firstLine="0"/>
              <w:jc w:val="right"/>
            </w:pPr>
            <w:r>
              <w:t xml:space="preserve">50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12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Germany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35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13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France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31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14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Asia Pacific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29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15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China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28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16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Denmark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25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17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b/>
              </w:rPr>
              <w:t xml:space="preserve">India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16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 w:firstLine="0"/>
              <w:jc w:val="left"/>
            </w:pPr>
            <w:r>
              <w:t xml:space="preserve">18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t xml:space="preserve">Italy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16 </w:t>
            </w:r>
          </w:p>
        </w:tc>
      </w:tr>
      <w:tr w:rsidR="00BB52D7">
        <w:trPr>
          <w:trHeight w:val="305"/>
        </w:trPr>
        <w:tc>
          <w:tcPr>
            <w:tcW w:w="458" w:type="dxa"/>
            <w:tcBorders>
              <w:top w:val="nil"/>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19 </w:t>
            </w:r>
          </w:p>
        </w:tc>
        <w:tc>
          <w:tcPr>
            <w:tcW w:w="3522" w:type="dxa"/>
            <w:tcBorders>
              <w:top w:val="nil"/>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(blank) </w:t>
            </w:r>
          </w:p>
        </w:tc>
        <w:tc>
          <w:tcPr>
            <w:tcW w:w="1159" w:type="dxa"/>
            <w:tcBorders>
              <w:top w:val="nil"/>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16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20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Europe (North)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14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lastRenderedPageBreak/>
              <w:t xml:space="preserve">21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Latin America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14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22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Europe Emerging Mkts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14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23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Switzerland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14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24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China (Greater)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13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25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Spain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9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26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Hong Kong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7 </w:t>
            </w:r>
          </w:p>
        </w:tc>
      </w:tr>
      <w:tr w:rsidR="00BB52D7">
        <w:trPr>
          <w:trHeight w:val="310"/>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27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North America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6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28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Russia &amp; CIS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5 </w:t>
            </w:r>
          </w:p>
        </w:tc>
      </w:tr>
      <w:tr w:rsidR="00BB52D7">
        <w:trPr>
          <w:trHeight w:val="562"/>
        </w:trPr>
        <w:tc>
          <w:tcPr>
            <w:tcW w:w="458" w:type="dxa"/>
            <w:tcBorders>
              <w:top w:val="single" w:sz="4" w:space="0" w:color="000000"/>
              <w:left w:val="single" w:sz="4" w:space="0" w:color="000000"/>
              <w:bottom w:val="single" w:sz="4" w:space="0" w:color="000000"/>
              <w:right w:val="single" w:sz="4" w:space="0" w:color="000000"/>
            </w:tcBorders>
            <w:vAlign w:val="bottom"/>
          </w:tcPr>
          <w:p w:rsidR="00BB52D7" w:rsidRDefault="00E33AE6">
            <w:pPr>
              <w:spacing w:after="0" w:line="259" w:lineRule="auto"/>
              <w:ind w:left="5" w:firstLine="0"/>
              <w:jc w:val="left"/>
            </w:pPr>
            <w:r>
              <w:t xml:space="preserve">29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b/>
              </w:rPr>
              <w:t xml:space="preserve">BRIC (Brazil, Russia, India and China) </w:t>
            </w:r>
          </w:p>
        </w:tc>
        <w:tc>
          <w:tcPr>
            <w:tcW w:w="1159" w:type="dxa"/>
            <w:tcBorders>
              <w:top w:val="single" w:sz="4" w:space="0" w:color="000000"/>
              <w:left w:val="single" w:sz="4" w:space="0" w:color="000000"/>
              <w:bottom w:val="single" w:sz="4" w:space="0" w:color="000000"/>
              <w:right w:val="single" w:sz="4" w:space="0" w:color="000000"/>
            </w:tcBorders>
            <w:vAlign w:val="bottom"/>
          </w:tcPr>
          <w:p w:rsidR="00BB52D7" w:rsidRDefault="00E33AE6">
            <w:pPr>
              <w:spacing w:after="0" w:line="259" w:lineRule="auto"/>
              <w:ind w:left="0" w:right="60" w:firstLine="0"/>
              <w:jc w:val="right"/>
            </w:pPr>
            <w:r>
              <w:t xml:space="preserve">5 </w:t>
            </w:r>
          </w:p>
        </w:tc>
      </w:tr>
      <w:tr w:rsidR="00BB52D7">
        <w:trPr>
          <w:trHeight w:val="311"/>
        </w:trPr>
        <w:tc>
          <w:tcPr>
            <w:tcW w:w="45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5" w:firstLine="0"/>
              <w:jc w:val="left"/>
            </w:pPr>
            <w:r>
              <w:t xml:space="preserve">30 </w:t>
            </w:r>
          </w:p>
        </w:tc>
        <w:tc>
          <w:tcPr>
            <w:tcW w:w="35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Other </w:t>
            </w:r>
          </w:p>
        </w:tc>
        <w:tc>
          <w:tcPr>
            <w:tcW w:w="11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right"/>
            </w:pPr>
            <w:r>
              <w:t xml:space="preserve">55 </w:t>
            </w:r>
          </w:p>
        </w:tc>
      </w:tr>
    </w:tbl>
    <w:p w:rsidR="00BB52D7" w:rsidRDefault="00E33AE6">
      <w:pPr>
        <w:spacing w:after="3" w:line="259" w:lineRule="auto"/>
        <w:ind w:left="861"/>
        <w:jc w:val="left"/>
      </w:pPr>
      <w:r>
        <w:rPr>
          <w:sz w:val="20"/>
        </w:rPr>
        <w:t xml:space="preserve">Source: Morningstar, EC staff calculations (June 2014) </w:t>
      </w:r>
      <w:r>
        <w:br w:type="page"/>
      </w:r>
    </w:p>
    <w:p w:rsidR="00BB52D7" w:rsidRDefault="00E33AE6">
      <w:pPr>
        <w:pStyle w:val="Heading2"/>
        <w:spacing w:after="12"/>
        <w:ind w:left="1219" w:right="0"/>
        <w:jc w:val="both"/>
      </w:pPr>
      <w:bookmarkStart w:id="28" w:name="_Toc240988"/>
      <w:r>
        <w:rPr>
          <w:i w:val="0"/>
          <w:u w:val="none"/>
        </w:rPr>
        <w:lastRenderedPageBreak/>
        <w:t xml:space="preserve">Annex 4 – Depositary’s functions </w:t>
      </w:r>
      <w:bookmarkEnd w:id="28"/>
    </w:p>
    <w:tbl>
      <w:tblPr>
        <w:tblStyle w:val="TableGrid"/>
        <w:tblW w:w="9284" w:type="dxa"/>
        <w:tblInd w:w="744" w:type="dxa"/>
        <w:tblCellMar>
          <w:top w:w="11" w:type="dxa"/>
          <w:left w:w="107" w:type="dxa"/>
          <w:bottom w:w="0" w:type="dxa"/>
          <w:right w:w="51" w:type="dxa"/>
        </w:tblCellMar>
        <w:tblLook w:val="04A0" w:firstRow="1" w:lastRow="0" w:firstColumn="1" w:lastColumn="0" w:noHBand="0" w:noVBand="1"/>
      </w:tblPr>
      <w:tblGrid>
        <w:gridCol w:w="3671"/>
        <w:gridCol w:w="2680"/>
        <w:gridCol w:w="2933"/>
      </w:tblGrid>
      <w:tr w:rsidR="00BB52D7">
        <w:trPr>
          <w:trHeight w:val="300"/>
        </w:trPr>
        <w:tc>
          <w:tcPr>
            <w:tcW w:w="9284" w:type="dxa"/>
            <w:gridSpan w:val="3"/>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0" w:right="62" w:firstLine="0"/>
              <w:jc w:val="center"/>
            </w:pPr>
            <w:r>
              <w:rPr>
                <w:sz w:val="22"/>
              </w:rPr>
              <w:t xml:space="preserve">Services offered by depositary's and the independence requirement </w:t>
            </w:r>
          </w:p>
        </w:tc>
      </w:tr>
      <w:tr w:rsidR="00BB52D7">
        <w:trPr>
          <w:trHeight w:val="1464"/>
        </w:trPr>
        <w:tc>
          <w:tcPr>
            <w:tcW w:w="3672"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14" w:line="259" w:lineRule="auto"/>
              <w:ind w:left="0" w:right="58" w:firstLine="0"/>
              <w:jc w:val="center"/>
            </w:pPr>
            <w:r>
              <w:rPr>
                <w:b/>
                <w:sz w:val="22"/>
              </w:rPr>
              <w:t xml:space="preserve">Custody  </w:t>
            </w:r>
          </w:p>
          <w:p w:rsidR="00BB52D7" w:rsidRDefault="00E33AE6">
            <w:pPr>
              <w:spacing w:after="17" w:line="259" w:lineRule="auto"/>
              <w:ind w:left="0" w:right="58" w:firstLine="0"/>
              <w:jc w:val="center"/>
            </w:pPr>
            <w:r>
              <w:rPr>
                <w:sz w:val="22"/>
              </w:rPr>
              <w:t xml:space="preserve">Art. 22(5) </w:t>
            </w:r>
          </w:p>
          <w:p w:rsidR="00BB52D7" w:rsidRDefault="00E33AE6">
            <w:pPr>
              <w:spacing w:after="16" w:line="259" w:lineRule="auto"/>
              <w:ind w:left="0" w:right="2" w:firstLine="0"/>
              <w:jc w:val="center"/>
            </w:pPr>
            <w:r>
              <w:rPr>
                <w:sz w:val="22"/>
              </w:rPr>
              <w:t xml:space="preserve"> </w:t>
            </w:r>
          </w:p>
          <w:p w:rsidR="00BB52D7" w:rsidRDefault="00E33AE6">
            <w:pPr>
              <w:spacing w:after="0" w:line="259" w:lineRule="auto"/>
              <w:ind w:left="0" w:right="2" w:firstLine="0"/>
              <w:jc w:val="center"/>
            </w:pPr>
            <w:r>
              <w:rPr>
                <w:sz w:val="22"/>
              </w:rPr>
              <w:t xml:space="preserve"> </w:t>
            </w:r>
          </w:p>
        </w:tc>
        <w:tc>
          <w:tcPr>
            <w:tcW w:w="2680"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74" w:lineRule="auto"/>
              <w:ind w:left="0" w:firstLine="0"/>
              <w:jc w:val="center"/>
            </w:pPr>
            <w:r>
              <w:rPr>
                <w:b/>
                <w:sz w:val="22"/>
              </w:rPr>
              <w:t xml:space="preserve">« Core » depositary functions </w:t>
            </w:r>
          </w:p>
          <w:p w:rsidR="00BB52D7" w:rsidRDefault="00E33AE6">
            <w:pPr>
              <w:spacing w:after="16" w:line="259" w:lineRule="auto"/>
              <w:ind w:left="0" w:right="56" w:firstLine="0"/>
              <w:jc w:val="center"/>
            </w:pPr>
            <w:r>
              <w:rPr>
                <w:sz w:val="22"/>
              </w:rPr>
              <w:t xml:space="preserve">Art. 22(3) (4) </w:t>
            </w:r>
          </w:p>
          <w:p w:rsidR="00BB52D7" w:rsidRDefault="00E33AE6">
            <w:pPr>
              <w:spacing w:after="17" w:line="259" w:lineRule="auto"/>
              <w:ind w:left="0" w:right="2" w:firstLine="0"/>
              <w:jc w:val="center"/>
            </w:pPr>
            <w:r>
              <w:rPr>
                <w:sz w:val="22"/>
              </w:rPr>
              <w:t xml:space="preserve"> </w:t>
            </w:r>
          </w:p>
          <w:p w:rsidR="00BB52D7" w:rsidRDefault="00E33AE6">
            <w:pPr>
              <w:spacing w:after="0" w:line="259" w:lineRule="auto"/>
              <w:ind w:left="0" w:right="2" w:firstLine="0"/>
              <w:jc w:val="center"/>
            </w:pPr>
            <w:r>
              <w:rPr>
                <w:sz w:val="22"/>
              </w:rPr>
              <w:t xml:space="preserve"> </w:t>
            </w:r>
          </w:p>
        </w:tc>
        <w:tc>
          <w:tcPr>
            <w:tcW w:w="2933"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14" w:line="259" w:lineRule="auto"/>
              <w:ind w:left="0" w:right="57" w:firstLine="0"/>
              <w:jc w:val="center"/>
            </w:pPr>
            <w:r>
              <w:rPr>
                <w:b/>
                <w:sz w:val="22"/>
              </w:rPr>
              <w:t xml:space="preserve">Other activities/services </w:t>
            </w:r>
          </w:p>
          <w:p w:rsidR="00BB52D7" w:rsidRDefault="00E33AE6">
            <w:pPr>
              <w:spacing w:after="17" w:line="259" w:lineRule="auto"/>
              <w:ind w:left="0" w:right="1" w:firstLine="0"/>
              <w:jc w:val="center"/>
            </w:pPr>
            <w:r>
              <w:rPr>
                <w:sz w:val="22"/>
              </w:rPr>
              <w:t xml:space="preserve"> </w:t>
            </w:r>
          </w:p>
          <w:p w:rsidR="00BB52D7" w:rsidRDefault="00E33AE6">
            <w:pPr>
              <w:spacing w:after="0" w:line="259" w:lineRule="auto"/>
              <w:ind w:left="0" w:right="1" w:firstLine="0"/>
              <w:jc w:val="center"/>
            </w:pPr>
            <w:r>
              <w:rPr>
                <w:sz w:val="22"/>
              </w:rPr>
              <w:t xml:space="preserve"> </w:t>
            </w:r>
          </w:p>
        </w:tc>
      </w:tr>
      <w:tr w:rsidR="00BB52D7">
        <w:trPr>
          <w:trHeight w:val="598"/>
        </w:trPr>
        <w:tc>
          <w:tcPr>
            <w:tcW w:w="3672"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0" w:right="59" w:firstLine="0"/>
              <w:jc w:val="center"/>
            </w:pPr>
            <w:r>
              <w:rPr>
                <w:b/>
                <w:i/>
                <w:sz w:val="22"/>
                <w:u w:val="single" w:color="000000"/>
              </w:rPr>
              <w:t>Can be delegated</w:t>
            </w:r>
            <w:r>
              <w:rPr>
                <w:b/>
                <w:i/>
                <w:sz w:val="22"/>
              </w:rPr>
              <w:t xml:space="preserve"> </w:t>
            </w:r>
          </w:p>
        </w:tc>
        <w:tc>
          <w:tcPr>
            <w:tcW w:w="2680"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0" w:right="56" w:firstLine="0"/>
              <w:jc w:val="center"/>
            </w:pPr>
            <w:r>
              <w:rPr>
                <w:b/>
                <w:i/>
                <w:sz w:val="22"/>
                <w:u w:val="single" w:color="000000"/>
              </w:rPr>
              <w:t>Can’t be delegated</w:t>
            </w:r>
            <w:r>
              <w:rPr>
                <w:b/>
                <w:i/>
                <w:sz w:val="22"/>
              </w:rPr>
              <w:t xml:space="preserve"> </w:t>
            </w:r>
          </w:p>
        </w:tc>
        <w:tc>
          <w:tcPr>
            <w:tcW w:w="2933"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0" w:firstLine="0"/>
              <w:jc w:val="center"/>
            </w:pPr>
            <w:r>
              <w:rPr>
                <w:b/>
                <w:i/>
                <w:sz w:val="22"/>
                <w:u w:val="single" w:color="000000"/>
              </w:rPr>
              <w:t>Not considered as depositary</w:t>
            </w:r>
            <w:r>
              <w:rPr>
                <w:b/>
                <w:i/>
                <w:sz w:val="22"/>
              </w:rPr>
              <w:t xml:space="preserve"> </w:t>
            </w:r>
            <w:r>
              <w:rPr>
                <w:b/>
                <w:i/>
                <w:sz w:val="22"/>
                <w:u w:val="single" w:color="000000"/>
              </w:rPr>
              <w:t>functions under UCITS</w:t>
            </w:r>
            <w:r>
              <w:rPr>
                <w:b/>
                <w:i/>
                <w:sz w:val="22"/>
              </w:rPr>
              <w:t xml:space="preserve"> </w:t>
            </w:r>
          </w:p>
        </w:tc>
      </w:tr>
      <w:tr w:rsidR="00BB52D7">
        <w:trPr>
          <w:trHeight w:val="2048"/>
        </w:trPr>
        <w:tc>
          <w:tcPr>
            <w:tcW w:w="3672" w:type="dxa"/>
            <w:tcBorders>
              <w:top w:val="single" w:sz="4" w:space="0" w:color="000000"/>
              <w:left w:val="single" w:sz="4" w:space="0" w:color="000000"/>
              <w:bottom w:val="single" w:sz="4" w:space="0" w:color="000000"/>
              <w:right w:val="single" w:sz="4" w:space="0" w:color="000000"/>
            </w:tcBorders>
          </w:tcPr>
          <w:p w:rsidR="00BB52D7" w:rsidRDefault="00E33AE6">
            <w:pPr>
              <w:spacing w:after="16" w:line="259" w:lineRule="auto"/>
              <w:ind w:left="0" w:right="59" w:firstLine="0"/>
              <w:jc w:val="center"/>
            </w:pPr>
            <w:r>
              <w:rPr>
                <w:b/>
                <w:sz w:val="22"/>
              </w:rPr>
              <w:t xml:space="preserve">Independence requirements of </w:t>
            </w:r>
          </w:p>
          <w:p w:rsidR="00BB52D7" w:rsidRDefault="00E33AE6">
            <w:pPr>
              <w:spacing w:after="14" w:line="259" w:lineRule="auto"/>
              <w:ind w:left="0" w:right="61" w:firstLine="0"/>
              <w:jc w:val="center"/>
            </w:pPr>
            <w:r>
              <w:rPr>
                <w:b/>
                <w:sz w:val="22"/>
              </w:rPr>
              <w:t xml:space="preserve">Article 25 </w:t>
            </w:r>
          </w:p>
          <w:p w:rsidR="00BB52D7" w:rsidRDefault="00E33AE6">
            <w:pPr>
              <w:spacing w:after="17" w:line="259" w:lineRule="auto"/>
              <w:ind w:left="0" w:right="2" w:firstLine="0"/>
              <w:jc w:val="center"/>
            </w:pPr>
            <w:r>
              <w:rPr>
                <w:sz w:val="22"/>
              </w:rPr>
              <w:t xml:space="preserve"> </w:t>
            </w:r>
          </w:p>
          <w:p w:rsidR="00BB52D7" w:rsidRDefault="00E33AE6">
            <w:pPr>
              <w:spacing w:after="0" w:line="259" w:lineRule="auto"/>
              <w:ind w:left="0" w:firstLine="0"/>
              <w:jc w:val="left"/>
            </w:pPr>
            <w:r>
              <w:rPr>
                <w:sz w:val="22"/>
              </w:rPr>
              <w:t xml:space="preserve">Meeting independence requirements of Article 25  is the condition for the delegation of the custody to the third party (Article 22a (3) (e))   </w:t>
            </w:r>
          </w:p>
        </w:tc>
        <w:tc>
          <w:tcPr>
            <w:tcW w:w="268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74" w:lineRule="auto"/>
              <w:ind w:left="0" w:firstLine="0"/>
              <w:jc w:val="center"/>
            </w:pPr>
            <w:r>
              <w:rPr>
                <w:b/>
                <w:sz w:val="22"/>
              </w:rPr>
              <w:t xml:space="preserve">Independence requirements of Article </w:t>
            </w:r>
          </w:p>
          <w:p w:rsidR="00BB52D7" w:rsidRDefault="00E33AE6">
            <w:pPr>
              <w:spacing w:after="0" w:line="259" w:lineRule="auto"/>
              <w:ind w:left="0" w:right="56" w:firstLine="0"/>
              <w:jc w:val="center"/>
            </w:pPr>
            <w:r>
              <w:rPr>
                <w:b/>
                <w:sz w:val="22"/>
              </w:rPr>
              <w:t xml:space="preserve">25 </w:t>
            </w:r>
          </w:p>
        </w:tc>
        <w:tc>
          <w:tcPr>
            <w:tcW w:w="2933" w:type="dxa"/>
            <w:tcBorders>
              <w:top w:val="single" w:sz="4" w:space="0" w:color="000000"/>
              <w:left w:val="single" w:sz="4" w:space="0" w:color="000000"/>
              <w:bottom w:val="single" w:sz="4" w:space="0" w:color="000000"/>
              <w:right w:val="single" w:sz="4" w:space="0" w:color="000000"/>
            </w:tcBorders>
          </w:tcPr>
          <w:p w:rsidR="00BB52D7" w:rsidRDefault="00E33AE6">
            <w:pPr>
              <w:spacing w:after="1" w:line="274" w:lineRule="auto"/>
              <w:ind w:left="0" w:firstLine="0"/>
              <w:jc w:val="center"/>
            </w:pPr>
            <w:r>
              <w:rPr>
                <w:b/>
                <w:sz w:val="22"/>
              </w:rPr>
              <w:t>functional and hierarchical separation from depositary activities ( Ar</w:t>
            </w:r>
            <w:r>
              <w:rPr>
                <w:b/>
                <w:sz w:val="22"/>
              </w:rPr>
              <w:t xml:space="preserve">ticle 25 (2) </w:t>
            </w:r>
          </w:p>
          <w:p w:rsidR="00BB52D7" w:rsidRDefault="00E33AE6">
            <w:pPr>
              <w:spacing w:after="0" w:line="259" w:lineRule="auto"/>
              <w:ind w:left="0" w:right="56" w:firstLine="0"/>
              <w:jc w:val="center"/>
            </w:pPr>
            <w:r>
              <w:rPr>
                <w:b/>
                <w:sz w:val="22"/>
              </w:rPr>
              <w:t xml:space="preserve">subpar. 2) </w:t>
            </w:r>
          </w:p>
        </w:tc>
      </w:tr>
      <w:tr w:rsidR="00BB52D7">
        <w:trPr>
          <w:trHeight w:val="9320"/>
        </w:trPr>
        <w:tc>
          <w:tcPr>
            <w:tcW w:w="3672" w:type="dxa"/>
            <w:tcBorders>
              <w:top w:val="single" w:sz="4" w:space="0" w:color="000000"/>
              <w:left w:val="single" w:sz="4" w:space="0" w:color="000000"/>
              <w:bottom w:val="single" w:sz="4" w:space="0" w:color="000000"/>
              <w:right w:val="single" w:sz="4" w:space="0" w:color="000000"/>
            </w:tcBorders>
          </w:tcPr>
          <w:p w:rsidR="00BB52D7" w:rsidRDefault="00E33AE6">
            <w:pPr>
              <w:spacing w:after="14" w:line="259" w:lineRule="auto"/>
              <w:ind w:left="0" w:firstLine="0"/>
              <w:jc w:val="left"/>
            </w:pPr>
            <w:r>
              <w:rPr>
                <w:b/>
                <w:sz w:val="22"/>
                <w:u w:val="single" w:color="000000"/>
              </w:rPr>
              <w:t>SAFEKEEPING DUTIES</w:t>
            </w:r>
            <w:r>
              <w:rPr>
                <w:b/>
                <w:sz w:val="22"/>
              </w:rPr>
              <w:t xml:space="preserve"> </w:t>
            </w:r>
          </w:p>
          <w:p w:rsidR="00BB52D7" w:rsidRDefault="00E33AE6">
            <w:pPr>
              <w:numPr>
                <w:ilvl w:val="0"/>
                <w:numId w:val="33"/>
              </w:numPr>
              <w:spacing w:after="17" w:line="259" w:lineRule="auto"/>
              <w:ind w:right="60" w:firstLine="0"/>
            </w:pPr>
            <w:r>
              <w:rPr>
                <w:sz w:val="22"/>
              </w:rPr>
              <w:t xml:space="preserve">registration of instruments </w:t>
            </w:r>
          </w:p>
          <w:p w:rsidR="00BB52D7" w:rsidRDefault="00E33AE6">
            <w:pPr>
              <w:numPr>
                <w:ilvl w:val="0"/>
                <w:numId w:val="33"/>
              </w:numPr>
              <w:spacing w:after="1" w:line="274" w:lineRule="auto"/>
              <w:ind w:right="60" w:firstLine="0"/>
            </w:pPr>
            <w:r>
              <w:rPr>
                <w:sz w:val="22"/>
                <w:u w:val="single" w:color="000000"/>
              </w:rPr>
              <w:t>segregation of accounts and records</w:t>
            </w:r>
            <w:r>
              <w:rPr>
                <w:sz w:val="22"/>
              </w:rPr>
              <w:t xml:space="preserve"> </w:t>
            </w:r>
            <w:r>
              <w:rPr>
                <w:sz w:val="22"/>
                <w:u w:val="single" w:color="000000"/>
              </w:rPr>
              <w:t>keeping</w:t>
            </w:r>
            <w:r>
              <w:rPr>
                <w:sz w:val="22"/>
              </w:rPr>
              <w:t xml:space="preserve"> </w:t>
            </w:r>
          </w:p>
          <w:p w:rsidR="00BB52D7" w:rsidRDefault="00E33AE6">
            <w:pPr>
              <w:numPr>
                <w:ilvl w:val="0"/>
                <w:numId w:val="33"/>
              </w:numPr>
              <w:spacing w:after="0" w:line="275" w:lineRule="auto"/>
              <w:ind w:right="60" w:firstLine="0"/>
            </w:pPr>
            <w:r>
              <w:rPr>
                <w:sz w:val="22"/>
                <w:u w:val="single" w:color="000000"/>
              </w:rPr>
              <w:t>reconciliation between the</w:t>
            </w:r>
            <w:r>
              <w:rPr>
                <w:sz w:val="22"/>
              </w:rPr>
              <w:t xml:space="preserve"> </w:t>
            </w:r>
            <w:r>
              <w:rPr>
                <w:sz w:val="22"/>
                <w:u w:val="single" w:color="000000"/>
              </w:rPr>
              <w:t>depositary’s internal accounts and</w:t>
            </w:r>
            <w:r>
              <w:rPr>
                <w:sz w:val="22"/>
              </w:rPr>
              <w:t xml:space="preserve"> </w:t>
            </w:r>
            <w:r>
              <w:rPr>
                <w:sz w:val="22"/>
                <w:u w:val="single" w:color="000000"/>
              </w:rPr>
              <w:t>records and those of any third party to</w:t>
            </w:r>
            <w:r>
              <w:rPr>
                <w:sz w:val="22"/>
              </w:rPr>
              <w:t xml:space="preserve"> </w:t>
            </w:r>
            <w:r>
              <w:rPr>
                <w:sz w:val="22"/>
                <w:u w:val="single" w:color="000000"/>
              </w:rPr>
              <w:t>whom custody functions have been</w:t>
            </w:r>
            <w:r>
              <w:rPr>
                <w:sz w:val="22"/>
              </w:rPr>
              <w:t xml:space="preserve"> </w:t>
            </w:r>
            <w:r>
              <w:rPr>
                <w:sz w:val="22"/>
                <w:u w:val="single" w:color="000000"/>
              </w:rPr>
              <w:t>delegated.</w:t>
            </w:r>
            <w:r>
              <w:rPr>
                <w:sz w:val="22"/>
              </w:rPr>
              <w:t xml:space="preserve">  </w:t>
            </w:r>
          </w:p>
          <w:p w:rsidR="00BB52D7" w:rsidRDefault="00E33AE6">
            <w:pPr>
              <w:numPr>
                <w:ilvl w:val="0"/>
                <w:numId w:val="33"/>
              </w:numPr>
              <w:spacing w:after="0" w:line="274" w:lineRule="auto"/>
              <w:ind w:right="60" w:firstLine="0"/>
            </w:pPr>
            <w:r>
              <w:rPr>
                <w:sz w:val="22"/>
                <w:u w:val="single" w:color="000000"/>
              </w:rPr>
              <w:t>due care in relation to the financial</w:t>
            </w:r>
            <w:r>
              <w:rPr>
                <w:sz w:val="22"/>
              </w:rPr>
              <w:t xml:space="preserve"> </w:t>
            </w:r>
            <w:r>
              <w:rPr>
                <w:sz w:val="22"/>
                <w:u w:val="single" w:color="000000"/>
              </w:rPr>
              <w:t>instruments held in custody</w:t>
            </w:r>
            <w:r>
              <w:rPr>
                <w:sz w:val="22"/>
              </w:rPr>
              <w:t xml:space="preserve"> </w:t>
            </w:r>
            <w:r>
              <w:rPr>
                <w:sz w:val="22"/>
                <w:u w:val="single" w:color="000000"/>
              </w:rPr>
              <w:t>- monitoring of the custody risk</w:t>
            </w:r>
            <w:r>
              <w:rPr>
                <w:sz w:val="22"/>
              </w:rPr>
              <w:t xml:space="preserve">  </w:t>
            </w:r>
          </w:p>
          <w:p w:rsidR="00BB52D7" w:rsidRDefault="00E33AE6">
            <w:pPr>
              <w:numPr>
                <w:ilvl w:val="0"/>
                <w:numId w:val="33"/>
              </w:numPr>
              <w:spacing w:after="1" w:line="274" w:lineRule="auto"/>
              <w:ind w:right="60" w:firstLine="0"/>
            </w:pPr>
            <w:r>
              <w:rPr>
                <w:sz w:val="22"/>
                <w:u w:val="single" w:color="000000"/>
              </w:rPr>
              <w:t>notification of any risk to ManCo</w:t>
            </w:r>
            <w:r>
              <w:rPr>
                <w:sz w:val="22"/>
              </w:rPr>
              <w:t xml:space="preserve">  - arrangement to minimise the custody risks </w:t>
            </w:r>
          </w:p>
          <w:p w:rsidR="00BB52D7" w:rsidRDefault="00E33AE6">
            <w:pPr>
              <w:numPr>
                <w:ilvl w:val="0"/>
                <w:numId w:val="33"/>
              </w:numPr>
              <w:spacing w:after="0" w:line="274" w:lineRule="auto"/>
              <w:ind w:right="60" w:firstLine="0"/>
            </w:pPr>
            <w:r>
              <w:rPr>
                <w:sz w:val="22"/>
              </w:rPr>
              <w:t xml:space="preserve">verification of the ownership rights of assets </w:t>
            </w:r>
          </w:p>
          <w:p w:rsidR="00BB52D7" w:rsidRDefault="00E33AE6">
            <w:pPr>
              <w:spacing w:after="17" w:line="259" w:lineRule="auto"/>
              <w:ind w:left="0" w:firstLine="0"/>
              <w:jc w:val="left"/>
            </w:pPr>
            <w:r>
              <w:rPr>
                <w:sz w:val="22"/>
              </w:rPr>
              <w:t xml:space="preserve"> </w:t>
            </w:r>
          </w:p>
          <w:p w:rsidR="00BB52D7" w:rsidRDefault="00E33AE6">
            <w:pPr>
              <w:spacing w:after="1" w:line="274" w:lineRule="auto"/>
              <w:ind w:left="0" w:right="60" w:firstLine="0"/>
            </w:pPr>
            <w:r>
              <w:rPr>
                <w:sz w:val="22"/>
              </w:rPr>
              <w:t xml:space="preserve">Even in case of  delegation of the custody, </w:t>
            </w:r>
            <w:r>
              <w:rPr>
                <w:b/>
                <w:sz w:val="22"/>
              </w:rPr>
              <w:t>the depositary remains subject to above mentioned obligations (as underlined</w:t>
            </w:r>
            <w:r>
              <w:rPr>
                <w:sz w:val="22"/>
              </w:rPr>
              <w:t xml:space="preserve">) and has to ensure that the third party complies with all above requirements </w:t>
            </w:r>
          </w:p>
          <w:p w:rsidR="00BB52D7" w:rsidRDefault="00E33AE6">
            <w:pPr>
              <w:spacing w:after="16" w:line="259" w:lineRule="auto"/>
              <w:ind w:left="0" w:firstLine="0"/>
              <w:jc w:val="left"/>
            </w:pPr>
            <w:r>
              <w:rPr>
                <w:sz w:val="22"/>
              </w:rPr>
              <w:t xml:space="preserve"> </w:t>
            </w:r>
          </w:p>
          <w:p w:rsidR="00BB52D7" w:rsidRDefault="00E33AE6">
            <w:pPr>
              <w:spacing w:after="0" w:line="259" w:lineRule="auto"/>
              <w:ind w:left="0" w:right="60" w:firstLine="0"/>
            </w:pPr>
            <w:r>
              <w:rPr>
                <w:sz w:val="22"/>
              </w:rPr>
              <w:t>Depositary has to setup an escalation procedure for sit</w:t>
            </w:r>
            <w:r>
              <w:rPr>
                <w:sz w:val="22"/>
              </w:rPr>
              <w:t xml:space="preserve">uations where an anomaly is detected including notification to the UCITS and the competent authorities. </w:t>
            </w:r>
          </w:p>
        </w:tc>
        <w:tc>
          <w:tcPr>
            <w:tcW w:w="2680" w:type="dxa"/>
            <w:tcBorders>
              <w:top w:val="single" w:sz="4" w:space="0" w:color="000000"/>
              <w:left w:val="single" w:sz="4" w:space="0" w:color="000000"/>
              <w:bottom w:val="single" w:sz="4" w:space="0" w:color="000000"/>
              <w:right w:val="single" w:sz="4" w:space="0" w:color="000000"/>
            </w:tcBorders>
          </w:tcPr>
          <w:p w:rsidR="00BB52D7" w:rsidRDefault="00E33AE6">
            <w:pPr>
              <w:spacing w:after="1" w:line="274" w:lineRule="auto"/>
              <w:ind w:left="1" w:firstLine="0"/>
              <w:jc w:val="left"/>
            </w:pPr>
            <w:r>
              <w:rPr>
                <w:b/>
                <w:sz w:val="22"/>
                <w:u w:val="single" w:color="000000"/>
              </w:rPr>
              <w:t>OVERSIGHT</w:t>
            </w:r>
            <w:r>
              <w:rPr>
                <w:b/>
                <w:sz w:val="22"/>
              </w:rPr>
              <w:t xml:space="preserve"> </w:t>
            </w:r>
            <w:r>
              <w:rPr>
                <w:b/>
                <w:sz w:val="22"/>
                <w:u w:val="single" w:color="000000"/>
              </w:rPr>
              <w:t>FUNCTIONS</w:t>
            </w:r>
            <w:r>
              <w:rPr>
                <w:b/>
                <w:sz w:val="22"/>
              </w:rPr>
              <w:t xml:space="preserve">  </w:t>
            </w:r>
          </w:p>
          <w:p w:rsidR="00BB52D7" w:rsidRDefault="00E33AE6">
            <w:pPr>
              <w:spacing w:after="14" w:line="259" w:lineRule="auto"/>
              <w:ind w:left="1" w:firstLine="0"/>
              <w:jc w:val="left"/>
            </w:pPr>
            <w:r>
              <w:rPr>
                <w:b/>
                <w:sz w:val="22"/>
              </w:rPr>
              <w:t xml:space="preserve">General: </w:t>
            </w:r>
          </w:p>
          <w:p w:rsidR="00BB52D7" w:rsidRDefault="00E33AE6">
            <w:pPr>
              <w:numPr>
                <w:ilvl w:val="0"/>
                <w:numId w:val="34"/>
              </w:numPr>
              <w:spacing w:after="0" w:line="275" w:lineRule="auto"/>
              <w:ind w:right="90" w:firstLine="0"/>
              <w:jc w:val="left"/>
            </w:pPr>
            <w:r>
              <w:rPr>
                <w:sz w:val="22"/>
              </w:rPr>
              <w:t>assessment of the risk associated with the UCITS investment strategy and organisation - ex-post control of processes an</w:t>
            </w:r>
            <w:r>
              <w:rPr>
                <w:sz w:val="22"/>
              </w:rPr>
              <w:t xml:space="preserve">d procedures </w:t>
            </w:r>
          </w:p>
          <w:p w:rsidR="00BB52D7" w:rsidRDefault="00E33AE6">
            <w:pPr>
              <w:spacing w:after="0" w:line="274" w:lineRule="auto"/>
              <w:ind w:left="1" w:right="35" w:firstLine="0"/>
              <w:jc w:val="left"/>
            </w:pPr>
            <w:r>
              <w:rPr>
                <w:sz w:val="22"/>
              </w:rPr>
              <w:t xml:space="preserve">(verification and reconciliation procedures)  - put in place an escalation procedure (for detected irregularities) </w:t>
            </w:r>
          </w:p>
          <w:p w:rsidR="00BB52D7" w:rsidRDefault="00E33AE6">
            <w:pPr>
              <w:numPr>
                <w:ilvl w:val="0"/>
                <w:numId w:val="34"/>
              </w:numPr>
              <w:spacing w:after="17" w:line="259" w:lineRule="auto"/>
              <w:ind w:right="90" w:firstLine="0"/>
              <w:jc w:val="left"/>
            </w:pPr>
            <w:r>
              <w:rPr>
                <w:sz w:val="22"/>
              </w:rPr>
              <w:t xml:space="preserve">access to books  and </w:t>
            </w:r>
          </w:p>
          <w:p w:rsidR="00BB52D7" w:rsidRDefault="00E33AE6">
            <w:pPr>
              <w:spacing w:after="16" w:line="259" w:lineRule="auto"/>
              <w:ind w:left="1" w:firstLine="0"/>
              <w:jc w:val="left"/>
            </w:pPr>
            <w:r>
              <w:rPr>
                <w:sz w:val="22"/>
              </w:rPr>
              <w:t xml:space="preserve">performance of on-site </w:t>
            </w:r>
          </w:p>
          <w:p w:rsidR="00BB52D7" w:rsidRDefault="00E33AE6">
            <w:pPr>
              <w:spacing w:after="17" w:line="259" w:lineRule="auto"/>
              <w:ind w:left="1" w:firstLine="0"/>
              <w:jc w:val="left"/>
            </w:pPr>
            <w:r>
              <w:rPr>
                <w:sz w:val="22"/>
              </w:rPr>
              <w:t xml:space="preserve">visits </w:t>
            </w:r>
          </w:p>
          <w:p w:rsidR="00BB52D7" w:rsidRDefault="00E33AE6">
            <w:pPr>
              <w:spacing w:after="20" w:line="275" w:lineRule="auto"/>
              <w:ind w:left="1" w:firstLine="0"/>
              <w:jc w:val="left"/>
            </w:pPr>
            <w:r>
              <w:rPr>
                <w:b/>
                <w:sz w:val="22"/>
              </w:rPr>
              <w:t xml:space="preserve">subscription and redemptions: </w:t>
            </w:r>
          </w:p>
          <w:p w:rsidR="00BB52D7" w:rsidRDefault="00E33AE6">
            <w:pPr>
              <w:numPr>
                <w:ilvl w:val="0"/>
                <w:numId w:val="34"/>
              </w:numPr>
              <w:spacing w:after="0" w:line="275" w:lineRule="auto"/>
              <w:ind w:right="90" w:firstLine="0"/>
              <w:jc w:val="left"/>
            </w:pPr>
            <w:r>
              <w:rPr>
                <w:sz w:val="22"/>
              </w:rPr>
              <w:t xml:space="preserve">oversight of UCITS’s reconciliation procedures  - monitoring of compliance of those rules with national laws and UCITS rules and instruments o incorporation </w:t>
            </w:r>
            <w:r>
              <w:rPr>
                <w:b/>
                <w:sz w:val="22"/>
              </w:rPr>
              <w:t xml:space="preserve">valuation of units </w:t>
            </w:r>
          </w:p>
          <w:p w:rsidR="00BB52D7" w:rsidRDefault="00E33AE6">
            <w:pPr>
              <w:numPr>
                <w:ilvl w:val="0"/>
                <w:numId w:val="34"/>
              </w:numPr>
              <w:spacing w:after="2" w:line="275" w:lineRule="auto"/>
              <w:ind w:right="90" w:firstLine="0"/>
              <w:jc w:val="left"/>
            </w:pPr>
            <w:r>
              <w:rPr>
                <w:sz w:val="22"/>
              </w:rPr>
              <w:t xml:space="preserve">verification of compliance with laws and rules - </w:t>
            </w:r>
            <w:r>
              <w:rPr>
                <w:sz w:val="22"/>
              </w:rPr>
              <w:t xml:space="preserve">notification of </w:t>
            </w:r>
            <w:r>
              <w:rPr>
                <w:sz w:val="22"/>
              </w:rPr>
              <w:lastRenderedPageBreak/>
              <w:t xml:space="preserve">irregularities to UCITS ManCo  </w:t>
            </w:r>
          </w:p>
          <w:p w:rsidR="00BB52D7" w:rsidRDefault="00E33AE6">
            <w:pPr>
              <w:spacing w:after="0" w:line="259" w:lineRule="auto"/>
              <w:ind w:left="1" w:firstLine="0"/>
              <w:jc w:val="left"/>
            </w:pPr>
            <w:r>
              <w:rPr>
                <w:b/>
                <w:sz w:val="22"/>
              </w:rPr>
              <w:t xml:space="preserve">carrying out of the </w:t>
            </w:r>
          </w:p>
        </w:tc>
        <w:tc>
          <w:tcPr>
            <w:tcW w:w="2933" w:type="dxa"/>
            <w:tcBorders>
              <w:top w:val="single" w:sz="4" w:space="0" w:color="000000"/>
              <w:left w:val="single" w:sz="4" w:space="0" w:color="000000"/>
              <w:bottom w:val="single" w:sz="4" w:space="0" w:color="000000"/>
              <w:right w:val="single" w:sz="4" w:space="0" w:color="000000"/>
            </w:tcBorders>
          </w:tcPr>
          <w:p w:rsidR="00BB52D7" w:rsidRDefault="00E33AE6">
            <w:pPr>
              <w:numPr>
                <w:ilvl w:val="0"/>
                <w:numId w:val="35"/>
              </w:numPr>
              <w:spacing w:after="3" w:line="259" w:lineRule="auto"/>
              <w:ind w:hanging="360"/>
              <w:jc w:val="left"/>
            </w:pPr>
            <w:r>
              <w:rPr>
                <w:b/>
                <w:sz w:val="22"/>
              </w:rPr>
              <w:lastRenderedPageBreak/>
              <w:t xml:space="preserve">fund accounting,  </w:t>
            </w:r>
          </w:p>
          <w:p w:rsidR="00BB52D7" w:rsidRDefault="00E33AE6">
            <w:pPr>
              <w:numPr>
                <w:ilvl w:val="0"/>
                <w:numId w:val="35"/>
              </w:numPr>
              <w:spacing w:after="2" w:line="259" w:lineRule="auto"/>
              <w:ind w:hanging="360"/>
              <w:jc w:val="left"/>
            </w:pPr>
            <w:r>
              <w:rPr>
                <w:b/>
                <w:sz w:val="22"/>
              </w:rPr>
              <w:t xml:space="preserve">fund administration,  </w:t>
            </w:r>
          </w:p>
          <w:p w:rsidR="00BB52D7" w:rsidRDefault="00E33AE6">
            <w:pPr>
              <w:numPr>
                <w:ilvl w:val="0"/>
                <w:numId w:val="35"/>
              </w:numPr>
              <w:spacing w:after="3" w:line="259" w:lineRule="auto"/>
              <w:ind w:hanging="360"/>
              <w:jc w:val="left"/>
            </w:pPr>
            <w:r>
              <w:rPr>
                <w:b/>
                <w:sz w:val="22"/>
              </w:rPr>
              <w:t xml:space="preserve">transfer agency,  </w:t>
            </w:r>
          </w:p>
          <w:p w:rsidR="00BB52D7" w:rsidRDefault="00E33AE6">
            <w:pPr>
              <w:numPr>
                <w:ilvl w:val="0"/>
                <w:numId w:val="35"/>
              </w:numPr>
              <w:spacing w:after="16" w:line="280" w:lineRule="auto"/>
              <w:ind w:hanging="360"/>
              <w:jc w:val="left"/>
            </w:pPr>
            <w:r>
              <w:rPr>
                <w:b/>
                <w:sz w:val="22"/>
              </w:rPr>
              <w:t xml:space="preserve">foreign exchange management </w:t>
            </w:r>
          </w:p>
          <w:p w:rsidR="00BB52D7" w:rsidRDefault="00E33AE6">
            <w:pPr>
              <w:numPr>
                <w:ilvl w:val="0"/>
                <w:numId w:val="35"/>
              </w:numPr>
              <w:spacing w:after="3" w:line="259" w:lineRule="auto"/>
              <w:ind w:hanging="360"/>
              <w:jc w:val="left"/>
            </w:pPr>
            <w:r>
              <w:rPr>
                <w:b/>
                <w:sz w:val="22"/>
              </w:rPr>
              <w:t xml:space="preserve">prime brokerage, </w:t>
            </w:r>
          </w:p>
          <w:p w:rsidR="00BB52D7" w:rsidRDefault="00E33AE6">
            <w:pPr>
              <w:numPr>
                <w:ilvl w:val="0"/>
                <w:numId w:val="35"/>
              </w:numPr>
              <w:spacing w:after="0" w:line="259" w:lineRule="auto"/>
              <w:ind w:hanging="360"/>
              <w:jc w:val="left"/>
            </w:pPr>
            <w:r>
              <w:rPr>
                <w:b/>
                <w:sz w:val="22"/>
              </w:rPr>
              <w:t xml:space="preserve">treasury and </w:t>
            </w:r>
          </w:p>
          <w:p w:rsidR="00BB52D7" w:rsidRDefault="00E33AE6">
            <w:pPr>
              <w:spacing w:after="38" w:line="259" w:lineRule="auto"/>
              <w:ind w:left="722" w:firstLine="0"/>
              <w:jc w:val="left"/>
            </w:pPr>
            <w:r>
              <w:rPr>
                <w:b/>
                <w:sz w:val="22"/>
              </w:rPr>
              <w:t xml:space="preserve">securities lending,  </w:t>
            </w:r>
          </w:p>
          <w:p w:rsidR="00BB52D7" w:rsidRDefault="00E33AE6">
            <w:pPr>
              <w:numPr>
                <w:ilvl w:val="0"/>
                <w:numId w:val="35"/>
              </w:numPr>
              <w:spacing w:after="15" w:line="281" w:lineRule="auto"/>
              <w:ind w:hanging="360"/>
              <w:jc w:val="left"/>
            </w:pPr>
            <w:r>
              <w:rPr>
                <w:b/>
                <w:sz w:val="22"/>
              </w:rPr>
              <w:t xml:space="preserve">collateral management, </w:t>
            </w:r>
          </w:p>
          <w:p w:rsidR="00BB52D7" w:rsidRDefault="00E33AE6">
            <w:pPr>
              <w:numPr>
                <w:ilvl w:val="0"/>
                <w:numId w:val="35"/>
              </w:numPr>
              <w:spacing w:after="0" w:line="259" w:lineRule="auto"/>
              <w:ind w:hanging="360"/>
              <w:jc w:val="left"/>
            </w:pPr>
            <w:r>
              <w:rPr>
                <w:b/>
                <w:sz w:val="22"/>
              </w:rPr>
              <w:t xml:space="preserve">banking services </w:t>
            </w:r>
          </w:p>
          <w:p w:rsidR="00BB52D7" w:rsidRDefault="00E33AE6">
            <w:pPr>
              <w:spacing w:after="17" w:line="259" w:lineRule="auto"/>
              <w:ind w:left="1" w:firstLine="0"/>
              <w:jc w:val="left"/>
            </w:pPr>
            <w:r>
              <w:rPr>
                <w:b/>
                <w:sz w:val="22"/>
              </w:rPr>
              <w:t xml:space="preserve"> </w:t>
            </w:r>
          </w:p>
          <w:p w:rsidR="00BB52D7" w:rsidRDefault="00E33AE6">
            <w:pPr>
              <w:spacing w:after="0" w:line="274" w:lineRule="auto"/>
              <w:ind w:left="1" w:firstLine="0"/>
              <w:jc w:val="left"/>
            </w:pPr>
            <w:r>
              <w:rPr>
                <w:b/>
                <w:sz w:val="22"/>
              </w:rPr>
              <w:t xml:space="preserve">investments services under MIFID and ancillary </w:t>
            </w:r>
          </w:p>
          <w:p w:rsidR="00BB52D7" w:rsidRDefault="00E33AE6">
            <w:pPr>
              <w:spacing w:after="17" w:line="259" w:lineRule="auto"/>
              <w:ind w:left="1" w:firstLine="0"/>
              <w:jc w:val="left"/>
            </w:pPr>
            <w:r>
              <w:rPr>
                <w:b/>
                <w:sz w:val="22"/>
              </w:rPr>
              <w:t xml:space="preserve">services </w:t>
            </w:r>
          </w:p>
          <w:p w:rsidR="00BB52D7" w:rsidRDefault="00E33AE6">
            <w:pPr>
              <w:spacing w:after="0" w:line="259" w:lineRule="auto"/>
              <w:ind w:left="1" w:firstLine="0"/>
              <w:jc w:val="left"/>
            </w:pPr>
            <w:r>
              <w:rPr>
                <w:b/>
                <w:sz w:val="22"/>
              </w:rPr>
              <w:t xml:space="preserve"> </w:t>
            </w:r>
          </w:p>
        </w:tc>
      </w:tr>
    </w:tbl>
    <w:p w:rsidR="00BB52D7" w:rsidRDefault="00BB52D7">
      <w:pPr>
        <w:spacing w:after="0" w:line="259" w:lineRule="auto"/>
        <w:ind w:left="-568" w:right="743" w:firstLine="0"/>
        <w:jc w:val="left"/>
      </w:pPr>
    </w:p>
    <w:tbl>
      <w:tblPr>
        <w:tblStyle w:val="TableGrid"/>
        <w:tblW w:w="9287" w:type="dxa"/>
        <w:tblInd w:w="743" w:type="dxa"/>
        <w:tblCellMar>
          <w:top w:w="12" w:type="dxa"/>
          <w:left w:w="108" w:type="dxa"/>
          <w:bottom w:w="0" w:type="dxa"/>
          <w:right w:w="69" w:type="dxa"/>
        </w:tblCellMar>
        <w:tblLook w:val="04A0" w:firstRow="1" w:lastRow="0" w:firstColumn="1" w:lastColumn="0" w:noHBand="0" w:noVBand="1"/>
      </w:tblPr>
      <w:tblGrid>
        <w:gridCol w:w="3673"/>
        <w:gridCol w:w="2680"/>
        <w:gridCol w:w="2934"/>
      </w:tblGrid>
      <w:tr w:rsidR="00BB52D7">
        <w:trPr>
          <w:trHeight w:val="14267"/>
        </w:trPr>
        <w:tc>
          <w:tcPr>
            <w:tcW w:w="3673" w:type="dxa"/>
            <w:tcBorders>
              <w:top w:val="single" w:sz="4" w:space="0" w:color="000000"/>
              <w:left w:val="single" w:sz="4" w:space="0" w:color="000000"/>
              <w:bottom w:val="single" w:sz="4" w:space="0" w:color="000000"/>
              <w:right w:val="single" w:sz="4" w:space="0" w:color="000000"/>
            </w:tcBorders>
            <w:vAlign w:val="bottom"/>
          </w:tcPr>
          <w:p w:rsidR="00BB52D7" w:rsidRDefault="00BB52D7">
            <w:pPr>
              <w:spacing w:after="160" w:line="259" w:lineRule="auto"/>
              <w:ind w:left="0" w:firstLine="0"/>
              <w:jc w:val="left"/>
            </w:pPr>
          </w:p>
        </w:tc>
        <w:tc>
          <w:tcPr>
            <w:tcW w:w="268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75" w:lineRule="auto"/>
              <w:ind w:left="0" w:right="61" w:firstLine="0"/>
              <w:jc w:val="left"/>
            </w:pPr>
            <w:r>
              <w:rPr>
                <w:b/>
                <w:sz w:val="22"/>
              </w:rPr>
              <w:t xml:space="preserve">UCITS’s instructions - </w:t>
            </w:r>
            <w:r>
              <w:rPr>
                <w:sz w:val="22"/>
              </w:rPr>
              <w:t xml:space="preserve">monitoring of compliance with investment restrictions and leverage limits  - set up an escalation procedure where those rules are breached </w:t>
            </w:r>
            <w:r>
              <w:rPr>
                <w:b/>
                <w:sz w:val="22"/>
              </w:rPr>
              <w:t xml:space="preserve">timely settlement of transactions </w:t>
            </w:r>
          </w:p>
          <w:p w:rsidR="00BB52D7" w:rsidRDefault="00E33AE6">
            <w:pPr>
              <w:numPr>
                <w:ilvl w:val="0"/>
                <w:numId w:val="36"/>
              </w:numPr>
              <w:spacing w:after="0" w:line="275" w:lineRule="auto"/>
              <w:ind w:firstLine="0"/>
              <w:jc w:val="left"/>
            </w:pPr>
            <w:r>
              <w:rPr>
                <w:sz w:val="22"/>
              </w:rPr>
              <w:t xml:space="preserve">setting up procedures  to detect delays in settlements of transactions - request the restitutions of assets from the counterparty </w:t>
            </w:r>
            <w:r>
              <w:rPr>
                <w:b/>
                <w:sz w:val="22"/>
              </w:rPr>
              <w:t xml:space="preserve">UCITS’s income distribution </w:t>
            </w:r>
          </w:p>
          <w:p w:rsidR="00BB52D7" w:rsidRDefault="00E33AE6">
            <w:pPr>
              <w:numPr>
                <w:ilvl w:val="0"/>
                <w:numId w:val="36"/>
              </w:numPr>
              <w:spacing w:after="1" w:line="274" w:lineRule="auto"/>
              <w:ind w:firstLine="0"/>
              <w:jc w:val="left"/>
            </w:pPr>
            <w:r>
              <w:rPr>
                <w:sz w:val="22"/>
              </w:rPr>
              <w:t xml:space="preserve">- </w:t>
            </w:r>
            <w:r>
              <w:rPr>
                <w:sz w:val="22"/>
              </w:rPr>
              <w:t xml:space="preserve">ensure that the income calculation is in line with laws and rules </w:t>
            </w:r>
          </w:p>
          <w:p w:rsidR="00BB52D7" w:rsidRDefault="00E33AE6">
            <w:pPr>
              <w:spacing w:after="1" w:line="274" w:lineRule="auto"/>
              <w:ind w:left="0" w:firstLine="0"/>
              <w:jc w:val="left"/>
            </w:pPr>
            <w:r>
              <w:rPr>
                <w:sz w:val="22"/>
              </w:rPr>
              <w:t xml:space="preserve">-ensure a follow-up to the reserves expressed by the auditor </w:t>
            </w:r>
          </w:p>
          <w:p w:rsidR="00BB52D7" w:rsidRDefault="00E33AE6">
            <w:pPr>
              <w:numPr>
                <w:ilvl w:val="0"/>
                <w:numId w:val="36"/>
              </w:numPr>
              <w:spacing w:after="0" w:line="275" w:lineRule="auto"/>
              <w:ind w:firstLine="0"/>
              <w:jc w:val="left"/>
            </w:pPr>
            <w:r>
              <w:rPr>
                <w:sz w:val="22"/>
              </w:rPr>
              <w:t xml:space="preserve">check the completeness and accuracy of dividend payments </w:t>
            </w:r>
          </w:p>
          <w:p w:rsidR="00BB52D7" w:rsidRDefault="00E33AE6">
            <w:pPr>
              <w:spacing w:after="17" w:line="259" w:lineRule="auto"/>
              <w:ind w:left="0" w:firstLine="0"/>
              <w:jc w:val="left"/>
            </w:pPr>
            <w:r>
              <w:rPr>
                <w:sz w:val="22"/>
              </w:rPr>
              <w:t xml:space="preserve">-notify irregularities to </w:t>
            </w:r>
          </w:p>
          <w:p w:rsidR="00BB52D7" w:rsidRDefault="00E33AE6">
            <w:pPr>
              <w:spacing w:after="1" w:line="274" w:lineRule="auto"/>
              <w:ind w:left="0" w:right="20" w:firstLine="0"/>
              <w:jc w:val="left"/>
            </w:pPr>
            <w:r>
              <w:rPr>
                <w:sz w:val="22"/>
              </w:rPr>
              <w:t xml:space="preserve">ManCo and ensure remedial action </w:t>
            </w:r>
          </w:p>
          <w:p w:rsidR="00BB52D7" w:rsidRDefault="00E33AE6">
            <w:pPr>
              <w:spacing w:after="16" w:line="259" w:lineRule="auto"/>
              <w:ind w:left="0" w:firstLine="0"/>
              <w:jc w:val="left"/>
            </w:pPr>
            <w:r>
              <w:rPr>
                <w:b/>
                <w:sz w:val="22"/>
              </w:rPr>
              <w:t>Cash mon</w:t>
            </w:r>
            <w:r>
              <w:rPr>
                <w:b/>
                <w:sz w:val="22"/>
              </w:rPr>
              <w:t xml:space="preserve">itoring </w:t>
            </w:r>
          </w:p>
          <w:p w:rsidR="00BB52D7" w:rsidRDefault="00E33AE6">
            <w:pPr>
              <w:numPr>
                <w:ilvl w:val="0"/>
                <w:numId w:val="36"/>
              </w:numPr>
              <w:spacing w:after="0" w:line="274" w:lineRule="auto"/>
              <w:ind w:firstLine="0"/>
              <w:jc w:val="left"/>
            </w:pPr>
            <w:r>
              <w:rPr>
                <w:sz w:val="22"/>
              </w:rPr>
              <w:t xml:space="preserve">monitoring of all UCITS cash accounts and cash flows </w:t>
            </w:r>
          </w:p>
          <w:p w:rsidR="00BB52D7" w:rsidRDefault="00E33AE6">
            <w:pPr>
              <w:numPr>
                <w:ilvl w:val="0"/>
                <w:numId w:val="36"/>
              </w:numPr>
              <w:spacing w:after="17" w:line="259" w:lineRule="auto"/>
              <w:ind w:firstLine="0"/>
              <w:jc w:val="left"/>
            </w:pPr>
            <w:r>
              <w:rPr>
                <w:sz w:val="22"/>
              </w:rPr>
              <w:t xml:space="preserve">reconciliation </w:t>
            </w:r>
          </w:p>
          <w:p w:rsidR="00BB52D7" w:rsidRDefault="00E33AE6">
            <w:pPr>
              <w:numPr>
                <w:ilvl w:val="0"/>
                <w:numId w:val="36"/>
              </w:numPr>
              <w:spacing w:after="42" w:line="274" w:lineRule="auto"/>
              <w:ind w:firstLine="0"/>
              <w:jc w:val="left"/>
            </w:pPr>
            <w:r>
              <w:rPr>
                <w:sz w:val="22"/>
              </w:rPr>
              <w:t xml:space="preserve">monitoring of significant cash flows (in particular those which could be inconsistent with the </w:t>
            </w:r>
          </w:p>
          <w:p w:rsidR="00BB52D7" w:rsidRDefault="00E33AE6">
            <w:pPr>
              <w:spacing w:after="1" w:line="274" w:lineRule="auto"/>
              <w:ind w:left="0" w:right="275" w:firstLine="0"/>
            </w:pPr>
            <w:r>
              <w:rPr>
                <w:sz w:val="22"/>
              </w:rPr>
              <w:t xml:space="preserve">UCITS’s  operations - review of reconciliation procedures </w:t>
            </w:r>
          </w:p>
          <w:p w:rsidR="00BB52D7" w:rsidRDefault="00E33AE6">
            <w:pPr>
              <w:numPr>
                <w:ilvl w:val="0"/>
                <w:numId w:val="36"/>
              </w:numPr>
              <w:spacing w:after="0" w:line="274" w:lineRule="auto"/>
              <w:ind w:firstLine="0"/>
              <w:jc w:val="left"/>
            </w:pPr>
            <w:r>
              <w:rPr>
                <w:sz w:val="22"/>
              </w:rPr>
              <w:t xml:space="preserve">monitor the outcome of reconciliations and followup actions </w:t>
            </w:r>
          </w:p>
          <w:p w:rsidR="00BB52D7" w:rsidRDefault="00E33AE6">
            <w:pPr>
              <w:numPr>
                <w:ilvl w:val="0"/>
                <w:numId w:val="36"/>
              </w:numPr>
              <w:spacing w:after="0" w:line="259" w:lineRule="auto"/>
              <w:ind w:firstLine="0"/>
              <w:jc w:val="left"/>
            </w:pPr>
            <w:r>
              <w:rPr>
                <w:sz w:val="22"/>
              </w:rPr>
              <w:t xml:space="preserve">notify to ManCo all delays in rectifications and to the competent authorities when the situation is not clarified or corrected - check consistency of its </w:t>
            </w:r>
          </w:p>
        </w:tc>
        <w:tc>
          <w:tcPr>
            <w:tcW w:w="2934" w:type="dxa"/>
            <w:tcBorders>
              <w:top w:val="single" w:sz="4" w:space="0" w:color="000000"/>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r>
      <w:tr w:rsidR="00BB52D7">
        <w:trPr>
          <w:trHeight w:val="3993"/>
        </w:trPr>
        <w:tc>
          <w:tcPr>
            <w:tcW w:w="3673" w:type="dxa"/>
            <w:tcBorders>
              <w:top w:val="single" w:sz="4" w:space="0" w:color="000000"/>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c>
          <w:tcPr>
            <w:tcW w:w="2680" w:type="dxa"/>
            <w:tcBorders>
              <w:top w:val="single" w:sz="4" w:space="0" w:color="000000"/>
              <w:left w:val="single" w:sz="4" w:space="0" w:color="000000"/>
              <w:bottom w:val="single" w:sz="4" w:space="0" w:color="000000"/>
              <w:right w:val="single" w:sz="4" w:space="0" w:color="000000"/>
            </w:tcBorders>
          </w:tcPr>
          <w:p w:rsidR="00BB52D7" w:rsidRDefault="00E33AE6">
            <w:pPr>
              <w:spacing w:after="17" w:line="259" w:lineRule="auto"/>
              <w:ind w:left="0" w:firstLine="0"/>
              <w:jc w:val="left"/>
            </w:pPr>
            <w:r>
              <w:rPr>
                <w:sz w:val="22"/>
              </w:rPr>
              <w:t xml:space="preserve">own records with those of </w:t>
            </w:r>
          </w:p>
          <w:p w:rsidR="00BB52D7" w:rsidRDefault="00E33AE6">
            <w:pPr>
              <w:spacing w:after="0" w:line="274" w:lineRule="auto"/>
              <w:ind w:left="0" w:right="613" w:firstLine="0"/>
              <w:jc w:val="left"/>
            </w:pPr>
            <w:r>
              <w:rPr>
                <w:sz w:val="22"/>
              </w:rPr>
              <w:t xml:space="preserve">the UCITS </w:t>
            </w:r>
            <w:r>
              <w:rPr>
                <w:b/>
                <w:sz w:val="22"/>
              </w:rPr>
              <w:t xml:space="preserve">Payment upon the subscriptions </w:t>
            </w:r>
          </w:p>
          <w:p w:rsidR="00BB52D7" w:rsidRDefault="00E33AE6">
            <w:pPr>
              <w:spacing w:after="2" w:line="274" w:lineRule="auto"/>
              <w:ind w:left="0" w:firstLine="0"/>
              <w:jc w:val="left"/>
            </w:pPr>
            <w:r>
              <w:rPr>
                <w:sz w:val="22"/>
              </w:rPr>
              <w:t xml:space="preserve">- booking of payments upon subscription </w:t>
            </w:r>
          </w:p>
          <w:p w:rsidR="00BB52D7" w:rsidRDefault="00E33AE6">
            <w:pPr>
              <w:spacing w:after="14" w:line="259" w:lineRule="auto"/>
              <w:ind w:left="0" w:firstLine="0"/>
              <w:jc w:val="left"/>
            </w:pPr>
            <w:r>
              <w:rPr>
                <w:b/>
                <w:sz w:val="22"/>
              </w:rPr>
              <w:t xml:space="preserve">DUE DILIGENCE </w:t>
            </w:r>
          </w:p>
          <w:p w:rsidR="00BB52D7" w:rsidRDefault="00E33AE6">
            <w:pPr>
              <w:spacing w:after="17" w:line="259" w:lineRule="auto"/>
              <w:ind w:left="0" w:firstLine="0"/>
              <w:jc w:val="left"/>
            </w:pPr>
            <w:r>
              <w:rPr>
                <w:sz w:val="22"/>
              </w:rPr>
              <w:t xml:space="preserve">Due diligence duties when </w:t>
            </w:r>
          </w:p>
          <w:p w:rsidR="00BB52D7" w:rsidRDefault="00E33AE6">
            <w:pPr>
              <w:spacing w:after="1" w:line="274" w:lineRule="auto"/>
              <w:ind w:left="0" w:firstLine="0"/>
              <w:jc w:val="left"/>
            </w:pPr>
            <w:r>
              <w:rPr>
                <w:sz w:val="22"/>
              </w:rPr>
              <w:t xml:space="preserve">selecting a third party to whom a safekeeping </w:t>
            </w:r>
          </w:p>
          <w:p w:rsidR="00BB52D7" w:rsidRDefault="00E33AE6">
            <w:pPr>
              <w:spacing w:after="16" w:line="259" w:lineRule="auto"/>
              <w:ind w:left="0" w:firstLine="0"/>
              <w:jc w:val="left"/>
            </w:pPr>
            <w:r>
              <w:rPr>
                <w:sz w:val="22"/>
              </w:rPr>
              <w:t xml:space="preserve">functions are delegated </w:t>
            </w:r>
          </w:p>
          <w:p w:rsidR="00BB52D7" w:rsidRDefault="00E33AE6">
            <w:pPr>
              <w:spacing w:after="16" w:line="259" w:lineRule="auto"/>
              <w:ind w:left="0" w:firstLine="0"/>
              <w:jc w:val="left"/>
            </w:pPr>
            <w:r>
              <w:rPr>
                <w:sz w:val="22"/>
              </w:rPr>
              <w:t xml:space="preserve"> </w:t>
            </w:r>
          </w:p>
          <w:p w:rsidR="00BB52D7" w:rsidRDefault="00E33AE6">
            <w:pPr>
              <w:spacing w:after="0" w:line="259" w:lineRule="auto"/>
              <w:ind w:left="0" w:firstLine="0"/>
              <w:jc w:val="left"/>
            </w:pPr>
            <w:r>
              <w:rPr>
                <w:sz w:val="22"/>
              </w:rPr>
              <w:t xml:space="preserve"> </w:t>
            </w:r>
          </w:p>
        </w:tc>
        <w:tc>
          <w:tcPr>
            <w:tcW w:w="2934" w:type="dxa"/>
            <w:tcBorders>
              <w:top w:val="single" w:sz="4" w:space="0" w:color="000000"/>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r>
    </w:tbl>
    <w:p w:rsidR="00BB52D7" w:rsidRDefault="00E33AE6">
      <w:pPr>
        <w:spacing w:after="0" w:line="259" w:lineRule="auto"/>
        <w:ind w:left="851" w:firstLine="0"/>
      </w:pPr>
      <w:r>
        <w:t xml:space="preserve"> </w:t>
      </w:r>
      <w:r>
        <w:br w:type="page"/>
      </w:r>
    </w:p>
    <w:p w:rsidR="00BB52D7" w:rsidRDefault="00E33AE6">
      <w:pPr>
        <w:pStyle w:val="Heading7"/>
        <w:ind w:left="861" w:right="0"/>
      </w:pPr>
      <w:r>
        <w:lastRenderedPageBreak/>
        <w:t>Annex 5: Overview of depositary sector</w:t>
      </w:r>
      <w:r>
        <w:rPr>
          <w:vertAlign w:val="superscript"/>
        </w:rPr>
        <w:footnoteReference w:id="83"/>
      </w:r>
      <w:r>
        <w:rPr>
          <w:b w:val="0"/>
        </w:rPr>
        <w:t xml:space="preserve"> </w:t>
      </w:r>
      <w:r>
        <w:t xml:space="preserve">The EU market of UCITS depositaries </w:t>
      </w:r>
    </w:p>
    <w:p w:rsidR="00BB52D7" w:rsidRDefault="00E33AE6">
      <w:pPr>
        <w:ind w:left="846" w:right="843"/>
      </w:pPr>
      <w:r>
        <w:t>For each fund recorded by Morningstar, it is possible to identify the depositary. The following table discloses the depositary market structure in each Member State according to their concentration level. The market sha</w:t>
      </w:r>
      <w:r>
        <w:t xml:space="preserve">res (taking into account the AuM) of each depositary have been computed to get two indicators, the HHI and the top 4 concentration level. Those two indicators are used to measure the degree of competitiveness in a market. </w:t>
      </w:r>
    </w:p>
    <w:p w:rsidR="00BB52D7" w:rsidRDefault="00E33AE6">
      <w:pPr>
        <w:spacing w:after="10"/>
        <w:ind w:left="846" w:right="843"/>
      </w:pPr>
      <w:r>
        <w:t xml:space="preserve">HHI (Herfindahl–Hirschman Index) </w:t>
      </w:r>
      <w:r>
        <w:t xml:space="preserve">measures the size of depositaries in relation to the overall industry. It is defined as the sum of the squares of the market shares of the 50 largest depositaries in each market and ranges from 0 to 1. The interpretation is as follows: </w:t>
      </w:r>
      <w:r>
        <w:rPr>
          <w:b/>
          <w:i/>
          <w:u w:val="single" w:color="000000"/>
        </w:rPr>
        <w:t>Table 1: Interpretat</w:t>
      </w:r>
      <w:r>
        <w:rPr>
          <w:b/>
          <w:i/>
          <w:u w:val="single" w:color="000000"/>
        </w:rPr>
        <w:t>ion of HHI ratio</w:t>
      </w:r>
      <w:r>
        <w:rPr>
          <w:b/>
          <w:i/>
        </w:rPr>
        <w:t xml:space="preserve"> </w:t>
      </w:r>
    </w:p>
    <w:tbl>
      <w:tblPr>
        <w:tblStyle w:val="TableGrid"/>
        <w:tblW w:w="4678" w:type="dxa"/>
        <w:tblInd w:w="851" w:type="dxa"/>
        <w:tblCellMar>
          <w:top w:w="12" w:type="dxa"/>
          <w:left w:w="144" w:type="dxa"/>
          <w:bottom w:w="0" w:type="dxa"/>
          <w:right w:w="86" w:type="dxa"/>
        </w:tblCellMar>
        <w:tblLook w:val="04A0" w:firstRow="1" w:lastRow="0" w:firstColumn="1" w:lastColumn="0" w:noHBand="0" w:noVBand="1"/>
      </w:tblPr>
      <w:tblGrid>
        <w:gridCol w:w="2128"/>
        <w:gridCol w:w="2550"/>
      </w:tblGrid>
      <w:tr w:rsidR="00BB52D7">
        <w:trPr>
          <w:trHeight w:val="526"/>
        </w:trPr>
        <w:tc>
          <w:tcPr>
            <w:tcW w:w="212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rPr>
                <w:b/>
              </w:rPr>
              <w:t xml:space="preserve">Range </w:t>
            </w:r>
          </w:p>
        </w:tc>
        <w:tc>
          <w:tcPr>
            <w:tcW w:w="255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b/>
              </w:rPr>
              <w:t xml:space="preserve">Concentration </w:t>
            </w:r>
          </w:p>
        </w:tc>
      </w:tr>
      <w:tr w:rsidR="00BB52D7">
        <w:trPr>
          <w:trHeight w:val="802"/>
        </w:trPr>
        <w:tc>
          <w:tcPr>
            <w:tcW w:w="212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t xml:space="preserve">HHI &lt; 0,01 </w:t>
            </w:r>
          </w:p>
        </w:tc>
        <w:tc>
          <w:tcPr>
            <w:tcW w:w="255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highly competitive index </w:t>
            </w:r>
          </w:p>
        </w:tc>
      </w:tr>
      <w:tr w:rsidR="00BB52D7">
        <w:trPr>
          <w:trHeight w:val="527"/>
        </w:trPr>
        <w:tc>
          <w:tcPr>
            <w:tcW w:w="212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t xml:space="preserve">HHI &lt; 0,15 </w:t>
            </w:r>
          </w:p>
        </w:tc>
        <w:tc>
          <w:tcPr>
            <w:tcW w:w="255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t xml:space="preserve">unconcentrated index </w:t>
            </w:r>
          </w:p>
        </w:tc>
      </w:tr>
      <w:tr w:rsidR="00BB52D7">
        <w:trPr>
          <w:trHeight w:val="526"/>
        </w:trPr>
        <w:tc>
          <w:tcPr>
            <w:tcW w:w="212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62" w:firstLine="0"/>
              <w:jc w:val="left"/>
            </w:pPr>
            <w:r>
              <w:t xml:space="preserve">0,15&lt; HHI &lt; 0,25 </w:t>
            </w:r>
          </w:p>
        </w:tc>
        <w:tc>
          <w:tcPr>
            <w:tcW w:w="255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moderate concentration </w:t>
            </w:r>
          </w:p>
        </w:tc>
      </w:tr>
      <w:tr w:rsidR="00BB52D7">
        <w:trPr>
          <w:trHeight w:val="526"/>
        </w:trPr>
        <w:tc>
          <w:tcPr>
            <w:tcW w:w="212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t xml:space="preserve">HHI &gt; 0,25 </w:t>
            </w:r>
          </w:p>
        </w:tc>
        <w:tc>
          <w:tcPr>
            <w:tcW w:w="255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8" w:firstLine="0"/>
              <w:jc w:val="center"/>
            </w:pPr>
            <w:r>
              <w:t xml:space="preserve">high concentration </w:t>
            </w:r>
          </w:p>
        </w:tc>
      </w:tr>
    </w:tbl>
    <w:p w:rsidR="00BB52D7" w:rsidRDefault="00E33AE6">
      <w:pPr>
        <w:spacing w:after="216" w:line="259" w:lineRule="auto"/>
        <w:ind w:left="851" w:firstLine="0"/>
        <w:jc w:val="left"/>
      </w:pPr>
      <w:r>
        <w:t xml:space="preserve"> </w:t>
      </w:r>
    </w:p>
    <w:p w:rsidR="00BB52D7" w:rsidRDefault="00E33AE6">
      <w:pPr>
        <w:ind w:left="846" w:right="843"/>
      </w:pPr>
      <w:r>
        <w:t xml:space="preserve">The top 4 firm concentration ratio measures the total market share of the four largest depositaries in the market. .   </w:t>
      </w:r>
    </w:p>
    <w:p w:rsidR="00BB52D7" w:rsidRDefault="00E33AE6">
      <w:pPr>
        <w:pStyle w:val="Heading6"/>
        <w:ind w:left="846" w:right="488"/>
      </w:pPr>
      <w:r>
        <w:t>Table 2 - Concentration ratios of depositary market</w:t>
      </w:r>
      <w:r>
        <w:rPr>
          <w:u w:val="none"/>
        </w:rPr>
        <w:t xml:space="preserve"> </w:t>
      </w:r>
    </w:p>
    <w:tbl>
      <w:tblPr>
        <w:tblStyle w:val="TableGrid"/>
        <w:tblW w:w="7492" w:type="dxa"/>
        <w:tblInd w:w="838" w:type="dxa"/>
        <w:tblCellMar>
          <w:top w:w="17" w:type="dxa"/>
          <w:left w:w="67" w:type="dxa"/>
          <w:bottom w:w="0" w:type="dxa"/>
          <w:right w:w="7" w:type="dxa"/>
        </w:tblCellMar>
        <w:tblLook w:val="04A0" w:firstRow="1" w:lastRow="0" w:firstColumn="1" w:lastColumn="0" w:noHBand="0" w:noVBand="1"/>
      </w:tblPr>
      <w:tblGrid>
        <w:gridCol w:w="1377"/>
        <w:gridCol w:w="1519"/>
        <w:gridCol w:w="995"/>
        <w:gridCol w:w="1367"/>
        <w:gridCol w:w="680"/>
        <w:gridCol w:w="1554"/>
      </w:tblGrid>
      <w:tr w:rsidR="00BB52D7">
        <w:trPr>
          <w:trHeight w:val="796"/>
        </w:trPr>
        <w:tc>
          <w:tcPr>
            <w:tcW w:w="1377"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14" w:right="16" w:firstLine="0"/>
              <w:jc w:val="center"/>
            </w:pPr>
            <w:r>
              <w:rPr>
                <w:b/>
              </w:rPr>
              <w:t xml:space="preserve">EU Member </w:t>
            </w:r>
          </w:p>
        </w:tc>
        <w:tc>
          <w:tcPr>
            <w:tcW w:w="1519"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firstLine="0"/>
              <w:jc w:val="center"/>
            </w:pPr>
            <w:r>
              <w:rPr>
                <w:b/>
              </w:rPr>
              <w:t xml:space="preserve">Asset held in custody in € </w:t>
            </w:r>
          </w:p>
        </w:tc>
        <w:tc>
          <w:tcPr>
            <w:tcW w:w="995"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firstLine="0"/>
              <w:jc w:val="center"/>
            </w:pPr>
            <w:r>
              <w:rPr>
                <w:b/>
              </w:rPr>
              <w:t xml:space="preserve">Number of funds </w:t>
            </w:r>
          </w:p>
        </w:tc>
        <w:tc>
          <w:tcPr>
            <w:tcW w:w="1367"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firstLine="0"/>
              <w:jc w:val="center"/>
            </w:pPr>
            <w:r>
              <w:rPr>
                <w:b/>
              </w:rPr>
              <w:t xml:space="preserve">Number of depositaries </w:t>
            </w:r>
          </w:p>
        </w:tc>
        <w:tc>
          <w:tcPr>
            <w:tcW w:w="68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41" w:firstLine="0"/>
            </w:pPr>
            <w:r>
              <w:rPr>
                <w:b/>
              </w:rPr>
              <w:t>HHI</w:t>
            </w:r>
            <w:r>
              <w:rPr>
                <w:b/>
              </w:rPr>
              <w:t xml:space="preserve"> </w:t>
            </w:r>
          </w:p>
        </w:tc>
        <w:tc>
          <w:tcPr>
            <w:tcW w:w="1554"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firstLine="0"/>
              <w:jc w:val="center"/>
            </w:pPr>
            <w:r>
              <w:rPr>
                <w:b/>
              </w:rPr>
              <w:t xml:space="preserve">Top 4 concentration </w:t>
            </w:r>
          </w:p>
        </w:tc>
      </w:tr>
      <w:tr w:rsidR="00BB52D7">
        <w:trPr>
          <w:trHeight w:val="547"/>
        </w:trPr>
        <w:tc>
          <w:tcPr>
            <w:tcW w:w="1377"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pPr>
            <w:r>
              <w:t xml:space="preserve">Luxembourg </w:t>
            </w:r>
          </w:p>
        </w:tc>
        <w:tc>
          <w:tcPr>
            <w:tcW w:w="1519"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4" w:firstLine="0"/>
            </w:pPr>
            <w:r>
              <w:t xml:space="preserve">2,384,985,000 </w:t>
            </w:r>
          </w:p>
        </w:tc>
        <w:tc>
          <w:tcPr>
            <w:tcW w:w="995"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6" w:firstLine="0"/>
              <w:jc w:val="center"/>
            </w:pPr>
            <w:r>
              <w:t xml:space="preserve">8280 </w:t>
            </w:r>
          </w:p>
        </w:tc>
        <w:tc>
          <w:tcPr>
            <w:tcW w:w="1367"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8" w:firstLine="0"/>
              <w:jc w:val="center"/>
            </w:pPr>
            <w:r>
              <w:t xml:space="preserve">53 </w:t>
            </w:r>
          </w:p>
        </w:tc>
        <w:tc>
          <w:tcPr>
            <w:tcW w:w="68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5" w:firstLine="0"/>
            </w:pPr>
            <w:r>
              <w:t xml:space="preserve">0,112 </w:t>
            </w:r>
          </w:p>
        </w:tc>
        <w:tc>
          <w:tcPr>
            <w:tcW w:w="1554"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8" w:firstLine="0"/>
              <w:jc w:val="center"/>
            </w:pPr>
            <w:r>
              <w:t xml:space="preserve">56.84%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center"/>
            </w:pPr>
            <w:r>
              <w:t xml:space="preserve">Austria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74,634,190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center"/>
            </w:pPr>
            <w:r>
              <w:t xml:space="preserve">994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25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5" w:firstLine="0"/>
            </w:pPr>
            <w:r>
              <w:t xml:space="preserve">0,159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68.15% </w:t>
            </w:r>
          </w:p>
        </w:tc>
      </w:tr>
      <w:tr w:rsidR="00BB52D7">
        <w:trPr>
          <w:trHeight w:val="336"/>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Spain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139,168,910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center"/>
            </w:pPr>
            <w:r>
              <w:t xml:space="preserve">1555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37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5" w:firstLine="0"/>
            </w:pPr>
            <w:r>
              <w:t xml:space="preserve">0,135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65.64%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5" w:firstLine="0"/>
              <w:jc w:val="center"/>
            </w:pPr>
            <w:r>
              <w:t xml:space="preserve">Germany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225,459,650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center"/>
            </w:pPr>
            <w:r>
              <w:t xml:space="preserve">1123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52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5" w:firstLine="0"/>
            </w:pPr>
            <w:r>
              <w:t xml:space="preserve">0,151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73.50%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Italy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189,931,890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center"/>
            </w:pPr>
            <w:r>
              <w:t xml:space="preserve">695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15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5" w:firstLine="0"/>
            </w:pPr>
            <w:r>
              <w:t xml:space="preserve">0,205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76.05% </w:t>
            </w:r>
          </w:p>
        </w:tc>
      </w:tr>
      <w:tr w:rsidR="00BB52D7">
        <w:trPr>
          <w:trHeight w:val="572"/>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United </w:t>
            </w:r>
          </w:p>
          <w:p w:rsidR="00BB52D7" w:rsidRDefault="00E33AE6">
            <w:pPr>
              <w:spacing w:after="0" w:line="259" w:lineRule="auto"/>
              <w:ind w:left="166" w:firstLine="0"/>
              <w:jc w:val="left"/>
            </w:pPr>
            <w:r>
              <w:t xml:space="preserve">Kingdom </w:t>
            </w:r>
          </w:p>
        </w:tc>
        <w:tc>
          <w:tcPr>
            <w:tcW w:w="1519"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4" w:firstLine="0"/>
            </w:pPr>
            <w:r>
              <w:t xml:space="preserve">1,000,735,550 </w:t>
            </w:r>
          </w:p>
        </w:tc>
        <w:tc>
          <w:tcPr>
            <w:tcW w:w="995"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6" w:firstLine="0"/>
              <w:jc w:val="center"/>
            </w:pPr>
            <w:r>
              <w:t xml:space="preserve">2046 </w:t>
            </w:r>
          </w:p>
        </w:tc>
        <w:tc>
          <w:tcPr>
            <w:tcW w:w="1367"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8" w:firstLine="0"/>
              <w:jc w:val="center"/>
            </w:pPr>
            <w:r>
              <w:t xml:space="preserve">11 </w:t>
            </w:r>
          </w:p>
        </w:tc>
        <w:tc>
          <w:tcPr>
            <w:tcW w:w="68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5" w:firstLine="0"/>
            </w:pPr>
            <w:r>
              <w:t xml:space="preserve">0,163 </w:t>
            </w:r>
          </w:p>
        </w:tc>
        <w:tc>
          <w:tcPr>
            <w:tcW w:w="1554"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8" w:firstLine="0"/>
              <w:jc w:val="center"/>
            </w:pPr>
            <w:r>
              <w:t xml:space="preserve">74.60%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Portugal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7,210,910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center"/>
            </w:pPr>
            <w:r>
              <w:t xml:space="preserve">138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15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5" w:firstLine="0"/>
            </w:pPr>
            <w:r>
              <w:t xml:space="preserve">0,172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74.64%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Ireland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896,593,520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center"/>
            </w:pPr>
            <w:r>
              <w:t xml:space="preserve">2028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22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5" w:firstLine="0"/>
            </w:pPr>
            <w:r>
              <w:t xml:space="preserve">0,171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center"/>
            </w:pPr>
            <w:r>
              <w:t xml:space="preserve">75.84% </w:t>
            </w:r>
          </w:p>
        </w:tc>
      </w:tr>
      <w:tr w:rsidR="00BB52D7">
        <w:trPr>
          <w:trHeight w:val="325"/>
        </w:trPr>
        <w:tc>
          <w:tcPr>
            <w:tcW w:w="1377" w:type="dxa"/>
            <w:tcBorders>
              <w:top w:val="nil"/>
              <w:left w:val="single" w:sz="8" w:space="0" w:color="000000"/>
              <w:bottom w:val="single" w:sz="8" w:space="0" w:color="000000"/>
              <w:right w:val="single" w:sz="8" w:space="0" w:color="000000"/>
            </w:tcBorders>
          </w:tcPr>
          <w:p w:rsidR="00BB52D7" w:rsidRDefault="00E33AE6">
            <w:pPr>
              <w:spacing w:after="0" w:line="259" w:lineRule="auto"/>
              <w:ind w:left="0" w:right="61" w:firstLine="0"/>
              <w:jc w:val="center"/>
            </w:pPr>
            <w:r>
              <w:t xml:space="preserve">Finland </w:t>
            </w:r>
          </w:p>
        </w:tc>
        <w:tc>
          <w:tcPr>
            <w:tcW w:w="1519" w:type="dxa"/>
            <w:tcBorders>
              <w:top w:val="nil"/>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76,549,490 </w:t>
            </w:r>
          </w:p>
        </w:tc>
        <w:tc>
          <w:tcPr>
            <w:tcW w:w="995" w:type="dxa"/>
            <w:tcBorders>
              <w:top w:val="nil"/>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412 </w:t>
            </w:r>
          </w:p>
        </w:tc>
        <w:tc>
          <w:tcPr>
            <w:tcW w:w="1367" w:type="dxa"/>
            <w:tcBorders>
              <w:top w:val="nil"/>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11 </w:t>
            </w:r>
          </w:p>
        </w:tc>
        <w:tc>
          <w:tcPr>
            <w:tcW w:w="680" w:type="dxa"/>
            <w:tcBorders>
              <w:top w:val="nil"/>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0,222 </w:t>
            </w:r>
          </w:p>
        </w:tc>
        <w:tc>
          <w:tcPr>
            <w:tcW w:w="1554" w:type="dxa"/>
            <w:tcBorders>
              <w:top w:val="nil"/>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79.97%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Belgium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27,068,000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282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16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0,243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84.76% </w:t>
            </w:r>
          </w:p>
        </w:tc>
      </w:tr>
      <w:tr w:rsidR="00BB52D7">
        <w:trPr>
          <w:trHeight w:val="336"/>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Denmark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94,855,000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526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17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0,227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80.91%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lastRenderedPageBreak/>
              <w:t xml:space="preserve">Slovenia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516,040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124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4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0,299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France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645,692,000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2825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31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0,293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85.24%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Poland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3,812,070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33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3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0,351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r w:rsidR="00BB52D7">
        <w:trPr>
          <w:trHeight w:val="545"/>
        </w:trPr>
        <w:tc>
          <w:tcPr>
            <w:tcW w:w="1377"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40" w:firstLine="0"/>
              <w:jc w:val="left"/>
            </w:pPr>
            <w:r>
              <w:t xml:space="preserve">Netherlands </w:t>
            </w:r>
          </w:p>
        </w:tc>
        <w:tc>
          <w:tcPr>
            <w:tcW w:w="1519"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1" w:firstLine="0"/>
              <w:jc w:val="right"/>
            </w:pPr>
            <w:r>
              <w:t xml:space="preserve">15,980,350 </w:t>
            </w:r>
          </w:p>
        </w:tc>
        <w:tc>
          <w:tcPr>
            <w:tcW w:w="995"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2" w:firstLine="0"/>
              <w:jc w:val="center"/>
            </w:pPr>
            <w:r>
              <w:t xml:space="preserve">41 </w:t>
            </w:r>
          </w:p>
        </w:tc>
        <w:tc>
          <w:tcPr>
            <w:tcW w:w="1367"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4" w:firstLine="0"/>
              <w:jc w:val="center"/>
            </w:pPr>
            <w:r>
              <w:t xml:space="preserve">5 </w:t>
            </w:r>
          </w:p>
        </w:tc>
        <w:tc>
          <w:tcPr>
            <w:tcW w:w="68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firstLine="0"/>
            </w:pPr>
            <w:r>
              <w:t xml:space="preserve">0,295 </w:t>
            </w:r>
          </w:p>
        </w:tc>
        <w:tc>
          <w:tcPr>
            <w:tcW w:w="1554"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63" w:firstLine="0"/>
              <w:jc w:val="center"/>
            </w:pPr>
            <w:r>
              <w:t xml:space="preserve">95.05%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Malta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1,253,340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24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3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0,521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r w:rsidR="00BB52D7">
        <w:trPr>
          <w:trHeight w:val="336"/>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Greece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2,704,540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97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4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0,388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Lithuania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153,500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14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3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0,591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Sweden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203,603,810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502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3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0,474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r w:rsidR="00BB52D7">
        <w:trPr>
          <w:trHeight w:val="335"/>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Estonia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320,630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19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1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0" w:firstLine="0"/>
              <w:jc w:val="center"/>
            </w:pPr>
            <w:r>
              <w:t xml:space="preserve">1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r w:rsidR="00BB52D7">
        <w:trPr>
          <w:trHeight w:val="334"/>
        </w:trPr>
        <w:tc>
          <w:tcPr>
            <w:tcW w:w="137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center"/>
            </w:pPr>
            <w:r>
              <w:t xml:space="preserve">Latvia </w:t>
            </w:r>
          </w:p>
        </w:tc>
        <w:tc>
          <w:tcPr>
            <w:tcW w:w="1519"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1" w:firstLine="0"/>
              <w:jc w:val="right"/>
            </w:pPr>
            <w:r>
              <w:t xml:space="preserve">44,430 </w:t>
            </w:r>
          </w:p>
        </w:tc>
        <w:tc>
          <w:tcPr>
            <w:tcW w:w="995"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2" w:firstLine="0"/>
              <w:jc w:val="center"/>
            </w:pPr>
            <w:r>
              <w:t xml:space="preserve">15 </w:t>
            </w:r>
          </w:p>
        </w:tc>
        <w:tc>
          <w:tcPr>
            <w:tcW w:w="1367"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4" w:firstLine="0"/>
              <w:jc w:val="center"/>
            </w:pPr>
            <w:r>
              <w:t xml:space="preserve">2 </w:t>
            </w:r>
          </w:p>
        </w:tc>
        <w:tc>
          <w:tcPr>
            <w:tcW w:w="6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firstLine="0"/>
            </w:pPr>
            <w:r>
              <w:t xml:space="preserve">0,862 </w:t>
            </w:r>
          </w:p>
        </w:tc>
        <w:tc>
          <w:tcPr>
            <w:tcW w:w="1554"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63" w:firstLine="0"/>
              <w:jc w:val="center"/>
            </w:pPr>
            <w:r>
              <w:t xml:space="preserve">100.00% </w:t>
            </w:r>
          </w:p>
        </w:tc>
      </w:tr>
    </w:tbl>
    <w:p w:rsidR="00BB52D7" w:rsidRDefault="00E33AE6">
      <w:pPr>
        <w:spacing w:after="211" w:line="264" w:lineRule="auto"/>
        <w:ind w:left="846" w:right="9"/>
        <w:jc w:val="left"/>
      </w:pPr>
      <w:r>
        <w:rPr>
          <w:i/>
          <w:sz w:val="20"/>
        </w:rPr>
        <w:t>Source: Morningstar, Commission own calculation as of December 2014</w:t>
      </w:r>
      <w:r>
        <w:t xml:space="preserve"> </w:t>
      </w:r>
    </w:p>
    <w:p w:rsidR="00BB52D7" w:rsidRDefault="00E33AE6">
      <w:pPr>
        <w:ind w:left="846" w:right="843"/>
      </w:pPr>
      <w:r>
        <w:t>It results from the above that, in terms of concentration measured according to the HHI index</w:t>
      </w:r>
      <w:r>
        <w:rPr>
          <w:vertAlign w:val="superscript"/>
        </w:rPr>
        <w:footnoteReference w:id="84"/>
      </w:r>
      <w:r>
        <w:t xml:space="preserve">, the depositary market in EU Member States is relatively concentrated, with the top 4 depositaries accounting for more than 50% in all Member States. In several Member States the top 4 depositaries serve the whole market.  </w:t>
      </w:r>
    </w:p>
    <w:p w:rsidR="00BB52D7" w:rsidRDefault="00E33AE6">
      <w:pPr>
        <w:ind w:left="846" w:right="843"/>
      </w:pPr>
      <w:r>
        <w:t>Moreover, the top four deposita</w:t>
      </w:r>
      <w:r>
        <w:t>ries in the major fund domiciles usually comprise the same providers (J.P. Morgan, State Street Bank, Bank of New York Mellon, CACEIS Bank). The predominance of the same providers in all major markets, as well as their global coverage, is an indicator that</w:t>
      </w:r>
      <w:r>
        <w:t xml:space="preserve"> economies of scale that result from a network of custody spanning several national markets. In addition, the predominance of these four players can be explained by the entry barriers that characterise custody services: strict liability for the loss of fin</w:t>
      </w:r>
      <w:r>
        <w:t>ancial instruments, capital requirements and the need to establish electronic custody networks. The ECB, in its occasional paper No 68 of August 2007</w:t>
      </w:r>
      <w:r>
        <w:rPr>
          <w:vertAlign w:val="superscript"/>
        </w:rPr>
        <w:footnoteReference w:id="85"/>
      </w:r>
      <w:r>
        <w:t xml:space="preserve"> describes the need to perpetually update custodial infrastructure in the following terms:  </w:t>
      </w:r>
    </w:p>
    <w:p w:rsidR="00BB52D7" w:rsidRDefault="00E33AE6">
      <w:pPr>
        <w:spacing w:after="0" w:line="238" w:lineRule="auto"/>
        <w:ind w:left="851" w:right="850" w:firstLine="0"/>
      </w:pPr>
      <w:r>
        <w:rPr>
          <w:color w:val="231F20"/>
        </w:rPr>
        <w:t>"Custodian ba</w:t>
      </w:r>
      <w:r>
        <w:rPr>
          <w:color w:val="231F20"/>
        </w:rPr>
        <w:t>nks must continuously adapt their technology because market practice, industry standards, legal requirements, fiscal processes and infrastructures’ procedures and technology are constantly changing. Once the technology investment has been made for a capabi</w:t>
      </w:r>
      <w:r>
        <w:rPr>
          <w:color w:val="231F20"/>
        </w:rPr>
        <w:t xml:space="preserve">lity, processing additional volumes usually adds limited marginal costs. High fixed costs mean that custodian banks require economies of scale to be profitable". </w:t>
      </w:r>
    </w:p>
    <w:p w:rsidR="00BB52D7" w:rsidRDefault="00E33AE6">
      <w:pPr>
        <w:spacing w:after="0" w:line="259" w:lineRule="auto"/>
        <w:ind w:left="851" w:firstLine="0"/>
        <w:jc w:val="left"/>
      </w:pPr>
      <w:r>
        <w:t xml:space="preserve"> </w:t>
      </w:r>
    </w:p>
    <w:p w:rsidR="00BB52D7" w:rsidRDefault="00E33AE6">
      <w:pPr>
        <w:spacing w:after="0"/>
        <w:ind w:left="846" w:right="843"/>
      </w:pPr>
      <w:r>
        <w:t>To remain viable and competitive, depositaries require economies of scale. It is highly lik</w:t>
      </w:r>
      <w:r>
        <w:t>ely that a small or medium sized depositary (bank or non-bank depositary) that relies on an asset manager that operates within the same group to achieve the requisite economies of scale could not survive in the marketplace for custody without the economies</w:t>
      </w:r>
      <w:r>
        <w:t xml:space="preserve"> of scale that the often large percentage of "group" assets provide (cf. table 4 below).  </w:t>
      </w:r>
    </w:p>
    <w:p w:rsidR="00BB52D7" w:rsidRDefault="00E33AE6">
      <w:pPr>
        <w:spacing w:after="0" w:line="259" w:lineRule="auto"/>
        <w:ind w:left="851" w:firstLine="0"/>
        <w:jc w:val="left"/>
      </w:pPr>
      <w:r>
        <w:t xml:space="preserve"> </w:t>
      </w:r>
    </w:p>
    <w:p w:rsidR="00BB52D7" w:rsidRDefault="00E33AE6">
      <w:pPr>
        <w:ind w:left="846" w:right="843"/>
      </w:pPr>
      <w:r>
        <w:t>Another feature of the depositary market is its long-term trend towards concentration. Already the 2007 ECB Occasional Paper identified this trend towards consolid</w:t>
      </w:r>
      <w:r>
        <w:t xml:space="preserve">ation which is characterised by two drivers: (1) almost no new entrants to the custody business within the </w:t>
      </w:r>
      <w:r>
        <w:lastRenderedPageBreak/>
        <w:t>decade preceding 2007 and (2) the exit of a number of single-market and global custodian banks from the provision of depositary and/or custody servic</w:t>
      </w:r>
      <w:r>
        <w:t xml:space="preserve">es. As the ECB states in its occasional paper:  </w:t>
      </w:r>
    </w:p>
    <w:p w:rsidR="00BB52D7" w:rsidRDefault="00E33AE6">
      <w:pPr>
        <w:ind w:left="846" w:right="843"/>
      </w:pPr>
      <w:r>
        <w:t>"This trend is expected to continue worldwide; custodian banks with insufficient scale economies will find it increasingly difficult to compete. Global custodians compete in a concentrated market segment. In</w:t>
      </w:r>
      <w:r>
        <w:t xml:space="preserve"> 2005 the top 10 global custodians held 77% of the securities in this market segment, reflecting consolidation which started in the 1990s and is expected to continue. The recently announced merger between Bank of New York Mellon is an illustration of the h</w:t>
      </w:r>
      <w:r>
        <w:t>igh level of concentration in the US market, which is dominated by four players. In 2005, half of the securities held at global custodians were with US providers, reflecting mostly the size of their home market but also their increasing market share in the</w:t>
      </w:r>
      <w:r>
        <w:t xml:space="preserve"> rest of the world. The largest European global custodian is ranked in fifth place. Consolidation of the global custody industry in Europe, encouraged by conditions created after the introduction of the euro and the single passport for financial services, </w:t>
      </w:r>
      <w:r>
        <w:t xml:space="preserve">and by competitive pressure from US providers, is expected to continue." </w:t>
      </w:r>
    </w:p>
    <w:p w:rsidR="00BB52D7" w:rsidRDefault="00E33AE6">
      <w:pPr>
        <w:spacing w:after="251"/>
        <w:ind w:left="846" w:right="843"/>
      </w:pPr>
      <w:r>
        <w:t>The accuracy of the ECB prognosis is borne out by developments in the different Member States. For example, the developments in Germany between 2000 and 2013 brought a wave of consol</w:t>
      </w:r>
      <w:r>
        <w:t xml:space="preserve">idation in the depositary sector: </w:t>
      </w:r>
    </w:p>
    <w:p w:rsidR="00BB52D7" w:rsidRDefault="00E33AE6">
      <w:pPr>
        <w:numPr>
          <w:ilvl w:val="0"/>
          <w:numId w:val="19"/>
        </w:numPr>
        <w:spacing w:after="205"/>
        <w:ind w:right="843" w:hanging="360"/>
      </w:pPr>
      <w:r>
        <w:t xml:space="preserve">2002: State Street takes control of Deutsche Bank's custody activities </w:t>
      </w:r>
    </w:p>
    <w:p w:rsidR="00BB52D7" w:rsidRDefault="00E33AE6">
      <w:pPr>
        <w:numPr>
          <w:ilvl w:val="0"/>
          <w:numId w:val="19"/>
        </w:numPr>
        <w:spacing w:after="203"/>
        <w:ind w:right="843" w:hanging="360"/>
      </w:pPr>
      <w:r>
        <w:t xml:space="preserve">2002: BNY takes control of BHF Bank and WestLB's custody branches </w:t>
      </w:r>
    </w:p>
    <w:p w:rsidR="00BB52D7" w:rsidRDefault="00E33AE6">
      <w:pPr>
        <w:numPr>
          <w:ilvl w:val="0"/>
          <w:numId w:val="19"/>
        </w:numPr>
        <w:spacing w:after="203"/>
        <w:ind w:right="843" w:hanging="360"/>
      </w:pPr>
      <w:r>
        <w:t xml:space="preserve">2007: CACEIS takes control of the custody operations of HypoVereinsBank (HVB) </w:t>
      </w:r>
    </w:p>
    <w:p w:rsidR="00BB52D7" w:rsidRDefault="00E33AE6">
      <w:pPr>
        <w:numPr>
          <w:ilvl w:val="0"/>
          <w:numId w:val="19"/>
        </w:numPr>
        <w:spacing w:after="204"/>
        <w:ind w:right="843" w:hanging="360"/>
      </w:pPr>
      <w:r>
        <w:t>201</w:t>
      </w:r>
      <w:r>
        <w:t xml:space="preserve">3-14: BayernLB and NordLB are expected to divest their custody operations </w:t>
      </w:r>
    </w:p>
    <w:p w:rsidR="00BB52D7" w:rsidRDefault="00E33AE6">
      <w:pPr>
        <w:numPr>
          <w:ilvl w:val="0"/>
          <w:numId w:val="19"/>
        </w:numPr>
        <w:spacing w:after="266"/>
        <w:ind w:right="843" w:hanging="360"/>
      </w:pPr>
      <w:r>
        <w:t>2013: Commerzbank announces the sale of its custody operations to BNP Paribas Securities Services</w:t>
      </w:r>
      <w:r>
        <w:rPr>
          <w:vertAlign w:val="superscript"/>
        </w:rPr>
        <w:footnoteReference w:id="86"/>
      </w:r>
      <w:r>
        <w:t xml:space="preserve">  </w:t>
      </w:r>
    </w:p>
    <w:p w:rsidR="00BB52D7" w:rsidRDefault="00E33AE6">
      <w:pPr>
        <w:ind w:left="846" w:right="843"/>
      </w:pPr>
      <w:r>
        <w:t>As a result the top 4 custody providers in Germany (State Street, BNP Paribas Securities Services, DZ Bank and Deka Bank) control over 73% of the assets held in custody in that jurisdiction, a concentration level comparable to the US market described by th</w:t>
      </w:r>
      <w:r>
        <w:t xml:space="preserve">e ECB Occasional Paper. </w:t>
      </w:r>
    </w:p>
    <w:p w:rsidR="00BB52D7" w:rsidRDefault="00E33AE6">
      <w:pPr>
        <w:ind w:left="846" w:right="843"/>
      </w:pPr>
      <w:r>
        <w:t xml:space="preserve">Luxembourg appears the only national market where the top four providers do not yet control 60% of the assets, but even in Luxembourg their consolidated market share is 56.84%. </w:t>
      </w:r>
    </w:p>
    <w:p w:rsidR="00BB52D7" w:rsidRDefault="00E33AE6">
      <w:pPr>
        <w:ind w:left="846" w:right="843"/>
      </w:pPr>
      <w:r>
        <w:t xml:space="preserve">As a general rule, the tables above also reveal that </w:t>
      </w:r>
      <w:r>
        <w:t xml:space="preserve">the Member States with the highest number of AuM tend to display lower levels of concentration in their depositary markets. One exception to this is France, the fourth largest market in terms of assets hold in custody. Despite its large amount AuM, France </w:t>
      </w:r>
      <w:r>
        <w:t xml:space="preserve">ranks among the highly concentrated depositary markets. The overall trend across Europe is toward an increase in concentration.   </w:t>
      </w:r>
    </w:p>
    <w:p w:rsidR="00BB52D7" w:rsidRDefault="00E33AE6">
      <w:pPr>
        <w:ind w:left="846" w:right="843"/>
      </w:pPr>
      <w:r>
        <w:t xml:space="preserve">These is reflecting in the Table 3, that shows that in average top 4 concentration is relatively high in Europe. </w:t>
      </w:r>
    </w:p>
    <w:p w:rsidR="00BB52D7" w:rsidRDefault="00E33AE6">
      <w:pPr>
        <w:pStyle w:val="Heading6"/>
        <w:ind w:left="846" w:right="488"/>
      </w:pPr>
      <w:r>
        <w:lastRenderedPageBreak/>
        <w:t>Table 3 - A</w:t>
      </w:r>
      <w:r>
        <w:t>verage HHI and Average top 4 concentration ratio for all national depositary</w:t>
      </w:r>
      <w:r>
        <w:rPr>
          <w:u w:val="none"/>
        </w:rPr>
        <w:t xml:space="preserve"> </w:t>
      </w:r>
      <w:r>
        <w:t>markets in the Union</w:t>
      </w:r>
      <w:r>
        <w:rPr>
          <w:u w:val="none"/>
        </w:rPr>
        <w:t xml:space="preserve"> </w:t>
      </w:r>
    </w:p>
    <w:tbl>
      <w:tblPr>
        <w:tblStyle w:val="TableGrid"/>
        <w:tblW w:w="9176" w:type="dxa"/>
        <w:tblInd w:w="852" w:type="dxa"/>
        <w:tblCellMar>
          <w:top w:w="13" w:type="dxa"/>
          <w:left w:w="115" w:type="dxa"/>
          <w:bottom w:w="0" w:type="dxa"/>
          <w:right w:w="115" w:type="dxa"/>
        </w:tblCellMar>
        <w:tblLook w:val="04A0" w:firstRow="1" w:lastRow="0" w:firstColumn="1" w:lastColumn="0" w:noHBand="0" w:noVBand="1"/>
      </w:tblPr>
      <w:tblGrid>
        <w:gridCol w:w="2985"/>
        <w:gridCol w:w="2967"/>
        <w:gridCol w:w="3224"/>
      </w:tblGrid>
      <w:tr w:rsidR="00BB52D7">
        <w:trPr>
          <w:trHeight w:val="799"/>
        </w:trPr>
        <w:tc>
          <w:tcPr>
            <w:tcW w:w="2985"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59" w:firstLine="0"/>
              <w:jc w:val="center"/>
            </w:pPr>
            <w:r>
              <w:rPr>
                <w:b/>
              </w:rPr>
              <w:t xml:space="preserve"> </w:t>
            </w:r>
          </w:p>
        </w:tc>
        <w:tc>
          <w:tcPr>
            <w:tcW w:w="2967"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2" w:firstLine="0"/>
              <w:jc w:val="center"/>
            </w:pPr>
            <w:r>
              <w:rPr>
                <w:b/>
              </w:rPr>
              <w:t xml:space="preserve">Average HHI </w:t>
            </w:r>
          </w:p>
        </w:tc>
        <w:tc>
          <w:tcPr>
            <w:tcW w:w="3224" w:type="dxa"/>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0" w:firstLine="0"/>
              <w:jc w:val="center"/>
            </w:pPr>
            <w:r>
              <w:rPr>
                <w:b/>
              </w:rPr>
              <w:t xml:space="preserve">Average top 4 per country concentration ratio  </w:t>
            </w:r>
          </w:p>
        </w:tc>
      </w:tr>
      <w:tr w:rsidR="00BB52D7">
        <w:trPr>
          <w:trHeight w:val="527"/>
        </w:trPr>
        <w:tc>
          <w:tcPr>
            <w:tcW w:w="2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 w:firstLine="0"/>
              <w:jc w:val="center"/>
            </w:pPr>
            <w:r>
              <w:t xml:space="preserve">Non weighted </w:t>
            </w:r>
          </w:p>
        </w:tc>
        <w:tc>
          <w:tcPr>
            <w:tcW w:w="296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0,334 </w:t>
            </w:r>
          </w:p>
        </w:tc>
        <w:tc>
          <w:tcPr>
            <w:tcW w:w="322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 w:firstLine="0"/>
              <w:jc w:val="center"/>
            </w:pPr>
            <w:r>
              <w:t xml:space="preserve">85.29% </w:t>
            </w:r>
          </w:p>
        </w:tc>
      </w:tr>
      <w:tr w:rsidR="00BB52D7">
        <w:trPr>
          <w:trHeight w:val="803"/>
        </w:trPr>
        <w:tc>
          <w:tcPr>
            <w:tcW w:w="298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Weighted according to the AuM per country </w:t>
            </w:r>
          </w:p>
        </w:tc>
        <w:tc>
          <w:tcPr>
            <w:tcW w:w="296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0,1715 </w:t>
            </w:r>
          </w:p>
        </w:tc>
        <w:tc>
          <w:tcPr>
            <w:tcW w:w="322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 w:firstLine="0"/>
              <w:jc w:val="center"/>
            </w:pPr>
            <w:r>
              <w:t xml:space="preserve">69.75%  </w:t>
            </w:r>
          </w:p>
        </w:tc>
      </w:tr>
    </w:tbl>
    <w:p w:rsidR="00BB52D7" w:rsidRDefault="00E33AE6">
      <w:pPr>
        <w:spacing w:after="218" w:line="264" w:lineRule="auto"/>
        <w:ind w:left="846" w:right="9"/>
        <w:jc w:val="left"/>
      </w:pPr>
      <w:r>
        <w:rPr>
          <w:i/>
          <w:sz w:val="20"/>
        </w:rPr>
        <w:t>Source: Commission own calculations as of December 2014</w:t>
      </w:r>
      <w:r>
        <w:rPr>
          <w:i/>
        </w:rPr>
        <w:t xml:space="preserve">. </w:t>
      </w:r>
    </w:p>
    <w:p w:rsidR="00BB52D7" w:rsidRDefault="00E33AE6">
      <w:pPr>
        <w:ind w:left="846" w:right="843"/>
      </w:pPr>
      <w:r>
        <w:t>The difference between the two average measures is explained by the weight of Luxembourg which has the highest number of AuM as well as the lowest degree of concentration. However both figures indic</w:t>
      </w:r>
      <w:r>
        <w:t xml:space="preserve">ate that the European market as a whole is fairly concentrated. </w:t>
      </w:r>
    </w:p>
    <w:p w:rsidR="00BB52D7" w:rsidRDefault="00E33AE6">
      <w:pPr>
        <w:pStyle w:val="Heading6"/>
        <w:ind w:left="846" w:right="488"/>
      </w:pPr>
      <w:r>
        <w:t>Table 4 - List of largest UCITS custodians and Country coverage by custodian (as of</w:t>
      </w:r>
      <w:r>
        <w:rPr>
          <w:u w:val="none"/>
        </w:rPr>
        <w:t xml:space="preserve"> </w:t>
      </w:r>
      <w:r>
        <w:t>December 2014)</w:t>
      </w:r>
      <w:r>
        <w:rPr>
          <w:u w:val="none"/>
        </w:rPr>
        <w:t xml:space="preserve"> </w:t>
      </w:r>
    </w:p>
    <w:p w:rsidR="00BB52D7" w:rsidRDefault="00E33AE6">
      <w:pPr>
        <w:spacing w:after="0" w:line="259" w:lineRule="auto"/>
        <w:ind w:left="851" w:firstLine="0"/>
        <w:jc w:val="left"/>
      </w:pPr>
      <w:r>
        <w:rPr>
          <w:b/>
        </w:rPr>
        <w:t xml:space="preserve"> </w:t>
      </w:r>
    </w:p>
    <w:tbl>
      <w:tblPr>
        <w:tblStyle w:val="TableGrid"/>
        <w:tblW w:w="8504" w:type="dxa"/>
        <w:tblInd w:w="852" w:type="dxa"/>
        <w:tblCellMar>
          <w:top w:w="12" w:type="dxa"/>
          <w:left w:w="115" w:type="dxa"/>
          <w:bottom w:w="0" w:type="dxa"/>
          <w:right w:w="0" w:type="dxa"/>
        </w:tblCellMar>
        <w:tblLook w:val="04A0" w:firstRow="1" w:lastRow="0" w:firstColumn="1" w:lastColumn="0" w:noHBand="0" w:noVBand="1"/>
      </w:tblPr>
      <w:tblGrid>
        <w:gridCol w:w="992"/>
        <w:gridCol w:w="3402"/>
        <w:gridCol w:w="1842"/>
        <w:gridCol w:w="1277"/>
        <w:gridCol w:w="991"/>
      </w:tblGrid>
      <w:tr w:rsidR="00BB52D7">
        <w:trPr>
          <w:trHeight w:val="1112"/>
        </w:trPr>
        <w:tc>
          <w:tcPr>
            <w:tcW w:w="9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B52D7" w:rsidRDefault="00E33AE6">
            <w:pPr>
              <w:spacing w:after="0" w:line="259" w:lineRule="auto"/>
              <w:ind w:left="0" w:right="56" w:firstLine="0"/>
              <w:jc w:val="center"/>
            </w:pPr>
            <w:r>
              <w:rPr>
                <w:b/>
              </w:rPr>
              <w:t xml:space="preserve">Rankin g </w:t>
            </w:r>
          </w:p>
        </w:tc>
        <w:tc>
          <w:tcPr>
            <w:tcW w:w="340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B52D7" w:rsidRDefault="00E33AE6">
            <w:pPr>
              <w:spacing w:after="0" w:line="259" w:lineRule="auto"/>
              <w:ind w:left="0" w:right="117" w:firstLine="0"/>
              <w:jc w:val="center"/>
            </w:pPr>
            <w:r>
              <w:rPr>
                <w:b/>
              </w:rPr>
              <w:t xml:space="preserve">Custodian </w:t>
            </w:r>
          </w:p>
        </w:tc>
        <w:tc>
          <w:tcPr>
            <w:tcW w:w="184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B52D7" w:rsidRDefault="00E33AE6">
            <w:pPr>
              <w:spacing w:after="0" w:line="259" w:lineRule="auto"/>
              <w:ind w:left="0" w:right="115" w:firstLine="0"/>
              <w:jc w:val="center"/>
            </w:pPr>
            <w:r>
              <w:rPr>
                <w:b/>
              </w:rPr>
              <w:t xml:space="preserve">AuM in €bn  </w:t>
            </w:r>
          </w:p>
        </w:tc>
        <w:tc>
          <w:tcPr>
            <w:tcW w:w="127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B52D7" w:rsidRDefault="00E33AE6">
            <w:pPr>
              <w:spacing w:after="0" w:line="259" w:lineRule="auto"/>
              <w:ind w:left="0" w:firstLine="0"/>
              <w:jc w:val="center"/>
            </w:pPr>
            <w:r>
              <w:rPr>
                <w:b/>
              </w:rPr>
              <w:t xml:space="preserve">Market share </w:t>
            </w:r>
          </w:p>
        </w:tc>
        <w:tc>
          <w:tcPr>
            <w:tcW w:w="991"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38" w:lineRule="auto"/>
              <w:ind w:left="0" w:right="64" w:firstLine="0"/>
              <w:jc w:val="center"/>
            </w:pPr>
            <w:r>
              <w:rPr>
                <w:b/>
              </w:rPr>
              <w:t xml:space="preserve">Countr y </w:t>
            </w:r>
          </w:p>
          <w:p w:rsidR="00BB52D7" w:rsidRDefault="00E33AE6">
            <w:pPr>
              <w:spacing w:after="0" w:line="259" w:lineRule="auto"/>
              <w:ind w:left="0" w:right="42" w:firstLine="0"/>
              <w:jc w:val="center"/>
            </w:pPr>
            <w:r>
              <w:rPr>
                <w:b/>
              </w:rPr>
              <w:t xml:space="preserve">covera ge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rPr>
                <w:b/>
              </w:rPr>
              <w:t xml:space="preserve">1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rPr>
                <w:b/>
              </w:rPr>
              <w:t xml:space="preserve">State Street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rPr>
                <w:b/>
              </w:rPr>
              <w:t xml:space="preserve">959,361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16.01%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8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rPr>
                <w:b/>
              </w:rPr>
              <w:t xml:space="preserve">2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JPM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rPr>
                <w:b/>
              </w:rPr>
              <w:t xml:space="preserve">794,321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13.26%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7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rPr>
                <w:b/>
              </w:rPr>
              <w:t xml:space="preserve">3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Bank of New York Mellon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rPr>
                <w:b/>
              </w:rPr>
              <w:t xml:space="preserve">620,228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10.35%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5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rPr>
                <w:b/>
              </w:rPr>
              <w:t xml:space="preserve">4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8" w:firstLine="0"/>
              <w:jc w:val="center"/>
            </w:pPr>
            <w:r>
              <w:rPr>
                <w:b/>
              </w:rPr>
              <w:t xml:space="preserve">CACEIS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rPr>
                <w:b/>
              </w:rPr>
              <w:t xml:space="preserve">408,888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6.83%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rPr>
                <w:b/>
              </w:rPr>
              <w:t xml:space="preserve">4 </w:t>
            </w:r>
          </w:p>
        </w:tc>
      </w:tr>
      <w:tr w:rsidR="00BB52D7">
        <w:trPr>
          <w:trHeight w:val="563"/>
        </w:trPr>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15" w:firstLine="0"/>
              <w:jc w:val="center"/>
            </w:pPr>
            <w:r>
              <w:rPr>
                <w:b/>
              </w:rPr>
              <w:t xml:space="preserve">5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9" w:firstLine="0"/>
              <w:jc w:val="center"/>
            </w:pPr>
            <w:r>
              <w:rPr>
                <w:b/>
              </w:rPr>
              <w:t xml:space="preserve">BNP Paribas Securities Services </w:t>
            </w:r>
          </w:p>
        </w:tc>
        <w:tc>
          <w:tcPr>
            <w:tcW w:w="184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08" w:firstLine="0"/>
              <w:jc w:val="right"/>
            </w:pPr>
            <w:r>
              <w:rPr>
                <w:b/>
              </w:rPr>
              <w:t xml:space="preserve">405,431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16" w:firstLine="0"/>
              <w:jc w:val="center"/>
            </w:pPr>
            <w:r>
              <w:rPr>
                <w:b/>
              </w:rPr>
              <w:t xml:space="preserve">6.77% </w:t>
            </w:r>
          </w:p>
        </w:tc>
        <w:tc>
          <w:tcPr>
            <w:tcW w:w="99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16" w:firstLine="0"/>
              <w:jc w:val="center"/>
            </w:pPr>
            <w:r>
              <w:rPr>
                <w:b/>
              </w:rPr>
              <w:t xml:space="preserve">9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6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BBH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340,189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5.68%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3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7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8" w:firstLine="0"/>
              <w:jc w:val="center"/>
            </w:pPr>
            <w:r>
              <w:t xml:space="preserve">RBC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223,485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3.73%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6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8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Societe Generale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198,674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3.32%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6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9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Citi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195,357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3.26%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3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10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Northern Trust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164,458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2.75%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3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11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National Westminster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138,615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2.31%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2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12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HSBC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130,760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2.18%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5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13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DZ Bank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109,540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1.83%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2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14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UBS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93,792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1.57%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4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15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SEB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69,219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1.16%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8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16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Nordea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59,376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0.99%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3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17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DekaBank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58,842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0.98%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2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18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Pictet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54,152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0.90%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1 </w:t>
            </w:r>
          </w:p>
        </w:tc>
      </w:tr>
      <w:tr w:rsidR="00BB52D7">
        <w:trPr>
          <w:trHeight w:val="562"/>
        </w:trPr>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15" w:firstLine="0"/>
              <w:jc w:val="center"/>
            </w:pPr>
            <w:r>
              <w:t xml:space="preserve">19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Banque Fédérative du Crédit Mutuel </w:t>
            </w:r>
          </w:p>
        </w:tc>
        <w:tc>
          <w:tcPr>
            <w:tcW w:w="184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08" w:firstLine="0"/>
              <w:jc w:val="right"/>
            </w:pPr>
            <w:r>
              <w:t xml:space="preserve">43,198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17" w:firstLine="0"/>
              <w:jc w:val="center"/>
            </w:pPr>
            <w:r>
              <w:t xml:space="preserve">0.72% </w:t>
            </w:r>
          </w:p>
        </w:tc>
        <w:tc>
          <w:tcPr>
            <w:tcW w:w="99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16"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20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Fideuram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37,682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0.63%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5" w:firstLine="0"/>
              <w:jc w:val="center"/>
            </w:pPr>
            <w:r>
              <w:t xml:space="preserve">21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Santander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34,059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7" w:firstLine="0"/>
              <w:jc w:val="center"/>
            </w:pPr>
            <w:r>
              <w:t xml:space="preserve">0.57%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6"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22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9" w:firstLine="0"/>
              <w:jc w:val="center"/>
            </w:pPr>
            <w:r>
              <w:t xml:space="preserve">Credit Suisse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32,906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0.55%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3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lastRenderedPageBreak/>
              <w:t xml:space="preserve">23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Cecabank S.A.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30,040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0.50%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24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9" w:firstLine="0"/>
              <w:jc w:val="center"/>
            </w:pPr>
            <w:r>
              <w:t xml:space="preserve">Svenska Handelsbanken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28,266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0.47%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2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25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Raiffeisen Bank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22,359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0.37%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26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Danske Andelskassers Bank AS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20,677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0.35%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27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Banque de Luxembourg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19,480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0.33%</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562"/>
        </w:trPr>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58" w:firstLine="0"/>
              <w:jc w:val="center"/>
            </w:pPr>
            <w:r>
              <w:t xml:space="preserve">28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Banca Popolare Italiana Soc. Coop. </w:t>
            </w:r>
          </w:p>
        </w:tc>
        <w:tc>
          <w:tcPr>
            <w:tcW w:w="184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08" w:firstLine="0"/>
              <w:jc w:val="right"/>
            </w:pPr>
            <w:r>
              <w:t xml:space="preserve">17,227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0.29% </w:t>
            </w:r>
          </w:p>
        </w:tc>
        <w:tc>
          <w:tcPr>
            <w:tcW w:w="99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29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Erste Group Bank AG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15,882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0.27%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30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40" w:firstLine="0"/>
              <w:jc w:val="left"/>
            </w:pPr>
            <w:r>
              <w:t xml:space="preserve">Banco Depositario BBVA S.A.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15,689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0.26%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31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CM-CIC Securities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14,754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0.25%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32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Banque Degroof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13,221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0.22%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33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1" w:firstLine="0"/>
              <w:jc w:val="center"/>
            </w:pPr>
            <w:r>
              <w:t xml:space="preserve">KBL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12,977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0.22%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34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6" w:firstLine="0"/>
              <w:jc w:val="left"/>
            </w:pPr>
            <w:r>
              <w:t xml:space="preserve">Edmond de Rothschild (France)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12,412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0.21%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562"/>
        </w:trPr>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58" w:firstLine="0"/>
              <w:jc w:val="center"/>
            </w:pPr>
            <w:r>
              <w:t xml:space="preserve">35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Banque et Caisse d´Epargne de l´Etat </w:t>
            </w:r>
          </w:p>
        </w:tc>
        <w:tc>
          <w:tcPr>
            <w:tcW w:w="184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08" w:firstLine="0"/>
              <w:jc w:val="right"/>
            </w:pPr>
            <w:r>
              <w:t xml:space="preserve">11,000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0.18% </w:t>
            </w:r>
          </w:p>
        </w:tc>
        <w:tc>
          <w:tcPr>
            <w:tcW w:w="99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36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KBC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10,950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0.18%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562"/>
        </w:trPr>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58" w:firstLine="0"/>
              <w:jc w:val="center"/>
            </w:pPr>
            <w:r>
              <w:t xml:space="preserve">37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BANCA POP DELL'EMILIA ROMAGNA Soc. Coop. </w:t>
            </w:r>
          </w:p>
        </w:tc>
        <w:tc>
          <w:tcPr>
            <w:tcW w:w="184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08" w:firstLine="0"/>
              <w:jc w:val="right"/>
            </w:pPr>
            <w:r>
              <w:t xml:space="preserve">10,816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0.18% </w:t>
            </w:r>
          </w:p>
        </w:tc>
        <w:tc>
          <w:tcPr>
            <w:tcW w:w="99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38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Oddo &amp; Cie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9,956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0.17%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563"/>
        </w:trPr>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58" w:firstLine="0"/>
              <w:jc w:val="center"/>
            </w:pPr>
            <w:r>
              <w:t xml:space="preserve">39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t xml:space="preserve">Banque Privée Edmond de Rothschild </w:t>
            </w:r>
          </w:p>
        </w:tc>
        <w:tc>
          <w:tcPr>
            <w:tcW w:w="184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08" w:firstLine="0"/>
              <w:jc w:val="right"/>
            </w:pPr>
            <w:r>
              <w:t xml:space="preserve">9,667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0.16% </w:t>
            </w:r>
          </w:p>
        </w:tc>
        <w:tc>
          <w:tcPr>
            <w:tcW w:w="99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40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Bankinter S.A.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7,796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0.13%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41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9" w:firstLine="0"/>
              <w:jc w:val="center"/>
            </w:pPr>
            <w:r>
              <w:t xml:space="preserve">Union Bancaire Privée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7,560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0.13%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42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1" w:firstLine="0"/>
              <w:jc w:val="center"/>
            </w:pPr>
            <w:r>
              <w:t xml:space="preserve">Lazard Frères Banque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7,447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43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Hauck &amp; Aufhäuser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7,439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3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44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1" w:firstLine="0"/>
              <w:jc w:val="center"/>
            </w:pPr>
            <w:r>
              <w:t xml:space="preserve">UniCredit Bank Austria AG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7,047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45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Sal. Oppenheim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6,974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2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46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1" w:firstLine="0"/>
              <w:jc w:val="center"/>
            </w:pPr>
            <w:r>
              <w:t xml:space="preserve">KAS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6,920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0.12%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2 </w:t>
            </w:r>
          </w:p>
        </w:tc>
      </w:tr>
      <w:tr w:rsidR="00BB52D7">
        <w:trPr>
          <w:trHeight w:val="310"/>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47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Nykredit Bank A/S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6,841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0.11%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48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M.M. Warburg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6,477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0.11%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2 </w:t>
            </w:r>
          </w:p>
        </w:tc>
      </w:tr>
      <w:tr w:rsidR="00BB52D7">
        <w:trPr>
          <w:trHeight w:val="562"/>
        </w:trPr>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58" w:firstLine="0"/>
              <w:jc w:val="center"/>
            </w:pPr>
            <w:r>
              <w:t xml:space="preserve">49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BANCA POPOLARE DI </w:t>
            </w:r>
          </w:p>
          <w:p w:rsidR="00BB52D7" w:rsidRDefault="00E33AE6">
            <w:pPr>
              <w:spacing w:after="0" w:line="259" w:lineRule="auto"/>
              <w:ind w:left="0" w:right="160" w:firstLine="0"/>
              <w:jc w:val="center"/>
            </w:pPr>
            <w:r>
              <w:t xml:space="preserve">SONDRIO s.c.p.a. </w:t>
            </w:r>
          </w:p>
        </w:tc>
        <w:tc>
          <w:tcPr>
            <w:tcW w:w="184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08" w:firstLine="0"/>
              <w:jc w:val="right"/>
            </w:pPr>
            <w:r>
              <w:t xml:space="preserve">6,153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0.10% </w:t>
            </w:r>
          </w:p>
        </w:tc>
        <w:tc>
          <w:tcPr>
            <w:tcW w:w="99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160" w:firstLine="0"/>
              <w:jc w:val="center"/>
            </w:pPr>
            <w:r>
              <w:t xml:space="preserve">1 </w:t>
            </w:r>
          </w:p>
        </w:tc>
      </w:tr>
      <w:tr w:rsidR="00BB52D7">
        <w:trPr>
          <w:trHeight w:val="311"/>
        </w:trPr>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58" w:firstLine="0"/>
              <w:jc w:val="center"/>
            </w:pPr>
            <w:r>
              <w:t xml:space="preserve">50 </w:t>
            </w:r>
          </w:p>
        </w:tc>
        <w:tc>
          <w:tcPr>
            <w:tcW w:w="340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1" w:firstLine="0"/>
              <w:jc w:val="center"/>
            </w:pPr>
            <w:r>
              <w:t xml:space="preserve">SwissLife Banque Privée </w:t>
            </w:r>
          </w:p>
        </w:tc>
        <w:tc>
          <w:tcPr>
            <w:tcW w:w="184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8" w:firstLine="0"/>
              <w:jc w:val="right"/>
            </w:pPr>
            <w:r>
              <w:t xml:space="preserve">6,013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0.10% </w:t>
            </w:r>
          </w:p>
        </w:tc>
        <w:tc>
          <w:tcPr>
            <w:tcW w:w="99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60" w:firstLine="0"/>
              <w:jc w:val="center"/>
            </w:pPr>
            <w:r>
              <w:t xml:space="preserve">1 </w:t>
            </w:r>
          </w:p>
        </w:tc>
      </w:tr>
      <w:tr w:rsidR="00BB52D7">
        <w:trPr>
          <w:trHeight w:val="308"/>
        </w:trPr>
        <w:tc>
          <w:tcPr>
            <w:tcW w:w="992"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0" w:right="98" w:firstLine="0"/>
              <w:jc w:val="center"/>
            </w:pPr>
            <w:r>
              <w:rPr>
                <w:b/>
              </w:rP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0" w:right="100" w:firstLine="0"/>
              <w:jc w:val="center"/>
            </w:pPr>
            <w:r>
              <w:rPr>
                <w:b/>
              </w:rPr>
              <w:t xml:space="preserve">  </w:t>
            </w:r>
          </w:p>
        </w:tc>
        <w:tc>
          <w:tcPr>
            <w:tcW w:w="1842"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0" w:right="108" w:firstLine="0"/>
              <w:jc w:val="right"/>
            </w:pPr>
            <w:r>
              <w:rPr>
                <w:b/>
              </w:rPr>
              <w:t xml:space="preserve">5,990,755  </w:t>
            </w:r>
          </w:p>
        </w:tc>
        <w:tc>
          <w:tcPr>
            <w:tcW w:w="1277"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0" w:right="160" w:firstLine="0"/>
              <w:jc w:val="center"/>
            </w:pPr>
            <w:r>
              <w:rPr>
                <w:b/>
              </w:rPr>
              <w:t xml:space="preserve">92.22% </w:t>
            </w:r>
          </w:p>
        </w:tc>
        <w:tc>
          <w:tcPr>
            <w:tcW w:w="991"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0" w:right="100" w:firstLine="0"/>
              <w:jc w:val="center"/>
            </w:pPr>
            <w:r>
              <w:rPr>
                <w:b/>
              </w:rPr>
              <w:t xml:space="preserve">  </w:t>
            </w:r>
          </w:p>
        </w:tc>
      </w:tr>
    </w:tbl>
    <w:p w:rsidR="00BB52D7" w:rsidRDefault="00E33AE6">
      <w:pPr>
        <w:spacing w:after="0" w:line="259" w:lineRule="auto"/>
        <w:ind w:left="851" w:firstLine="0"/>
        <w:jc w:val="left"/>
      </w:pPr>
      <w:r>
        <w:rPr>
          <w:sz w:val="20"/>
        </w:rPr>
        <w:t xml:space="preserve"> </w:t>
      </w:r>
    </w:p>
    <w:p w:rsidR="00BB52D7" w:rsidRDefault="00E33AE6">
      <w:pPr>
        <w:spacing w:after="0" w:line="264" w:lineRule="auto"/>
        <w:ind w:left="846" w:right="9"/>
        <w:jc w:val="left"/>
      </w:pPr>
      <w:r>
        <w:rPr>
          <w:i/>
          <w:sz w:val="20"/>
        </w:rPr>
        <w:t xml:space="preserve">Source: Morningstar, Commission own calculation as of December 2014. </w:t>
      </w:r>
    </w:p>
    <w:p w:rsidR="00BB52D7" w:rsidRDefault="00E33AE6">
      <w:pPr>
        <w:spacing w:after="19" w:line="259" w:lineRule="auto"/>
        <w:ind w:left="851" w:firstLine="0"/>
        <w:jc w:val="left"/>
      </w:pPr>
      <w:r>
        <w:rPr>
          <w:i/>
          <w:sz w:val="20"/>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lastRenderedPageBreak/>
        <w:t xml:space="preserve"> </w:t>
      </w:r>
    </w:p>
    <w:p w:rsidR="00BB52D7" w:rsidRDefault="00E33AE6">
      <w:pPr>
        <w:spacing w:after="0" w:line="259" w:lineRule="auto"/>
        <w:ind w:left="851" w:firstLine="0"/>
        <w:jc w:val="left"/>
      </w:pPr>
      <w:r>
        <w:rPr>
          <w:b/>
          <w:i/>
        </w:rPr>
        <w:t xml:space="preserve"> </w:t>
      </w:r>
    </w:p>
    <w:p w:rsidR="00BB52D7" w:rsidRDefault="00E33AE6">
      <w:pPr>
        <w:spacing w:after="0" w:line="259" w:lineRule="auto"/>
        <w:ind w:left="851" w:firstLine="0"/>
        <w:jc w:val="left"/>
      </w:pPr>
      <w:r>
        <w:rPr>
          <w:b/>
          <w:i/>
        </w:rPr>
        <w:t xml:space="preserve"> </w:t>
      </w:r>
    </w:p>
    <w:p w:rsidR="00BB52D7" w:rsidRDefault="00E33AE6">
      <w:pPr>
        <w:pStyle w:val="Heading6"/>
        <w:ind w:left="846" w:right="488"/>
      </w:pPr>
      <w:r>
        <w:t>Table 5 – Explanation of the difference in term of AuM</w:t>
      </w:r>
      <w:r>
        <w:rPr>
          <w:u w:val="none"/>
        </w:rPr>
        <w:t xml:space="preserve"> </w:t>
      </w:r>
    </w:p>
    <w:p w:rsidR="00BB52D7" w:rsidRDefault="00E33AE6">
      <w:pPr>
        <w:spacing w:after="0" w:line="259" w:lineRule="auto"/>
        <w:ind w:left="851" w:firstLine="0"/>
        <w:jc w:val="left"/>
      </w:pPr>
      <w:r>
        <w:rPr>
          <w:i/>
          <w:sz w:val="20"/>
        </w:rPr>
        <w:t xml:space="preserve"> </w:t>
      </w:r>
    </w:p>
    <w:tbl>
      <w:tblPr>
        <w:tblStyle w:val="TableGrid"/>
        <w:tblW w:w="7156" w:type="dxa"/>
        <w:tblInd w:w="838" w:type="dxa"/>
        <w:tblCellMar>
          <w:top w:w="56" w:type="dxa"/>
          <w:left w:w="67" w:type="dxa"/>
          <w:bottom w:w="0" w:type="dxa"/>
          <w:right w:w="12" w:type="dxa"/>
        </w:tblCellMar>
        <w:tblLook w:val="04A0" w:firstRow="1" w:lastRow="0" w:firstColumn="1" w:lastColumn="0" w:noHBand="0" w:noVBand="1"/>
      </w:tblPr>
      <w:tblGrid>
        <w:gridCol w:w="1556"/>
        <w:gridCol w:w="2100"/>
        <w:gridCol w:w="2080"/>
        <w:gridCol w:w="1420"/>
      </w:tblGrid>
      <w:tr w:rsidR="00BB52D7">
        <w:trPr>
          <w:trHeight w:val="1190"/>
        </w:trPr>
        <w:tc>
          <w:tcPr>
            <w:tcW w:w="1556"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0" w:firstLine="0"/>
              <w:jc w:val="left"/>
            </w:pPr>
            <w:r>
              <w:rPr>
                <w:rFonts w:ascii="Calibri" w:eastAsia="Calibri" w:hAnsi="Calibri" w:cs="Calibri"/>
                <w:b/>
              </w:rPr>
              <w:t xml:space="preserve">In Mio EUR </w:t>
            </w:r>
          </w:p>
        </w:tc>
        <w:tc>
          <w:tcPr>
            <w:tcW w:w="2100" w:type="dxa"/>
            <w:tcBorders>
              <w:top w:val="single" w:sz="8" w:space="0" w:color="000000"/>
              <w:left w:val="single" w:sz="8" w:space="0" w:color="000000"/>
              <w:bottom w:val="single" w:sz="8" w:space="0" w:color="000000"/>
              <w:right w:val="single" w:sz="8" w:space="0" w:color="000000"/>
            </w:tcBorders>
            <w:shd w:val="clear" w:color="auto" w:fill="BFBFBF"/>
          </w:tcPr>
          <w:p w:rsidR="00BB52D7" w:rsidRDefault="00E33AE6">
            <w:pPr>
              <w:spacing w:after="0" w:line="259" w:lineRule="auto"/>
              <w:ind w:left="23" w:firstLine="0"/>
            </w:pPr>
            <w:r>
              <w:rPr>
                <w:rFonts w:ascii="Calibri" w:eastAsia="Calibri" w:hAnsi="Calibri" w:cs="Calibri"/>
                <w:b/>
              </w:rPr>
              <w:t xml:space="preserve">Total UCITS AuM in </w:t>
            </w:r>
          </w:p>
          <w:p w:rsidR="00BB52D7" w:rsidRDefault="00E33AE6">
            <w:pPr>
              <w:spacing w:after="0" w:line="259" w:lineRule="auto"/>
              <w:ind w:left="0" w:right="54" w:firstLine="0"/>
              <w:jc w:val="center"/>
            </w:pPr>
            <w:r>
              <w:rPr>
                <w:rFonts w:ascii="Calibri" w:eastAsia="Calibri" w:hAnsi="Calibri" w:cs="Calibri"/>
                <w:b/>
              </w:rPr>
              <w:t xml:space="preserve">€ million </w:t>
            </w:r>
          </w:p>
          <w:p w:rsidR="00BB52D7" w:rsidRDefault="00E33AE6">
            <w:pPr>
              <w:spacing w:after="0" w:line="259" w:lineRule="auto"/>
              <w:ind w:left="0" w:right="53" w:firstLine="0"/>
              <w:jc w:val="center"/>
            </w:pPr>
            <w:r>
              <w:rPr>
                <w:rFonts w:ascii="Calibri" w:eastAsia="Calibri" w:hAnsi="Calibri" w:cs="Calibri"/>
                <w:b/>
              </w:rPr>
              <w:t xml:space="preserve">(Morningstar </w:t>
            </w:r>
          </w:p>
          <w:p w:rsidR="00BB52D7" w:rsidRDefault="00E33AE6">
            <w:pPr>
              <w:spacing w:after="0" w:line="259" w:lineRule="auto"/>
              <w:ind w:left="0" w:right="55" w:firstLine="0"/>
              <w:jc w:val="center"/>
            </w:pPr>
            <w:r>
              <w:rPr>
                <w:rFonts w:ascii="Calibri" w:eastAsia="Calibri" w:hAnsi="Calibri" w:cs="Calibri"/>
                <w:b/>
              </w:rPr>
              <w:t xml:space="preserve">12/2014) </w:t>
            </w:r>
          </w:p>
        </w:tc>
        <w:tc>
          <w:tcPr>
            <w:tcW w:w="2080"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14" w:firstLine="0"/>
            </w:pPr>
            <w:r>
              <w:rPr>
                <w:rFonts w:ascii="Calibri" w:eastAsia="Calibri" w:hAnsi="Calibri" w:cs="Calibri"/>
                <w:b/>
              </w:rPr>
              <w:t xml:space="preserve">Total UCITS AuM in </w:t>
            </w:r>
          </w:p>
          <w:p w:rsidR="00BB52D7" w:rsidRDefault="00E33AE6">
            <w:pPr>
              <w:spacing w:after="0" w:line="259" w:lineRule="auto"/>
              <w:ind w:left="0" w:firstLine="0"/>
              <w:jc w:val="center"/>
            </w:pPr>
            <w:r>
              <w:rPr>
                <w:rFonts w:ascii="Calibri" w:eastAsia="Calibri" w:hAnsi="Calibri" w:cs="Calibri"/>
                <w:b/>
              </w:rPr>
              <w:t xml:space="preserve">€ million (EFAMA 12/2014) </w:t>
            </w:r>
          </w:p>
        </w:tc>
        <w:tc>
          <w:tcPr>
            <w:tcW w:w="1420"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0" w:firstLine="0"/>
              <w:jc w:val="center"/>
            </w:pPr>
            <w:r>
              <w:rPr>
                <w:rFonts w:ascii="Calibri" w:eastAsia="Calibri" w:hAnsi="Calibri" w:cs="Calibri"/>
                <w:b/>
              </w:rPr>
              <w:t xml:space="preserve">Statistical difference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Austria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74,634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83,553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-10.67%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8" w:firstLine="0"/>
              <w:jc w:val="center"/>
            </w:pPr>
            <w:r>
              <w:rPr>
                <w:rFonts w:ascii="Calibri" w:eastAsia="Calibri" w:hAnsi="Calibri" w:cs="Calibri"/>
                <w:b/>
              </w:rPr>
              <w:t xml:space="preserve">Belgium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27,068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104,694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-74.15%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Bulgaria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411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6" w:firstLine="0"/>
              <w:jc w:val="center"/>
            </w:pPr>
            <w:r>
              <w:rPr>
                <w:rFonts w:ascii="Calibri" w:eastAsia="Calibri" w:hAnsi="Calibri" w:cs="Calibri"/>
                <w:b/>
              </w:rPr>
              <w:t xml:space="preserve">Croatia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1,695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6"/>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Cyprus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60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firstLine="0"/>
              <w:jc w:val="center"/>
            </w:pPr>
            <w:r>
              <w:rPr>
                <w:rFonts w:ascii="Calibri" w:eastAsia="Calibri" w:hAnsi="Calibri" w:cs="Calibri"/>
                <w:b/>
              </w:rPr>
              <w:t xml:space="preserve">Czech Republic </w:t>
            </w:r>
          </w:p>
        </w:tc>
        <w:tc>
          <w:tcPr>
            <w:tcW w:w="210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6" w:firstLine="0"/>
              <w:jc w:val="right"/>
            </w:pPr>
            <w:r>
              <w:rPr>
                <w:rFonts w:ascii="Calibri" w:eastAsia="Calibri" w:hAnsi="Calibri" w:cs="Calibri"/>
              </w:rPr>
              <w:t xml:space="preserve">- </w:t>
            </w:r>
          </w:p>
        </w:tc>
        <w:tc>
          <w:tcPr>
            <w:tcW w:w="208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6" w:firstLine="0"/>
              <w:jc w:val="right"/>
            </w:pPr>
            <w:r>
              <w:rPr>
                <w:rFonts w:ascii="Calibri" w:eastAsia="Calibri" w:hAnsi="Calibri" w:cs="Calibri"/>
              </w:rPr>
              <w:t xml:space="preserve">5,984 </w:t>
            </w:r>
          </w:p>
        </w:tc>
        <w:tc>
          <w:tcPr>
            <w:tcW w:w="142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6"/>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Denmark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94,855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99,947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-5.09%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Finland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76,549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71,346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b/>
              </w:rPr>
              <w:t xml:space="preserve">7.29%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6" w:firstLine="0"/>
              <w:jc w:val="center"/>
            </w:pPr>
            <w:r>
              <w:rPr>
                <w:rFonts w:ascii="Calibri" w:eastAsia="Calibri" w:hAnsi="Calibri" w:cs="Calibri"/>
                <w:b/>
              </w:rPr>
              <w:t xml:space="preserve">France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645,692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1,145,928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-43.65%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Germany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225,460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296,406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-23.94%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Greece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7" w:firstLine="0"/>
              <w:jc w:val="right"/>
            </w:pPr>
            <w:r>
              <w:rPr>
                <w:rFonts w:ascii="Calibri" w:eastAsia="Calibri" w:hAnsi="Calibri" w:cs="Calibri"/>
              </w:rPr>
              <w:t xml:space="preserve">2,705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4,781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-43.42%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8" w:firstLine="0"/>
              <w:jc w:val="center"/>
            </w:pPr>
            <w:r>
              <w:rPr>
                <w:rFonts w:ascii="Calibri" w:eastAsia="Calibri" w:hAnsi="Calibri" w:cs="Calibri"/>
                <w:b/>
              </w:rPr>
              <w:t xml:space="preserve">Hungary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7" w:firstLine="0"/>
              <w:jc w:val="right"/>
            </w:pPr>
            <w:r>
              <w:rPr>
                <w:rFonts w:ascii="Calibri" w:eastAsia="Calibri" w:hAnsi="Calibri" w:cs="Calibri"/>
              </w:rPr>
              <w:t xml:space="preserve">n/a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11,416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6"/>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8" w:firstLine="0"/>
              <w:jc w:val="center"/>
            </w:pPr>
            <w:r>
              <w:rPr>
                <w:rFonts w:ascii="Calibri" w:eastAsia="Calibri" w:hAnsi="Calibri" w:cs="Calibri"/>
                <w:b/>
              </w:rPr>
              <w:t xml:space="preserve">Ireland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896,594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1,274,477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-29.65%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Italy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189,932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196,299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-3.24%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5" w:firstLine="0"/>
              <w:jc w:val="center"/>
            </w:pPr>
            <w:r>
              <w:rPr>
                <w:rFonts w:ascii="Calibri" w:eastAsia="Calibri" w:hAnsi="Calibri" w:cs="Calibri"/>
                <w:b/>
              </w:rPr>
              <w:t xml:space="preserve">Latvia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171,894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9" w:firstLine="0"/>
              <w:jc w:val="center"/>
            </w:pPr>
            <w:r>
              <w:rPr>
                <w:rFonts w:ascii="Calibri" w:eastAsia="Calibri" w:hAnsi="Calibri" w:cs="Calibri"/>
                <w:b/>
              </w:rPr>
              <w:t xml:space="preserve">Lithuania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7" w:firstLine="0"/>
              <w:jc w:val="right"/>
            </w:pPr>
            <w:r>
              <w:rPr>
                <w:rFonts w:ascii="Calibri" w:eastAsia="Calibri" w:hAnsi="Calibri" w:cs="Calibri"/>
              </w:rPr>
              <w:t xml:space="preserve">2,903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5" w:firstLine="0"/>
              <w:jc w:val="right"/>
            </w:pPr>
            <w:r>
              <w:rPr>
                <w:rFonts w:ascii="Calibri" w:eastAsia="Calibri" w:hAnsi="Calibri" w:cs="Calibri"/>
              </w:rPr>
              <w:t xml:space="preserve">-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89" w:firstLine="0"/>
              <w:jc w:val="left"/>
            </w:pPr>
            <w:r>
              <w:rPr>
                <w:rFonts w:ascii="Calibri" w:eastAsia="Calibri" w:hAnsi="Calibri" w:cs="Calibri"/>
                <w:b/>
              </w:rPr>
              <w:t xml:space="preserve">Luxembourg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2,384,986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2,642,504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-9.75%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6" w:firstLine="0"/>
              <w:jc w:val="center"/>
            </w:pPr>
            <w:r>
              <w:rPr>
                <w:rFonts w:ascii="Calibri" w:eastAsia="Calibri" w:hAnsi="Calibri" w:cs="Calibri"/>
                <w:b/>
              </w:rPr>
              <w:t xml:space="preserve">Malta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7" w:firstLine="0"/>
              <w:jc w:val="right"/>
            </w:pPr>
            <w:r>
              <w:rPr>
                <w:rFonts w:ascii="Calibri" w:eastAsia="Calibri" w:hAnsi="Calibri" w:cs="Calibri"/>
              </w:rPr>
              <w:t xml:space="preserve">1,253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2,903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-56.84% </w:t>
            </w:r>
          </w:p>
        </w:tc>
      </w:tr>
      <w:tr w:rsidR="00BB52D7">
        <w:trPr>
          <w:trHeight w:val="336"/>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96" w:firstLine="0"/>
              <w:jc w:val="left"/>
            </w:pPr>
            <w:r>
              <w:rPr>
                <w:rFonts w:ascii="Calibri" w:eastAsia="Calibri" w:hAnsi="Calibri" w:cs="Calibri"/>
                <w:b/>
              </w:rPr>
              <w:t xml:space="preserve">Netherlands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15,980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62,393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-74.39%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Poland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7" w:firstLine="0"/>
              <w:jc w:val="right"/>
            </w:pPr>
            <w:r>
              <w:rPr>
                <w:rFonts w:ascii="Calibri" w:eastAsia="Calibri" w:hAnsi="Calibri" w:cs="Calibri"/>
              </w:rPr>
              <w:t xml:space="preserve">3,812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21,708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w:t>
            </w:r>
            <w:r>
              <w:rPr>
                <w:rFonts w:ascii="Calibri" w:eastAsia="Calibri" w:hAnsi="Calibri" w:cs="Calibri"/>
                <w:b/>
              </w:rPr>
              <w:t xml:space="preserve">82.44%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8" w:firstLine="0"/>
              <w:jc w:val="center"/>
            </w:pPr>
            <w:r>
              <w:rPr>
                <w:rFonts w:ascii="Calibri" w:eastAsia="Calibri" w:hAnsi="Calibri" w:cs="Calibri"/>
                <w:b/>
              </w:rPr>
              <w:t xml:space="preserve">Portugal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7" w:firstLine="0"/>
              <w:jc w:val="right"/>
            </w:pPr>
            <w:r>
              <w:rPr>
                <w:rFonts w:ascii="Calibri" w:eastAsia="Calibri" w:hAnsi="Calibri" w:cs="Calibri"/>
              </w:rPr>
              <w:t xml:space="preserve">7,211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8,226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-12.34%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6" w:firstLine="0"/>
              <w:jc w:val="center"/>
            </w:pPr>
            <w:r>
              <w:rPr>
                <w:rFonts w:ascii="Calibri" w:eastAsia="Calibri" w:hAnsi="Calibri" w:cs="Calibri"/>
                <w:b/>
              </w:rPr>
              <w:t xml:space="preserve">Romania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4,079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Slovakia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3,445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4" w:firstLine="0"/>
              <w:jc w:val="right"/>
            </w:pPr>
            <w:r>
              <w:rPr>
                <w:rFonts w:ascii="Calibri" w:eastAsia="Calibri" w:hAnsi="Calibri" w:cs="Calibri"/>
                <w:b/>
              </w:rPr>
              <w:t xml:space="preserve">n/a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8" w:firstLine="0"/>
              <w:jc w:val="center"/>
            </w:pPr>
            <w:r>
              <w:rPr>
                <w:rFonts w:ascii="Calibri" w:eastAsia="Calibri" w:hAnsi="Calibri" w:cs="Calibri"/>
                <w:b/>
              </w:rPr>
              <w:t xml:space="preserve">Slovenia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516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2,143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-75.92% </w:t>
            </w:r>
          </w:p>
        </w:tc>
      </w:tr>
      <w:tr w:rsidR="00BB52D7">
        <w:trPr>
          <w:trHeight w:val="336"/>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6" w:firstLine="0"/>
              <w:jc w:val="center"/>
            </w:pPr>
            <w:r>
              <w:rPr>
                <w:rFonts w:ascii="Calibri" w:eastAsia="Calibri" w:hAnsi="Calibri" w:cs="Calibri"/>
                <w:b/>
              </w:rPr>
              <w:t xml:space="preserve">Spain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139,169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225,722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-38.34% </w:t>
            </w:r>
          </w:p>
        </w:tc>
      </w:tr>
      <w:tr w:rsidR="00BB52D7">
        <w:trPr>
          <w:trHeight w:val="335"/>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right="57" w:firstLine="0"/>
              <w:jc w:val="center"/>
            </w:pPr>
            <w:r>
              <w:rPr>
                <w:rFonts w:ascii="Calibri" w:eastAsia="Calibri" w:hAnsi="Calibri" w:cs="Calibri"/>
                <w:b/>
              </w:rPr>
              <w:t xml:space="preserve">Sweden </w:t>
            </w:r>
          </w:p>
        </w:tc>
        <w:tc>
          <w:tcPr>
            <w:tcW w:w="210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8" w:firstLine="0"/>
              <w:jc w:val="right"/>
            </w:pPr>
            <w:r>
              <w:rPr>
                <w:rFonts w:ascii="Calibri" w:eastAsia="Calibri" w:hAnsi="Calibri" w:cs="Calibri"/>
              </w:rPr>
              <w:t xml:space="preserve">203,604 </w:t>
            </w:r>
          </w:p>
        </w:tc>
        <w:tc>
          <w:tcPr>
            <w:tcW w:w="208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rPr>
              <w:t xml:space="preserve">248,930 </w:t>
            </w:r>
          </w:p>
        </w:tc>
        <w:tc>
          <w:tcPr>
            <w:tcW w:w="1420" w:type="dxa"/>
            <w:tcBorders>
              <w:top w:val="single" w:sz="8" w:space="0" w:color="000000"/>
              <w:left w:val="single" w:sz="8" w:space="0" w:color="000000"/>
              <w:bottom w:val="single" w:sz="8" w:space="0" w:color="000000"/>
              <w:right w:val="single" w:sz="8" w:space="0" w:color="000000"/>
            </w:tcBorders>
          </w:tcPr>
          <w:p w:rsidR="00BB52D7" w:rsidRDefault="00E33AE6">
            <w:pPr>
              <w:spacing w:after="0" w:line="259" w:lineRule="auto"/>
              <w:ind w:left="0" w:right="56" w:firstLine="0"/>
              <w:jc w:val="right"/>
            </w:pPr>
            <w:r>
              <w:rPr>
                <w:rFonts w:ascii="Calibri" w:eastAsia="Calibri" w:hAnsi="Calibri" w:cs="Calibri"/>
                <w:b/>
              </w:rPr>
              <w:t xml:space="preserve">-18.21% </w:t>
            </w:r>
          </w:p>
        </w:tc>
      </w:tr>
      <w:tr w:rsidR="00BB52D7">
        <w:trPr>
          <w:trHeight w:val="606"/>
        </w:trPr>
        <w:tc>
          <w:tcPr>
            <w:tcW w:w="1556" w:type="dxa"/>
            <w:tcBorders>
              <w:top w:val="single" w:sz="8" w:space="0" w:color="000000"/>
              <w:left w:val="single" w:sz="8" w:space="0" w:color="000000"/>
              <w:bottom w:val="single" w:sz="8" w:space="0" w:color="000000"/>
              <w:right w:val="single" w:sz="8" w:space="0" w:color="000000"/>
            </w:tcBorders>
            <w:shd w:val="clear" w:color="auto" w:fill="D9D9D9"/>
          </w:tcPr>
          <w:p w:rsidR="00BB52D7" w:rsidRDefault="00E33AE6">
            <w:pPr>
              <w:spacing w:after="0" w:line="259" w:lineRule="auto"/>
              <w:ind w:left="0" w:firstLine="0"/>
              <w:jc w:val="center"/>
            </w:pPr>
            <w:r>
              <w:rPr>
                <w:rFonts w:ascii="Calibri" w:eastAsia="Calibri" w:hAnsi="Calibri" w:cs="Calibri"/>
                <w:b/>
              </w:rPr>
              <w:lastRenderedPageBreak/>
              <w:t xml:space="preserve">United Kingdom </w:t>
            </w:r>
          </w:p>
        </w:tc>
        <w:tc>
          <w:tcPr>
            <w:tcW w:w="210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8" w:firstLine="0"/>
              <w:jc w:val="right"/>
            </w:pPr>
            <w:r>
              <w:rPr>
                <w:rFonts w:ascii="Calibri" w:eastAsia="Calibri" w:hAnsi="Calibri" w:cs="Calibri"/>
              </w:rPr>
              <w:t xml:space="preserve">1,000,736 </w:t>
            </w:r>
          </w:p>
        </w:tc>
        <w:tc>
          <w:tcPr>
            <w:tcW w:w="208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6" w:firstLine="0"/>
              <w:jc w:val="right"/>
            </w:pPr>
            <w:r>
              <w:rPr>
                <w:rFonts w:ascii="Calibri" w:eastAsia="Calibri" w:hAnsi="Calibri" w:cs="Calibri"/>
              </w:rPr>
              <w:t xml:space="preserve">995,340 </w:t>
            </w:r>
          </w:p>
        </w:tc>
        <w:tc>
          <w:tcPr>
            <w:tcW w:w="1420" w:type="dxa"/>
            <w:tcBorders>
              <w:top w:val="single" w:sz="8" w:space="0" w:color="000000"/>
              <w:left w:val="single" w:sz="8" w:space="0" w:color="000000"/>
              <w:bottom w:val="single" w:sz="8" w:space="0" w:color="000000"/>
              <w:right w:val="single" w:sz="8" w:space="0" w:color="000000"/>
            </w:tcBorders>
            <w:vAlign w:val="center"/>
          </w:tcPr>
          <w:p w:rsidR="00BB52D7" w:rsidRDefault="00E33AE6">
            <w:pPr>
              <w:spacing w:after="0" w:line="259" w:lineRule="auto"/>
              <w:ind w:left="0" w:right="55" w:firstLine="0"/>
              <w:jc w:val="right"/>
            </w:pPr>
            <w:r>
              <w:rPr>
                <w:rFonts w:ascii="Calibri" w:eastAsia="Calibri" w:hAnsi="Calibri" w:cs="Calibri"/>
                <w:b/>
              </w:rPr>
              <w:t xml:space="preserve">0.54% </w:t>
            </w:r>
          </w:p>
        </w:tc>
      </w:tr>
      <w:tr w:rsidR="00BB52D7">
        <w:trPr>
          <w:trHeight w:val="333"/>
        </w:trPr>
        <w:tc>
          <w:tcPr>
            <w:tcW w:w="1556"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firstLine="0"/>
              <w:jc w:val="left"/>
            </w:pPr>
            <w:r>
              <w:rPr>
                <w:rFonts w:ascii="Calibri" w:eastAsia="Calibri" w:hAnsi="Calibri" w:cs="Calibri"/>
                <w:b/>
              </w:rPr>
              <w:t xml:space="preserve">TOTAL </w:t>
            </w:r>
          </w:p>
        </w:tc>
        <w:tc>
          <w:tcPr>
            <w:tcW w:w="2100"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right="58" w:firstLine="0"/>
              <w:jc w:val="right"/>
            </w:pPr>
            <w:r>
              <w:rPr>
                <w:rFonts w:ascii="Calibri" w:eastAsia="Calibri" w:hAnsi="Calibri" w:cs="Calibri"/>
                <w:b/>
              </w:rPr>
              <w:t xml:space="preserve">6,165,553 </w:t>
            </w:r>
          </w:p>
        </w:tc>
        <w:tc>
          <w:tcPr>
            <w:tcW w:w="2080"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right="56" w:firstLine="0"/>
              <w:jc w:val="right"/>
            </w:pPr>
            <w:r>
              <w:rPr>
                <w:rFonts w:ascii="Calibri" w:eastAsia="Calibri" w:hAnsi="Calibri" w:cs="Calibri"/>
                <w:b/>
              </w:rPr>
              <w:t xml:space="preserve">7,514,330 </w:t>
            </w:r>
          </w:p>
        </w:tc>
        <w:tc>
          <w:tcPr>
            <w:tcW w:w="1420"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right="56" w:firstLine="0"/>
              <w:jc w:val="right"/>
            </w:pPr>
            <w:r>
              <w:rPr>
                <w:rFonts w:ascii="Calibri" w:eastAsia="Calibri" w:hAnsi="Calibri" w:cs="Calibri"/>
                <w:b/>
              </w:rPr>
              <w:t xml:space="preserve">-19.53% </w:t>
            </w:r>
          </w:p>
        </w:tc>
      </w:tr>
    </w:tbl>
    <w:p w:rsidR="00BB52D7" w:rsidRDefault="00E33AE6">
      <w:pPr>
        <w:spacing w:after="0" w:line="259" w:lineRule="auto"/>
        <w:ind w:left="851" w:firstLine="0"/>
        <w:jc w:val="left"/>
      </w:pPr>
      <w:r>
        <w:rPr>
          <w:i/>
          <w:sz w:val="20"/>
        </w:rPr>
        <w:t xml:space="preserve"> </w:t>
      </w:r>
    </w:p>
    <w:p w:rsidR="00BB52D7" w:rsidRDefault="00E33AE6">
      <w:pPr>
        <w:spacing w:after="17" w:line="259" w:lineRule="auto"/>
        <w:ind w:left="851" w:firstLine="0"/>
        <w:jc w:val="left"/>
      </w:pPr>
      <w:r>
        <w:rPr>
          <w:i/>
          <w:sz w:val="20"/>
        </w:rPr>
        <w:t xml:space="preserve"> </w:t>
      </w:r>
    </w:p>
    <w:p w:rsidR="00BB52D7" w:rsidRDefault="00E33AE6">
      <w:pPr>
        <w:spacing w:after="187"/>
        <w:ind w:left="846" w:right="843"/>
      </w:pPr>
      <w:r>
        <w:t xml:space="preserve">According to figures provided by ESMA, in terms of assets under management, the necessary reallocation of custodial UCITS assets </w:t>
      </w:r>
      <w:r>
        <w:rPr>
          <w:u w:val="single" w:color="000000"/>
        </w:rPr>
        <w:t>in the European Union</w:t>
      </w:r>
      <w:r>
        <w:t xml:space="preserve"> </w:t>
      </w:r>
      <w:r>
        <w:t xml:space="preserve">would affect at least €2.5 trillion, which accounts for at least 32% of European UCITS assets.  </w:t>
      </w:r>
    </w:p>
    <w:p w:rsidR="00BB52D7" w:rsidRDefault="00E33AE6">
      <w:pPr>
        <w:spacing w:after="183"/>
        <w:ind w:left="846" w:right="843"/>
      </w:pPr>
      <w:r>
        <w:t xml:space="preserve">Moreover, structural separation will have a large impact in </w:t>
      </w:r>
      <w:r>
        <w:rPr>
          <w:u w:val="single" w:color="000000"/>
        </w:rPr>
        <w:t>individual national markets</w:t>
      </w:r>
      <w:r>
        <w:t xml:space="preserve">, especially in small Member States or Member States with smaller UCITS </w:t>
      </w:r>
      <w:r>
        <w:t>markets, as, on average, 56% of the UCITS assets are held in custody "in-house" across the EU</w:t>
      </w:r>
      <w:r>
        <w:rPr>
          <w:vertAlign w:val="superscript"/>
        </w:rPr>
        <w:footnoteReference w:id="87"/>
      </w:r>
      <w:r>
        <w:t>. Operators in smaller Member States face challenges to reallocate assets because of the UCITS requirement that the depositary must be domiciled in the same count</w:t>
      </w:r>
      <w:r>
        <w:t>ry of the UCITS: some Member States have only one or two depositaries in their country.</w:t>
      </w:r>
      <w:r>
        <w:rPr>
          <w:i/>
          <w:sz w:val="20"/>
        </w:rPr>
        <w:t xml:space="preserve"> </w:t>
      </w:r>
    </w:p>
    <w:p w:rsidR="00BB52D7" w:rsidRDefault="00E33AE6">
      <w:pPr>
        <w:spacing w:after="0" w:line="259" w:lineRule="auto"/>
        <w:ind w:left="851" w:firstLine="0"/>
        <w:jc w:val="left"/>
      </w:pPr>
      <w:r>
        <w:rPr>
          <w:b/>
        </w:rPr>
        <w:t xml:space="preserve"> </w:t>
      </w:r>
    </w:p>
    <w:p w:rsidR="00BB52D7" w:rsidRDefault="00BB52D7">
      <w:pPr>
        <w:sectPr w:rsidR="00BB52D7">
          <w:footerReference w:type="even" r:id="rId24"/>
          <w:footerReference w:type="default" r:id="rId25"/>
          <w:footerReference w:type="first" r:id="rId26"/>
          <w:pgSz w:w="11906" w:h="16838"/>
          <w:pgMar w:top="1225" w:right="567" w:bottom="714" w:left="568" w:header="708" w:footer="708" w:gutter="0"/>
          <w:cols w:space="708"/>
          <w:titlePg/>
        </w:sectPr>
      </w:pPr>
    </w:p>
    <w:p w:rsidR="00BB52D7" w:rsidRDefault="00E33AE6">
      <w:pPr>
        <w:spacing w:after="0" w:line="259" w:lineRule="auto"/>
        <w:ind w:left="0" w:firstLine="0"/>
        <w:jc w:val="left"/>
      </w:pPr>
      <w:r>
        <w:rPr>
          <w:b/>
          <w:u w:val="single" w:color="000000"/>
        </w:rPr>
        <w:lastRenderedPageBreak/>
        <w:t xml:space="preserve">Table 6 - </w:t>
      </w:r>
      <w:r>
        <w:rPr>
          <w:b/>
          <w:u w:val="single" w:color="000000"/>
        </w:rPr>
        <w:t>Overview of the use of in-house depositaries by the management companies belonging to a banking group (December 2014)</w:t>
      </w:r>
      <w:r>
        <w:rPr>
          <w:b/>
        </w:rPr>
        <w:t xml:space="preserve"> </w:t>
      </w:r>
    </w:p>
    <w:tbl>
      <w:tblPr>
        <w:tblStyle w:val="TableGrid"/>
        <w:tblW w:w="14641" w:type="dxa"/>
        <w:tblInd w:w="-2" w:type="dxa"/>
        <w:tblCellMar>
          <w:top w:w="19" w:type="dxa"/>
          <w:left w:w="67" w:type="dxa"/>
          <w:bottom w:w="9" w:type="dxa"/>
          <w:right w:w="14" w:type="dxa"/>
        </w:tblCellMar>
        <w:tblLook w:val="04A0" w:firstRow="1" w:lastRow="0" w:firstColumn="1" w:lastColumn="0" w:noHBand="0" w:noVBand="1"/>
      </w:tblPr>
      <w:tblGrid>
        <w:gridCol w:w="4266"/>
        <w:gridCol w:w="3296"/>
        <w:gridCol w:w="1748"/>
        <w:gridCol w:w="1183"/>
        <w:gridCol w:w="939"/>
        <w:gridCol w:w="1045"/>
        <w:gridCol w:w="1058"/>
        <w:gridCol w:w="1106"/>
      </w:tblGrid>
      <w:tr w:rsidR="00BB52D7">
        <w:trPr>
          <w:trHeight w:val="2968"/>
        </w:trPr>
        <w:tc>
          <w:tcPr>
            <w:tcW w:w="4266" w:type="dxa"/>
            <w:tcBorders>
              <w:top w:val="single" w:sz="4" w:space="0" w:color="000000"/>
              <w:left w:val="single" w:sz="4" w:space="0" w:color="000000"/>
              <w:bottom w:val="single" w:sz="8" w:space="0" w:color="000000"/>
              <w:right w:val="single" w:sz="4" w:space="0" w:color="000000"/>
            </w:tcBorders>
            <w:shd w:val="clear" w:color="auto" w:fill="BFBFBF"/>
            <w:vAlign w:val="center"/>
          </w:tcPr>
          <w:p w:rsidR="00BB52D7" w:rsidRDefault="00E33AE6">
            <w:pPr>
              <w:spacing w:after="0" w:line="259" w:lineRule="auto"/>
              <w:ind w:left="0" w:right="58" w:firstLine="0"/>
              <w:jc w:val="center"/>
            </w:pPr>
            <w:r>
              <w:rPr>
                <w:rFonts w:ascii="Calibri" w:eastAsia="Calibri" w:hAnsi="Calibri" w:cs="Calibri"/>
                <w:b/>
                <w:sz w:val="22"/>
              </w:rPr>
              <w:t xml:space="preserve">Asset Manager </w:t>
            </w:r>
          </w:p>
        </w:tc>
        <w:tc>
          <w:tcPr>
            <w:tcW w:w="3296" w:type="dxa"/>
            <w:tcBorders>
              <w:top w:val="single" w:sz="4" w:space="0" w:color="000000"/>
              <w:left w:val="single" w:sz="4" w:space="0" w:color="000000"/>
              <w:bottom w:val="single" w:sz="8" w:space="0" w:color="000000"/>
              <w:right w:val="single" w:sz="4" w:space="0" w:color="000000"/>
            </w:tcBorders>
            <w:shd w:val="clear" w:color="auto" w:fill="BFBFBF"/>
            <w:vAlign w:val="center"/>
          </w:tcPr>
          <w:p w:rsidR="00BB52D7" w:rsidRDefault="00E33AE6">
            <w:pPr>
              <w:spacing w:after="0" w:line="259" w:lineRule="auto"/>
              <w:ind w:left="0" w:right="56" w:firstLine="0"/>
              <w:jc w:val="center"/>
            </w:pPr>
            <w:r>
              <w:rPr>
                <w:rFonts w:ascii="Calibri" w:eastAsia="Calibri" w:hAnsi="Calibri" w:cs="Calibri"/>
                <w:b/>
                <w:sz w:val="22"/>
              </w:rPr>
              <w:t xml:space="preserve">in house Depositary </w:t>
            </w:r>
          </w:p>
        </w:tc>
        <w:tc>
          <w:tcPr>
            <w:tcW w:w="1748" w:type="dxa"/>
            <w:tcBorders>
              <w:top w:val="single" w:sz="4" w:space="0" w:color="000000"/>
              <w:left w:val="single" w:sz="4" w:space="0" w:color="000000"/>
              <w:bottom w:val="single" w:sz="8" w:space="0" w:color="000000"/>
              <w:right w:val="single" w:sz="4" w:space="0" w:color="000000"/>
            </w:tcBorders>
            <w:shd w:val="clear" w:color="auto" w:fill="BFBFBF"/>
            <w:vAlign w:val="center"/>
          </w:tcPr>
          <w:p w:rsidR="00BB52D7" w:rsidRDefault="00E33AE6">
            <w:pPr>
              <w:spacing w:after="0" w:line="259" w:lineRule="auto"/>
              <w:ind w:left="0" w:right="57" w:firstLine="0"/>
              <w:jc w:val="center"/>
            </w:pPr>
            <w:r>
              <w:rPr>
                <w:rFonts w:ascii="Calibri" w:eastAsia="Calibri" w:hAnsi="Calibri" w:cs="Calibri"/>
                <w:b/>
                <w:sz w:val="22"/>
              </w:rPr>
              <w:t xml:space="preserve">Group </w:t>
            </w:r>
          </w:p>
        </w:tc>
        <w:tc>
          <w:tcPr>
            <w:tcW w:w="1183" w:type="dxa"/>
            <w:tcBorders>
              <w:top w:val="single" w:sz="4" w:space="0" w:color="000000"/>
              <w:left w:val="single" w:sz="4" w:space="0" w:color="000000"/>
              <w:bottom w:val="single" w:sz="8" w:space="0" w:color="000000"/>
              <w:right w:val="single" w:sz="4" w:space="0" w:color="000000"/>
            </w:tcBorders>
            <w:shd w:val="clear" w:color="auto" w:fill="BFBFBF"/>
            <w:vAlign w:val="center"/>
          </w:tcPr>
          <w:p w:rsidR="00BB52D7" w:rsidRDefault="00E33AE6">
            <w:pPr>
              <w:spacing w:after="0" w:line="259" w:lineRule="auto"/>
              <w:ind w:left="0" w:firstLine="0"/>
              <w:jc w:val="center"/>
            </w:pPr>
            <w:r>
              <w:rPr>
                <w:rFonts w:ascii="Calibri" w:eastAsia="Calibri" w:hAnsi="Calibri" w:cs="Calibri"/>
                <w:b/>
                <w:sz w:val="22"/>
              </w:rPr>
              <w:t xml:space="preserve">AuM in € million </w:t>
            </w:r>
          </w:p>
        </w:tc>
        <w:tc>
          <w:tcPr>
            <w:tcW w:w="939" w:type="dxa"/>
            <w:tcBorders>
              <w:top w:val="single" w:sz="4" w:space="0" w:color="000000"/>
              <w:left w:val="single" w:sz="4" w:space="0" w:color="000000"/>
              <w:bottom w:val="single" w:sz="8" w:space="0" w:color="000000"/>
              <w:right w:val="single" w:sz="4" w:space="0" w:color="000000"/>
            </w:tcBorders>
            <w:shd w:val="clear" w:color="auto" w:fill="BFBFBF"/>
            <w:vAlign w:val="center"/>
          </w:tcPr>
          <w:p w:rsidR="00BB52D7" w:rsidRDefault="00E33AE6">
            <w:pPr>
              <w:spacing w:after="0" w:line="241" w:lineRule="auto"/>
              <w:ind w:left="0" w:firstLine="0"/>
              <w:jc w:val="center"/>
            </w:pPr>
            <w:r>
              <w:rPr>
                <w:rFonts w:ascii="Calibri" w:eastAsia="Calibri" w:hAnsi="Calibri" w:cs="Calibri"/>
                <w:b/>
                <w:sz w:val="22"/>
              </w:rPr>
              <w:t xml:space="preserve">Proporti on </w:t>
            </w:r>
          </w:p>
          <w:p w:rsidR="00BB52D7" w:rsidRDefault="00E33AE6">
            <w:pPr>
              <w:spacing w:after="0" w:line="259" w:lineRule="auto"/>
              <w:ind w:left="0" w:firstLine="0"/>
              <w:jc w:val="center"/>
            </w:pPr>
            <w:r>
              <w:rPr>
                <w:rFonts w:ascii="Calibri" w:eastAsia="Calibri" w:hAnsi="Calibri" w:cs="Calibri"/>
                <w:b/>
                <w:sz w:val="22"/>
              </w:rPr>
              <w:t xml:space="preserve">within group </w:t>
            </w:r>
          </w:p>
        </w:tc>
        <w:tc>
          <w:tcPr>
            <w:tcW w:w="1045" w:type="dxa"/>
            <w:tcBorders>
              <w:top w:val="single" w:sz="4" w:space="0" w:color="000000"/>
              <w:left w:val="single" w:sz="4" w:space="0" w:color="000000"/>
              <w:bottom w:val="single" w:sz="8" w:space="0" w:color="000000"/>
              <w:right w:val="single" w:sz="4" w:space="0" w:color="000000"/>
            </w:tcBorders>
            <w:shd w:val="clear" w:color="auto" w:fill="BFBFBF"/>
            <w:vAlign w:val="center"/>
          </w:tcPr>
          <w:p w:rsidR="00BB52D7" w:rsidRDefault="00E33AE6">
            <w:pPr>
              <w:spacing w:after="0" w:line="259" w:lineRule="auto"/>
              <w:ind w:left="0" w:right="54" w:firstLine="0"/>
              <w:jc w:val="center"/>
            </w:pPr>
            <w:r>
              <w:rPr>
                <w:rFonts w:ascii="Calibri" w:eastAsia="Calibri" w:hAnsi="Calibri" w:cs="Calibri"/>
                <w:b/>
                <w:sz w:val="22"/>
              </w:rPr>
              <w:t xml:space="preserve">AUM </w:t>
            </w:r>
          </w:p>
          <w:p w:rsidR="00BB52D7" w:rsidRDefault="00E33AE6">
            <w:pPr>
              <w:spacing w:after="0" w:line="259" w:lineRule="auto"/>
              <w:ind w:left="8" w:right="16" w:firstLine="0"/>
              <w:jc w:val="center"/>
            </w:pPr>
            <w:r>
              <w:rPr>
                <w:rFonts w:ascii="Calibri" w:eastAsia="Calibri" w:hAnsi="Calibri" w:cs="Calibri"/>
                <w:b/>
                <w:sz w:val="22"/>
              </w:rPr>
              <w:t xml:space="preserve">within the group </w:t>
            </w:r>
          </w:p>
        </w:tc>
        <w:tc>
          <w:tcPr>
            <w:tcW w:w="1058" w:type="dxa"/>
            <w:tcBorders>
              <w:top w:val="single" w:sz="4" w:space="0" w:color="000000"/>
              <w:left w:val="single" w:sz="4" w:space="0" w:color="000000"/>
              <w:bottom w:val="single" w:sz="8" w:space="0" w:color="000000"/>
              <w:right w:val="single" w:sz="4" w:space="0" w:color="000000"/>
            </w:tcBorders>
            <w:shd w:val="clear" w:color="auto" w:fill="BFBFBF"/>
            <w:vAlign w:val="center"/>
          </w:tcPr>
          <w:p w:rsidR="00BB52D7" w:rsidRDefault="00E33AE6">
            <w:pPr>
              <w:spacing w:after="1" w:line="240" w:lineRule="auto"/>
              <w:ind w:left="0" w:firstLine="0"/>
              <w:jc w:val="center"/>
            </w:pPr>
            <w:r>
              <w:rPr>
                <w:rFonts w:ascii="Calibri" w:eastAsia="Calibri" w:hAnsi="Calibri" w:cs="Calibri"/>
                <w:b/>
                <w:sz w:val="22"/>
              </w:rPr>
              <w:t xml:space="preserve">UCITS assets </w:t>
            </w:r>
          </w:p>
          <w:p w:rsidR="00BB52D7" w:rsidRDefault="00E33AE6">
            <w:pPr>
              <w:spacing w:after="0" w:line="259" w:lineRule="auto"/>
              <w:ind w:left="0" w:right="55" w:firstLine="0"/>
              <w:jc w:val="center"/>
            </w:pPr>
            <w:r>
              <w:rPr>
                <w:rFonts w:ascii="Calibri" w:eastAsia="Calibri" w:hAnsi="Calibri" w:cs="Calibri"/>
                <w:b/>
                <w:sz w:val="22"/>
              </w:rPr>
              <w:t xml:space="preserve">held in </w:t>
            </w:r>
          </w:p>
          <w:p w:rsidR="00BB52D7" w:rsidRDefault="00E33AE6">
            <w:pPr>
              <w:spacing w:after="0" w:line="241" w:lineRule="auto"/>
              <w:ind w:left="0" w:firstLine="0"/>
              <w:jc w:val="center"/>
            </w:pPr>
            <w:r>
              <w:rPr>
                <w:rFonts w:ascii="Calibri" w:eastAsia="Calibri" w:hAnsi="Calibri" w:cs="Calibri"/>
                <w:b/>
                <w:sz w:val="22"/>
              </w:rPr>
              <w:t xml:space="preserve">custody by the </w:t>
            </w:r>
          </w:p>
          <w:p w:rsidR="00BB52D7" w:rsidRDefault="00E33AE6">
            <w:pPr>
              <w:spacing w:after="0" w:line="259" w:lineRule="auto"/>
              <w:ind w:left="25" w:firstLine="0"/>
            </w:pPr>
            <w:r>
              <w:rPr>
                <w:rFonts w:ascii="Calibri" w:eastAsia="Calibri" w:hAnsi="Calibri" w:cs="Calibri"/>
                <w:b/>
                <w:sz w:val="22"/>
              </w:rPr>
              <w:t>depositar</w:t>
            </w:r>
          </w:p>
          <w:p w:rsidR="00BB52D7" w:rsidRDefault="00E33AE6">
            <w:pPr>
              <w:spacing w:after="0" w:line="259" w:lineRule="auto"/>
              <w:ind w:left="0" w:right="56" w:firstLine="0"/>
              <w:jc w:val="center"/>
            </w:pPr>
            <w:r>
              <w:rPr>
                <w:rFonts w:ascii="Calibri" w:eastAsia="Calibri" w:hAnsi="Calibri" w:cs="Calibri"/>
                <w:b/>
                <w:sz w:val="22"/>
              </w:rPr>
              <w:t xml:space="preserve">y </w:t>
            </w:r>
          </w:p>
        </w:tc>
        <w:tc>
          <w:tcPr>
            <w:tcW w:w="1106" w:type="dxa"/>
            <w:tcBorders>
              <w:top w:val="single" w:sz="4" w:space="0" w:color="000000"/>
              <w:left w:val="single" w:sz="4" w:space="0" w:color="000000"/>
              <w:bottom w:val="single" w:sz="8" w:space="0" w:color="000000"/>
              <w:right w:val="single" w:sz="4" w:space="0" w:color="000000"/>
            </w:tcBorders>
            <w:shd w:val="clear" w:color="auto" w:fill="BFBFBF"/>
          </w:tcPr>
          <w:p w:rsidR="00BB52D7" w:rsidRDefault="00E33AE6">
            <w:pPr>
              <w:spacing w:after="0" w:line="241" w:lineRule="auto"/>
              <w:ind w:left="0" w:right="42" w:firstLine="0"/>
              <w:jc w:val="center"/>
            </w:pPr>
            <w:r>
              <w:rPr>
                <w:rFonts w:ascii="Calibri" w:eastAsia="Calibri" w:hAnsi="Calibri" w:cs="Calibri"/>
                <w:b/>
                <w:sz w:val="22"/>
              </w:rPr>
              <w:t xml:space="preserve">Proportio n of the </w:t>
            </w:r>
          </w:p>
          <w:p w:rsidR="00BB52D7" w:rsidRDefault="00E33AE6">
            <w:pPr>
              <w:spacing w:after="1" w:line="240" w:lineRule="auto"/>
              <w:ind w:left="2" w:hanging="2"/>
              <w:jc w:val="center"/>
            </w:pPr>
            <w:r>
              <w:rPr>
                <w:rFonts w:ascii="Calibri" w:eastAsia="Calibri" w:hAnsi="Calibri" w:cs="Calibri"/>
                <w:b/>
                <w:sz w:val="22"/>
              </w:rPr>
              <w:t xml:space="preserve">assets in custody held by </w:t>
            </w:r>
          </w:p>
          <w:p w:rsidR="00BB52D7" w:rsidRDefault="00E33AE6">
            <w:pPr>
              <w:spacing w:after="0" w:line="259" w:lineRule="auto"/>
              <w:ind w:left="52" w:firstLine="0"/>
              <w:jc w:val="left"/>
            </w:pPr>
            <w:r>
              <w:rPr>
                <w:rFonts w:ascii="Calibri" w:eastAsia="Calibri" w:hAnsi="Calibri" w:cs="Calibri"/>
                <w:b/>
                <w:sz w:val="22"/>
              </w:rPr>
              <w:t>depositar</w:t>
            </w:r>
          </w:p>
          <w:p w:rsidR="00BB52D7" w:rsidRDefault="00E33AE6">
            <w:pPr>
              <w:spacing w:after="0" w:line="241" w:lineRule="auto"/>
              <w:ind w:left="0" w:firstLine="0"/>
              <w:jc w:val="center"/>
            </w:pPr>
            <w:r>
              <w:rPr>
                <w:rFonts w:ascii="Calibri" w:eastAsia="Calibri" w:hAnsi="Calibri" w:cs="Calibri"/>
                <w:b/>
                <w:sz w:val="22"/>
              </w:rPr>
              <w:t xml:space="preserve">y within in house </w:t>
            </w:r>
          </w:p>
          <w:p w:rsidR="00BB52D7" w:rsidRDefault="00E33AE6">
            <w:pPr>
              <w:spacing w:after="0" w:line="241" w:lineRule="auto"/>
              <w:ind w:left="0" w:firstLine="0"/>
              <w:jc w:val="center"/>
            </w:pPr>
            <w:r>
              <w:rPr>
                <w:rFonts w:ascii="Calibri" w:eastAsia="Calibri" w:hAnsi="Calibri" w:cs="Calibri"/>
                <w:b/>
                <w:sz w:val="22"/>
              </w:rPr>
              <w:t xml:space="preserve">manager Asset </w:t>
            </w:r>
          </w:p>
          <w:p w:rsidR="00BB52D7" w:rsidRDefault="00E33AE6">
            <w:pPr>
              <w:spacing w:after="0" w:line="259" w:lineRule="auto"/>
              <w:ind w:left="76" w:firstLine="0"/>
              <w:jc w:val="left"/>
            </w:pPr>
            <w:r>
              <w:rPr>
                <w:rFonts w:ascii="Calibri" w:eastAsia="Calibri" w:hAnsi="Calibri" w:cs="Calibri"/>
                <w:b/>
                <w:sz w:val="22"/>
              </w:rPr>
              <w:t xml:space="preserve">Manager </w:t>
            </w: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Aberdeen Asset Management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89,006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334"/>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AllianceBernstein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44,791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913"/>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sz w:val="22"/>
              </w:rPr>
              <w:t xml:space="preserve">Allianz Invest Kapitalanlagegesellschaft mbH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sz w:val="22"/>
              </w:rPr>
              <w:t xml:space="preserve">Allianz Investmentbank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sz w:val="22"/>
              </w:rPr>
              <w:t xml:space="preserve">Allianz Group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102,858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3%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3,085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3,570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sz w:val="22"/>
              </w:rPr>
              <w:t xml:space="preserve">86% </w:t>
            </w:r>
          </w:p>
        </w:tc>
      </w:tr>
      <w:tr w:rsidR="00BB52D7">
        <w:trPr>
          <w:trHeight w:val="619"/>
        </w:trPr>
        <w:tc>
          <w:tcPr>
            <w:tcW w:w="426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sz w:val="22"/>
              </w:rPr>
              <w:t xml:space="preserve">Allianz Global investors Europe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320"/>
        </w:trPr>
        <w:tc>
          <w:tcPr>
            <w:tcW w:w="4266" w:type="dxa"/>
            <w:tcBorders>
              <w:top w:val="single" w:sz="4" w:space="0" w:color="000000"/>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sz w:val="22"/>
              </w:rPr>
              <w:t xml:space="preserve">Allianz Global investors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340"/>
        </w:trPr>
        <w:tc>
          <w:tcPr>
            <w:tcW w:w="4266" w:type="dxa"/>
            <w:tcBorders>
              <w:top w:val="single" w:sz="4"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jc w:val="left"/>
            </w:pPr>
            <w:r>
              <w:rPr>
                <w:sz w:val="22"/>
              </w:rPr>
              <w:t xml:space="preserve">Allianz popular Investor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8"/>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Anima Asset Management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29,594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498"/>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Aletti Gestielle SGR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Banco Popolare Soc. Coop.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Banco Popolare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13,286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6" w:firstLine="0"/>
              <w:jc w:val="right"/>
            </w:pPr>
            <w:r>
              <w:rPr>
                <w:b/>
                <w:sz w:val="22"/>
              </w:rPr>
              <w:t xml:space="preserve">96%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12,754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8" w:firstLine="0"/>
              <w:jc w:val="right"/>
            </w:pPr>
            <w:r>
              <w:rPr>
                <w:b/>
                <w:sz w:val="22"/>
              </w:rPr>
              <w:t xml:space="preserve">17,212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bottom"/>
          </w:tcPr>
          <w:p w:rsidR="00BB52D7" w:rsidRDefault="00E33AE6">
            <w:pPr>
              <w:spacing w:after="0" w:line="259" w:lineRule="auto"/>
              <w:ind w:left="0" w:right="55" w:firstLine="0"/>
              <w:jc w:val="right"/>
            </w:pPr>
            <w:r>
              <w:rPr>
                <w:b/>
                <w:sz w:val="22"/>
              </w:rPr>
              <w:t xml:space="preserve">74% </w:t>
            </w:r>
          </w:p>
        </w:tc>
      </w:tr>
      <w:tr w:rsidR="00BB52D7">
        <w:trPr>
          <w:trHeight w:val="515"/>
        </w:trPr>
        <w:tc>
          <w:tcPr>
            <w:tcW w:w="4266" w:type="dxa"/>
            <w:tcBorders>
              <w:top w:val="single" w:sz="8"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Amundi </w:t>
            </w:r>
          </w:p>
        </w:tc>
        <w:tc>
          <w:tcPr>
            <w:tcW w:w="3296"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3" w:firstLine="0"/>
              <w:jc w:val="left"/>
            </w:pPr>
            <w:r>
              <w:rPr>
                <w:b/>
                <w:sz w:val="22"/>
              </w:rPr>
              <w:t xml:space="preserve">CACEIS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b/>
                <w:sz w:val="22"/>
              </w:rPr>
              <w:t xml:space="preserve">Credit Agricole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156,616 </w:t>
            </w:r>
          </w:p>
        </w:tc>
        <w:tc>
          <w:tcPr>
            <w:tcW w:w="939"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95% </w:t>
            </w:r>
          </w:p>
        </w:tc>
        <w:tc>
          <w:tcPr>
            <w:tcW w:w="1045"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148,629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b/>
                <w:sz w:val="22"/>
              </w:rPr>
              <w:t xml:space="preserve">408,888 </w:t>
            </w:r>
          </w:p>
        </w:tc>
        <w:tc>
          <w:tcPr>
            <w:tcW w:w="1106" w:type="dxa"/>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36% </w:t>
            </w:r>
          </w:p>
        </w:tc>
      </w:tr>
      <w:tr w:rsidR="00BB52D7">
        <w:trPr>
          <w:trHeight w:val="710"/>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ARCA SGR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3" w:firstLine="0"/>
              <w:jc w:val="left"/>
            </w:pPr>
            <w:r>
              <w:rPr>
                <w:b/>
                <w:sz w:val="22"/>
              </w:rPr>
              <w:t xml:space="preserve">ICBPI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2" w:firstLine="0"/>
              <w:jc w:val="left"/>
            </w:pPr>
            <w:r>
              <w:rPr>
                <w:b/>
                <w:sz w:val="22"/>
              </w:rPr>
              <w:t xml:space="preserve"> Consortium of Italian Banks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21,268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21,268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8" w:firstLine="0"/>
              <w:jc w:val="right"/>
            </w:pPr>
            <w:r>
              <w:rPr>
                <w:b/>
                <w:sz w:val="22"/>
              </w:rPr>
              <w:t xml:space="preserve">21,268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bottom"/>
          </w:tcPr>
          <w:p w:rsidR="00BB52D7" w:rsidRDefault="00E33AE6">
            <w:pPr>
              <w:spacing w:after="0" w:line="259" w:lineRule="auto"/>
              <w:ind w:left="0" w:right="54" w:firstLine="0"/>
              <w:jc w:val="right"/>
            </w:pPr>
            <w:r>
              <w:rPr>
                <w:b/>
                <w:sz w:val="22"/>
              </w:rPr>
              <w:t xml:space="preserve">100% </w:t>
            </w:r>
          </w:p>
        </w:tc>
      </w:tr>
      <w:tr w:rsidR="00BB52D7">
        <w:trPr>
          <w:trHeight w:val="523"/>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Arquigest,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Caja de Arquitectos SCC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2" w:firstLine="0"/>
              <w:jc w:val="left"/>
            </w:pPr>
            <w:r>
              <w:rPr>
                <w:b/>
                <w:sz w:val="22"/>
              </w:rPr>
              <w:t xml:space="preserve">Caja de </w:t>
            </w:r>
          </w:p>
          <w:p w:rsidR="00BB52D7" w:rsidRDefault="00E33AE6">
            <w:pPr>
              <w:spacing w:after="0" w:line="259" w:lineRule="auto"/>
              <w:ind w:left="2" w:firstLine="0"/>
              <w:jc w:val="left"/>
            </w:pPr>
            <w:r>
              <w:rPr>
                <w:b/>
                <w:sz w:val="22"/>
              </w:rPr>
              <w:lastRenderedPageBreak/>
              <w:t xml:space="preserve">Arquitectos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lastRenderedPageBreak/>
              <w:t xml:space="preserve">73,066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73,066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73,066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bl>
    <w:p w:rsidR="00BB52D7" w:rsidRDefault="00E33AE6">
      <w:pPr>
        <w:spacing w:after="0" w:line="259" w:lineRule="auto"/>
        <w:ind w:left="10" w:right="-15"/>
        <w:jc w:val="right"/>
      </w:pPr>
      <w:r>
        <w:rPr>
          <w:rFonts w:ascii="Arial" w:eastAsia="Arial" w:hAnsi="Arial" w:cs="Arial"/>
          <w:sz w:val="16"/>
        </w:rPr>
        <w:t xml:space="preserve">68 </w:t>
      </w:r>
    </w:p>
    <w:p w:rsidR="00BB52D7" w:rsidRDefault="00E33AE6">
      <w:pPr>
        <w:spacing w:after="0" w:line="259" w:lineRule="auto"/>
        <w:ind w:left="0" w:firstLine="0"/>
        <w:jc w:val="left"/>
      </w:pPr>
      <w:r>
        <w:rPr>
          <w:rFonts w:ascii="Arial" w:eastAsia="Arial" w:hAnsi="Arial" w:cs="Arial"/>
          <w:sz w:val="16"/>
        </w:rPr>
        <w:t xml:space="preserve"> </w:t>
      </w:r>
    </w:p>
    <w:p w:rsidR="00BB52D7" w:rsidRDefault="00BB52D7">
      <w:pPr>
        <w:spacing w:after="0" w:line="259" w:lineRule="auto"/>
        <w:ind w:left="-1134" w:right="499" w:firstLine="0"/>
        <w:jc w:val="left"/>
      </w:pPr>
    </w:p>
    <w:tbl>
      <w:tblPr>
        <w:tblStyle w:val="TableGrid"/>
        <w:tblW w:w="14641" w:type="dxa"/>
        <w:tblInd w:w="-2" w:type="dxa"/>
        <w:tblCellMar>
          <w:top w:w="41" w:type="dxa"/>
          <w:left w:w="0" w:type="dxa"/>
          <w:bottom w:w="11" w:type="dxa"/>
          <w:right w:w="14" w:type="dxa"/>
        </w:tblCellMar>
        <w:tblLook w:val="04A0" w:firstRow="1" w:lastRow="0" w:firstColumn="1" w:lastColumn="0" w:noHBand="0" w:noVBand="1"/>
      </w:tblPr>
      <w:tblGrid>
        <w:gridCol w:w="4266"/>
        <w:gridCol w:w="3296"/>
        <w:gridCol w:w="1748"/>
        <w:gridCol w:w="1183"/>
        <w:gridCol w:w="939"/>
        <w:gridCol w:w="480"/>
        <w:gridCol w:w="565"/>
        <w:gridCol w:w="1058"/>
        <w:gridCol w:w="1106"/>
      </w:tblGrid>
      <w:tr w:rsidR="00BB52D7">
        <w:trPr>
          <w:trHeight w:val="327"/>
        </w:trPr>
        <w:tc>
          <w:tcPr>
            <w:tcW w:w="4266" w:type="dxa"/>
            <w:tcBorders>
              <w:top w:val="nil"/>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Aviva Investors </w:t>
            </w:r>
          </w:p>
        </w:tc>
        <w:tc>
          <w:tcPr>
            <w:tcW w:w="3296" w:type="dxa"/>
            <w:tcBorders>
              <w:top w:val="nil"/>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nil"/>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nil"/>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51,141 </w:t>
            </w:r>
          </w:p>
        </w:tc>
        <w:tc>
          <w:tcPr>
            <w:tcW w:w="939" w:type="dxa"/>
            <w:tcBorders>
              <w:top w:val="nil"/>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480" w:type="dxa"/>
            <w:tcBorders>
              <w:top w:val="nil"/>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565" w:type="dxa"/>
            <w:tcBorders>
              <w:top w:val="nil"/>
              <w:left w:val="nil"/>
              <w:bottom w:val="single" w:sz="8" w:space="0" w:color="000000"/>
              <w:right w:val="single" w:sz="4" w:space="0" w:color="000000"/>
            </w:tcBorders>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06" w:type="dxa"/>
            <w:tcBorders>
              <w:top w:val="nil"/>
              <w:left w:val="single" w:sz="4" w:space="0" w:color="000000"/>
              <w:bottom w:val="single" w:sz="8" w:space="0" w:color="000000"/>
              <w:right w:val="single" w:sz="8" w:space="0" w:color="000000"/>
            </w:tcBorders>
          </w:tcPr>
          <w:p w:rsidR="00BB52D7" w:rsidRDefault="00E33AE6">
            <w:pPr>
              <w:spacing w:after="0" w:line="259" w:lineRule="auto"/>
              <w:ind w:left="70" w:firstLine="0"/>
              <w:jc w:val="left"/>
            </w:pPr>
            <w:r>
              <w:rPr>
                <w:sz w:val="22"/>
              </w:rPr>
              <w:t xml:space="preserve">NA </w:t>
            </w:r>
          </w:p>
        </w:tc>
      </w:tr>
      <w:tr w:rsidR="00BB52D7">
        <w:trPr>
          <w:trHeight w:val="335"/>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AXA Investment Managers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80,272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480"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565" w:type="dxa"/>
            <w:tcBorders>
              <w:top w:val="single" w:sz="8" w:space="0" w:color="000000"/>
              <w:left w:val="nil"/>
              <w:bottom w:val="single" w:sz="8" w:space="0" w:color="000000"/>
              <w:right w:val="single" w:sz="4" w:space="0" w:color="000000"/>
            </w:tcBorders>
          </w:tcPr>
          <w:p w:rsidR="00BB52D7" w:rsidRDefault="00BB52D7">
            <w:pPr>
              <w:spacing w:after="160" w:line="259" w:lineRule="auto"/>
              <w:ind w:left="0" w:firstLine="0"/>
              <w:jc w:val="left"/>
            </w:pP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70" w:firstLine="0"/>
              <w:jc w:val="left"/>
            </w:pPr>
            <w:r>
              <w:rPr>
                <w:sz w:val="22"/>
              </w:rPr>
              <w:t xml:space="preserve">NA </w:t>
            </w:r>
          </w:p>
        </w:tc>
      </w:tr>
      <w:tr w:rsidR="00BB52D7">
        <w:trPr>
          <w:trHeight w:val="1352"/>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67" w:firstLine="0"/>
              <w:jc w:val="left"/>
            </w:pPr>
            <w:r>
              <w:rPr>
                <w:sz w:val="22"/>
              </w:rPr>
              <w:t xml:space="preserve">Banco Madrid Gestion de Activos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70" w:firstLine="0"/>
              <w:jc w:val="left"/>
            </w:pPr>
            <w:r>
              <w:rPr>
                <w:sz w:val="22"/>
              </w:rPr>
              <w:t xml:space="preserve">Banco De Madrid,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70" w:firstLine="0"/>
              <w:jc w:val="left"/>
            </w:pPr>
            <w:r>
              <w:rPr>
                <w:sz w:val="22"/>
              </w:rPr>
              <w:t xml:space="preserve"> Banca Privada D'Andorra, SA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6" w:firstLine="0"/>
              <w:jc w:val="right"/>
            </w:pPr>
            <w:r>
              <w:rPr>
                <w:sz w:val="22"/>
              </w:rPr>
              <w:t xml:space="preserve">1,935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6" w:firstLine="0"/>
              <w:jc w:val="right"/>
            </w:pPr>
            <w:r>
              <w:rPr>
                <w:sz w:val="22"/>
              </w:rPr>
              <w:t xml:space="preserve">35% </w:t>
            </w:r>
          </w:p>
        </w:tc>
        <w:tc>
          <w:tcPr>
            <w:tcW w:w="480"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65" w:type="dxa"/>
            <w:tcBorders>
              <w:top w:val="single" w:sz="8" w:space="0" w:color="000000"/>
              <w:left w:val="nil"/>
              <w:bottom w:val="single" w:sz="8" w:space="0" w:color="000000"/>
              <w:right w:val="single" w:sz="4" w:space="0" w:color="000000"/>
            </w:tcBorders>
            <w:shd w:val="clear" w:color="auto" w:fill="D9D9D9"/>
            <w:vAlign w:val="bottom"/>
          </w:tcPr>
          <w:p w:rsidR="00BB52D7" w:rsidRDefault="00E33AE6">
            <w:pPr>
              <w:spacing w:after="0" w:line="259" w:lineRule="auto"/>
              <w:ind w:left="0" w:firstLine="0"/>
            </w:pPr>
            <w:r>
              <w:rPr>
                <w:sz w:val="22"/>
              </w:rPr>
              <w:t xml:space="preserve">0,677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sz w:val="22"/>
              </w:rPr>
              <w:t xml:space="preserve">0,677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bottom"/>
          </w:tcPr>
          <w:p w:rsidR="00BB52D7" w:rsidRDefault="00E33AE6">
            <w:pPr>
              <w:spacing w:after="0" w:line="259" w:lineRule="auto"/>
              <w:ind w:left="0" w:right="54" w:firstLine="0"/>
              <w:jc w:val="right"/>
            </w:pPr>
            <w:r>
              <w:rPr>
                <w:sz w:val="22"/>
              </w:rPr>
              <w:t xml:space="preserve">100% </w:t>
            </w:r>
          </w:p>
        </w:tc>
      </w:tr>
      <w:tr w:rsidR="00BB52D7">
        <w:trPr>
          <w:trHeight w:val="1356"/>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67" w:firstLine="0"/>
              <w:jc w:val="left"/>
            </w:pPr>
            <w:r>
              <w:rPr>
                <w:b/>
                <w:sz w:val="22"/>
              </w:rPr>
              <w:t xml:space="preserve">Banif Gestao de Activos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70" w:firstLine="0"/>
            </w:pPr>
            <w:r>
              <w:rPr>
                <w:b/>
                <w:sz w:val="22"/>
              </w:rPr>
              <w:t xml:space="preserve">Banif-Banco de Investimento,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70" w:firstLine="0"/>
              <w:jc w:val="left"/>
            </w:pPr>
            <w:r>
              <w:rPr>
                <w:b/>
                <w:sz w:val="22"/>
              </w:rPr>
              <w:t xml:space="preserve"> Banif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6" w:firstLine="0"/>
              <w:jc w:val="right"/>
            </w:pPr>
            <w:r>
              <w:rPr>
                <w:b/>
                <w:sz w:val="22"/>
              </w:rPr>
              <w:t xml:space="preserve">0,139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5" w:firstLine="0"/>
              <w:jc w:val="right"/>
            </w:pPr>
            <w:r>
              <w:rPr>
                <w:b/>
                <w:sz w:val="22"/>
              </w:rPr>
              <w:t xml:space="preserve">100% </w:t>
            </w:r>
          </w:p>
        </w:tc>
        <w:tc>
          <w:tcPr>
            <w:tcW w:w="480"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65" w:type="dxa"/>
            <w:tcBorders>
              <w:top w:val="single" w:sz="8" w:space="0" w:color="000000"/>
              <w:left w:val="nil"/>
              <w:bottom w:val="single" w:sz="8" w:space="0" w:color="000000"/>
              <w:right w:val="single" w:sz="4" w:space="0" w:color="000000"/>
            </w:tcBorders>
            <w:shd w:val="clear" w:color="auto" w:fill="D9D9D9"/>
            <w:vAlign w:val="bottom"/>
          </w:tcPr>
          <w:p w:rsidR="00BB52D7" w:rsidRDefault="00E33AE6">
            <w:pPr>
              <w:spacing w:after="0" w:line="259" w:lineRule="auto"/>
              <w:ind w:left="0" w:firstLine="0"/>
            </w:pPr>
            <w:r>
              <w:rPr>
                <w:b/>
                <w:sz w:val="22"/>
              </w:rPr>
              <w:t xml:space="preserve">0,139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0,139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bottom"/>
          </w:tcPr>
          <w:p w:rsidR="00BB52D7" w:rsidRDefault="00E33AE6">
            <w:pPr>
              <w:spacing w:after="0" w:line="259" w:lineRule="auto"/>
              <w:ind w:left="0" w:right="54" w:firstLine="0"/>
              <w:jc w:val="right"/>
            </w:pPr>
            <w:r>
              <w:rPr>
                <w:b/>
                <w:sz w:val="22"/>
              </w:rPr>
              <w:t xml:space="preserve">100% </w:t>
            </w:r>
          </w:p>
        </w:tc>
      </w:tr>
      <w:tr w:rsidR="00BB52D7">
        <w:trPr>
          <w:trHeight w:val="850"/>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Bankia Fon</w:t>
            </w:r>
            <w:r>
              <w:rPr>
                <w:b/>
                <w:sz w:val="22"/>
              </w:rPr>
              <w:t xml:space="preserve">dos, SGIIC S.A.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Bankia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Bankia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5,563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480"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65" w:type="dxa"/>
            <w:tcBorders>
              <w:top w:val="single" w:sz="8" w:space="0" w:color="000000"/>
              <w:left w:val="nil"/>
              <w:bottom w:val="single" w:sz="8" w:space="0" w:color="000000"/>
              <w:right w:val="single" w:sz="4" w:space="0" w:color="000000"/>
            </w:tcBorders>
            <w:shd w:val="clear" w:color="auto" w:fill="D9D9D9"/>
            <w:vAlign w:val="center"/>
          </w:tcPr>
          <w:p w:rsidR="00BB52D7" w:rsidRDefault="00E33AE6">
            <w:pPr>
              <w:spacing w:after="0" w:line="259" w:lineRule="auto"/>
              <w:ind w:left="0" w:firstLine="0"/>
            </w:pPr>
            <w:r>
              <w:rPr>
                <w:b/>
                <w:sz w:val="22"/>
              </w:rPr>
              <w:t xml:space="preserve">5,563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5,563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695"/>
        </w:trPr>
        <w:tc>
          <w:tcPr>
            <w:tcW w:w="4266" w:type="dxa"/>
            <w:vMerge w:val="restart"/>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3 Banken-G</w:t>
            </w:r>
            <w:r>
              <w:rPr>
                <w:b/>
                <w:sz w:val="22"/>
              </w:rPr>
              <w:t xml:space="preserve">enerali Inv.-Gesellschaft mbH </w:t>
            </w:r>
          </w:p>
        </w:tc>
        <w:tc>
          <w:tcPr>
            <w:tcW w:w="3296" w:type="dxa"/>
            <w:tcBorders>
              <w:top w:val="single" w:sz="8" w:space="0" w:color="000000"/>
              <w:left w:val="single" w:sz="4" w:space="0" w:color="000000"/>
              <w:bottom w:val="single" w:sz="4" w:space="0" w:color="D9D9D9"/>
              <w:right w:val="single" w:sz="4" w:space="0" w:color="000000"/>
            </w:tcBorders>
            <w:shd w:val="clear" w:color="auto" w:fill="D9D9D9"/>
          </w:tcPr>
          <w:p w:rsidR="00BB52D7" w:rsidRDefault="00E33AE6">
            <w:pPr>
              <w:spacing w:after="0" w:line="259" w:lineRule="auto"/>
              <w:ind w:left="70" w:firstLine="0"/>
              <w:jc w:val="left"/>
            </w:pPr>
            <w:r>
              <w:rPr>
                <w:b/>
                <w:sz w:val="22"/>
              </w:rPr>
              <w:t xml:space="preserve">Bank für Tirol and Vorarlberg </w:t>
            </w:r>
          </w:p>
          <w:p w:rsidR="00BB52D7" w:rsidRDefault="00E33AE6">
            <w:pPr>
              <w:spacing w:after="0" w:line="259" w:lineRule="auto"/>
              <w:ind w:left="70" w:firstLine="0"/>
              <w:jc w:val="left"/>
            </w:pPr>
            <w:r>
              <w:rPr>
                <w:b/>
                <w:sz w:val="22"/>
              </w:rPr>
              <w:t xml:space="preserve">AG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3 Banken </w:t>
            </w:r>
          </w:p>
          <w:p w:rsidR="00BB52D7" w:rsidRDefault="00E33AE6">
            <w:pPr>
              <w:spacing w:after="0" w:line="259" w:lineRule="auto"/>
              <w:ind w:left="70" w:firstLine="0"/>
              <w:jc w:val="left"/>
            </w:pPr>
            <w:r>
              <w:rPr>
                <w:b/>
                <w:sz w:val="22"/>
              </w:rPr>
              <w:t xml:space="preserve">Gruppe &amp; </w:t>
            </w:r>
          </w:p>
          <w:p w:rsidR="00BB52D7" w:rsidRDefault="00E33AE6">
            <w:pPr>
              <w:spacing w:after="0" w:line="259" w:lineRule="auto"/>
              <w:ind w:left="70" w:firstLine="0"/>
              <w:jc w:val="left"/>
            </w:pPr>
            <w:r>
              <w:rPr>
                <w:b/>
                <w:sz w:val="22"/>
              </w:rPr>
              <w:t xml:space="preserve">Generali </w:t>
            </w:r>
          </w:p>
          <w:p w:rsidR="00BB52D7" w:rsidRDefault="00E33AE6">
            <w:pPr>
              <w:spacing w:after="0" w:line="259" w:lineRule="auto"/>
              <w:ind w:left="70" w:firstLine="0"/>
              <w:jc w:val="left"/>
            </w:pPr>
            <w:r>
              <w:rPr>
                <w:b/>
                <w:sz w:val="22"/>
              </w:rPr>
              <w:t xml:space="preserve">Holding Vienna </w:t>
            </w:r>
          </w:p>
          <w:p w:rsidR="00BB52D7" w:rsidRDefault="00E33AE6">
            <w:pPr>
              <w:spacing w:after="0" w:line="259" w:lineRule="auto"/>
              <w:ind w:left="70" w:firstLine="0"/>
              <w:jc w:val="left"/>
            </w:pPr>
            <w:r>
              <w:rPr>
                <w:b/>
                <w:sz w:val="22"/>
              </w:rPr>
              <w:t xml:space="preserve">AG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3,250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480"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65" w:type="dxa"/>
            <w:vMerge w:val="restart"/>
            <w:tcBorders>
              <w:top w:val="single" w:sz="8" w:space="0" w:color="000000"/>
              <w:left w:val="nil"/>
              <w:bottom w:val="single" w:sz="8" w:space="0" w:color="000000"/>
              <w:right w:val="single" w:sz="4" w:space="0" w:color="000000"/>
            </w:tcBorders>
            <w:shd w:val="clear" w:color="auto" w:fill="D9D9D9"/>
            <w:vAlign w:val="center"/>
          </w:tcPr>
          <w:p w:rsidR="00BB52D7" w:rsidRDefault="00E33AE6">
            <w:pPr>
              <w:spacing w:after="0" w:line="259" w:lineRule="auto"/>
              <w:ind w:left="0" w:firstLine="0"/>
            </w:pPr>
            <w:r>
              <w:rPr>
                <w:b/>
                <w:sz w:val="22"/>
              </w:rPr>
              <w:t xml:space="preserve">3,250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6,535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50% </w:t>
            </w:r>
          </w:p>
        </w:tc>
      </w:tr>
      <w:tr w:rsidR="00BB52D7">
        <w:trPr>
          <w:trHeight w:val="320"/>
        </w:trPr>
        <w:tc>
          <w:tcPr>
            <w:tcW w:w="0" w:type="auto"/>
            <w:vMerge/>
            <w:tcBorders>
              <w:top w:val="nil"/>
              <w:left w:val="single" w:sz="8" w:space="0" w:color="000000"/>
              <w:bottom w:val="nil"/>
              <w:right w:val="single" w:sz="4" w:space="0" w:color="000000"/>
            </w:tcBorders>
          </w:tcPr>
          <w:p w:rsidR="00BB52D7" w:rsidRDefault="00BB52D7">
            <w:pPr>
              <w:spacing w:after="160" w:line="259" w:lineRule="auto"/>
              <w:ind w:left="0" w:firstLine="0"/>
              <w:jc w:val="left"/>
            </w:pPr>
          </w:p>
        </w:tc>
        <w:tc>
          <w:tcPr>
            <w:tcW w:w="3296" w:type="dxa"/>
            <w:tcBorders>
              <w:top w:val="single" w:sz="4" w:space="0" w:color="D9D9D9"/>
              <w:left w:val="single" w:sz="4" w:space="0" w:color="000000"/>
              <w:bottom w:val="single" w:sz="4" w:space="0" w:color="D9D9D9"/>
              <w:right w:val="single" w:sz="4" w:space="0" w:color="000000"/>
            </w:tcBorders>
            <w:shd w:val="clear" w:color="auto" w:fill="D9D9D9"/>
          </w:tcPr>
          <w:p w:rsidR="00BB52D7" w:rsidRDefault="00E33AE6">
            <w:pPr>
              <w:spacing w:after="0" w:line="259" w:lineRule="auto"/>
              <w:ind w:left="70" w:firstLine="0"/>
              <w:jc w:val="left"/>
            </w:pPr>
            <w:r>
              <w:rPr>
                <w:b/>
                <w:sz w:val="22"/>
              </w:rPr>
              <w:t xml:space="preserve">BKS Bank AG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nil"/>
            </w:tcBorders>
          </w:tcPr>
          <w:p w:rsidR="00BB52D7" w:rsidRDefault="00BB52D7">
            <w:pPr>
              <w:spacing w:after="160" w:line="259" w:lineRule="auto"/>
              <w:ind w:left="0" w:firstLine="0"/>
              <w:jc w:val="left"/>
            </w:pPr>
          </w:p>
        </w:tc>
        <w:tc>
          <w:tcPr>
            <w:tcW w:w="0" w:type="auto"/>
            <w:vMerge/>
            <w:tcBorders>
              <w:top w:val="nil"/>
              <w:left w:val="nil"/>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800"/>
        </w:trPr>
        <w:tc>
          <w:tcPr>
            <w:tcW w:w="0" w:type="auto"/>
            <w:vMerge/>
            <w:tcBorders>
              <w:top w:val="nil"/>
              <w:left w:val="single" w:sz="8"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3296" w:type="dxa"/>
            <w:tcBorders>
              <w:top w:val="single" w:sz="4" w:space="0" w:color="D9D9D9"/>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Oberbank AG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636"/>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Bankinter Gestion de Activos, S.A.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Bankinter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Bankinter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5,878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480"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65" w:type="dxa"/>
            <w:tcBorders>
              <w:top w:val="single" w:sz="8" w:space="0" w:color="000000"/>
              <w:left w:val="nil"/>
              <w:bottom w:val="single" w:sz="8" w:space="0" w:color="000000"/>
              <w:right w:val="single" w:sz="4" w:space="0" w:color="000000"/>
            </w:tcBorders>
            <w:shd w:val="clear" w:color="auto" w:fill="D9D9D9"/>
            <w:vAlign w:val="center"/>
          </w:tcPr>
          <w:p w:rsidR="00BB52D7" w:rsidRDefault="00E33AE6">
            <w:pPr>
              <w:spacing w:after="0" w:line="259" w:lineRule="auto"/>
              <w:ind w:left="0" w:firstLine="0"/>
            </w:pPr>
            <w:r>
              <w:rPr>
                <w:b/>
                <w:sz w:val="22"/>
              </w:rPr>
              <w:t xml:space="preserve">5,878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7,476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79% </w:t>
            </w:r>
          </w:p>
        </w:tc>
      </w:tr>
      <w:tr w:rsidR="00BB52D7">
        <w:trPr>
          <w:trHeight w:val="1160"/>
        </w:trPr>
        <w:tc>
          <w:tcPr>
            <w:tcW w:w="4266" w:type="dxa"/>
            <w:tcBorders>
              <w:top w:val="single" w:sz="8"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67" w:firstLine="0"/>
              <w:jc w:val="left"/>
            </w:pPr>
            <w:r>
              <w:rPr>
                <w:b/>
                <w:sz w:val="22"/>
              </w:rPr>
              <w:lastRenderedPageBreak/>
              <w:t xml:space="preserve">Banque de </w:t>
            </w:r>
            <w:r>
              <w:rPr>
                <w:b/>
                <w:sz w:val="22"/>
              </w:rPr>
              <w:t xml:space="preserve">Luxembourg Investments </w:t>
            </w:r>
          </w:p>
        </w:tc>
        <w:tc>
          <w:tcPr>
            <w:tcW w:w="3296"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70" w:firstLine="0"/>
              <w:jc w:val="left"/>
            </w:pPr>
            <w:r>
              <w:rPr>
                <w:b/>
                <w:sz w:val="22"/>
              </w:rPr>
              <w:t xml:space="preserve">Banque de Luxembourg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70" w:firstLine="0"/>
              <w:jc w:val="left"/>
            </w:pPr>
            <w:r>
              <w:rPr>
                <w:b/>
                <w:sz w:val="22"/>
              </w:rPr>
              <w:t xml:space="preserve">Banque de Luxembourg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7,326 </w:t>
            </w:r>
          </w:p>
        </w:tc>
        <w:tc>
          <w:tcPr>
            <w:tcW w:w="939"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5" w:firstLine="0"/>
              <w:jc w:val="right"/>
            </w:pPr>
            <w:r>
              <w:rPr>
                <w:b/>
                <w:sz w:val="22"/>
              </w:rPr>
              <w:t xml:space="preserve">100% </w:t>
            </w:r>
          </w:p>
        </w:tc>
        <w:tc>
          <w:tcPr>
            <w:tcW w:w="480" w:type="dxa"/>
            <w:tcBorders>
              <w:top w:val="single" w:sz="8" w:space="0" w:color="000000"/>
              <w:left w:val="single" w:sz="4" w:space="0" w:color="000000"/>
              <w:bottom w:val="single" w:sz="8" w:space="0" w:color="000000"/>
              <w:right w:val="nil"/>
            </w:tcBorders>
            <w:shd w:val="clear" w:color="auto" w:fill="8DB4E2"/>
          </w:tcPr>
          <w:p w:rsidR="00BB52D7" w:rsidRDefault="00BB52D7">
            <w:pPr>
              <w:spacing w:after="160" w:line="259" w:lineRule="auto"/>
              <w:ind w:left="0" w:firstLine="0"/>
              <w:jc w:val="left"/>
            </w:pPr>
          </w:p>
        </w:tc>
        <w:tc>
          <w:tcPr>
            <w:tcW w:w="565" w:type="dxa"/>
            <w:tcBorders>
              <w:top w:val="single" w:sz="8" w:space="0" w:color="000000"/>
              <w:left w:val="nil"/>
              <w:bottom w:val="single" w:sz="8" w:space="0" w:color="000000"/>
              <w:right w:val="single" w:sz="4" w:space="0" w:color="000000"/>
            </w:tcBorders>
            <w:shd w:val="clear" w:color="auto" w:fill="8DB4E2"/>
            <w:vAlign w:val="center"/>
          </w:tcPr>
          <w:p w:rsidR="00BB52D7" w:rsidRDefault="00E33AE6">
            <w:pPr>
              <w:spacing w:after="0" w:line="259" w:lineRule="auto"/>
              <w:ind w:left="0" w:firstLine="0"/>
            </w:pPr>
            <w:r>
              <w:rPr>
                <w:b/>
                <w:sz w:val="22"/>
              </w:rPr>
              <w:t xml:space="preserve">7,326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b/>
                <w:sz w:val="22"/>
              </w:rPr>
              <w:t xml:space="preserve">19,480 </w:t>
            </w:r>
          </w:p>
        </w:tc>
        <w:tc>
          <w:tcPr>
            <w:tcW w:w="1106" w:type="dxa"/>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38% </w:t>
            </w:r>
          </w:p>
        </w:tc>
      </w:tr>
      <w:tr w:rsidR="00BB52D7">
        <w:trPr>
          <w:trHeight w:val="632"/>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Bansabadel</w:t>
            </w:r>
            <w:r>
              <w:rPr>
                <w:b/>
                <w:sz w:val="22"/>
              </w:rPr>
              <w:t xml:space="preserve">l Inversion S.A.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Banco de Sabadell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70" w:firstLine="0"/>
              <w:jc w:val="left"/>
            </w:pPr>
            <w:r>
              <w:rPr>
                <w:b/>
                <w:sz w:val="22"/>
              </w:rPr>
              <w:t xml:space="preserve">Banco de Sabadell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0,539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480"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65" w:type="dxa"/>
            <w:tcBorders>
              <w:top w:val="single" w:sz="8" w:space="0" w:color="000000"/>
              <w:left w:val="nil"/>
              <w:bottom w:val="single" w:sz="8" w:space="0" w:color="000000"/>
              <w:right w:val="single" w:sz="4" w:space="0" w:color="000000"/>
            </w:tcBorders>
            <w:shd w:val="clear" w:color="auto" w:fill="D9D9D9"/>
            <w:vAlign w:val="center"/>
          </w:tcPr>
          <w:p w:rsidR="00BB52D7" w:rsidRDefault="00E33AE6">
            <w:pPr>
              <w:spacing w:after="0" w:line="259" w:lineRule="auto"/>
              <w:ind w:left="0" w:firstLine="0"/>
            </w:pPr>
            <w:r>
              <w:rPr>
                <w:b/>
                <w:sz w:val="22"/>
              </w:rPr>
              <w:t xml:space="preserve">0,539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0,966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56% </w:t>
            </w:r>
          </w:p>
        </w:tc>
      </w:tr>
    </w:tbl>
    <w:p w:rsidR="00BB52D7" w:rsidRDefault="00BB52D7">
      <w:pPr>
        <w:spacing w:after="0" w:line="259" w:lineRule="auto"/>
        <w:ind w:left="-1134" w:right="499" w:firstLine="0"/>
        <w:jc w:val="left"/>
      </w:pPr>
    </w:p>
    <w:tbl>
      <w:tblPr>
        <w:tblStyle w:val="TableGrid"/>
        <w:tblW w:w="14641" w:type="dxa"/>
        <w:tblInd w:w="-2" w:type="dxa"/>
        <w:tblCellMar>
          <w:top w:w="50" w:type="dxa"/>
          <w:left w:w="67" w:type="dxa"/>
          <w:bottom w:w="0" w:type="dxa"/>
          <w:right w:w="14" w:type="dxa"/>
        </w:tblCellMar>
        <w:tblLook w:val="04A0" w:firstRow="1" w:lastRow="0" w:firstColumn="1" w:lastColumn="0" w:noHBand="0" w:noVBand="1"/>
      </w:tblPr>
      <w:tblGrid>
        <w:gridCol w:w="4266"/>
        <w:gridCol w:w="3296"/>
        <w:gridCol w:w="1748"/>
        <w:gridCol w:w="1183"/>
        <w:gridCol w:w="939"/>
        <w:gridCol w:w="1045"/>
        <w:gridCol w:w="1058"/>
        <w:gridCol w:w="1106"/>
      </w:tblGrid>
      <w:tr w:rsidR="00BB52D7">
        <w:trPr>
          <w:trHeight w:val="605"/>
        </w:trPr>
        <w:tc>
          <w:tcPr>
            <w:tcW w:w="4266" w:type="dxa"/>
            <w:tcBorders>
              <w:top w:val="nil"/>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sz w:val="22"/>
              </w:rPr>
              <w:t xml:space="preserve">Barclays Wealth Managers Espana / France/ Portugal </w:t>
            </w:r>
          </w:p>
        </w:tc>
        <w:tc>
          <w:tcPr>
            <w:tcW w:w="3296"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sz w:val="22"/>
              </w:rPr>
              <w:t xml:space="preserve">Barclays Bank S.A. </w:t>
            </w:r>
          </w:p>
        </w:tc>
        <w:tc>
          <w:tcPr>
            <w:tcW w:w="1748"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sz w:val="22"/>
              </w:rPr>
              <w:t xml:space="preserve">Barclays Bank </w:t>
            </w:r>
          </w:p>
        </w:tc>
        <w:tc>
          <w:tcPr>
            <w:tcW w:w="1183"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16,676 </w:t>
            </w:r>
          </w:p>
        </w:tc>
        <w:tc>
          <w:tcPr>
            <w:tcW w:w="939"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12% </w:t>
            </w:r>
          </w:p>
        </w:tc>
        <w:tc>
          <w:tcPr>
            <w:tcW w:w="1045"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2,001 </w:t>
            </w:r>
          </w:p>
        </w:tc>
        <w:tc>
          <w:tcPr>
            <w:tcW w:w="1058"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2,064 </w:t>
            </w:r>
          </w:p>
        </w:tc>
        <w:tc>
          <w:tcPr>
            <w:tcW w:w="1106" w:type="dxa"/>
            <w:vMerge w:val="restart"/>
            <w:tcBorders>
              <w:top w:val="nil"/>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sz w:val="22"/>
              </w:rPr>
              <w:t xml:space="preserve">97% </w:t>
            </w:r>
          </w:p>
        </w:tc>
      </w:tr>
      <w:tr w:rsidR="00BB52D7">
        <w:trPr>
          <w:trHeight w:val="725"/>
        </w:trPr>
        <w:tc>
          <w:tcPr>
            <w:tcW w:w="426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sz w:val="22"/>
              </w:rPr>
              <w:t xml:space="preserve">Barclays fund &amp; advisory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730"/>
        </w:trPr>
        <w:tc>
          <w:tcPr>
            <w:tcW w:w="4266" w:type="dxa"/>
            <w:tcBorders>
              <w:top w:val="single" w:sz="4"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sz w:val="22"/>
              </w:rPr>
              <w:t xml:space="preserve">Barclays multimanager funds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5"/>
        </w:trPr>
        <w:tc>
          <w:tcPr>
            <w:tcW w:w="4266" w:type="dxa"/>
            <w:tcBorders>
              <w:top w:val="single" w:sz="8"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jc w:val="left"/>
            </w:pPr>
            <w:r>
              <w:rPr>
                <w:b/>
                <w:sz w:val="22"/>
              </w:rPr>
              <w:t xml:space="preserve">BAWAG PSK Invest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3" w:firstLine="0"/>
              <w:jc w:val="left"/>
            </w:pPr>
            <w:r>
              <w:rPr>
                <w:b/>
                <w:sz w:val="22"/>
              </w:rPr>
              <w:t xml:space="preserve">BAWAG AG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2" w:firstLine="0"/>
              <w:jc w:val="left"/>
            </w:pPr>
            <w:r>
              <w:rPr>
                <w:b/>
                <w:sz w:val="22"/>
              </w:rPr>
              <w:t xml:space="preserve">BAWAG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6" w:firstLine="0"/>
              <w:jc w:val="right"/>
            </w:pPr>
            <w:r>
              <w:rPr>
                <w:b/>
                <w:sz w:val="22"/>
              </w:rPr>
              <w:t xml:space="preserve">3,294 </w:t>
            </w:r>
          </w:p>
        </w:tc>
        <w:tc>
          <w:tcPr>
            <w:tcW w:w="939"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3,294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3,352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tcPr>
          <w:p w:rsidR="00BB52D7" w:rsidRDefault="00E33AE6">
            <w:pPr>
              <w:spacing w:after="0" w:line="259" w:lineRule="auto"/>
              <w:ind w:left="0" w:right="55" w:firstLine="0"/>
              <w:jc w:val="right"/>
            </w:pPr>
            <w:r>
              <w:rPr>
                <w:b/>
                <w:sz w:val="22"/>
              </w:rPr>
              <w:t>98%</w:t>
            </w:r>
            <w:r>
              <w:rPr>
                <w:b/>
                <w:sz w:val="22"/>
              </w:rPr>
              <w:t xml:space="preserve"> </w:t>
            </w:r>
          </w:p>
        </w:tc>
      </w:tr>
      <w:tr w:rsidR="00BB52D7">
        <w:trPr>
          <w:trHeight w:val="514"/>
        </w:trPr>
        <w:tc>
          <w:tcPr>
            <w:tcW w:w="4266"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sz w:val="22"/>
              </w:rPr>
              <w:t xml:space="preserve">Bayerninvest </w:t>
            </w:r>
          </w:p>
        </w:tc>
        <w:tc>
          <w:tcPr>
            <w:tcW w:w="3296"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3" w:firstLine="0"/>
              <w:jc w:val="left"/>
            </w:pPr>
            <w:r>
              <w:rPr>
                <w:sz w:val="22"/>
              </w:rPr>
              <w:t xml:space="preserve">Bayerische Landesbank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sz w:val="22"/>
              </w:rPr>
              <w:t xml:space="preserve">Sparkassen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sz w:val="22"/>
              </w:rPr>
              <w:t xml:space="preserve">2,159 </w:t>
            </w:r>
          </w:p>
        </w:tc>
        <w:tc>
          <w:tcPr>
            <w:tcW w:w="939"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sz w:val="22"/>
              </w:rPr>
              <w:t xml:space="preserve">2% </w:t>
            </w:r>
          </w:p>
        </w:tc>
        <w:tc>
          <w:tcPr>
            <w:tcW w:w="1045"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sz w:val="22"/>
              </w:rPr>
              <w:t xml:space="preserve">0,043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sz w:val="22"/>
              </w:rPr>
              <w:t xml:space="preserve">0,107 </w:t>
            </w:r>
          </w:p>
        </w:tc>
        <w:tc>
          <w:tcPr>
            <w:tcW w:w="1106"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4" w:firstLine="0"/>
              <w:jc w:val="right"/>
            </w:pPr>
            <w:r>
              <w:rPr>
                <w:sz w:val="22"/>
              </w:rPr>
              <w:t xml:space="preserve">40% </w:t>
            </w:r>
          </w:p>
        </w:tc>
      </w:tr>
      <w:tr w:rsidR="00BB52D7">
        <w:trPr>
          <w:trHeight w:val="1156"/>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BBVA Asset Management S.A., SGIIC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 BBVA, S.A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BBVA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14,180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14,180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15,690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90% </w:t>
            </w:r>
          </w:p>
        </w:tc>
      </w:tr>
      <w:tr w:rsidR="00BB52D7">
        <w:trPr>
          <w:trHeight w:val="1166"/>
        </w:trPr>
        <w:tc>
          <w:tcPr>
            <w:tcW w:w="4266" w:type="dxa"/>
            <w:tcBorders>
              <w:top w:val="single" w:sz="4"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BBVA Gest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1159"/>
        </w:trPr>
        <w:tc>
          <w:tcPr>
            <w:tcW w:w="4266" w:type="dxa"/>
            <w:tcBorders>
              <w:top w:val="single" w:sz="8" w:space="0" w:color="000000"/>
              <w:left w:val="single" w:sz="8" w:space="0" w:color="000000"/>
              <w:bottom w:val="single" w:sz="4" w:space="0" w:color="FFFFFF"/>
              <w:right w:val="single" w:sz="4" w:space="0" w:color="000000"/>
            </w:tcBorders>
            <w:vAlign w:val="center"/>
          </w:tcPr>
          <w:p w:rsidR="00BB52D7" w:rsidRDefault="00E33AE6">
            <w:pPr>
              <w:spacing w:after="0" w:line="259" w:lineRule="auto"/>
              <w:ind w:left="0" w:firstLine="0"/>
              <w:jc w:val="left"/>
            </w:pPr>
            <w:r>
              <w:rPr>
                <w:sz w:val="22"/>
              </w:rPr>
              <w:t xml:space="preserve">Blackrock (Luxembourg) </w:t>
            </w:r>
          </w:p>
        </w:tc>
        <w:tc>
          <w:tcPr>
            <w:tcW w:w="3296" w:type="dxa"/>
            <w:vMerge w:val="restart"/>
            <w:tcBorders>
              <w:top w:val="single" w:sz="8" w:space="0" w:color="000000"/>
              <w:left w:val="single" w:sz="4" w:space="0" w:color="000000"/>
              <w:bottom w:val="single" w:sz="8" w:space="0" w:color="000000"/>
              <w:right w:val="single" w:sz="4" w:space="0" w:color="000000"/>
            </w:tcBorders>
            <w:vAlign w:val="center"/>
          </w:tcPr>
          <w:p w:rsidR="00BB52D7" w:rsidRDefault="00E33AE6">
            <w:pPr>
              <w:spacing w:after="0" w:line="259" w:lineRule="auto"/>
              <w:ind w:left="3" w:firstLine="0"/>
              <w:jc w:val="left"/>
            </w:pPr>
            <w:r>
              <w:rPr>
                <w:sz w:val="22"/>
              </w:rPr>
              <w:t xml:space="preserve">NA </w:t>
            </w:r>
          </w:p>
        </w:tc>
        <w:tc>
          <w:tcPr>
            <w:tcW w:w="1748" w:type="dxa"/>
            <w:vMerge w:val="restart"/>
            <w:tcBorders>
              <w:top w:val="single" w:sz="8" w:space="0" w:color="000000"/>
              <w:left w:val="single" w:sz="4" w:space="0" w:color="000000"/>
              <w:bottom w:val="single" w:sz="8" w:space="0" w:color="000000"/>
              <w:right w:val="single" w:sz="4" w:space="0" w:color="000000"/>
            </w:tcBorders>
            <w:vAlign w:val="center"/>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4" w:space="0" w:color="FFFFFF"/>
              <w:right w:val="single" w:sz="4" w:space="0" w:color="000000"/>
            </w:tcBorders>
            <w:vAlign w:val="center"/>
          </w:tcPr>
          <w:p w:rsidR="00BB52D7" w:rsidRDefault="00E33AE6">
            <w:pPr>
              <w:spacing w:after="0" w:line="259" w:lineRule="auto"/>
              <w:ind w:left="0" w:right="57" w:firstLine="0"/>
              <w:jc w:val="right"/>
            </w:pPr>
            <w:r>
              <w:rPr>
                <w:sz w:val="22"/>
              </w:rPr>
              <w:t xml:space="preserve">108,256 </w:t>
            </w:r>
          </w:p>
        </w:tc>
        <w:tc>
          <w:tcPr>
            <w:tcW w:w="939" w:type="dxa"/>
            <w:tcBorders>
              <w:top w:val="single" w:sz="8" w:space="0" w:color="000000"/>
              <w:left w:val="single" w:sz="4" w:space="0" w:color="000000"/>
              <w:bottom w:val="single" w:sz="4" w:space="0" w:color="FFFFFF"/>
              <w:right w:val="single" w:sz="4" w:space="0" w:color="000000"/>
            </w:tcBorders>
            <w:vAlign w:val="center"/>
          </w:tcPr>
          <w:p w:rsidR="00BB52D7" w:rsidRDefault="00E33AE6">
            <w:pPr>
              <w:spacing w:after="0" w:line="259" w:lineRule="auto"/>
              <w:ind w:left="0" w:right="56" w:firstLine="0"/>
              <w:jc w:val="right"/>
            </w:pPr>
            <w:r>
              <w:rPr>
                <w:sz w:val="22"/>
              </w:rPr>
              <w:t xml:space="preserve">0% </w:t>
            </w:r>
          </w:p>
        </w:tc>
        <w:tc>
          <w:tcPr>
            <w:tcW w:w="1045" w:type="dxa"/>
            <w:vMerge w:val="restart"/>
            <w:tcBorders>
              <w:top w:val="single" w:sz="8" w:space="0" w:color="000000"/>
              <w:left w:val="single" w:sz="4" w:space="0" w:color="000000"/>
              <w:bottom w:val="single" w:sz="8" w:space="0" w:color="000000"/>
              <w:right w:val="single" w:sz="4" w:space="0" w:color="000000"/>
            </w:tcBorders>
            <w:vAlign w:val="center"/>
          </w:tcPr>
          <w:p w:rsidR="00BB52D7" w:rsidRDefault="00E33AE6">
            <w:pPr>
              <w:spacing w:after="0" w:line="259" w:lineRule="auto"/>
              <w:ind w:left="0" w:right="58" w:firstLine="0"/>
              <w:jc w:val="right"/>
            </w:pPr>
            <w:r>
              <w:rPr>
                <w:sz w:val="22"/>
              </w:rPr>
              <w:t xml:space="preserve">NA </w:t>
            </w:r>
          </w:p>
        </w:tc>
        <w:tc>
          <w:tcPr>
            <w:tcW w:w="1058" w:type="dxa"/>
            <w:vMerge w:val="restart"/>
            <w:tcBorders>
              <w:top w:val="single" w:sz="8" w:space="0" w:color="000000"/>
              <w:left w:val="single" w:sz="4" w:space="0" w:color="000000"/>
              <w:bottom w:val="single" w:sz="8" w:space="0" w:color="000000"/>
              <w:right w:val="single" w:sz="4" w:space="0" w:color="000000"/>
            </w:tcBorders>
            <w:vAlign w:val="center"/>
          </w:tcPr>
          <w:p w:rsidR="00BB52D7" w:rsidRDefault="00E33AE6">
            <w:pPr>
              <w:spacing w:after="0" w:line="259" w:lineRule="auto"/>
              <w:ind w:left="0" w:right="58" w:firstLine="0"/>
              <w:jc w:val="right"/>
            </w:pPr>
            <w:r>
              <w:rPr>
                <w:sz w:val="22"/>
              </w:rPr>
              <w:t xml:space="preserve">NA </w:t>
            </w:r>
          </w:p>
        </w:tc>
        <w:tc>
          <w:tcPr>
            <w:tcW w:w="1106" w:type="dxa"/>
            <w:vMerge w:val="restart"/>
            <w:tcBorders>
              <w:top w:val="single" w:sz="8" w:space="0" w:color="000000"/>
              <w:left w:val="single" w:sz="4" w:space="0" w:color="000000"/>
              <w:bottom w:val="single" w:sz="8" w:space="0" w:color="000000"/>
              <w:right w:val="single" w:sz="8" w:space="0" w:color="000000"/>
            </w:tcBorders>
            <w:vAlign w:val="center"/>
          </w:tcPr>
          <w:p w:rsidR="00BB52D7" w:rsidRDefault="00E33AE6">
            <w:pPr>
              <w:spacing w:after="0" w:line="259" w:lineRule="auto"/>
              <w:ind w:left="0" w:right="56" w:firstLine="0"/>
              <w:jc w:val="right"/>
            </w:pPr>
            <w:r>
              <w:rPr>
                <w:sz w:val="22"/>
              </w:rPr>
              <w:t xml:space="preserve">NA- </w:t>
            </w:r>
          </w:p>
        </w:tc>
      </w:tr>
      <w:tr w:rsidR="00BB52D7">
        <w:trPr>
          <w:trHeight w:val="1161"/>
        </w:trPr>
        <w:tc>
          <w:tcPr>
            <w:tcW w:w="4266" w:type="dxa"/>
            <w:tcBorders>
              <w:top w:val="single" w:sz="4" w:space="0" w:color="FFFFFF"/>
              <w:left w:val="single" w:sz="8" w:space="0" w:color="000000"/>
              <w:bottom w:val="single" w:sz="4" w:space="0" w:color="FFFFFF"/>
              <w:right w:val="single" w:sz="4" w:space="0" w:color="000000"/>
            </w:tcBorders>
            <w:vAlign w:val="center"/>
          </w:tcPr>
          <w:p w:rsidR="00BB52D7" w:rsidRDefault="00E33AE6">
            <w:pPr>
              <w:spacing w:after="0" w:line="259" w:lineRule="auto"/>
              <w:ind w:left="0" w:firstLine="0"/>
              <w:jc w:val="left"/>
            </w:pPr>
            <w:r>
              <w:rPr>
                <w:sz w:val="22"/>
              </w:rPr>
              <w:lastRenderedPageBreak/>
              <w:t xml:space="preserve">Blackrock advisors (UK)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1183" w:type="dxa"/>
            <w:tcBorders>
              <w:top w:val="single" w:sz="4" w:space="0" w:color="FFFFFF"/>
              <w:left w:val="single" w:sz="4" w:space="0" w:color="000000"/>
              <w:bottom w:val="single" w:sz="4" w:space="0" w:color="000000"/>
              <w:right w:val="single" w:sz="4" w:space="0" w:color="000000"/>
            </w:tcBorders>
            <w:vAlign w:val="center"/>
          </w:tcPr>
          <w:p w:rsidR="00BB52D7" w:rsidRDefault="00E33AE6">
            <w:pPr>
              <w:spacing w:after="0" w:line="259" w:lineRule="auto"/>
              <w:ind w:left="0" w:right="56" w:firstLine="0"/>
              <w:jc w:val="right"/>
            </w:pPr>
            <w:r>
              <w:rPr>
                <w:sz w:val="22"/>
              </w:rPr>
              <w:t xml:space="preserve">2,382 </w:t>
            </w:r>
          </w:p>
        </w:tc>
        <w:tc>
          <w:tcPr>
            <w:tcW w:w="939" w:type="dxa"/>
            <w:tcBorders>
              <w:top w:val="single" w:sz="4" w:space="0" w:color="FFFFFF"/>
              <w:left w:val="single" w:sz="4" w:space="0" w:color="000000"/>
              <w:bottom w:val="single" w:sz="4" w:space="0" w:color="FFFFFF"/>
              <w:right w:val="single" w:sz="4" w:space="0" w:color="000000"/>
            </w:tcBorders>
            <w:vAlign w:val="center"/>
          </w:tcPr>
          <w:p w:rsidR="00BB52D7" w:rsidRDefault="00E33AE6">
            <w:pPr>
              <w:spacing w:after="0" w:line="259" w:lineRule="auto"/>
              <w:ind w:left="0" w:right="56" w:firstLine="0"/>
              <w:jc w:val="right"/>
            </w:pPr>
            <w:r>
              <w:rPr>
                <w:sz w:val="22"/>
              </w:rPr>
              <w:t xml:space="preserve">0%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1159"/>
        </w:trPr>
        <w:tc>
          <w:tcPr>
            <w:tcW w:w="4266" w:type="dxa"/>
            <w:tcBorders>
              <w:top w:val="single" w:sz="4" w:space="0" w:color="FFFFFF"/>
              <w:left w:val="single" w:sz="8"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Blackrock asset management (Ireland)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118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7" w:firstLine="0"/>
              <w:jc w:val="right"/>
            </w:pPr>
            <w:r>
              <w:rPr>
                <w:sz w:val="22"/>
              </w:rPr>
              <w:t xml:space="preserve">47,595 </w:t>
            </w:r>
          </w:p>
        </w:tc>
        <w:tc>
          <w:tcPr>
            <w:tcW w:w="939" w:type="dxa"/>
            <w:tcBorders>
              <w:top w:val="single" w:sz="4" w:space="0" w:color="FFFFFF"/>
              <w:left w:val="single" w:sz="4" w:space="0" w:color="000000"/>
              <w:bottom w:val="single" w:sz="4" w:space="0" w:color="000000"/>
              <w:right w:val="single" w:sz="4" w:space="0" w:color="000000"/>
            </w:tcBorders>
            <w:vAlign w:val="center"/>
          </w:tcPr>
          <w:p w:rsidR="00BB52D7" w:rsidRDefault="00E33AE6">
            <w:pPr>
              <w:spacing w:after="0" w:line="259" w:lineRule="auto"/>
              <w:ind w:left="0" w:right="56" w:firstLine="0"/>
              <w:jc w:val="right"/>
            </w:pPr>
            <w:r>
              <w:rPr>
                <w:sz w:val="22"/>
              </w:rPr>
              <w:t xml:space="preserve">0%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bl>
    <w:p w:rsidR="00BB52D7" w:rsidRDefault="00BB52D7">
      <w:pPr>
        <w:spacing w:after="0" w:line="259" w:lineRule="auto"/>
        <w:ind w:left="-1134" w:right="499" w:firstLine="0"/>
        <w:jc w:val="left"/>
      </w:pPr>
    </w:p>
    <w:tbl>
      <w:tblPr>
        <w:tblStyle w:val="TableGrid"/>
        <w:tblW w:w="14641" w:type="dxa"/>
        <w:tblInd w:w="-2" w:type="dxa"/>
        <w:tblCellMar>
          <w:top w:w="0" w:type="dxa"/>
          <w:left w:w="67" w:type="dxa"/>
          <w:bottom w:w="15" w:type="dxa"/>
          <w:right w:w="14" w:type="dxa"/>
        </w:tblCellMar>
        <w:tblLook w:val="04A0" w:firstRow="1" w:lastRow="0" w:firstColumn="1" w:lastColumn="0" w:noHBand="0" w:noVBand="1"/>
      </w:tblPr>
      <w:tblGrid>
        <w:gridCol w:w="4266"/>
        <w:gridCol w:w="3296"/>
        <w:gridCol w:w="1748"/>
        <w:gridCol w:w="1183"/>
        <w:gridCol w:w="939"/>
        <w:gridCol w:w="1045"/>
        <w:gridCol w:w="1058"/>
        <w:gridCol w:w="1106"/>
      </w:tblGrid>
      <w:tr w:rsidR="00BB52D7">
        <w:trPr>
          <w:trHeight w:val="1153"/>
        </w:trPr>
        <w:tc>
          <w:tcPr>
            <w:tcW w:w="4266" w:type="dxa"/>
            <w:tcBorders>
              <w:top w:val="nil"/>
              <w:left w:val="single" w:sz="8" w:space="0" w:color="000000"/>
              <w:bottom w:val="single" w:sz="8" w:space="0" w:color="000000"/>
              <w:right w:val="single" w:sz="4" w:space="0" w:color="000000"/>
            </w:tcBorders>
            <w:vAlign w:val="center"/>
          </w:tcPr>
          <w:p w:rsidR="00BB52D7" w:rsidRDefault="00E33AE6">
            <w:pPr>
              <w:spacing w:after="0" w:line="259" w:lineRule="auto"/>
              <w:ind w:left="0" w:firstLine="0"/>
              <w:jc w:val="left"/>
            </w:pPr>
            <w:r>
              <w:rPr>
                <w:sz w:val="22"/>
              </w:rPr>
              <w:t xml:space="preserve">Blackrockfund management </w:t>
            </w:r>
          </w:p>
        </w:tc>
        <w:tc>
          <w:tcPr>
            <w:tcW w:w="3296" w:type="dxa"/>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1748" w:type="dxa"/>
            <w:tcBorders>
              <w:top w:val="nil"/>
              <w:left w:val="single" w:sz="4" w:space="0" w:color="000000"/>
              <w:bottom w:val="single" w:sz="8" w:space="0" w:color="000000"/>
              <w:right w:val="single" w:sz="4" w:space="0" w:color="000000"/>
            </w:tcBorders>
            <w:vAlign w:val="bottom"/>
          </w:tcPr>
          <w:p w:rsidR="00BB52D7" w:rsidRDefault="00BB52D7">
            <w:pPr>
              <w:spacing w:after="160" w:line="259" w:lineRule="auto"/>
              <w:ind w:left="0" w:firstLine="0"/>
              <w:jc w:val="left"/>
            </w:pPr>
          </w:p>
        </w:tc>
        <w:tc>
          <w:tcPr>
            <w:tcW w:w="1183" w:type="dxa"/>
            <w:tcBorders>
              <w:top w:val="nil"/>
              <w:left w:val="single" w:sz="4" w:space="0" w:color="000000"/>
              <w:bottom w:val="single" w:sz="8" w:space="0" w:color="000000"/>
              <w:right w:val="single" w:sz="4" w:space="0" w:color="000000"/>
            </w:tcBorders>
            <w:vAlign w:val="center"/>
          </w:tcPr>
          <w:p w:rsidR="00BB52D7" w:rsidRDefault="00E33AE6">
            <w:pPr>
              <w:spacing w:after="0" w:line="259" w:lineRule="auto"/>
              <w:ind w:left="0" w:right="57" w:firstLine="0"/>
              <w:jc w:val="right"/>
            </w:pPr>
            <w:r>
              <w:rPr>
                <w:sz w:val="22"/>
              </w:rPr>
              <w:t xml:space="preserve">50,672 </w:t>
            </w:r>
          </w:p>
        </w:tc>
        <w:tc>
          <w:tcPr>
            <w:tcW w:w="939" w:type="dxa"/>
            <w:tcBorders>
              <w:top w:val="nil"/>
              <w:left w:val="single" w:sz="4" w:space="0" w:color="000000"/>
              <w:bottom w:val="single" w:sz="8" w:space="0" w:color="000000"/>
              <w:right w:val="single" w:sz="4" w:space="0" w:color="000000"/>
            </w:tcBorders>
            <w:vAlign w:val="center"/>
          </w:tcPr>
          <w:p w:rsidR="00BB52D7" w:rsidRDefault="00E33AE6">
            <w:pPr>
              <w:spacing w:after="0" w:line="259" w:lineRule="auto"/>
              <w:ind w:left="0" w:right="56" w:firstLine="0"/>
              <w:jc w:val="right"/>
            </w:pPr>
            <w:r>
              <w:rPr>
                <w:sz w:val="22"/>
              </w:rPr>
              <w:t xml:space="preserve">0% </w:t>
            </w:r>
          </w:p>
        </w:tc>
        <w:tc>
          <w:tcPr>
            <w:tcW w:w="1045" w:type="dxa"/>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1106" w:type="dxa"/>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634"/>
        </w:trPr>
        <w:tc>
          <w:tcPr>
            <w:tcW w:w="4266" w:type="dxa"/>
            <w:tcBorders>
              <w:top w:val="single" w:sz="8" w:space="0" w:color="000000"/>
              <w:left w:val="single" w:sz="8" w:space="0" w:color="000000"/>
              <w:bottom w:val="single" w:sz="8" w:space="0" w:color="000000"/>
              <w:right w:val="single" w:sz="4" w:space="0" w:color="000000"/>
            </w:tcBorders>
            <w:vAlign w:val="bottom"/>
          </w:tcPr>
          <w:p w:rsidR="00BB52D7" w:rsidRDefault="00E33AE6">
            <w:pPr>
              <w:spacing w:after="0" w:line="259" w:lineRule="auto"/>
              <w:ind w:left="0" w:firstLine="0"/>
              <w:jc w:val="left"/>
            </w:pPr>
            <w:r>
              <w:rPr>
                <w:sz w:val="22"/>
              </w:rPr>
              <w:t xml:space="preserve">BlueBay Funds Management Company S.A. </w:t>
            </w:r>
          </w:p>
        </w:tc>
        <w:tc>
          <w:tcPr>
            <w:tcW w:w="3296"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7" w:firstLine="0"/>
              <w:jc w:val="right"/>
            </w:pPr>
            <w:r>
              <w:rPr>
                <w:sz w:val="22"/>
              </w:rPr>
              <w:t xml:space="preserve">28,667 </w:t>
            </w:r>
          </w:p>
        </w:tc>
        <w:tc>
          <w:tcPr>
            <w:tcW w:w="939"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vAlign w:val="bottom"/>
          </w:tcPr>
          <w:p w:rsidR="00BB52D7" w:rsidRDefault="00E33AE6">
            <w:pPr>
              <w:spacing w:after="0" w:line="259" w:lineRule="auto"/>
              <w:ind w:left="2" w:firstLine="0"/>
              <w:jc w:val="left"/>
            </w:pPr>
            <w:r>
              <w:rPr>
                <w:sz w:val="22"/>
              </w:rPr>
              <w:t xml:space="preserve">NA </w:t>
            </w:r>
          </w:p>
        </w:tc>
      </w:tr>
      <w:tr w:rsidR="00BB52D7">
        <w:trPr>
          <w:trHeight w:val="1227"/>
        </w:trPr>
        <w:tc>
          <w:tcPr>
            <w:tcW w:w="4266" w:type="dxa"/>
            <w:tcBorders>
              <w:top w:val="single" w:sz="8"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BNP Paribas Asset Management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3" w:firstLine="0"/>
              <w:jc w:val="left"/>
            </w:pPr>
            <w:r>
              <w:rPr>
                <w:b/>
                <w:sz w:val="22"/>
              </w:rPr>
              <w:t xml:space="preserve">BNP Paribas Securities Services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b/>
                <w:sz w:val="22"/>
              </w:rPr>
              <w:t xml:space="preserve">BNP Paribas </w:t>
            </w:r>
          </w:p>
        </w:tc>
        <w:tc>
          <w:tcPr>
            <w:tcW w:w="1183" w:type="dxa"/>
            <w:vMerge w:val="restart"/>
            <w:tcBorders>
              <w:top w:val="single" w:sz="8" w:space="0" w:color="000000"/>
              <w:left w:val="single" w:sz="4" w:space="0" w:color="000000"/>
              <w:bottom w:val="single" w:sz="4" w:space="0" w:color="8DB4E2"/>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185,000 </w:t>
            </w:r>
          </w:p>
        </w:tc>
        <w:tc>
          <w:tcPr>
            <w:tcW w:w="939" w:type="dxa"/>
            <w:vMerge w:val="restart"/>
            <w:tcBorders>
              <w:top w:val="single" w:sz="8" w:space="0" w:color="000000"/>
              <w:left w:val="single" w:sz="4" w:space="0" w:color="000000"/>
              <w:bottom w:val="single" w:sz="4" w:space="0" w:color="8DB4E2"/>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99% </w:t>
            </w:r>
          </w:p>
        </w:tc>
        <w:tc>
          <w:tcPr>
            <w:tcW w:w="1045" w:type="dxa"/>
            <w:vMerge w:val="restart"/>
            <w:tcBorders>
              <w:top w:val="single" w:sz="8" w:space="0" w:color="000000"/>
              <w:left w:val="single" w:sz="4" w:space="0" w:color="000000"/>
              <w:bottom w:val="single" w:sz="4" w:space="0" w:color="8DB4E2"/>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183,594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b/>
                <w:sz w:val="22"/>
              </w:rPr>
              <w:t xml:space="preserve">405,431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47% </w:t>
            </w:r>
          </w:p>
        </w:tc>
      </w:tr>
      <w:tr w:rsidR="00BB52D7">
        <w:trPr>
          <w:trHeight w:val="1475"/>
        </w:trPr>
        <w:tc>
          <w:tcPr>
            <w:tcW w:w="4266" w:type="dxa"/>
            <w:tcBorders>
              <w:top w:val="single" w:sz="4"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BNP Paribas Gestion de Inversiones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1235"/>
        </w:trPr>
        <w:tc>
          <w:tcPr>
            <w:tcW w:w="4266" w:type="dxa"/>
            <w:tcBorders>
              <w:top w:val="single" w:sz="4"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BNP Paribas Investment Partners Lux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1235"/>
        </w:trPr>
        <w:tc>
          <w:tcPr>
            <w:tcW w:w="4266" w:type="dxa"/>
            <w:tcBorders>
              <w:top w:val="single" w:sz="4"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lastRenderedPageBreak/>
              <w:t xml:space="preserve">BNP Paribas Investment Partners SGR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1241"/>
        </w:trPr>
        <w:tc>
          <w:tcPr>
            <w:tcW w:w="4266" w:type="dxa"/>
            <w:tcBorders>
              <w:top w:val="single" w:sz="4"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BNPP IP Belgium SA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4" w:space="0" w:color="8DB4E2"/>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4" w:space="0" w:color="8DB4E2"/>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4" w:space="0" w:color="8DB4E2"/>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722"/>
        </w:trPr>
        <w:tc>
          <w:tcPr>
            <w:tcW w:w="4266" w:type="dxa"/>
            <w:tcBorders>
              <w:top w:val="single" w:sz="4"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THEAM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1183" w:type="dxa"/>
            <w:tcBorders>
              <w:top w:val="single" w:sz="4" w:space="0" w:color="8DB4E2"/>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8,014 </w:t>
            </w:r>
          </w:p>
        </w:tc>
        <w:tc>
          <w:tcPr>
            <w:tcW w:w="939" w:type="dxa"/>
            <w:tcBorders>
              <w:top w:val="single" w:sz="4" w:space="0" w:color="8DB4E2"/>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4" w:space="0" w:color="8DB4E2"/>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8,014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bl>
    <w:p w:rsidR="00BB52D7" w:rsidRDefault="00BB52D7">
      <w:pPr>
        <w:spacing w:after="0" w:line="259" w:lineRule="auto"/>
        <w:ind w:left="-1134" w:right="499" w:firstLine="0"/>
        <w:jc w:val="left"/>
      </w:pPr>
    </w:p>
    <w:tbl>
      <w:tblPr>
        <w:tblStyle w:val="TableGrid"/>
        <w:tblW w:w="14641" w:type="dxa"/>
        <w:tblInd w:w="-2" w:type="dxa"/>
        <w:tblCellMar>
          <w:top w:w="19" w:type="dxa"/>
          <w:left w:w="67" w:type="dxa"/>
          <w:bottom w:w="11" w:type="dxa"/>
          <w:right w:w="14" w:type="dxa"/>
        </w:tblCellMar>
        <w:tblLook w:val="04A0" w:firstRow="1" w:lastRow="0" w:firstColumn="1" w:lastColumn="0" w:noHBand="0" w:noVBand="1"/>
      </w:tblPr>
      <w:tblGrid>
        <w:gridCol w:w="4266"/>
        <w:gridCol w:w="3296"/>
        <w:gridCol w:w="1748"/>
        <w:gridCol w:w="1183"/>
        <w:gridCol w:w="939"/>
        <w:gridCol w:w="1045"/>
        <w:gridCol w:w="1058"/>
        <w:gridCol w:w="1106"/>
      </w:tblGrid>
      <w:tr w:rsidR="00BB52D7">
        <w:trPr>
          <w:trHeight w:val="980"/>
        </w:trPr>
        <w:tc>
          <w:tcPr>
            <w:tcW w:w="4266" w:type="dxa"/>
            <w:tcBorders>
              <w:top w:val="nil"/>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sz w:val="22"/>
              </w:rPr>
              <w:t xml:space="preserve">BNY Mellon Service KAG </w:t>
            </w:r>
          </w:p>
        </w:tc>
        <w:tc>
          <w:tcPr>
            <w:tcW w:w="3296"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39" w:lineRule="auto"/>
              <w:ind w:left="3" w:firstLine="0"/>
              <w:jc w:val="left"/>
            </w:pPr>
            <w:r>
              <w:rPr>
                <w:sz w:val="22"/>
              </w:rPr>
              <w:t xml:space="preserve">The Bank of New York Mellon SA/NV, Asset Servicing, Niederl. </w:t>
            </w:r>
          </w:p>
          <w:p w:rsidR="00BB52D7" w:rsidRDefault="00E33AE6">
            <w:pPr>
              <w:spacing w:after="0" w:line="259" w:lineRule="auto"/>
              <w:ind w:left="3" w:firstLine="0"/>
              <w:jc w:val="left"/>
            </w:pPr>
            <w:r>
              <w:rPr>
                <w:sz w:val="22"/>
              </w:rPr>
              <w:t xml:space="preserve">Frankfurt am Main </w:t>
            </w:r>
          </w:p>
        </w:tc>
        <w:tc>
          <w:tcPr>
            <w:tcW w:w="1748"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sz w:val="22"/>
              </w:rPr>
              <w:t xml:space="preserve">Bank of NY Meelon </w:t>
            </w:r>
          </w:p>
        </w:tc>
        <w:tc>
          <w:tcPr>
            <w:tcW w:w="1183"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sz w:val="22"/>
              </w:rPr>
              <w:t xml:space="preserve">82,321 </w:t>
            </w:r>
          </w:p>
        </w:tc>
        <w:tc>
          <w:tcPr>
            <w:tcW w:w="939"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sz w:val="22"/>
              </w:rPr>
              <w:t xml:space="preserve">41% </w:t>
            </w:r>
          </w:p>
        </w:tc>
        <w:tc>
          <w:tcPr>
            <w:tcW w:w="1045"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sz w:val="22"/>
              </w:rPr>
              <w:t xml:space="preserve">33,752 </w:t>
            </w:r>
          </w:p>
        </w:tc>
        <w:tc>
          <w:tcPr>
            <w:tcW w:w="1058"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sz w:val="22"/>
              </w:rPr>
              <w:t xml:space="preserve">620,228 </w:t>
            </w:r>
          </w:p>
        </w:tc>
        <w:tc>
          <w:tcPr>
            <w:tcW w:w="1106" w:type="dxa"/>
            <w:vMerge w:val="restart"/>
            <w:tcBorders>
              <w:top w:val="nil"/>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4" w:firstLine="0"/>
              <w:jc w:val="right"/>
            </w:pPr>
            <w:r>
              <w:rPr>
                <w:sz w:val="22"/>
              </w:rPr>
              <w:t xml:space="preserve">5% </w:t>
            </w:r>
          </w:p>
        </w:tc>
      </w:tr>
      <w:tr w:rsidR="00BB52D7">
        <w:trPr>
          <w:trHeight w:val="995"/>
        </w:trPr>
        <w:tc>
          <w:tcPr>
            <w:tcW w:w="4266" w:type="dxa"/>
            <w:tcBorders>
              <w:top w:val="single" w:sz="4"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sz w:val="22"/>
              </w:rPr>
              <w:t xml:space="preserve">BNY Mellon Asset Management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1000"/>
        </w:trPr>
        <w:tc>
          <w:tcPr>
            <w:tcW w:w="4266" w:type="dxa"/>
            <w:tcBorders>
              <w:top w:val="single" w:sz="4"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sz w:val="22"/>
              </w:rPr>
              <w:t xml:space="preserve">BNY Mellon Funds Management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996"/>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BPI Gestao de Activos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Banco BPI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BPI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1,018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1,018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1,018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320"/>
        </w:trPr>
        <w:tc>
          <w:tcPr>
            <w:tcW w:w="4266" w:type="dxa"/>
            <w:tcBorders>
              <w:top w:val="single" w:sz="8"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jc w:val="left"/>
            </w:pPr>
            <w:r>
              <w:rPr>
                <w:b/>
                <w:sz w:val="22"/>
              </w:rPr>
              <w:t xml:space="preserve">Caixagest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3" w:firstLine="0"/>
              <w:jc w:val="left"/>
            </w:pPr>
            <w:r>
              <w:rPr>
                <w:b/>
                <w:sz w:val="22"/>
              </w:rPr>
              <w:t xml:space="preserve">Caixa Geral de Depositos,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8" w:firstLine="0"/>
              <w:jc w:val="right"/>
            </w:pPr>
            <w:r>
              <w:rPr>
                <w:b/>
                <w:sz w:val="22"/>
              </w:rPr>
              <w:t xml:space="preserve">CGD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6" w:firstLine="0"/>
              <w:jc w:val="right"/>
            </w:pPr>
            <w:r>
              <w:rPr>
                <w:b/>
                <w:sz w:val="22"/>
              </w:rPr>
              <w:t xml:space="preserve">2,211 </w:t>
            </w:r>
          </w:p>
        </w:tc>
        <w:tc>
          <w:tcPr>
            <w:tcW w:w="939"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2,211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2,211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tcPr>
          <w:p w:rsidR="00BB52D7" w:rsidRDefault="00E33AE6">
            <w:pPr>
              <w:spacing w:after="0" w:line="259" w:lineRule="auto"/>
              <w:ind w:left="0" w:right="54" w:firstLine="0"/>
              <w:jc w:val="right"/>
            </w:pPr>
            <w:r>
              <w:rPr>
                <w:b/>
                <w:sz w:val="22"/>
              </w:rPr>
              <w:t xml:space="preserve">100% </w:t>
            </w:r>
          </w:p>
        </w:tc>
      </w:tr>
      <w:tr w:rsidR="00BB52D7">
        <w:trPr>
          <w:trHeight w:val="526"/>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Caja Espana fondos, SGIIC </w:t>
            </w:r>
          </w:p>
        </w:tc>
        <w:tc>
          <w:tcPr>
            <w:tcW w:w="3296" w:type="dxa"/>
            <w:tcBorders>
              <w:top w:val="single" w:sz="8" w:space="0" w:color="000000"/>
              <w:left w:val="single" w:sz="4" w:space="0" w:color="000000"/>
              <w:bottom w:val="single" w:sz="4" w:space="0" w:color="D9D9D9"/>
              <w:right w:val="single" w:sz="4" w:space="0" w:color="000000"/>
            </w:tcBorders>
            <w:shd w:val="clear" w:color="auto" w:fill="D9D9D9"/>
          </w:tcPr>
          <w:p w:rsidR="00BB52D7" w:rsidRDefault="00E33AE6">
            <w:pPr>
              <w:spacing w:after="0" w:line="259" w:lineRule="auto"/>
              <w:ind w:left="3" w:firstLine="0"/>
              <w:jc w:val="left"/>
            </w:pPr>
            <w:r>
              <w:rPr>
                <w:b/>
                <w:sz w:val="22"/>
              </w:rPr>
              <w:t xml:space="preserve">Banco de Caja Espana De Inversiones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Unijaca Banco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1,181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1,181</w:t>
            </w:r>
            <w:r>
              <w:rPr>
                <w:b/>
                <w:sz w:val="22"/>
              </w:rPr>
              <w:t xml:space="preserve">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1,181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320"/>
        </w:trPr>
        <w:tc>
          <w:tcPr>
            <w:tcW w:w="4266" w:type="dxa"/>
            <w:vMerge w:val="restart"/>
            <w:tcBorders>
              <w:top w:val="single" w:sz="4"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Unigest </w:t>
            </w:r>
          </w:p>
        </w:tc>
        <w:tc>
          <w:tcPr>
            <w:tcW w:w="3296" w:type="dxa"/>
            <w:tcBorders>
              <w:top w:val="single" w:sz="4" w:space="0" w:color="D9D9D9"/>
              <w:left w:val="single" w:sz="4" w:space="0" w:color="000000"/>
              <w:bottom w:val="single" w:sz="4" w:space="0" w:color="D9D9D9"/>
              <w:right w:val="single" w:sz="4" w:space="0" w:color="000000"/>
            </w:tcBorders>
            <w:shd w:val="clear" w:color="auto" w:fill="D9D9D9"/>
          </w:tcPr>
          <w:p w:rsidR="00BB52D7" w:rsidRDefault="00E33AE6">
            <w:pPr>
              <w:spacing w:after="0" w:line="259" w:lineRule="auto"/>
              <w:ind w:left="3" w:firstLine="0"/>
              <w:jc w:val="left"/>
            </w:pPr>
            <w:r>
              <w:rPr>
                <w:b/>
                <w:sz w:val="22"/>
              </w:rPr>
              <w:t xml:space="preserve">Salamance Y Soria, S.A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335"/>
        </w:trPr>
        <w:tc>
          <w:tcPr>
            <w:tcW w:w="0" w:type="auto"/>
            <w:vMerge/>
            <w:tcBorders>
              <w:top w:val="nil"/>
              <w:left w:val="single" w:sz="8"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3296" w:type="dxa"/>
            <w:tcBorders>
              <w:top w:val="single" w:sz="4" w:space="0" w:color="D9D9D9"/>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3" w:firstLine="0"/>
              <w:jc w:val="left"/>
            </w:pPr>
            <w:r>
              <w:rPr>
                <w:b/>
                <w:sz w:val="22"/>
              </w:rPr>
              <w:t xml:space="preserve">Unicaja Banco, S.A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780"/>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Caja ingenieros gestion,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3" w:firstLine="0"/>
              <w:jc w:val="left"/>
            </w:pPr>
            <w:r>
              <w:rPr>
                <w:b/>
                <w:sz w:val="22"/>
              </w:rPr>
              <w:t xml:space="preserve">Caja de Credito de Los ingenieros, S.coop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2" w:firstLine="0"/>
              <w:jc w:val="left"/>
            </w:pPr>
            <w:r>
              <w:rPr>
                <w:b/>
                <w:sz w:val="22"/>
              </w:rPr>
              <w:t xml:space="preserve">Caja De </w:t>
            </w:r>
          </w:p>
          <w:p w:rsidR="00BB52D7" w:rsidRDefault="00E33AE6">
            <w:pPr>
              <w:spacing w:after="0" w:line="259" w:lineRule="auto"/>
              <w:ind w:left="2" w:firstLine="0"/>
              <w:jc w:val="left"/>
            </w:pPr>
            <w:r>
              <w:rPr>
                <w:b/>
                <w:sz w:val="22"/>
              </w:rPr>
              <w:t xml:space="preserve">Creditos De Los Ingenieros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6" w:firstLine="0"/>
              <w:jc w:val="right"/>
            </w:pPr>
            <w:r>
              <w:rPr>
                <w:b/>
                <w:sz w:val="22"/>
              </w:rPr>
              <w:t xml:space="preserve">0,237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0,237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0,237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320"/>
        </w:trPr>
        <w:tc>
          <w:tcPr>
            <w:tcW w:w="4266" w:type="dxa"/>
            <w:vMerge w:val="restart"/>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Caja laboral gestion, SGIIC </w:t>
            </w:r>
          </w:p>
        </w:tc>
        <w:tc>
          <w:tcPr>
            <w:tcW w:w="3296" w:type="dxa"/>
            <w:tcBorders>
              <w:top w:val="single" w:sz="8" w:space="0" w:color="000000"/>
              <w:left w:val="single" w:sz="4" w:space="0" w:color="000000"/>
              <w:bottom w:val="single" w:sz="4" w:space="0" w:color="D9D9D9"/>
              <w:right w:val="single" w:sz="4" w:space="0" w:color="000000"/>
            </w:tcBorders>
            <w:shd w:val="clear" w:color="auto" w:fill="D9D9D9"/>
          </w:tcPr>
          <w:p w:rsidR="00BB52D7" w:rsidRDefault="00E33AE6">
            <w:pPr>
              <w:spacing w:after="0" w:line="259" w:lineRule="auto"/>
              <w:ind w:left="3" w:firstLine="0"/>
              <w:jc w:val="left"/>
            </w:pPr>
            <w:r>
              <w:rPr>
                <w:b/>
                <w:sz w:val="22"/>
              </w:rPr>
              <w:t xml:space="preserve">Caja laboral popular coop.DE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Caja laboral popular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0,228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0,228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0,228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335"/>
        </w:trPr>
        <w:tc>
          <w:tcPr>
            <w:tcW w:w="0" w:type="auto"/>
            <w:vMerge/>
            <w:tcBorders>
              <w:top w:val="nil"/>
              <w:left w:val="single" w:sz="8"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3296" w:type="dxa"/>
            <w:tcBorders>
              <w:top w:val="single" w:sz="4" w:space="0" w:color="D9D9D9"/>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3" w:firstLine="0"/>
              <w:jc w:val="left"/>
            </w:pPr>
            <w:r>
              <w:rPr>
                <w:b/>
                <w:sz w:val="22"/>
              </w:rPr>
              <w:t xml:space="preserve">credito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8"/>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Carmignac Gestion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47,650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989"/>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CM-CIC Asset Management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Banque Fédérative du credit Mutuel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Crédit Mutuel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43,134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43,082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43,198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bl>
    <w:p w:rsidR="00BB52D7" w:rsidRDefault="00BB52D7">
      <w:pPr>
        <w:spacing w:after="0" w:line="259" w:lineRule="auto"/>
        <w:ind w:left="-1134" w:right="499" w:firstLine="0"/>
        <w:jc w:val="left"/>
      </w:pPr>
    </w:p>
    <w:tbl>
      <w:tblPr>
        <w:tblStyle w:val="TableGrid"/>
        <w:tblW w:w="14641" w:type="dxa"/>
        <w:tblInd w:w="-2" w:type="dxa"/>
        <w:tblCellMar>
          <w:top w:w="19" w:type="dxa"/>
          <w:left w:w="0" w:type="dxa"/>
          <w:bottom w:w="12" w:type="dxa"/>
          <w:right w:w="14" w:type="dxa"/>
        </w:tblCellMar>
        <w:tblLook w:val="04A0" w:firstRow="1" w:lastRow="0" w:firstColumn="1" w:lastColumn="0" w:noHBand="0" w:noVBand="1"/>
      </w:tblPr>
      <w:tblGrid>
        <w:gridCol w:w="4266"/>
        <w:gridCol w:w="3296"/>
        <w:gridCol w:w="1748"/>
        <w:gridCol w:w="1183"/>
        <w:gridCol w:w="939"/>
        <w:gridCol w:w="1045"/>
        <w:gridCol w:w="1058"/>
        <w:gridCol w:w="488"/>
        <w:gridCol w:w="618"/>
      </w:tblGrid>
      <w:tr w:rsidR="00BB52D7">
        <w:trPr>
          <w:trHeight w:val="985"/>
        </w:trPr>
        <w:tc>
          <w:tcPr>
            <w:tcW w:w="4266" w:type="dxa"/>
            <w:tcBorders>
              <w:top w:val="nil"/>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Credito Agricola Gest </w:t>
            </w:r>
          </w:p>
        </w:tc>
        <w:tc>
          <w:tcPr>
            <w:tcW w:w="3296" w:type="dxa"/>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Caixa Central de Credito Agricola Mutuo, Crl </w:t>
            </w:r>
          </w:p>
        </w:tc>
        <w:tc>
          <w:tcPr>
            <w:tcW w:w="1748" w:type="dxa"/>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CCCAM </w:t>
            </w:r>
          </w:p>
        </w:tc>
        <w:tc>
          <w:tcPr>
            <w:tcW w:w="1183" w:type="dxa"/>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0,370 </w:t>
            </w:r>
          </w:p>
        </w:tc>
        <w:tc>
          <w:tcPr>
            <w:tcW w:w="939" w:type="dxa"/>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0,370 </w:t>
            </w:r>
          </w:p>
        </w:tc>
        <w:tc>
          <w:tcPr>
            <w:tcW w:w="1058" w:type="dxa"/>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0,370 </w:t>
            </w:r>
          </w:p>
        </w:tc>
        <w:tc>
          <w:tcPr>
            <w:tcW w:w="488" w:type="dxa"/>
            <w:tcBorders>
              <w:top w:val="nil"/>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nil"/>
              <w:left w:val="nil"/>
              <w:bottom w:val="single" w:sz="8" w:space="0" w:color="000000"/>
              <w:right w:val="single" w:sz="8" w:space="0" w:color="000000"/>
            </w:tcBorders>
            <w:shd w:val="clear" w:color="auto" w:fill="D9D9D9"/>
            <w:vAlign w:val="center"/>
          </w:tcPr>
          <w:p w:rsidR="00BB52D7" w:rsidRDefault="00E33AE6">
            <w:pPr>
              <w:spacing w:after="0" w:line="259" w:lineRule="auto"/>
              <w:ind w:left="0" w:firstLine="0"/>
            </w:pPr>
            <w:r>
              <w:rPr>
                <w:b/>
                <w:sz w:val="22"/>
              </w:rPr>
              <w:t xml:space="preserve">100% </w:t>
            </w:r>
          </w:p>
        </w:tc>
      </w:tr>
      <w:tr w:rsidR="00BB52D7">
        <w:trPr>
          <w:trHeight w:val="1285"/>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Crédit agricole Mercagestion,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Bankoa,S.A.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1" w:line="238" w:lineRule="auto"/>
              <w:ind w:left="70" w:firstLine="0"/>
              <w:jc w:val="left"/>
            </w:pPr>
            <w:r>
              <w:rPr>
                <w:b/>
                <w:sz w:val="22"/>
              </w:rPr>
              <w:t xml:space="preserve">Caisse Regionale de Credit Agricole / </w:t>
            </w:r>
          </w:p>
          <w:p w:rsidR="00BB52D7" w:rsidRDefault="00E33AE6">
            <w:pPr>
              <w:spacing w:after="0" w:line="259" w:lineRule="auto"/>
              <w:ind w:left="70" w:firstLine="0"/>
            </w:pPr>
            <w:r>
              <w:rPr>
                <w:b/>
                <w:sz w:val="22"/>
              </w:rPr>
              <w:t xml:space="preserve">Mutuel Pyrenees </w:t>
            </w:r>
          </w:p>
          <w:p w:rsidR="00BB52D7" w:rsidRDefault="00E33AE6">
            <w:pPr>
              <w:spacing w:after="0" w:line="259" w:lineRule="auto"/>
              <w:ind w:left="70" w:firstLine="0"/>
              <w:jc w:val="left"/>
            </w:pPr>
            <w:r>
              <w:rPr>
                <w:b/>
                <w:sz w:val="22"/>
              </w:rPr>
              <w:t xml:space="preserve">Gascogne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0,239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0,239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0,239 </w:t>
            </w:r>
          </w:p>
        </w:tc>
        <w:tc>
          <w:tcPr>
            <w:tcW w:w="488"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0" w:firstLine="0"/>
            </w:pPr>
            <w:r>
              <w:rPr>
                <w:b/>
                <w:sz w:val="22"/>
              </w:rPr>
              <w:t xml:space="preserve">100% </w:t>
            </w:r>
          </w:p>
        </w:tc>
      </w:tr>
      <w:tr w:rsidR="00BB52D7">
        <w:trPr>
          <w:trHeight w:val="994"/>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Crédit suisse gestion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Credit suisse AG,SE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Crédit Suisse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25,967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97%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25,188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32,906 </w:t>
            </w:r>
          </w:p>
        </w:tc>
        <w:tc>
          <w:tcPr>
            <w:tcW w:w="488"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09" w:firstLine="0"/>
            </w:pPr>
            <w:r>
              <w:rPr>
                <w:b/>
                <w:sz w:val="22"/>
              </w:rPr>
              <w:t xml:space="preserve">77% </w:t>
            </w:r>
          </w:p>
        </w:tc>
      </w:tr>
      <w:tr w:rsidR="00BB52D7">
        <w:trPr>
          <w:trHeight w:val="316"/>
        </w:trPr>
        <w:tc>
          <w:tcPr>
            <w:tcW w:w="4266" w:type="dxa"/>
            <w:tcBorders>
              <w:top w:val="single" w:sz="8" w:space="0" w:color="000000"/>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67" w:firstLine="0"/>
              <w:jc w:val="left"/>
            </w:pPr>
            <w:r>
              <w:rPr>
                <w:sz w:val="22"/>
              </w:rPr>
              <w:t xml:space="preserve">Danske  Invest Management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Danske Bank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Danske Bank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sz w:val="22"/>
              </w:rPr>
              <w:t xml:space="preserve">49,493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6" w:firstLine="0"/>
              <w:jc w:val="right"/>
            </w:pPr>
            <w:r>
              <w:rPr>
                <w:sz w:val="22"/>
              </w:rPr>
              <w:t xml:space="preserve">35%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sz w:val="22"/>
              </w:rPr>
              <w:t xml:space="preserve">17,323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8" w:firstLine="0"/>
              <w:jc w:val="right"/>
            </w:pPr>
            <w:r>
              <w:rPr>
                <w:sz w:val="22"/>
              </w:rPr>
              <w:t xml:space="preserve">20,677 </w:t>
            </w:r>
          </w:p>
        </w:tc>
        <w:tc>
          <w:tcPr>
            <w:tcW w:w="488"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vMerge w:val="restart"/>
            <w:tcBorders>
              <w:top w:val="single" w:sz="8" w:space="0" w:color="000000"/>
              <w:left w:val="nil"/>
              <w:bottom w:val="single" w:sz="8" w:space="0" w:color="000000"/>
              <w:right w:val="single" w:sz="8" w:space="0" w:color="000000"/>
            </w:tcBorders>
            <w:shd w:val="clear" w:color="auto" w:fill="D9D9D9"/>
            <w:vAlign w:val="bottom"/>
          </w:tcPr>
          <w:p w:rsidR="00BB52D7" w:rsidRDefault="00E33AE6">
            <w:pPr>
              <w:spacing w:after="0" w:line="259" w:lineRule="auto"/>
              <w:ind w:left="146" w:firstLine="0"/>
              <w:jc w:val="left"/>
            </w:pPr>
            <w:r>
              <w:rPr>
                <w:sz w:val="22"/>
              </w:rPr>
              <w:t xml:space="preserve">84% </w:t>
            </w:r>
          </w:p>
        </w:tc>
      </w:tr>
      <w:tr w:rsidR="00BB52D7">
        <w:trPr>
          <w:trHeight w:val="319"/>
        </w:trPr>
        <w:tc>
          <w:tcPr>
            <w:tcW w:w="4266" w:type="dxa"/>
            <w:tcBorders>
              <w:top w:val="single" w:sz="4" w:space="0" w:color="000000"/>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67" w:firstLine="0"/>
              <w:jc w:val="left"/>
            </w:pPr>
            <w:r>
              <w:rPr>
                <w:sz w:val="22"/>
              </w:rPr>
              <w:t>Danske</w:t>
            </w:r>
            <w:r>
              <w:rPr>
                <w:sz w:val="22"/>
              </w:rPr>
              <w:t xml:space="preserve"> Capital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nil"/>
            </w:tcBorders>
          </w:tcPr>
          <w:p w:rsidR="00BB52D7" w:rsidRDefault="00BB52D7">
            <w:pPr>
              <w:spacing w:after="160" w:line="259" w:lineRule="auto"/>
              <w:ind w:left="0" w:firstLine="0"/>
              <w:jc w:val="left"/>
            </w:pPr>
          </w:p>
        </w:tc>
        <w:tc>
          <w:tcPr>
            <w:tcW w:w="0" w:type="auto"/>
            <w:vMerge/>
            <w:tcBorders>
              <w:top w:val="nil"/>
              <w:left w:val="nil"/>
              <w:bottom w:val="nil"/>
              <w:right w:val="single" w:sz="8" w:space="0" w:color="000000"/>
            </w:tcBorders>
          </w:tcPr>
          <w:p w:rsidR="00BB52D7" w:rsidRDefault="00BB52D7">
            <w:pPr>
              <w:spacing w:after="160" w:line="259" w:lineRule="auto"/>
              <w:ind w:left="0" w:firstLine="0"/>
              <w:jc w:val="left"/>
            </w:pPr>
          </w:p>
        </w:tc>
      </w:tr>
      <w:tr w:rsidR="00BB52D7">
        <w:trPr>
          <w:trHeight w:val="320"/>
        </w:trPr>
        <w:tc>
          <w:tcPr>
            <w:tcW w:w="4266" w:type="dxa"/>
            <w:tcBorders>
              <w:top w:val="single" w:sz="4" w:space="0" w:color="000000"/>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67" w:firstLine="0"/>
              <w:jc w:val="left"/>
            </w:pPr>
            <w:r>
              <w:rPr>
                <w:sz w:val="22"/>
              </w:rPr>
              <w:t xml:space="preserve">Danske fund of funds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nil"/>
            </w:tcBorders>
          </w:tcPr>
          <w:p w:rsidR="00BB52D7" w:rsidRDefault="00BB52D7">
            <w:pPr>
              <w:spacing w:after="160" w:line="259" w:lineRule="auto"/>
              <w:ind w:left="0" w:firstLine="0"/>
              <w:jc w:val="left"/>
            </w:pPr>
          </w:p>
        </w:tc>
        <w:tc>
          <w:tcPr>
            <w:tcW w:w="0" w:type="auto"/>
            <w:vMerge/>
            <w:tcBorders>
              <w:top w:val="nil"/>
              <w:left w:val="nil"/>
              <w:bottom w:val="nil"/>
              <w:right w:val="single" w:sz="8" w:space="0" w:color="000000"/>
            </w:tcBorders>
          </w:tcPr>
          <w:p w:rsidR="00BB52D7" w:rsidRDefault="00BB52D7">
            <w:pPr>
              <w:spacing w:after="160" w:line="259" w:lineRule="auto"/>
              <w:ind w:left="0" w:firstLine="0"/>
              <w:jc w:val="left"/>
            </w:pPr>
          </w:p>
        </w:tc>
      </w:tr>
      <w:tr w:rsidR="00BB52D7">
        <w:trPr>
          <w:trHeight w:val="340"/>
        </w:trPr>
        <w:tc>
          <w:tcPr>
            <w:tcW w:w="4266" w:type="dxa"/>
            <w:tcBorders>
              <w:top w:val="single" w:sz="4"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67" w:firstLine="0"/>
              <w:jc w:val="left"/>
            </w:pPr>
            <w:r>
              <w:rPr>
                <w:sz w:val="22"/>
              </w:rPr>
              <w:t xml:space="preserve">Dansk invest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16"/>
        </w:trPr>
        <w:tc>
          <w:tcPr>
            <w:tcW w:w="4266" w:type="dxa"/>
            <w:tcBorders>
              <w:top w:val="single" w:sz="8" w:space="0" w:color="000000"/>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67" w:firstLine="0"/>
              <w:jc w:val="left"/>
            </w:pPr>
            <w:r>
              <w:rPr>
                <w:b/>
                <w:sz w:val="22"/>
              </w:rPr>
              <w:t xml:space="preserve">Deka Investment Gmbh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Deka Deutsche Girozentrale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Deka Bank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58,970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96%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56,611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58,842 </w:t>
            </w:r>
          </w:p>
        </w:tc>
        <w:tc>
          <w:tcPr>
            <w:tcW w:w="488"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vMerge w:val="restart"/>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09" w:firstLine="0"/>
            </w:pPr>
            <w:r>
              <w:rPr>
                <w:b/>
                <w:sz w:val="22"/>
              </w:rPr>
              <w:t xml:space="preserve">96% </w:t>
            </w:r>
          </w:p>
        </w:tc>
      </w:tr>
      <w:tr w:rsidR="00BB52D7">
        <w:trPr>
          <w:trHeight w:val="340"/>
        </w:trPr>
        <w:tc>
          <w:tcPr>
            <w:tcW w:w="4266" w:type="dxa"/>
            <w:tcBorders>
              <w:top w:val="single" w:sz="4"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67" w:firstLine="0"/>
              <w:jc w:val="left"/>
            </w:pPr>
            <w:r>
              <w:rPr>
                <w:b/>
                <w:sz w:val="22"/>
              </w:rPr>
              <w:lastRenderedPageBreak/>
              <w:t xml:space="preserve">Deka International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556"/>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Degroof fund Management Company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Banque Degroof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Degroof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13,451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13,451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13,451 </w:t>
            </w:r>
          </w:p>
        </w:tc>
        <w:tc>
          <w:tcPr>
            <w:tcW w:w="488"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vMerge w:val="restart"/>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0" w:firstLine="0"/>
            </w:pPr>
            <w:r>
              <w:rPr>
                <w:b/>
                <w:sz w:val="22"/>
              </w:rPr>
              <w:t xml:space="preserve">100% </w:t>
            </w:r>
          </w:p>
        </w:tc>
      </w:tr>
      <w:tr w:rsidR="00BB52D7">
        <w:trPr>
          <w:trHeight w:val="319"/>
        </w:trPr>
        <w:tc>
          <w:tcPr>
            <w:tcW w:w="4266" w:type="dxa"/>
            <w:tcBorders>
              <w:top w:val="single" w:sz="4" w:space="0" w:color="000000"/>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67" w:firstLine="0"/>
              <w:jc w:val="left"/>
            </w:pPr>
            <w:r>
              <w:rPr>
                <w:b/>
                <w:sz w:val="22"/>
              </w:rPr>
              <w:t xml:space="preserve">Bank Degroof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nil"/>
            </w:tcBorders>
          </w:tcPr>
          <w:p w:rsidR="00BB52D7" w:rsidRDefault="00BB52D7">
            <w:pPr>
              <w:spacing w:after="160" w:line="259" w:lineRule="auto"/>
              <w:ind w:left="0" w:firstLine="0"/>
              <w:jc w:val="left"/>
            </w:pPr>
          </w:p>
        </w:tc>
        <w:tc>
          <w:tcPr>
            <w:tcW w:w="0" w:type="auto"/>
            <w:vMerge/>
            <w:tcBorders>
              <w:top w:val="nil"/>
              <w:left w:val="nil"/>
              <w:bottom w:val="nil"/>
              <w:right w:val="single" w:sz="8" w:space="0" w:color="000000"/>
            </w:tcBorders>
          </w:tcPr>
          <w:p w:rsidR="00BB52D7" w:rsidRDefault="00BB52D7">
            <w:pPr>
              <w:spacing w:after="160" w:line="259" w:lineRule="auto"/>
              <w:ind w:left="0" w:firstLine="0"/>
              <w:jc w:val="left"/>
            </w:pPr>
          </w:p>
        </w:tc>
      </w:tr>
      <w:tr w:rsidR="00BB52D7">
        <w:trPr>
          <w:trHeight w:val="341"/>
        </w:trPr>
        <w:tc>
          <w:tcPr>
            <w:tcW w:w="4266" w:type="dxa"/>
            <w:tcBorders>
              <w:top w:val="single" w:sz="4"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67" w:firstLine="0"/>
              <w:jc w:val="left"/>
            </w:pPr>
            <w:r>
              <w:rPr>
                <w:b/>
                <w:sz w:val="22"/>
              </w:rPr>
              <w:t xml:space="preserve">Banque Degroof Luxembourg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615"/>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sz w:val="22"/>
              </w:rPr>
              <w:t xml:space="preserve">Deutsche Bank asset management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Deutsche Bank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Deutshe Bank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144,179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2%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2,884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5,212 </w:t>
            </w:r>
          </w:p>
        </w:tc>
        <w:tc>
          <w:tcPr>
            <w:tcW w:w="488"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vMerge w:val="restart"/>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46" w:firstLine="0"/>
              <w:jc w:val="left"/>
            </w:pPr>
            <w:r>
              <w:rPr>
                <w:sz w:val="22"/>
              </w:rPr>
              <w:t xml:space="preserve">55% </w:t>
            </w:r>
          </w:p>
        </w:tc>
      </w:tr>
      <w:tr w:rsidR="00BB52D7">
        <w:trPr>
          <w:trHeight w:val="340"/>
        </w:trPr>
        <w:tc>
          <w:tcPr>
            <w:tcW w:w="4266" w:type="dxa"/>
            <w:tcBorders>
              <w:top w:val="single" w:sz="4"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67" w:firstLine="0"/>
              <w:jc w:val="left"/>
            </w:pPr>
            <w:r>
              <w:rPr>
                <w:sz w:val="22"/>
              </w:rPr>
              <w:t>DWS Inves</w:t>
            </w:r>
            <w:r>
              <w:rPr>
                <w:sz w:val="22"/>
              </w:rPr>
              <w:t xml:space="preserve">tments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9"/>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Dimensional Fund Advisors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11,654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4"/>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Eurizon Capital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92,945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497"/>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Erste Sparinvest KAG </w:t>
            </w:r>
          </w:p>
        </w:tc>
        <w:tc>
          <w:tcPr>
            <w:tcW w:w="3296"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Ersts Group Bank AG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Erste Group Bank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14,488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14,475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15,882 </w:t>
            </w:r>
          </w:p>
        </w:tc>
        <w:tc>
          <w:tcPr>
            <w:tcW w:w="488"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vMerge w:val="restart"/>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09" w:firstLine="0"/>
            </w:pPr>
            <w:r>
              <w:rPr>
                <w:b/>
                <w:sz w:val="22"/>
              </w:rPr>
              <w:t xml:space="preserve">91% </w:t>
            </w:r>
          </w:p>
        </w:tc>
      </w:tr>
      <w:tr w:rsidR="00BB52D7">
        <w:trPr>
          <w:trHeight w:val="498"/>
        </w:trPr>
        <w:tc>
          <w:tcPr>
            <w:tcW w:w="426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Erste Asset Management </w:t>
            </w:r>
          </w:p>
        </w:tc>
        <w:tc>
          <w:tcPr>
            <w:tcW w:w="3296" w:type="dxa"/>
            <w:tcBorders>
              <w:top w:val="single" w:sz="4" w:space="0" w:color="D9D9D9"/>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Erste &amp; Steriemärkishe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bl>
    <w:p w:rsidR="00BB52D7" w:rsidRDefault="00BB52D7">
      <w:pPr>
        <w:spacing w:after="0" w:line="259" w:lineRule="auto"/>
        <w:ind w:left="-1134" w:right="499" w:firstLine="0"/>
        <w:jc w:val="left"/>
      </w:pPr>
    </w:p>
    <w:tbl>
      <w:tblPr>
        <w:tblStyle w:val="TableGrid"/>
        <w:tblW w:w="14641" w:type="dxa"/>
        <w:tblInd w:w="-2" w:type="dxa"/>
        <w:tblCellMar>
          <w:top w:w="16" w:type="dxa"/>
          <w:left w:w="67" w:type="dxa"/>
          <w:bottom w:w="11" w:type="dxa"/>
          <w:right w:w="14" w:type="dxa"/>
        </w:tblCellMar>
        <w:tblLook w:val="04A0" w:firstRow="1" w:lastRow="0" w:firstColumn="1" w:lastColumn="0" w:noHBand="0" w:noVBand="1"/>
      </w:tblPr>
      <w:tblGrid>
        <w:gridCol w:w="4265"/>
        <w:gridCol w:w="3297"/>
        <w:gridCol w:w="1748"/>
        <w:gridCol w:w="1183"/>
        <w:gridCol w:w="939"/>
        <w:gridCol w:w="1045"/>
        <w:gridCol w:w="1058"/>
        <w:gridCol w:w="1106"/>
      </w:tblGrid>
      <w:tr w:rsidR="00BB52D7">
        <w:trPr>
          <w:trHeight w:val="490"/>
        </w:trPr>
        <w:tc>
          <w:tcPr>
            <w:tcW w:w="4265" w:type="dxa"/>
            <w:tcBorders>
              <w:top w:val="nil"/>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SAI Erste </w:t>
            </w:r>
          </w:p>
        </w:tc>
        <w:tc>
          <w:tcPr>
            <w:tcW w:w="3297" w:type="dxa"/>
            <w:tcBorders>
              <w:top w:val="nil"/>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BCR Bank </w:t>
            </w:r>
          </w:p>
        </w:tc>
        <w:tc>
          <w:tcPr>
            <w:tcW w:w="1748"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183"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939"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045"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106" w:type="dxa"/>
            <w:tcBorders>
              <w:top w:val="nil"/>
              <w:left w:val="single" w:sz="4" w:space="0" w:color="000000"/>
              <w:bottom w:val="single" w:sz="8" w:space="0" w:color="000000"/>
              <w:right w:val="single" w:sz="8" w:space="0" w:color="000000"/>
            </w:tcBorders>
            <w:shd w:val="clear" w:color="auto" w:fill="D9D9D9"/>
          </w:tcPr>
          <w:p w:rsidR="00BB52D7" w:rsidRDefault="00BB52D7">
            <w:pPr>
              <w:spacing w:after="160" w:line="259" w:lineRule="auto"/>
              <w:ind w:left="0" w:firstLine="0"/>
              <w:jc w:val="left"/>
            </w:pPr>
          </w:p>
        </w:tc>
      </w:tr>
      <w:tr w:rsidR="00BB52D7">
        <w:trPr>
          <w:trHeight w:val="337"/>
        </w:trPr>
        <w:tc>
          <w:tcPr>
            <w:tcW w:w="4265"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Fidelity Investments </w:t>
            </w:r>
          </w:p>
        </w:tc>
        <w:tc>
          <w:tcPr>
            <w:tcW w:w="3297"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4"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118,261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753"/>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Fideuram Gestions SA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Fideuram Bank Lux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Fideuram Bank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27,193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94%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25,673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37,682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68% </w:t>
            </w:r>
          </w:p>
        </w:tc>
      </w:tr>
      <w:tr w:rsidR="00BB52D7">
        <w:trPr>
          <w:trHeight w:val="335"/>
        </w:trPr>
        <w:tc>
          <w:tcPr>
            <w:tcW w:w="4265" w:type="dxa"/>
            <w:tcBorders>
              <w:top w:val="single" w:sz="8"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jc w:val="left"/>
            </w:pPr>
            <w:r>
              <w:rPr>
                <w:sz w:val="22"/>
              </w:rPr>
              <w:t xml:space="preserve">FIM Varainhoito Oy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4" w:firstLine="0"/>
              <w:jc w:val="left"/>
            </w:pPr>
            <w:r>
              <w:rPr>
                <w:sz w:val="22"/>
              </w:rPr>
              <w:t xml:space="preserve">FIM Bank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2" w:firstLine="0"/>
              <w:jc w:val="left"/>
            </w:pPr>
            <w:r>
              <w:rPr>
                <w:sz w:val="22"/>
              </w:rPr>
              <w:t xml:space="preserve">FIM Bank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6" w:firstLine="0"/>
              <w:jc w:val="right"/>
            </w:pPr>
            <w:r>
              <w:rPr>
                <w:sz w:val="22"/>
              </w:rPr>
              <w:t xml:space="preserve">3,940 </w:t>
            </w:r>
          </w:p>
        </w:tc>
        <w:tc>
          <w:tcPr>
            <w:tcW w:w="939"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6" w:firstLine="0"/>
              <w:jc w:val="right"/>
            </w:pPr>
            <w:r>
              <w:rPr>
                <w:sz w:val="22"/>
              </w:rPr>
              <w:t xml:space="preserve">30%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sz w:val="22"/>
              </w:rPr>
              <w:t xml:space="preserve">1,185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sz w:val="22"/>
              </w:rPr>
              <w:t xml:space="preserve">1,219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tcPr>
          <w:p w:rsidR="00BB52D7" w:rsidRDefault="00E33AE6">
            <w:pPr>
              <w:spacing w:after="0" w:line="259" w:lineRule="auto"/>
              <w:ind w:left="0" w:right="54" w:firstLine="0"/>
              <w:jc w:val="right"/>
            </w:pPr>
            <w:r>
              <w:rPr>
                <w:sz w:val="22"/>
              </w:rPr>
              <w:t xml:space="preserve">97% </w:t>
            </w:r>
          </w:p>
        </w:tc>
      </w:tr>
      <w:tr w:rsidR="00BB52D7">
        <w:trPr>
          <w:trHeight w:val="337"/>
        </w:trPr>
        <w:tc>
          <w:tcPr>
            <w:tcW w:w="4265"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Franklin Templeton Investments </w:t>
            </w:r>
          </w:p>
        </w:tc>
        <w:tc>
          <w:tcPr>
            <w:tcW w:w="3297"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4"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136,945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335"/>
        </w:trPr>
        <w:tc>
          <w:tcPr>
            <w:tcW w:w="4265"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Generali Investments Europe  </w:t>
            </w:r>
          </w:p>
        </w:tc>
        <w:tc>
          <w:tcPr>
            <w:tcW w:w="3297"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4"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20,817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524"/>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Gescooperativo, SGIIC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Banco cooperativo Espanol,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2" w:firstLine="0"/>
              <w:jc w:val="left"/>
            </w:pPr>
            <w:r>
              <w:rPr>
                <w:b/>
                <w:sz w:val="22"/>
              </w:rPr>
              <w:t xml:space="preserve">Banco </w:t>
            </w:r>
          </w:p>
          <w:p w:rsidR="00BB52D7" w:rsidRDefault="00E33AE6">
            <w:pPr>
              <w:spacing w:after="0" w:line="259" w:lineRule="auto"/>
              <w:ind w:left="2" w:firstLine="0"/>
              <w:jc w:val="left"/>
            </w:pPr>
            <w:r>
              <w:rPr>
                <w:b/>
                <w:sz w:val="22"/>
              </w:rPr>
              <w:t xml:space="preserve">Cooperativo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1,641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1,641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1,641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526"/>
        </w:trPr>
        <w:tc>
          <w:tcPr>
            <w:tcW w:w="4265" w:type="dxa"/>
            <w:tcBorders>
              <w:top w:val="single" w:sz="8"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lastRenderedPageBreak/>
              <w:t xml:space="preserve">Gestifonsa, SGIIC </w:t>
            </w:r>
          </w:p>
        </w:tc>
        <w:tc>
          <w:tcPr>
            <w:tcW w:w="3297"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4" w:firstLine="0"/>
              <w:jc w:val="left"/>
            </w:pPr>
            <w:r>
              <w:rPr>
                <w:b/>
                <w:sz w:val="22"/>
              </w:rPr>
              <w:t xml:space="preserve">Banco Caminos,S.A.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2" w:firstLine="0"/>
              <w:jc w:val="left"/>
            </w:pPr>
            <w:r>
              <w:rPr>
                <w:b/>
                <w:sz w:val="22"/>
              </w:rPr>
              <w:t xml:space="preserve">Banco Caminos, S.A.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0,255 </w:t>
            </w:r>
          </w:p>
        </w:tc>
        <w:tc>
          <w:tcPr>
            <w:tcW w:w="939"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0,255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0,566 </w:t>
            </w:r>
          </w:p>
        </w:tc>
        <w:tc>
          <w:tcPr>
            <w:tcW w:w="1106" w:type="dxa"/>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45% </w:t>
            </w:r>
          </w:p>
        </w:tc>
      </w:tr>
      <w:tr w:rsidR="00BB52D7">
        <w:trPr>
          <w:trHeight w:val="528"/>
        </w:trPr>
        <w:tc>
          <w:tcPr>
            <w:tcW w:w="4265"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Goldman Sachs Asset Management </w:t>
            </w:r>
          </w:p>
          <w:p w:rsidR="00BB52D7" w:rsidRDefault="00E33AE6">
            <w:pPr>
              <w:spacing w:after="0" w:line="259" w:lineRule="auto"/>
              <w:ind w:left="0" w:firstLine="0"/>
              <w:jc w:val="left"/>
            </w:pPr>
            <w:r>
              <w:rPr>
                <w:sz w:val="22"/>
              </w:rPr>
              <w:t xml:space="preserve">International </w:t>
            </w:r>
          </w:p>
        </w:tc>
        <w:tc>
          <w:tcPr>
            <w:tcW w:w="3297"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4"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7" w:firstLine="0"/>
              <w:jc w:val="right"/>
            </w:pPr>
            <w:r>
              <w:rPr>
                <w:sz w:val="22"/>
              </w:rPr>
              <w:t xml:space="preserve">93,586 </w:t>
            </w:r>
          </w:p>
        </w:tc>
        <w:tc>
          <w:tcPr>
            <w:tcW w:w="939"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vAlign w:val="bottom"/>
          </w:tcPr>
          <w:p w:rsidR="00BB52D7" w:rsidRDefault="00E33AE6">
            <w:pPr>
              <w:spacing w:after="0" w:line="259" w:lineRule="auto"/>
              <w:ind w:left="2" w:firstLine="0"/>
              <w:jc w:val="left"/>
            </w:pPr>
            <w:r>
              <w:rPr>
                <w:sz w:val="22"/>
              </w:rPr>
              <w:t xml:space="preserve">NA </w:t>
            </w:r>
          </w:p>
        </w:tc>
      </w:tr>
      <w:tr w:rsidR="00BB52D7">
        <w:trPr>
          <w:trHeight w:val="498"/>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Gutmann Kapitalanlage AG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Bank Gutmann AG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Bank Gutmann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2,177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2,177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2,869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76% </w:t>
            </w:r>
          </w:p>
        </w:tc>
      </w:tr>
      <w:tr w:rsidR="00BB52D7">
        <w:trPr>
          <w:trHeight w:val="965"/>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Helaba Invest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Landesbank Hessen-Thüringen Girozentrale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Sparkassen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2,290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2,290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2,290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937"/>
        </w:trPr>
        <w:tc>
          <w:tcPr>
            <w:tcW w:w="4265" w:type="dxa"/>
            <w:tcBorders>
              <w:top w:val="single" w:sz="8" w:space="0" w:color="000000"/>
              <w:left w:val="single" w:sz="8" w:space="0" w:color="000000"/>
              <w:bottom w:val="single" w:sz="8" w:space="0" w:color="000000"/>
              <w:right w:val="single" w:sz="4" w:space="0" w:color="000000"/>
            </w:tcBorders>
            <w:vAlign w:val="bottom"/>
          </w:tcPr>
          <w:p w:rsidR="00BB52D7" w:rsidRDefault="00E33AE6">
            <w:pPr>
              <w:spacing w:after="0" w:line="259" w:lineRule="auto"/>
              <w:ind w:left="0" w:right="183" w:firstLine="0"/>
              <w:jc w:val="left"/>
            </w:pPr>
            <w:r>
              <w:rPr>
                <w:sz w:val="22"/>
              </w:rPr>
              <w:t xml:space="preserve">Henderson Investment Funds Ltd. Henderson Management S.A. </w:t>
            </w:r>
          </w:p>
        </w:tc>
        <w:tc>
          <w:tcPr>
            <w:tcW w:w="3297"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4"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7" w:firstLine="0"/>
              <w:jc w:val="right"/>
            </w:pPr>
            <w:r>
              <w:rPr>
                <w:sz w:val="22"/>
              </w:rPr>
              <w:t xml:space="preserve">49,069 </w:t>
            </w:r>
          </w:p>
        </w:tc>
        <w:tc>
          <w:tcPr>
            <w:tcW w:w="939"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vAlign w:val="bottom"/>
          </w:tcPr>
          <w:p w:rsidR="00BB52D7" w:rsidRDefault="00E33AE6">
            <w:pPr>
              <w:spacing w:after="0" w:line="259" w:lineRule="auto"/>
              <w:ind w:left="2" w:firstLine="0"/>
              <w:jc w:val="left"/>
            </w:pPr>
            <w:r>
              <w:rPr>
                <w:sz w:val="22"/>
              </w:rPr>
              <w:t xml:space="preserve">NA </w:t>
            </w:r>
          </w:p>
        </w:tc>
      </w:tr>
      <w:tr w:rsidR="00BB52D7">
        <w:trPr>
          <w:trHeight w:val="933"/>
        </w:trPr>
        <w:tc>
          <w:tcPr>
            <w:tcW w:w="4265" w:type="dxa"/>
            <w:tcBorders>
              <w:top w:val="single" w:sz="8"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HSBC Global Management </w:t>
            </w:r>
          </w:p>
        </w:tc>
        <w:tc>
          <w:tcPr>
            <w:tcW w:w="3297" w:type="dxa"/>
            <w:tcBorders>
              <w:top w:val="single" w:sz="8" w:space="0" w:color="000000"/>
              <w:left w:val="single" w:sz="4" w:space="0" w:color="000000"/>
              <w:bottom w:val="single" w:sz="4" w:space="0" w:color="8DB4E2"/>
              <w:right w:val="single" w:sz="4" w:space="0" w:color="000000"/>
            </w:tcBorders>
            <w:shd w:val="clear" w:color="auto" w:fill="8DB4E2"/>
            <w:vAlign w:val="center"/>
          </w:tcPr>
          <w:p w:rsidR="00BB52D7" w:rsidRDefault="00E33AE6">
            <w:pPr>
              <w:spacing w:after="0" w:line="259" w:lineRule="auto"/>
              <w:ind w:left="4" w:firstLine="0"/>
              <w:jc w:val="left"/>
            </w:pPr>
            <w:r>
              <w:rPr>
                <w:b/>
                <w:sz w:val="22"/>
              </w:rPr>
              <w:t xml:space="preserve">HSBC Trinkaus &amp; Burkhardt AG </w:t>
            </w:r>
          </w:p>
        </w:tc>
        <w:tc>
          <w:tcPr>
            <w:tcW w:w="1748" w:type="dxa"/>
            <w:tcBorders>
              <w:top w:val="single" w:sz="8" w:space="0" w:color="000000"/>
              <w:left w:val="single" w:sz="4" w:space="0" w:color="000000"/>
              <w:bottom w:val="single" w:sz="4" w:space="0" w:color="8DB4E2"/>
              <w:right w:val="single" w:sz="4" w:space="0" w:color="000000"/>
            </w:tcBorders>
            <w:shd w:val="clear" w:color="auto" w:fill="8DB4E2"/>
            <w:vAlign w:val="center"/>
          </w:tcPr>
          <w:p w:rsidR="00BB52D7" w:rsidRDefault="00E33AE6">
            <w:pPr>
              <w:spacing w:after="0" w:line="259" w:lineRule="auto"/>
              <w:ind w:left="2" w:firstLine="0"/>
              <w:jc w:val="left"/>
            </w:pPr>
            <w:r>
              <w:rPr>
                <w:b/>
                <w:sz w:val="22"/>
              </w:rPr>
              <w:t xml:space="preserve">HSBC Group </w:t>
            </w:r>
          </w:p>
        </w:tc>
        <w:tc>
          <w:tcPr>
            <w:tcW w:w="1183"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7" w:firstLine="0"/>
              <w:jc w:val="right"/>
            </w:pPr>
            <w:r>
              <w:rPr>
                <w:b/>
                <w:sz w:val="22"/>
              </w:rPr>
              <w:t xml:space="preserve">75,860 </w:t>
            </w:r>
          </w:p>
        </w:tc>
        <w:tc>
          <w:tcPr>
            <w:tcW w:w="939"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6" w:firstLine="0"/>
              <w:jc w:val="right"/>
            </w:pPr>
            <w:r>
              <w:rPr>
                <w:b/>
                <w:sz w:val="22"/>
              </w:rPr>
              <w:t xml:space="preserve">53% </w:t>
            </w:r>
          </w:p>
        </w:tc>
        <w:tc>
          <w:tcPr>
            <w:tcW w:w="1045"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7" w:firstLine="0"/>
              <w:jc w:val="right"/>
            </w:pPr>
            <w:r>
              <w:rPr>
                <w:b/>
                <w:sz w:val="22"/>
              </w:rPr>
              <w:t xml:space="preserve">40,206 </w:t>
            </w:r>
          </w:p>
        </w:tc>
        <w:tc>
          <w:tcPr>
            <w:tcW w:w="1058"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8" w:firstLine="0"/>
              <w:jc w:val="right"/>
            </w:pPr>
            <w:r>
              <w:rPr>
                <w:b/>
                <w:sz w:val="22"/>
              </w:rPr>
              <w:t xml:space="preserve">130,760 </w:t>
            </w:r>
          </w:p>
        </w:tc>
        <w:tc>
          <w:tcPr>
            <w:tcW w:w="1106" w:type="dxa"/>
            <w:vMerge w:val="restart"/>
            <w:tcBorders>
              <w:top w:val="single" w:sz="8" w:space="0" w:color="000000"/>
              <w:left w:val="single" w:sz="4" w:space="0" w:color="000000"/>
              <w:bottom w:val="nil"/>
              <w:right w:val="single" w:sz="8" w:space="0" w:color="000000"/>
            </w:tcBorders>
            <w:shd w:val="clear" w:color="auto" w:fill="8DB4E2"/>
            <w:vAlign w:val="bottom"/>
          </w:tcPr>
          <w:p w:rsidR="00BB52D7" w:rsidRDefault="00E33AE6">
            <w:pPr>
              <w:spacing w:after="0" w:line="259" w:lineRule="auto"/>
              <w:ind w:left="0" w:right="55" w:firstLine="0"/>
              <w:jc w:val="right"/>
            </w:pPr>
            <w:r>
              <w:rPr>
                <w:b/>
                <w:sz w:val="22"/>
              </w:rPr>
              <w:t xml:space="preserve">31% </w:t>
            </w:r>
          </w:p>
        </w:tc>
      </w:tr>
      <w:tr w:rsidR="00BB52D7">
        <w:trPr>
          <w:trHeight w:val="237"/>
        </w:trPr>
        <w:tc>
          <w:tcPr>
            <w:tcW w:w="4265" w:type="dxa"/>
            <w:tcBorders>
              <w:top w:val="single" w:sz="4" w:space="0" w:color="000000"/>
              <w:left w:val="single" w:sz="8" w:space="0" w:color="000000"/>
              <w:bottom w:val="nil"/>
              <w:right w:val="single" w:sz="4" w:space="0" w:color="000000"/>
            </w:tcBorders>
            <w:shd w:val="clear" w:color="auto" w:fill="8DB4E2"/>
          </w:tcPr>
          <w:p w:rsidR="00BB52D7" w:rsidRDefault="00BB52D7">
            <w:pPr>
              <w:spacing w:after="160" w:line="259" w:lineRule="auto"/>
              <w:ind w:left="0" w:firstLine="0"/>
              <w:jc w:val="left"/>
            </w:pPr>
          </w:p>
        </w:tc>
        <w:tc>
          <w:tcPr>
            <w:tcW w:w="3297" w:type="dxa"/>
            <w:tcBorders>
              <w:top w:val="single" w:sz="4" w:space="0" w:color="8DB4E2"/>
              <w:left w:val="single" w:sz="4" w:space="0" w:color="000000"/>
              <w:bottom w:val="nil"/>
              <w:right w:val="single" w:sz="4" w:space="0" w:color="000000"/>
            </w:tcBorders>
            <w:shd w:val="clear" w:color="auto" w:fill="8DB4E2"/>
          </w:tcPr>
          <w:p w:rsidR="00BB52D7" w:rsidRDefault="00BB52D7">
            <w:pPr>
              <w:spacing w:after="160" w:line="259" w:lineRule="auto"/>
              <w:ind w:left="0" w:firstLine="0"/>
              <w:jc w:val="left"/>
            </w:pPr>
          </w:p>
        </w:tc>
        <w:tc>
          <w:tcPr>
            <w:tcW w:w="1748" w:type="dxa"/>
            <w:tcBorders>
              <w:top w:val="single" w:sz="4" w:space="0" w:color="8DB4E2"/>
              <w:left w:val="single" w:sz="4" w:space="0" w:color="000000"/>
              <w:bottom w:val="nil"/>
              <w:right w:val="single" w:sz="4" w:space="0" w:color="000000"/>
            </w:tcBorders>
            <w:shd w:val="clear" w:color="auto" w:fill="8DB4E2"/>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696"/>
        </w:trPr>
        <w:tc>
          <w:tcPr>
            <w:tcW w:w="4265" w:type="dxa"/>
            <w:tcBorders>
              <w:top w:val="nil"/>
              <w:left w:val="single" w:sz="8" w:space="0" w:color="000000"/>
              <w:bottom w:val="single" w:sz="4" w:space="0" w:color="000000"/>
              <w:right w:val="single" w:sz="4" w:space="0" w:color="000000"/>
            </w:tcBorders>
            <w:shd w:val="clear" w:color="auto" w:fill="8DB4E2"/>
          </w:tcPr>
          <w:p w:rsidR="00BB52D7" w:rsidRDefault="00E33AE6">
            <w:pPr>
              <w:spacing w:after="0" w:line="259" w:lineRule="auto"/>
              <w:ind w:left="0" w:firstLine="0"/>
              <w:jc w:val="left"/>
            </w:pPr>
            <w:r>
              <w:rPr>
                <w:b/>
                <w:sz w:val="22"/>
              </w:rPr>
              <w:t xml:space="preserve">HSBC trinkaus investment manager </w:t>
            </w:r>
          </w:p>
        </w:tc>
        <w:tc>
          <w:tcPr>
            <w:tcW w:w="3297" w:type="dxa"/>
            <w:tcBorders>
              <w:top w:val="nil"/>
              <w:left w:val="single" w:sz="4" w:space="0" w:color="000000"/>
              <w:bottom w:val="single" w:sz="4" w:space="0" w:color="000000"/>
              <w:right w:val="single" w:sz="4" w:space="0" w:color="000000"/>
            </w:tcBorders>
            <w:shd w:val="clear" w:color="auto" w:fill="8DB4E2"/>
          </w:tcPr>
          <w:p w:rsidR="00BB52D7" w:rsidRDefault="00E33AE6">
            <w:pPr>
              <w:spacing w:after="0" w:line="259" w:lineRule="auto"/>
              <w:ind w:left="4" w:firstLine="0"/>
              <w:jc w:val="left"/>
            </w:pPr>
            <w:r>
              <w:rPr>
                <w:b/>
                <w:sz w:val="22"/>
              </w:rPr>
              <w:t xml:space="preserve">HSBC Bank PLC </w:t>
            </w:r>
          </w:p>
        </w:tc>
        <w:tc>
          <w:tcPr>
            <w:tcW w:w="1748" w:type="dxa"/>
            <w:tcBorders>
              <w:top w:val="nil"/>
              <w:left w:val="single" w:sz="4" w:space="0" w:color="000000"/>
              <w:bottom w:val="single" w:sz="4" w:space="0" w:color="000000"/>
              <w:right w:val="single" w:sz="4" w:space="0" w:color="000000"/>
            </w:tcBorders>
            <w:shd w:val="clear" w:color="auto" w:fill="8DB4E2"/>
          </w:tcPr>
          <w:p w:rsidR="00BB52D7" w:rsidRDefault="00E33AE6">
            <w:pPr>
              <w:spacing w:after="0" w:line="259" w:lineRule="auto"/>
              <w:ind w:left="2" w:firstLine="0"/>
              <w:jc w:val="left"/>
            </w:pPr>
            <w:r>
              <w:rPr>
                <w:b/>
                <w:sz w:val="22"/>
              </w:rPr>
              <w:t xml:space="preserve">HSBC Group </w:t>
            </w:r>
          </w:p>
        </w:tc>
        <w:tc>
          <w:tcPr>
            <w:tcW w:w="1183"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939"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1045"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1106" w:type="dxa"/>
            <w:tcBorders>
              <w:top w:val="nil"/>
              <w:left w:val="single" w:sz="4" w:space="0" w:color="000000"/>
              <w:bottom w:val="single" w:sz="8" w:space="0" w:color="000000"/>
              <w:right w:val="single" w:sz="8" w:space="0" w:color="000000"/>
            </w:tcBorders>
            <w:shd w:val="clear" w:color="auto" w:fill="8DB4E2"/>
          </w:tcPr>
          <w:p w:rsidR="00BB52D7" w:rsidRDefault="00BB52D7">
            <w:pPr>
              <w:spacing w:after="160" w:line="259" w:lineRule="auto"/>
              <w:ind w:left="0" w:firstLine="0"/>
              <w:jc w:val="left"/>
            </w:pPr>
          </w:p>
        </w:tc>
      </w:tr>
    </w:tbl>
    <w:p w:rsidR="00BB52D7" w:rsidRDefault="00BB52D7">
      <w:pPr>
        <w:spacing w:after="0" w:line="259" w:lineRule="auto"/>
        <w:ind w:left="-1134" w:right="499" w:firstLine="0"/>
        <w:jc w:val="left"/>
      </w:pPr>
    </w:p>
    <w:tbl>
      <w:tblPr>
        <w:tblStyle w:val="TableGrid"/>
        <w:tblW w:w="14641" w:type="dxa"/>
        <w:tblInd w:w="-2" w:type="dxa"/>
        <w:tblCellMar>
          <w:top w:w="79" w:type="dxa"/>
          <w:left w:w="0" w:type="dxa"/>
          <w:bottom w:w="14" w:type="dxa"/>
          <w:right w:w="14" w:type="dxa"/>
        </w:tblCellMar>
        <w:tblLook w:val="04A0" w:firstRow="1" w:lastRow="0" w:firstColumn="1" w:lastColumn="0" w:noHBand="0" w:noVBand="1"/>
      </w:tblPr>
      <w:tblGrid>
        <w:gridCol w:w="4266"/>
        <w:gridCol w:w="3296"/>
        <w:gridCol w:w="1748"/>
        <w:gridCol w:w="1183"/>
        <w:gridCol w:w="939"/>
        <w:gridCol w:w="1045"/>
        <w:gridCol w:w="1058"/>
        <w:gridCol w:w="488"/>
        <w:gridCol w:w="618"/>
      </w:tblGrid>
      <w:tr w:rsidR="00BB52D7">
        <w:trPr>
          <w:trHeight w:val="925"/>
        </w:trPr>
        <w:tc>
          <w:tcPr>
            <w:tcW w:w="4266" w:type="dxa"/>
            <w:tcBorders>
              <w:top w:val="nil"/>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67" w:firstLine="0"/>
              <w:jc w:val="left"/>
            </w:pPr>
            <w:r>
              <w:rPr>
                <w:b/>
                <w:sz w:val="22"/>
              </w:rPr>
              <w:t xml:space="preserve">HSBC investment funds </w:t>
            </w:r>
          </w:p>
        </w:tc>
        <w:tc>
          <w:tcPr>
            <w:tcW w:w="3296"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70" w:firstLine="0"/>
              <w:jc w:val="left"/>
            </w:pPr>
            <w:r>
              <w:rPr>
                <w:b/>
                <w:sz w:val="22"/>
              </w:rPr>
              <w:t xml:space="preserve">HSBC Bank PLC </w:t>
            </w:r>
          </w:p>
        </w:tc>
        <w:tc>
          <w:tcPr>
            <w:tcW w:w="1748"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70" w:firstLine="0"/>
              <w:jc w:val="left"/>
            </w:pPr>
            <w:r>
              <w:rPr>
                <w:b/>
                <w:sz w:val="22"/>
              </w:rPr>
              <w:t xml:space="preserve">HSBC Group </w:t>
            </w:r>
          </w:p>
        </w:tc>
        <w:tc>
          <w:tcPr>
            <w:tcW w:w="1183" w:type="dxa"/>
            <w:tcBorders>
              <w:top w:val="nil"/>
              <w:left w:val="single" w:sz="4" w:space="0" w:color="000000"/>
              <w:bottom w:val="single" w:sz="8" w:space="0" w:color="000000"/>
              <w:right w:val="single" w:sz="4" w:space="0" w:color="000000"/>
            </w:tcBorders>
            <w:shd w:val="clear" w:color="auto" w:fill="8DB4E2"/>
            <w:vAlign w:val="center"/>
          </w:tcPr>
          <w:p w:rsidR="00BB52D7" w:rsidRDefault="00BB52D7">
            <w:pPr>
              <w:spacing w:after="160" w:line="259" w:lineRule="auto"/>
              <w:ind w:left="0" w:firstLine="0"/>
              <w:jc w:val="left"/>
            </w:pPr>
          </w:p>
        </w:tc>
        <w:tc>
          <w:tcPr>
            <w:tcW w:w="939" w:type="dxa"/>
            <w:tcBorders>
              <w:top w:val="nil"/>
              <w:left w:val="single" w:sz="4" w:space="0" w:color="000000"/>
              <w:bottom w:val="single" w:sz="8" w:space="0" w:color="000000"/>
              <w:right w:val="single" w:sz="4" w:space="0" w:color="000000"/>
            </w:tcBorders>
            <w:shd w:val="clear" w:color="auto" w:fill="8DB4E2"/>
            <w:vAlign w:val="center"/>
          </w:tcPr>
          <w:p w:rsidR="00BB52D7" w:rsidRDefault="00BB52D7">
            <w:pPr>
              <w:spacing w:after="160" w:line="259" w:lineRule="auto"/>
              <w:ind w:left="0" w:firstLine="0"/>
              <w:jc w:val="left"/>
            </w:pPr>
          </w:p>
        </w:tc>
        <w:tc>
          <w:tcPr>
            <w:tcW w:w="1045" w:type="dxa"/>
            <w:tcBorders>
              <w:top w:val="nil"/>
              <w:left w:val="single" w:sz="4" w:space="0" w:color="000000"/>
              <w:bottom w:val="single" w:sz="8" w:space="0" w:color="000000"/>
              <w:right w:val="single" w:sz="4" w:space="0" w:color="000000"/>
            </w:tcBorders>
            <w:shd w:val="clear" w:color="auto" w:fill="8DB4E2"/>
            <w:vAlign w:val="bottom"/>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shd w:val="clear" w:color="auto" w:fill="8DB4E2"/>
            <w:vAlign w:val="bottom"/>
          </w:tcPr>
          <w:p w:rsidR="00BB52D7" w:rsidRDefault="00BB52D7">
            <w:pPr>
              <w:spacing w:after="160" w:line="259" w:lineRule="auto"/>
              <w:ind w:left="0" w:firstLine="0"/>
              <w:jc w:val="left"/>
            </w:pPr>
          </w:p>
        </w:tc>
        <w:tc>
          <w:tcPr>
            <w:tcW w:w="488" w:type="dxa"/>
            <w:tcBorders>
              <w:top w:val="nil"/>
              <w:left w:val="single" w:sz="4" w:space="0" w:color="000000"/>
              <w:bottom w:val="single" w:sz="8" w:space="0" w:color="000000"/>
              <w:right w:val="nil"/>
            </w:tcBorders>
            <w:shd w:val="clear" w:color="auto" w:fill="8DB4E2"/>
            <w:vAlign w:val="center"/>
          </w:tcPr>
          <w:p w:rsidR="00BB52D7" w:rsidRDefault="00BB52D7">
            <w:pPr>
              <w:spacing w:after="160" w:line="259" w:lineRule="auto"/>
              <w:ind w:left="0" w:firstLine="0"/>
              <w:jc w:val="left"/>
            </w:pPr>
          </w:p>
        </w:tc>
        <w:tc>
          <w:tcPr>
            <w:tcW w:w="618" w:type="dxa"/>
            <w:tcBorders>
              <w:top w:val="nil"/>
              <w:left w:val="nil"/>
              <w:bottom w:val="single" w:sz="8" w:space="0" w:color="000000"/>
              <w:right w:val="single" w:sz="8" w:space="0" w:color="000000"/>
            </w:tcBorders>
            <w:shd w:val="clear" w:color="auto" w:fill="8DB4E2"/>
            <w:vAlign w:val="center"/>
          </w:tcPr>
          <w:p w:rsidR="00BB52D7" w:rsidRDefault="00BB52D7">
            <w:pPr>
              <w:spacing w:after="160" w:line="259" w:lineRule="auto"/>
              <w:ind w:left="0" w:firstLine="0"/>
              <w:jc w:val="left"/>
            </w:pPr>
          </w:p>
        </w:tc>
      </w:tr>
      <w:tr w:rsidR="00BB52D7">
        <w:trPr>
          <w:trHeight w:val="935"/>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sz w:val="22"/>
              </w:rPr>
              <w:t xml:space="preserve">Ibercaja Gestion,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Ibercaja Banco,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Ibercaja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4,942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1%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0,050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0,070 </w:t>
            </w:r>
          </w:p>
        </w:tc>
        <w:tc>
          <w:tcPr>
            <w:tcW w:w="488" w:type="dxa"/>
            <w:tcBorders>
              <w:top w:val="single" w:sz="8" w:space="0" w:color="000000"/>
              <w:left w:val="single" w:sz="4" w:space="0" w:color="000000"/>
              <w:bottom w:val="single" w:sz="8" w:space="0" w:color="000000"/>
              <w:right w:val="nil"/>
            </w:tcBorders>
            <w:shd w:val="clear" w:color="auto" w:fill="D9D9D9"/>
            <w:vAlign w:val="center"/>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46" w:firstLine="0"/>
              <w:jc w:val="left"/>
            </w:pPr>
            <w:r>
              <w:rPr>
                <w:sz w:val="22"/>
              </w:rPr>
              <w:t xml:space="preserve">71% </w:t>
            </w:r>
          </w:p>
        </w:tc>
      </w:tr>
      <w:tr w:rsidR="00BB52D7">
        <w:trPr>
          <w:trHeight w:val="935"/>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sz w:val="22"/>
              </w:rPr>
              <w:lastRenderedPageBreak/>
              <w:t xml:space="preserve">ING investment management (belgium)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ING BANK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ING BANK </w:t>
            </w:r>
          </w:p>
        </w:tc>
        <w:tc>
          <w:tcPr>
            <w:tcW w:w="1183"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0,435 </w:t>
            </w:r>
          </w:p>
        </w:tc>
        <w:tc>
          <w:tcPr>
            <w:tcW w:w="939"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50% </w:t>
            </w:r>
          </w:p>
        </w:tc>
        <w:tc>
          <w:tcPr>
            <w:tcW w:w="1045"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0,218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1,818 </w:t>
            </w:r>
          </w:p>
        </w:tc>
        <w:tc>
          <w:tcPr>
            <w:tcW w:w="488" w:type="dxa"/>
            <w:vMerge w:val="restart"/>
            <w:tcBorders>
              <w:top w:val="single" w:sz="8" w:space="0" w:color="000000"/>
              <w:left w:val="single" w:sz="4" w:space="0" w:color="000000"/>
              <w:bottom w:val="single" w:sz="8" w:space="0" w:color="000000"/>
              <w:right w:val="nil"/>
            </w:tcBorders>
            <w:shd w:val="clear" w:color="auto" w:fill="D9D9D9"/>
            <w:vAlign w:val="bottom"/>
          </w:tcPr>
          <w:p w:rsidR="00BB52D7" w:rsidRDefault="00BB52D7">
            <w:pPr>
              <w:spacing w:after="160" w:line="259" w:lineRule="auto"/>
              <w:ind w:left="0" w:firstLine="0"/>
              <w:jc w:val="left"/>
            </w:pPr>
          </w:p>
        </w:tc>
        <w:tc>
          <w:tcPr>
            <w:tcW w:w="618" w:type="dxa"/>
            <w:vMerge w:val="restart"/>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46" w:firstLine="0"/>
              <w:jc w:val="left"/>
            </w:pPr>
            <w:r>
              <w:rPr>
                <w:sz w:val="22"/>
              </w:rPr>
              <w:t xml:space="preserve">93% </w:t>
            </w:r>
          </w:p>
        </w:tc>
      </w:tr>
      <w:tr w:rsidR="00BB52D7">
        <w:trPr>
          <w:trHeight w:val="936"/>
        </w:trPr>
        <w:tc>
          <w:tcPr>
            <w:tcW w:w="426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sz w:val="22"/>
              </w:rPr>
              <w:t xml:space="preserve">ING investment management (Luxembourg) </w:t>
            </w:r>
          </w:p>
        </w:tc>
        <w:tc>
          <w:tcPr>
            <w:tcW w:w="0" w:type="auto"/>
            <w:vMerge/>
            <w:tcBorders>
              <w:top w:val="nil"/>
              <w:left w:val="single" w:sz="4" w:space="0" w:color="000000"/>
              <w:bottom w:val="nil"/>
              <w:right w:val="single" w:sz="4" w:space="0" w:color="000000"/>
            </w:tcBorders>
            <w:vAlign w:val="center"/>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center"/>
          </w:tcPr>
          <w:p w:rsidR="00BB52D7" w:rsidRDefault="00BB52D7">
            <w:pPr>
              <w:spacing w:after="160" w:line="259" w:lineRule="auto"/>
              <w:ind w:left="0" w:firstLine="0"/>
              <w:jc w:val="left"/>
            </w:pPr>
          </w:p>
        </w:tc>
        <w:tc>
          <w:tcPr>
            <w:tcW w:w="1183" w:type="dxa"/>
            <w:tcBorders>
              <w:top w:val="single" w:sz="4" w:space="0" w:color="D9D9D9"/>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32,400 </w:t>
            </w:r>
          </w:p>
        </w:tc>
        <w:tc>
          <w:tcPr>
            <w:tcW w:w="939" w:type="dxa"/>
            <w:tcBorders>
              <w:top w:val="single" w:sz="4" w:space="0" w:color="D9D9D9"/>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0% </w:t>
            </w:r>
          </w:p>
        </w:tc>
        <w:tc>
          <w:tcPr>
            <w:tcW w:w="1045" w:type="dxa"/>
            <w:tcBorders>
              <w:top w:val="single" w:sz="4" w:space="0" w:color="D9D9D9"/>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0,000 </w:t>
            </w:r>
          </w:p>
        </w:tc>
        <w:tc>
          <w:tcPr>
            <w:tcW w:w="0" w:type="auto"/>
            <w:vMerge/>
            <w:tcBorders>
              <w:top w:val="nil"/>
              <w:left w:val="single" w:sz="4" w:space="0" w:color="000000"/>
              <w:bottom w:val="nil"/>
              <w:right w:val="single" w:sz="4" w:space="0" w:color="000000"/>
            </w:tcBorders>
            <w:vAlign w:val="center"/>
          </w:tcPr>
          <w:p w:rsidR="00BB52D7" w:rsidRDefault="00BB52D7">
            <w:pPr>
              <w:spacing w:after="160" w:line="259" w:lineRule="auto"/>
              <w:ind w:left="0" w:firstLine="0"/>
              <w:jc w:val="left"/>
            </w:pPr>
          </w:p>
        </w:tc>
        <w:tc>
          <w:tcPr>
            <w:tcW w:w="0" w:type="auto"/>
            <w:vMerge/>
            <w:tcBorders>
              <w:top w:val="nil"/>
              <w:left w:val="single" w:sz="4" w:space="0" w:color="000000"/>
              <w:bottom w:val="nil"/>
              <w:right w:val="nil"/>
            </w:tcBorders>
            <w:vAlign w:val="center"/>
          </w:tcPr>
          <w:p w:rsidR="00BB52D7" w:rsidRDefault="00BB52D7">
            <w:pPr>
              <w:spacing w:after="160" w:line="259" w:lineRule="auto"/>
              <w:ind w:left="0" w:firstLine="0"/>
              <w:jc w:val="left"/>
            </w:pPr>
          </w:p>
        </w:tc>
        <w:tc>
          <w:tcPr>
            <w:tcW w:w="0" w:type="auto"/>
            <w:vMerge/>
            <w:tcBorders>
              <w:top w:val="nil"/>
              <w:left w:val="nil"/>
              <w:bottom w:val="nil"/>
              <w:right w:val="single" w:sz="8" w:space="0" w:color="000000"/>
            </w:tcBorders>
            <w:vAlign w:val="center"/>
          </w:tcPr>
          <w:p w:rsidR="00BB52D7" w:rsidRDefault="00BB52D7">
            <w:pPr>
              <w:spacing w:after="160" w:line="259" w:lineRule="auto"/>
              <w:ind w:left="0" w:firstLine="0"/>
              <w:jc w:val="left"/>
            </w:pPr>
          </w:p>
        </w:tc>
      </w:tr>
      <w:tr w:rsidR="00BB52D7">
        <w:trPr>
          <w:trHeight w:val="935"/>
        </w:trPr>
        <w:tc>
          <w:tcPr>
            <w:tcW w:w="4266" w:type="dxa"/>
            <w:tcBorders>
              <w:top w:val="single" w:sz="4"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sz w:val="22"/>
              </w:rPr>
              <w:t xml:space="preserve">ING TFI S.A </w:t>
            </w:r>
          </w:p>
        </w:tc>
        <w:tc>
          <w:tcPr>
            <w:tcW w:w="0" w:type="auto"/>
            <w:vMerge/>
            <w:tcBorders>
              <w:top w:val="nil"/>
              <w:left w:val="single" w:sz="4" w:space="0" w:color="000000"/>
              <w:bottom w:val="single" w:sz="8" w:space="0" w:color="000000"/>
              <w:right w:val="single" w:sz="4" w:space="0" w:color="000000"/>
            </w:tcBorders>
            <w:vAlign w:val="center"/>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vAlign w:val="center"/>
          </w:tcPr>
          <w:p w:rsidR="00BB52D7" w:rsidRDefault="00BB52D7">
            <w:pPr>
              <w:spacing w:after="160" w:line="259" w:lineRule="auto"/>
              <w:ind w:left="0" w:firstLine="0"/>
              <w:jc w:val="left"/>
            </w:pPr>
          </w:p>
        </w:tc>
        <w:tc>
          <w:tcPr>
            <w:tcW w:w="1183" w:type="dxa"/>
            <w:tcBorders>
              <w:top w:val="single" w:sz="4" w:space="0" w:color="D9D9D9"/>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1,470 </w:t>
            </w:r>
          </w:p>
        </w:tc>
        <w:tc>
          <w:tcPr>
            <w:tcW w:w="939" w:type="dxa"/>
            <w:tcBorders>
              <w:top w:val="single" w:sz="4" w:space="0" w:color="D9D9D9"/>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100% </w:t>
            </w:r>
          </w:p>
        </w:tc>
        <w:tc>
          <w:tcPr>
            <w:tcW w:w="1045" w:type="dxa"/>
            <w:tcBorders>
              <w:top w:val="single" w:sz="4" w:space="0" w:color="D9D9D9"/>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1,470 </w:t>
            </w:r>
          </w:p>
        </w:tc>
        <w:tc>
          <w:tcPr>
            <w:tcW w:w="0" w:type="auto"/>
            <w:vMerge/>
            <w:tcBorders>
              <w:top w:val="nil"/>
              <w:left w:val="single" w:sz="4" w:space="0" w:color="000000"/>
              <w:bottom w:val="single" w:sz="8" w:space="0" w:color="000000"/>
              <w:right w:val="single" w:sz="4" w:space="0" w:color="000000"/>
            </w:tcBorders>
            <w:vAlign w:val="bottom"/>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vAlign w:val="bottom"/>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vAlign w:val="center"/>
          </w:tcPr>
          <w:p w:rsidR="00BB52D7" w:rsidRDefault="00BB52D7">
            <w:pPr>
              <w:spacing w:after="160" w:line="259" w:lineRule="auto"/>
              <w:ind w:left="0" w:firstLine="0"/>
              <w:jc w:val="left"/>
            </w:pP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Insight Investment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39,660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single" w:sz="8" w:space="0" w:color="000000"/>
              <w:left w:val="nil"/>
              <w:bottom w:val="single" w:sz="8" w:space="0" w:color="000000"/>
              <w:right w:val="single" w:sz="8" w:space="0" w:color="000000"/>
            </w:tcBorders>
            <w:vAlign w:val="center"/>
          </w:tcPr>
          <w:p w:rsidR="00BB52D7" w:rsidRDefault="00BB52D7">
            <w:pPr>
              <w:spacing w:after="160" w:line="259" w:lineRule="auto"/>
              <w:ind w:left="0" w:firstLine="0"/>
              <w:jc w:val="left"/>
            </w:pPr>
          </w:p>
        </w:tc>
      </w:tr>
      <w:tr w:rsidR="00BB52D7">
        <w:trPr>
          <w:trHeight w:val="932"/>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Inverseguros Gestion,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Inverseguros SV,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Inverseguros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0,437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0,437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0,437 </w:t>
            </w:r>
          </w:p>
        </w:tc>
        <w:tc>
          <w:tcPr>
            <w:tcW w:w="488" w:type="dxa"/>
            <w:tcBorders>
              <w:top w:val="single" w:sz="8" w:space="0" w:color="000000"/>
              <w:left w:val="single" w:sz="4" w:space="0" w:color="000000"/>
              <w:bottom w:val="single" w:sz="8" w:space="0" w:color="000000"/>
              <w:right w:val="nil"/>
            </w:tcBorders>
            <w:shd w:val="clear" w:color="auto" w:fill="D9D9D9"/>
            <w:vAlign w:val="bottom"/>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0" w:firstLine="0"/>
            </w:pPr>
            <w:r>
              <w:rPr>
                <w:b/>
                <w:sz w:val="22"/>
              </w:rPr>
              <w:t>100%</w:t>
            </w:r>
            <w:r>
              <w:rPr>
                <w:b/>
                <w:sz w:val="22"/>
              </w:rPr>
              <w:t xml:space="preserve"> </w:t>
            </w: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Invesco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102,977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single" w:sz="8" w:space="0" w:color="000000"/>
              <w:left w:val="nil"/>
              <w:bottom w:val="single" w:sz="8" w:space="0" w:color="000000"/>
              <w:right w:val="single" w:sz="8" w:space="0" w:color="000000"/>
            </w:tcBorders>
            <w:vAlign w:val="center"/>
          </w:tcPr>
          <w:p w:rsidR="00BB52D7" w:rsidRDefault="00BB52D7">
            <w:pPr>
              <w:spacing w:after="160" w:line="259" w:lineRule="auto"/>
              <w:ind w:left="0" w:firstLine="0"/>
              <w:jc w:val="left"/>
            </w:pPr>
          </w:p>
        </w:tc>
      </w:tr>
      <w:tr w:rsidR="00BB52D7">
        <w:trPr>
          <w:trHeight w:val="933"/>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Inversis Gestion, SGIIC </w:t>
            </w:r>
          </w:p>
        </w:tc>
        <w:tc>
          <w:tcPr>
            <w:tcW w:w="3296"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Banco inversis, S.A. </w:t>
            </w:r>
          </w:p>
        </w:tc>
        <w:tc>
          <w:tcPr>
            <w:tcW w:w="1748"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70" w:firstLine="0"/>
              <w:jc w:val="left"/>
            </w:pPr>
            <w:r>
              <w:rPr>
                <w:b/>
                <w:sz w:val="22"/>
              </w:rPr>
              <w:t xml:space="preserve">Banca March </w:t>
            </w:r>
          </w:p>
        </w:tc>
        <w:tc>
          <w:tcPr>
            <w:tcW w:w="1183"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0" w:right="56" w:firstLine="0"/>
              <w:jc w:val="right"/>
            </w:pPr>
            <w:r>
              <w:rPr>
                <w:b/>
                <w:sz w:val="22"/>
              </w:rPr>
              <w:t xml:space="preserve">3,178 </w:t>
            </w:r>
          </w:p>
        </w:tc>
        <w:tc>
          <w:tcPr>
            <w:tcW w:w="939"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0" w:right="56" w:firstLine="0"/>
              <w:jc w:val="right"/>
            </w:pPr>
            <w:r>
              <w:rPr>
                <w:b/>
                <w:sz w:val="22"/>
              </w:rPr>
              <w:t xml:space="preserve">97% </w:t>
            </w:r>
          </w:p>
        </w:tc>
        <w:tc>
          <w:tcPr>
            <w:tcW w:w="1045"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3,090 </w:t>
            </w:r>
          </w:p>
        </w:tc>
        <w:tc>
          <w:tcPr>
            <w:tcW w:w="1058"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3,604 </w:t>
            </w:r>
          </w:p>
        </w:tc>
        <w:tc>
          <w:tcPr>
            <w:tcW w:w="488" w:type="dxa"/>
            <w:vMerge w:val="restart"/>
            <w:tcBorders>
              <w:top w:val="single" w:sz="8" w:space="0" w:color="000000"/>
              <w:left w:val="single" w:sz="4" w:space="0" w:color="000000"/>
              <w:bottom w:val="nil"/>
              <w:right w:val="nil"/>
            </w:tcBorders>
            <w:shd w:val="clear" w:color="auto" w:fill="D9D9D9"/>
            <w:vAlign w:val="center"/>
          </w:tcPr>
          <w:p w:rsidR="00BB52D7" w:rsidRDefault="00BB52D7">
            <w:pPr>
              <w:spacing w:after="160" w:line="259" w:lineRule="auto"/>
              <w:ind w:left="0" w:firstLine="0"/>
              <w:jc w:val="left"/>
            </w:pPr>
          </w:p>
        </w:tc>
        <w:tc>
          <w:tcPr>
            <w:tcW w:w="618" w:type="dxa"/>
            <w:vMerge w:val="restart"/>
            <w:tcBorders>
              <w:top w:val="single" w:sz="8" w:space="0" w:color="000000"/>
              <w:left w:val="nil"/>
              <w:bottom w:val="nil"/>
              <w:right w:val="single" w:sz="8" w:space="0" w:color="000000"/>
            </w:tcBorders>
            <w:shd w:val="clear" w:color="auto" w:fill="D9D9D9"/>
            <w:vAlign w:val="bottom"/>
          </w:tcPr>
          <w:p w:rsidR="00BB52D7" w:rsidRDefault="00E33AE6">
            <w:pPr>
              <w:spacing w:after="0" w:line="259" w:lineRule="auto"/>
              <w:ind w:left="109" w:firstLine="0"/>
            </w:pPr>
            <w:r>
              <w:rPr>
                <w:b/>
                <w:sz w:val="22"/>
              </w:rPr>
              <w:t xml:space="preserve">86% </w:t>
            </w:r>
          </w:p>
        </w:tc>
      </w:tr>
      <w:tr w:rsidR="00BB52D7">
        <w:trPr>
          <w:trHeight w:val="237"/>
        </w:trPr>
        <w:tc>
          <w:tcPr>
            <w:tcW w:w="4266" w:type="dxa"/>
            <w:tcBorders>
              <w:top w:val="single" w:sz="4" w:space="0" w:color="000000"/>
              <w:left w:val="single" w:sz="8" w:space="0" w:color="000000"/>
              <w:bottom w:val="nil"/>
              <w:right w:val="single" w:sz="4" w:space="0" w:color="000000"/>
            </w:tcBorders>
            <w:shd w:val="clear" w:color="auto" w:fill="D9D9D9"/>
            <w:vAlign w:val="center"/>
          </w:tcPr>
          <w:p w:rsidR="00BB52D7" w:rsidRDefault="00BB52D7">
            <w:pPr>
              <w:spacing w:after="160" w:line="259" w:lineRule="auto"/>
              <w:ind w:left="0" w:firstLine="0"/>
              <w:jc w:val="left"/>
            </w:pPr>
          </w:p>
        </w:tc>
        <w:tc>
          <w:tcPr>
            <w:tcW w:w="3296" w:type="dxa"/>
            <w:tcBorders>
              <w:top w:val="single" w:sz="4" w:space="0" w:color="D9D9D9"/>
              <w:left w:val="single" w:sz="4" w:space="0" w:color="000000"/>
              <w:bottom w:val="nil"/>
              <w:right w:val="single" w:sz="4" w:space="0" w:color="000000"/>
            </w:tcBorders>
            <w:shd w:val="clear" w:color="auto" w:fill="D9D9D9"/>
            <w:vAlign w:val="center"/>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center"/>
          </w:tcPr>
          <w:p w:rsidR="00BB52D7" w:rsidRDefault="00BB52D7">
            <w:pPr>
              <w:spacing w:after="160" w:line="259" w:lineRule="auto"/>
              <w:ind w:left="0" w:firstLine="0"/>
              <w:jc w:val="left"/>
            </w:pPr>
          </w:p>
        </w:tc>
        <w:tc>
          <w:tcPr>
            <w:tcW w:w="0" w:type="auto"/>
            <w:vMerge/>
            <w:tcBorders>
              <w:top w:val="nil"/>
              <w:left w:val="single" w:sz="4" w:space="0" w:color="000000"/>
              <w:bottom w:val="nil"/>
              <w:right w:val="nil"/>
            </w:tcBorders>
            <w:vAlign w:val="bottom"/>
          </w:tcPr>
          <w:p w:rsidR="00BB52D7" w:rsidRDefault="00BB52D7">
            <w:pPr>
              <w:spacing w:after="160" w:line="259" w:lineRule="auto"/>
              <w:ind w:left="0" w:firstLine="0"/>
              <w:jc w:val="left"/>
            </w:pPr>
          </w:p>
        </w:tc>
        <w:tc>
          <w:tcPr>
            <w:tcW w:w="0" w:type="auto"/>
            <w:vMerge/>
            <w:tcBorders>
              <w:top w:val="nil"/>
              <w:left w:val="nil"/>
              <w:bottom w:val="nil"/>
              <w:right w:val="single" w:sz="8" w:space="0" w:color="000000"/>
            </w:tcBorders>
            <w:vAlign w:val="center"/>
          </w:tcPr>
          <w:p w:rsidR="00BB52D7" w:rsidRDefault="00BB52D7">
            <w:pPr>
              <w:spacing w:after="160" w:line="259" w:lineRule="auto"/>
              <w:ind w:left="0" w:firstLine="0"/>
              <w:jc w:val="left"/>
            </w:pPr>
          </w:p>
        </w:tc>
      </w:tr>
      <w:tr w:rsidR="00BB52D7">
        <w:trPr>
          <w:trHeight w:val="696"/>
        </w:trPr>
        <w:tc>
          <w:tcPr>
            <w:tcW w:w="4266" w:type="dxa"/>
            <w:tcBorders>
              <w:top w:val="nil"/>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67" w:firstLine="0"/>
              <w:jc w:val="left"/>
            </w:pPr>
            <w:r>
              <w:rPr>
                <w:b/>
                <w:sz w:val="22"/>
              </w:rPr>
              <w:t xml:space="preserve">March Gestion de Fondos SGIIC S.A. </w:t>
            </w:r>
          </w:p>
        </w:tc>
        <w:tc>
          <w:tcPr>
            <w:tcW w:w="3296" w:type="dxa"/>
            <w:tcBorders>
              <w:top w:val="nil"/>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70" w:firstLine="0"/>
              <w:jc w:val="left"/>
            </w:pPr>
            <w:r>
              <w:rPr>
                <w:b/>
                <w:sz w:val="22"/>
              </w:rPr>
              <w:t xml:space="preserve">Banco March S.A </w:t>
            </w:r>
          </w:p>
        </w:tc>
        <w:tc>
          <w:tcPr>
            <w:tcW w:w="1748" w:type="dxa"/>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1183" w:type="dxa"/>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939" w:type="dxa"/>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1045" w:type="dxa"/>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488" w:type="dxa"/>
            <w:tcBorders>
              <w:top w:val="nil"/>
              <w:left w:val="single" w:sz="4" w:space="0" w:color="000000"/>
              <w:bottom w:val="single" w:sz="8" w:space="0" w:color="000000"/>
              <w:right w:val="nil"/>
            </w:tcBorders>
            <w:shd w:val="clear" w:color="auto" w:fill="D9D9D9"/>
            <w:vAlign w:val="center"/>
          </w:tcPr>
          <w:p w:rsidR="00BB52D7" w:rsidRDefault="00BB52D7">
            <w:pPr>
              <w:spacing w:after="160" w:line="259" w:lineRule="auto"/>
              <w:ind w:left="0" w:firstLine="0"/>
              <w:jc w:val="left"/>
            </w:pPr>
          </w:p>
        </w:tc>
        <w:tc>
          <w:tcPr>
            <w:tcW w:w="618" w:type="dxa"/>
            <w:tcBorders>
              <w:top w:val="nil"/>
              <w:left w:val="nil"/>
              <w:bottom w:val="single" w:sz="8" w:space="0" w:color="000000"/>
              <w:right w:val="single" w:sz="8" w:space="0" w:color="000000"/>
            </w:tcBorders>
            <w:shd w:val="clear" w:color="auto" w:fill="D9D9D9"/>
            <w:vAlign w:val="center"/>
          </w:tcPr>
          <w:p w:rsidR="00BB52D7" w:rsidRDefault="00BB52D7">
            <w:pPr>
              <w:spacing w:after="160" w:line="259" w:lineRule="auto"/>
              <w:ind w:left="0" w:firstLine="0"/>
              <w:jc w:val="left"/>
            </w:pPr>
          </w:p>
        </w:tc>
      </w:tr>
    </w:tbl>
    <w:p w:rsidR="00BB52D7" w:rsidRDefault="00BB52D7">
      <w:pPr>
        <w:spacing w:after="0" w:line="259" w:lineRule="auto"/>
        <w:ind w:left="-1134" w:right="499" w:firstLine="0"/>
        <w:jc w:val="left"/>
      </w:pPr>
    </w:p>
    <w:tbl>
      <w:tblPr>
        <w:tblStyle w:val="TableGrid"/>
        <w:tblW w:w="14641" w:type="dxa"/>
        <w:tblInd w:w="-2" w:type="dxa"/>
        <w:tblCellMar>
          <w:top w:w="48" w:type="dxa"/>
          <w:left w:w="67" w:type="dxa"/>
          <w:bottom w:w="0" w:type="dxa"/>
          <w:right w:w="14" w:type="dxa"/>
        </w:tblCellMar>
        <w:tblLook w:val="04A0" w:firstRow="1" w:lastRow="0" w:firstColumn="1" w:lastColumn="0" w:noHBand="0" w:noVBand="1"/>
      </w:tblPr>
      <w:tblGrid>
        <w:gridCol w:w="4265"/>
        <w:gridCol w:w="3297"/>
        <w:gridCol w:w="1748"/>
        <w:gridCol w:w="1183"/>
        <w:gridCol w:w="939"/>
        <w:gridCol w:w="1045"/>
        <w:gridCol w:w="1058"/>
        <w:gridCol w:w="1106"/>
      </w:tblGrid>
      <w:tr w:rsidR="00BB52D7">
        <w:trPr>
          <w:trHeight w:val="985"/>
        </w:trPr>
        <w:tc>
          <w:tcPr>
            <w:tcW w:w="4265" w:type="dxa"/>
            <w:tcBorders>
              <w:top w:val="nil"/>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JP Morgan Asset Mgmt (Europe) </w:t>
            </w:r>
          </w:p>
        </w:tc>
        <w:tc>
          <w:tcPr>
            <w:tcW w:w="3297" w:type="dxa"/>
            <w:tcBorders>
              <w:top w:val="nil"/>
              <w:left w:val="single" w:sz="4" w:space="0" w:color="000000"/>
              <w:bottom w:val="single" w:sz="4" w:space="0" w:color="8DB4E2"/>
              <w:right w:val="single" w:sz="4" w:space="0" w:color="000000"/>
            </w:tcBorders>
            <w:shd w:val="clear" w:color="auto" w:fill="8DB4E2"/>
            <w:vAlign w:val="center"/>
          </w:tcPr>
          <w:p w:rsidR="00BB52D7" w:rsidRDefault="00E33AE6">
            <w:pPr>
              <w:spacing w:after="0" w:line="259" w:lineRule="auto"/>
              <w:ind w:left="4" w:firstLine="0"/>
              <w:jc w:val="left"/>
            </w:pPr>
            <w:r>
              <w:rPr>
                <w:b/>
                <w:sz w:val="22"/>
              </w:rPr>
              <w:t xml:space="preserve">JP Morgan Bank Lux </w:t>
            </w:r>
          </w:p>
        </w:tc>
        <w:tc>
          <w:tcPr>
            <w:tcW w:w="1748"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b/>
                <w:sz w:val="22"/>
              </w:rPr>
              <w:t xml:space="preserve">JP Morgan </w:t>
            </w:r>
          </w:p>
        </w:tc>
        <w:tc>
          <w:tcPr>
            <w:tcW w:w="1183"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224,599 </w:t>
            </w:r>
          </w:p>
        </w:tc>
        <w:tc>
          <w:tcPr>
            <w:tcW w:w="939"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5" w:firstLine="0"/>
              <w:jc w:val="right"/>
            </w:pPr>
            <w:r>
              <w:rPr>
                <w:b/>
                <w:sz w:val="22"/>
              </w:rPr>
              <w:t xml:space="preserve">100% </w:t>
            </w:r>
          </w:p>
        </w:tc>
        <w:tc>
          <w:tcPr>
            <w:tcW w:w="1045"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224,599 </w:t>
            </w:r>
          </w:p>
        </w:tc>
        <w:tc>
          <w:tcPr>
            <w:tcW w:w="1058" w:type="dxa"/>
            <w:vMerge w:val="restart"/>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b/>
                <w:sz w:val="22"/>
              </w:rPr>
              <w:t xml:space="preserve">794,321 </w:t>
            </w:r>
          </w:p>
        </w:tc>
        <w:tc>
          <w:tcPr>
            <w:tcW w:w="1106" w:type="dxa"/>
            <w:vMerge w:val="restart"/>
            <w:tcBorders>
              <w:top w:val="nil"/>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28% </w:t>
            </w:r>
          </w:p>
        </w:tc>
      </w:tr>
      <w:tr w:rsidR="00BB52D7">
        <w:trPr>
          <w:trHeight w:val="500"/>
        </w:trPr>
        <w:tc>
          <w:tcPr>
            <w:tcW w:w="4265" w:type="dxa"/>
            <w:tcBorders>
              <w:top w:val="single" w:sz="4"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lastRenderedPageBreak/>
              <w:t xml:space="preserve">JP Morgan Asset Mgmt (UK) </w:t>
            </w:r>
          </w:p>
        </w:tc>
        <w:tc>
          <w:tcPr>
            <w:tcW w:w="3297" w:type="dxa"/>
            <w:tcBorders>
              <w:top w:val="single" w:sz="4" w:space="0" w:color="8DB4E2"/>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4" w:firstLine="0"/>
              <w:jc w:val="left"/>
            </w:pPr>
            <w:r>
              <w:rPr>
                <w:b/>
                <w:sz w:val="22"/>
              </w:rPr>
              <w:t xml:space="preserve">JP Morgan Chase Bank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560"/>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Kutxabank Gestion SGIIC S.A.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Kutxabank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Kutxabank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5,940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5,940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5,940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336"/>
        </w:trPr>
        <w:tc>
          <w:tcPr>
            <w:tcW w:w="4265" w:type="dxa"/>
            <w:tcBorders>
              <w:top w:val="single" w:sz="8"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jc w:val="left"/>
            </w:pPr>
            <w:r>
              <w:rPr>
                <w:b/>
                <w:sz w:val="22"/>
              </w:rPr>
              <w:t xml:space="preserve">KBC Asset Management NV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4" w:firstLine="0"/>
              <w:jc w:val="left"/>
            </w:pPr>
            <w:r>
              <w:rPr>
                <w:b/>
                <w:sz w:val="22"/>
              </w:rPr>
              <w:t xml:space="preserve">KBC Bank NV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2" w:firstLine="0"/>
              <w:jc w:val="left"/>
            </w:pPr>
            <w:r>
              <w:rPr>
                <w:b/>
                <w:sz w:val="22"/>
              </w:rPr>
              <w:t xml:space="preserve">KBC Group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18,172 </w:t>
            </w:r>
          </w:p>
        </w:tc>
        <w:tc>
          <w:tcPr>
            <w:tcW w:w="939"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6" w:firstLine="0"/>
              <w:jc w:val="right"/>
            </w:pPr>
            <w:r>
              <w:rPr>
                <w:b/>
                <w:sz w:val="22"/>
              </w:rPr>
              <w:t xml:space="preserve">61%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10,950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8" w:firstLine="0"/>
              <w:jc w:val="right"/>
            </w:pPr>
            <w:r>
              <w:rPr>
                <w:b/>
                <w:sz w:val="22"/>
              </w:rPr>
              <w:t xml:space="preserve">10,950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tcPr>
          <w:p w:rsidR="00BB52D7" w:rsidRDefault="00E33AE6">
            <w:pPr>
              <w:spacing w:after="0" w:line="259" w:lineRule="auto"/>
              <w:ind w:left="0" w:right="54" w:firstLine="0"/>
              <w:jc w:val="right"/>
            </w:pPr>
            <w:r>
              <w:rPr>
                <w:b/>
                <w:sz w:val="22"/>
              </w:rPr>
              <w:t xml:space="preserve">100% </w:t>
            </w:r>
          </w:p>
        </w:tc>
      </w:tr>
      <w:tr w:rsidR="00BB52D7">
        <w:trPr>
          <w:trHeight w:val="335"/>
        </w:trPr>
        <w:tc>
          <w:tcPr>
            <w:tcW w:w="4265" w:type="dxa"/>
            <w:tcBorders>
              <w:top w:val="single" w:sz="8" w:space="0" w:color="000000"/>
              <w:left w:val="single" w:sz="8" w:space="0" w:color="000000"/>
              <w:bottom w:val="single" w:sz="8" w:space="0" w:color="000000"/>
              <w:right w:val="single" w:sz="4" w:space="0" w:color="000000"/>
            </w:tcBorders>
            <w:shd w:val="clear" w:color="auto" w:fill="8DB4E2"/>
          </w:tcPr>
          <w:p w:rsidR="00BB52D7" w:rsidRDefault="00E33AE6">
            <w:pPr>
              <w:spacing w:after="0" w:line="259" w:lineRule="auto"/>
              <w:ind w:left="0" w:firstLine="0"/>
              <w:jc w:val="left"/>
            </w:pPr>
            <w:r>
              <w:rPr>
                <w:sz w:val="22"/>
              </w:rPr>
              <w:t xml:space="preserve">La Française AM </w:t>
            </w:r>
          </w:p>
        </w:tc>
        <w:tc>
          <w:tcPr>
            <w:tcW w:w="3297" w:type="dxa"/>
            <w:tcBorders>
              <w:top w:val="single" w:sz="8" w:space="0" w:color="000000"/>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4"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0" w:right="56" w:firstLine="0"/>
              <w:jc w:val="right"/>
            </w:pPr>
            <w:r>
              <w:rPr>
                <w:sz w:val="22"/>
              </w:rPr>
              <w:t xml:space="preserve">1,373 </w:t>
            </w:r>
          </w:p>
        </w:tc>
        <w:tc>
          <w:tcPr>
            <w:tcW w:w="939" w:type="dxa"/>
            <w:tcBorders>
              <w:top w:val="single" w:sz="8" w:space="0" w:color="000000"/>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0" w:right="57" w:firstLine="0"/>
              <w:jc w:val="right"/>
            </w:pPr>
            <w:r>
              <w:rPr>
                <w:sz w:val="22"/>
              </w:rPr>
              <w:t xml:space="preserve">NA </w:t>
            </w:r>
          </w:p>
        </w:tc>
        <w:tc>
          <w:tcPr>
            <w:tcW w:w="1045" w:type="dxa"/>
            <w:tcBorders>
              <w:top w:val="single" w:sz="8" w:space="0" w:color="000000"/>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0" w:right="58" w:firstLine="0"/>
              <w:jc w:val="righ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0" w:right="58" w:firstLine="0"/>
              <w:jc w:val="righ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shd w:val="clear" w:color="auto" w:fill="8DB4E2"/>
          </w:tcPr>
          <w:p w:rsidR="00BB52D7" w:rsidRDefault="00E33AE6">
            <w:pPr>
              <w:spacing w:after="0" w:line="259" w:lineRule="auto"/>
              <w:ind w:left="0" w:right="56" w:firstLine="0"/>
              <w:jc w:val="right"/>
            </w:pPr>
            <w:r>
              <w:rPr>
                <w:sz w:val="22"/>
              </w:rPr>
              <w:t xml:space="preserve">NA- </w:t>
            </w:r>
          </w:p>
        </w:tc>
      </w:tr>
      <w:tr w:rsidR="00BB52D7">
        <w:trPr>
          <w:trHeight w:val="996"/>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sz w:val="22"/>
              </w:rPr>
              <w:t xml:space="preserve">Landesbank Berlin Investment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sz w:val="22"/>
              </w:rPr>
              <w:t xml:space="preserve">Landesbank Berlin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sz w:val="22"/>
              </w:rPr>
              <w:t xml:space="preserve">Landesbank </w:t>
            </w:r>
          </w:p>
          <w:p w:rsidR="00BB52D7" w:rsidRDefault="00E33AE6">
            <w:pPr>
              <w:spacing w:after="0" w:line="259" w:lineRule="auto"/>
              <w:ind w:left="2" w:firstLine="0"/>
              <w:jc w:val="left"/>
            </w:pPr>
            <w:r>
              <w:rPr>
                <w:sz w:val="22"/>
              </w:rPr>
              <w:t xml:space="preserve">Berlin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2,574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28%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0,729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0,729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sz w:val="22"/>
              </w:rPr>
              <w:t xml:space="preserve">100% </w:t>
            </w:r>
          </w:p>
        </w:tc>
      </w:tr>
      <w:tr w:rsidR="00BB52D7">
        <w:trPr>
          <w:trHeight w:val="1175"/>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LBBW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Landesbank Baden-</w:t>
            </w:r>
          </w:p>
          <w:p w:rsidR="00BB52D7" w:rsidRDefault="00E33AE6">
            <w:pPr>
              <w:spacing w:after="0" w:line="259" w:lineRule="auto"/>
              <w:ind w:left="4" w:firstLine="0"/>
              <w:jc w:val="left"/>
            </w:pPr>
            <w:r>
              <w:rPr>
                <w:b/>
                <w:sz w:val="22"/>
              </w:rPr>
              <w:t xml:space="preserve">Württemberg </w:t>
            </w:r>
          </w:p>
          <w:p w:rsidR="00BB52D7" w:rsidRDefault="00E33AE6">
            <w:pPr>
              <w:spacing w:after="0" w:line="259" w:lineRule="auto"/>
              <w:ind w:left="4" w:firstLine="0"/>
              <w:jc w:val="left"/>
            </w:pPr>
            <w:r>
              <w:rPr>
                <w:b/>
                <w:sz w:val="22"/>
              </w:rPr>
              <w:t xml:space="preserve">Wüstenrot Bank AG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Sparkassen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3,829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93%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3,561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3,82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93% </w:t>
            </w:r>
          </w:p>
        </w:tc>
      </w:tr>
      <w:tr w:rsidR="00BB52D7">
        <w:trPr>
          <w:trHeight w:val="337"/>
        </w:trPr>
        <w:tc>
          <w:tcPr>
            <w:tcW w:w="426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firstLine="0"/>
              <w:jc w:val="left"/>
            </w:pPr>
            <w:r>
              <w:rPr>
                <w:b/>
                <w:sz w:val="22"/>
              </w:rPr>
              <w:t xml:space="preserve">Legal &amp; General Investment Management </w:t>
            </w:r>
          </w:p>
        </w:tc>
        <w:tc>
          <w:tcPr>
            <w:tcW w:w="3297"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4" w:firstLine="0"/>
              <w:jc w:val="left"/>
            </w:pPr>
            <w:r>
              <w:rPr>
                <w:b/>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b/>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b/>
                <w:sz w:val="22"/>
              </w:rPr>
              <w:t xml:space="preserve">56,768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b/>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b/>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b/>
                <w:sz w:val="22"/>
              </w:rPr>
              <w:t xml:space="preserve">NA </w:t>
            </w:r>
          </w:p>
        </w:tc>
        <w:tc>
          <w:tcPr>
            <w:tcW w:w="110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b/>
                <w:sz w:val="22"/>
              </w:rPr>
              <w:t xml:space="preserve">NA </w:t>
            </w:r>
          </w:p>
        </w:tc>
      </w:tr>
      <w:tr w:rsidR="00BB52D7">
        <w:trPr>
          <w:trHeight w:val="335"/>
        </w:trPr>
        <w:tc>
          <w:tcPr>
            <w:tcW w:w="4265"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Legg Mason </w:t>
            </w:r>
          </w:p>
        </w:tc>
        <w:tc>
          <w:tcPr>
            <w:tcW w:w="3297"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4"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18,173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498"/>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Mapfre Inversion Dos, SGIIC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Mapfre Inversion SV,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Mapfre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1,785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1,785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1,785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r w:rsidR="00BB52D7">
        <w:trPr>
          <w:trHeight w:val="935"/>
        </w:trPr>
        <w:tc>
          <w:tcPr>
            <w:tcW w:w="4265" w:type="dxa"/>
            <w:tcBorders>
              <w:top w:val="single" w:sz="8"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Mediolanum Gestion, SGIIC </w:t>
            </w:r>
          </w:p>
        </w:tc>
        <w:tc>
          <w:tcPr>
            <w:tcW w:w="3297"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4" w:firstLine="0"/>
              <w:jc w:val="left"/>
            </w:pPr>
            <w:r>
              <w:rPr>
                <w:b/>
                <w:sz w:val="22"/>
              </w:rPr>
              <w:t xml:space="preserve">Banco Mediolanum, S.A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b/>
                <w:sz w:val="22"/>
              </w:rPr>
              <w:t xml:space="preserve">Mediolanum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6,263 </w:t>
            </w:r>
          </w:p>
        </w:tc>
        <w:tc>
          <w:tcPr>
            <w:tcW w:w="939"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6,263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b/>
                <w:sz w:val="22"/>
              </w:rPr>
              <w:t xml:space="preserve">11,404 </w:t>
            </w:r>
          </w:p>
        </w:tc>
        <w:tc>
          <w:tcPr>
            <w:tcW w:w="1106" w:type="dxa"/>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55% </w:t>
            </w:r>
          </w:p>
        </w:tc>
      </w:tr>
      <w:tr w:rsidR="00BB52D7">
        <w:trPr>
          <w:trHeight w:val="1235"/>
        </w:trPr>
        <w:tc>
          <w:tcPr>
            <w:tcW w:w="4265" w:type="dxa"/>
            <w:tcBorders>
              <w:top w:val="single" w:sz="8"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sz w:val="22"/>
              </w:rPr>
              <w:t xml:space="preserve">Meriten Investment Management </w:t>
            </w:r>
          </w:p>
        </w:tc>
        <w:tc>
          <w:tcPr>
            <w:tcW w:w="3297"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4" w:firstLine="0"/>
              <w:jc w:val="left"/>
            </w:pPr>
            <w:r>
              <w:rPr>
                <w:sz w:val="22"/>
              </w:rPr>
              <w:t xml:space="preserve">The Bank of New York Mellon SA/NV, Asset Servicing, Niederl. Frankfurt am Main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sz w:val="22"/>
              </w:rPr>
              <w:t xml:space="preserve">The Bank of New York Mellon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sz w:val="22"/>
              </w:rPr>
              <w:t xml:space="preserve">0,309 </w:t>
            </w:r>
          </w:p>
        </w:tc>
        <w:tc>
          <w:tcPr>
            <w:tcW w:w="939"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sz w:val="22"/>
              </w:rPr>
              <w:t xml:space="preserve">11% </w:t>
            </w:r>
          </w:p>
        </w:tc>
        <w:tc>
          <w:tcPr>
            <w:tcW w:w="1045"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sz w:val="22"/>
              </w:rPr>
              <w:t xml:space="preserve">0,033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sz w:val="22"/>
              </w:rPr>
              <w:t xml:space="preserve">0,621 </w:t>
            </w:r>
          </w:p>
        </w:tc>
        <w:tc>
          <w:tcPr>
            <w:tcW w:w="1106" w:type="dxa"/>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sz w:val="22"/>
              </w:rPr>
              <w:t xml:space="preserve">5,31% </w:t>
            </w:r>
          </w:p>
        </w:tc>
      </w:tr>
      <w:tr w:rsidR="00BB52D7">
        <w:trPr>
          <w:trHeight w:val="753"/>
        </w:trPr>
        <w:tc>
          <w:tcPr>
            <w:tcW w:w="4265"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Metzler Investment </w:t>
            </w:r>
          </w:p>
        </w:tc>
        <w:tc>
          <w:tcPr>
            <w:tcW w:w="3297"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4" w:firstLine="0"/>
              <w:jc w:val="left"/>
            </w:pPr>
            <w:r>
              <w:rPr>
                <w:b/>
                <w:sz w:val="22"/>
              </w:rPr>
              <w:t xml:space="preserve">B. Metzler seel. Sohn &amp; Co. </w:t>
            </w:r>
          </w:p>
          <w:p w:rsidR="00BB52D7" w:rsidRDefault="00E33AE6">
            <w:pPr>
              <w:spacing w:after="0" w:line="259" w:lineRule="auto"/>
              <w:ind w:left="4" w:firstLine="0"/>
              <w:jc w:val="left"/>
            </w:pPr>
            <w:r>
              <w:rPr>
                <w:b/>
                <w:sz w:val="22"/>
              </w:rPr>
              <w:t xml:space="preserve">KGaA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Metzler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2,301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91%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2,091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2,091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4" w:firstLine="0"/>
              <w:jc w:val="right"/>
            </w:pPr>
            <w:r>
              <w:rPr>
                <w:b/>
                <w:sz w:val="22"/>
              </w:rPr>
              <w:t xml:space="preserve">100% </w:t>
            </w:r>
          </w:p>
        </w:tc>
      </w:tr>
    </w:tbl>
    <w:p w:rsidR="00BB52D7" w:rsidRDefault="00BB52D7">
      <w:pPr>
        <w:spacing w:after="0" w:line="259" w:lineRule="auto"/>
        <w:ind w:left="-1134" w:right="499" w:firstLine="0"/>
        <w:jc w:val="left"/>
      </w:pPr>
    </w:p>
    <w:tbl>
      <w:tblPr>
        <w:tblStyle w:val="TableGrid"/>
        <w:tblW w:w="14641" w:type="dxa"/>
        <w:tblInd w:w="-2" w:type="dxa"/>
        <w:tblCellMar>
          <w:top w:w="69" w:type="dxa"/>
          <w:left w:w="0" w:type="dxa"/>
          <w:bottom w:w="11" w:type="dxa"/>
          <w:right w:w="14" w:type="dxa"/>
        </w:tblCellMar>
        <w:tblLook w:val="04A0" w:firstRow="1" w:lastRow="0" w:firstColumn="1" w:lastColumn="0" w:noHBand="0" w:noVBand="1"/>
      </w:tblPr>
      <w:tblGrid>
        <w:gridCol w:w="4266"/>
        <w:gridCol w:w="3296"/>
        <w:gridCol w:w="1748"/>
        <w:gridCol w:w="1183"/>
        <w:gridCol w:w="939"/>
        <w:gridCol w:w="1045"/>
        <w:gridCol w:w="1058"/>
        <w:gridCol w:w="488"/>
        <w:gridCol w:w="618"/>
      </w:tblGrid>
      <w:tr w:rsidR="00BB52D7">
        <w:trPr>
          <w:trHeight w:val="327"/>
        </w:trPr>
        <w:tc>
          <w:tcPr>
            <w:tcW w:w="4266" w:type="dxa"/>
            <w:tcBorders>
              <w:top w:val="nil"/>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lastRenderedPageBreak/>
              <w:t xml:space="preserve">MFS Investment Management </w:t>
            </w:r>
          </w:p>
        </w:tc>
        <w:tc>
          <w:tcPr>
            <w:tcW w:w="3296" w:type="dxa"/>
            <w:tcBorders>
              <w:top w:val="nil"/>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nil"/>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nil"/>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22,402 </w:t>
            </w:r>
          </w:p>
        </w:tc>
        <w:tc>
          <w:tcPr>
            <w:tcW w:w="939" w:type="dxa"/>
            <w:tcBorders>
              <w:top w:val="nil"/>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nil"/>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nil"/>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nil"/>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5"/>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M&amp;G Investments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86,757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932"/>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Millennium BCP Gestao de Activos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Banco Comercial Português,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pPr>
            <w:r>
              <w:rPr>
                <w:b/>
                <w:sz w:val="22"/>
              </w:rPr>
              <w:t xml:space="preserve">millennium BCP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1,057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1,057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1,057 </w:t>
            </w:r>
          </w:p>
        </w:tc>
        <w:tc>
          <w:tcPr>
            <w:tcW w:w="488"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0" w:firstLine="0"/>
            </w:pPr>
            <w:r>
              <w:rPr>
                <w:b/>
                <w:sz w:val="22"/>
              </w:rPr>
              <w:t xml:space="preserve">100% </w:t>
            </w:r>
          </w:p>
        </w:tc>
      </w:tr>
      <w:tr w:rsidR="00BB52D7">
        <w:trPr>
          <w:trHeight w:val="936"/>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Montepio Gestao de Activos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right="19" w:firstLine="0"/>
              <w:jc w:val="left"/>
            </w:pPr>
            <w:r>
              <w:rPr>
                <w:b/>
                <w:sz w:val="22"/>
              </w:rPr>
              <w:t xml:space="preserve">Caixa Economica Montepio Geral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Montepio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0,246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95%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0,233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0,233 </w:t>
            </w:r>
          </w:p>
        </w:tc>
        <w:tc>
          <w:tcPr>
            <w:tcW w:w="488"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0" w:firstLine="0"/>
            </w:pPr>
            <w:r>
              <w:rPr>
                <w:b/>
                <w:sz w:val="22"/>
              </w:rPr>
              <w:t xml:space="preserve">100% </w:t>
            </w: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Morgan Stanley Investment Management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55,230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single" w:sz="8" w:space="0" w:color="000000"/>
              <w:left w:val="nil"/>
              <w:bottom w:val="single" w:sz="8" w:space="0" w:color="000000"/>
              <w:right w:val="single" w:sz="8" w:space="0" w:color="000000"/>
            </w:tcBorders>
            <w:vAlign w:val="bottom"/>
          </w:tcPr>
          <w:p w:rsidR="00BB52D7" w:rsidRDefault="00BB52D7">
            <w:pPr>
              <w:spacing w:after="160" w:line="259" w:lineRule="auto"/>
              <w:ind w:left="0" w:firstLine="0"/>
              <w:jc w:val="left"/>
            </w:pPr>
          </w:p>
        </w:tc>
      </w:tr>
      <w:tr w:rsidR="00BB52D7">
        <w:trPr>
          <w:trHeight w:val="333"/>
        </w:trPr>
        <w:tc>
          <w:tcPr>
            <w:tcW w:w="4266" w:type="dxa"/>
            <w:tcBorders>
              <w:top w:val="single" w:sz="8" w:space="0" w:color="000000"/>
              <w:left w:val="single" w:sz="8" w:space="0" w:color="000000"/>
              <w:bottom w:val="single" w:sz="8" w:space="0" w:color="000000"/>
              <w:right w:val="single" w:sz="4" w:space="0" w:color="000000"/>
            </w:tcBorders>
            <w:shd w:val="clear" w:color="auto" w:fill="B8CCE4"/>
          </w:tcPr>
          <w:p w:rsidR="00BB52D7" w:rsidRDefault="00E33AE6">
            <w:pPr>
              <w:spacing w:after="0" w:line="259" w:lineRule="auto"/>
              <w:ind w:left="67" w:firstLine="0"/>
              <w:jc w:val="left"/>
            </w:pPr>
            <w:r>
              <w:rPr>
                <w:sz w:val="22"/>
              </w:rPr>
              <w:t xml:space="preserve">Natixis Asset Management </w:t>
            </w:r>
          </w:p>
        </w:tc>
        <w:tc>
          <w:tcPr>
            <w:tcW w:w="3296" w:type="dxa"/>
            <w:tcBorders>
              <w:top w:val="single" w:sz="8" w:space="0" w:color="000000"/>
              <w:left w:val="single" w:sz="4" w:space="0" w:color="000000"/>
              <w:bottom w:val="single" w:sz="8" w:space="0" w:color="000000"/>
              <w:right w:val="single" w:sz="4" w:space="0" w:color="000000"/>
            </w:tcBorders>
            <w:shd w:val="clear" w:color="auto" w:fill="B8CCE4"/>
          </w:tcPr>
          <w:p w:rsidR="00BB52D7" w:rsidRDefault="00E33AE6">
            <w:pPr>
              <w:spacing w:after="0" w:line="259" w:lineRule="auto"/>
              <w:ind w:left="70" w:firstLine="0"/>
              <w:jc w:val="left"/>
            </w:pPr>
            <w:r>
              <w:rPr>
                <w:sz w:val="22"/>
              </w:rPr>
              <w:t xml:space="preserve">Bred Banque Populaire </w:t>
            </w:r>
          </w:p>
        </w:tc>
        <w:tc>
          <w:tcPr>
            <w:tcW w:w="1748" w:type="dxa"/>
            <w:tcBorders>
              <w:top w:val="single" w:sz="8" w:space="0" w:color="000000"/>
              <w:left w:val="single" w:sz="4" w:space="0" w:color="000000"/>
              <w:bottom w:val="single" w:sz="8" w:space="0" w:color="000000"/>
              <w:right w:val="single" w:sz="4" w:space="0" w:color="000000"/>
            </w:tcBorders>
            <w:shd w:val="clear" w:color="auto" w:fill="B8CCE4"/>
          </w:tcPr>
          <w:p w:rsidR="00BB52D7" w:rsidRDefault="00E33AE6">
            <w:pPr>
              <w:spacing w:after="0" w:line="259" w:lineRule="auto"/>
              <w:ind w:left="70" w:firstLine="0"/>
              <w:jc w:val="left"/>
            </w:pPr>
            <w:r>
              <w:rPr>
                <w:sz w:val="22"/>
              </w:rPr>
              <w:t xml:space="preserve">BPCE </w:t>
            </w:r>
          </w:p>
        </w:tc>
        <w:tc>
          <w:tcPr>
            <w:tcW w:w="1183" w:type="dxa"/>
            <w:tcBorders>
              <w:top w:val="single" w:sz="8" w:space="0" w:color="000000"/>
              <w:left w:val="single" w:sz="4" w:space="0" w:color="000000"/>
              <w:bottom w:val="single" w:sz="8" w:space="0" w:color="000000"/>
              <w:right w:val="single" w:sz="4" w:space="0" w:color="000000"/>
            </w:tcBorders>
            <w:shd w:val="clear" w:color="auto" w:fill="B8CCE4"/>
          </w:tcPr>
          <w:p w:rsidR="00BB52D7" w:rsidRDefault="00E33AE6">
            <w:pPr>
              <w:spacing w:after="0" w:line="259" w:lineRule="auto"/>
              <w:ind w:left="0" w:right="57" w:firstLine="0"/>
              <w:jc w:val="right"/>
            </w:pPr>
            <w:r>
              <w:rPr>
                <w:sz w:val="22"/>
              </w:rPr>
              <w:t xml:space="preserve">64,007 </w:t>
            </w:r>
          </w:p>
        </w:tc>
        <w:tc>
          <w:tcPr>
            <w:tcW w:w="939" w:type="dxa"/>
            <w:tcBorders>
              <w:top w:val="single" w:sz="8" w:space="0" w:color="000000"/>
              <w:left w:val="single" w:sz="4" w:space="0" w:color="000000"/>
              <w:bottom w:val="single" w:sz="8" w:space="0" w:color="000000"/>
              <w:right w:val="single" w:sz="4" w:space="0" w:color="000000"/>
            </w:tcBorders>
            <w:shd w:val="clear" w:color="auto" w:fill="B8CCE4"/>
          </w:tcPr>
          <w:p w:rsidR="00BB52D7" w:rsidRDefault="00E33AE6">
            <w:pPr>
              <w:spacing w:after="0" w:line="259" w:lineRule="auto"/>
              <w:ind w:left="0" w:right="56" w:firstLine="0"/>
              <w:jc w:val="right"/>
            </w:pPr>
            <w:r>
              <w:rPr>
                <w:sz w:val="22"/>
              </w:rPr>
              <w:t xml:space="preserve">1% </w:t>
            </w:r>
          </w:p>
        </w:tc>
        <w:tc>
          <w:tcPr>
            <w:tcW w:w="1045" w:type="dxa"/>
            <w:tcBorders>
              <w:top w:val="single" w:sz="8" w:space="0" w:color="000000"/>
              <w:left w:val="single" w:sz="4" w:space="0" w:color="000000"/>
              <w:bottom w:val="single" w:sz="8" w:space="0" w:color="000000"/>
              <w:right w:val="single" w:sz="4" w:space="0" w:color="000000"/>
            </w:tcBorders>
            <w:shd w:val="clear" w:color="auto" w:fill="B8CCE4"/>
          </w:tcPr>
          <w:p w:rsidR="00BB52D7" w:rsidRDefault="00E33AE6">
            <w:pPr>
              <w:spacing w:after="0" w:line="259" w:lineRule="auto"/>
              <w:ind w:left="0" w:right="57" w:firstLine="0"/>
              <w:jc w:val="right"/>
            </w:pPr>
            <w:r>
              <w:rPr>
                <w:sz w:val="22"/>
              </w:rPr>
              <w:t xml:space="preserve">0,640 </w:t>
            </w:r>
          </w:p>
        </w:tc>
        <w:tc>
          <w:tcPr>
            <w:tcW w:w="1058" w:type="dxa"/>
            <w:tcBorders>
              <w:top w:val="single" w:sz="8" w:space="0" w:color="000000"/>
              <w:left w:val="single" w:sz="4" w:space="0" w:color="000000"/>
              <w:bottom w:val="single" w:sz="8" w:space="0" w:color="000000"/>
              <w:right w:val="single" w:sz="4" w:space="0" w:color="000000"/>
            </w:tcBorders>
            <w:shd w:val="clear" w:color="auto" w:fill="B8CCE4"/>
          </w:tcPr>
          <w:p w:rsidR="00BB52D7" w:rsidRDefault="00E33AE6">
            <w:pPr>
              <w:spacing w:after="0" w:line="259" w:lineRule="auto"/>
              <w:ind w:left="0" w:right="57" w:firstLine="0"/>
              <w:jc w:val="right"/>
            </w:pPr>
            <w:r>
              <w:rPr>
                <w:sz w:val="22"/>
              </w:rPr>
              <w:t xml:space="preserve">3,885 </w:t>
            </w:r>
          </w:p>
        </w:tc>
        <w:tc>
          <w:tcPr>
            <w:tcW w:w="488" w:type="dxa"/>
            <w:tcBorders>
              <w:top w:val="single" w:sz="8" w:space="0" w:color="000000"/>
              <w:left w:val="single" w:sz="4" w:space="0" w:color="000000"/>
              <w:bottom w:val="single" w:sz="8" w:space="0" w:color="000000"/>
              <w:right w:val="nil"/>
            </w:tcBorders>
            <w:shd w:val="clear" w:color="auto" w:fill="B8CCE4"/>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B8CCE4"/>
          </w:tcPr>
          <w:p w:rsidR="00BB52D7" w:rsidRDefault="00E33AE6">
            <w:pPr>
              <w:spacing w:after="0" w:line="259" w:lineRule="auto"/>
              <w:ind w:left="146" w:firstLine="0"/>
              <w:jc w:val="left"/>
            </w:pPr>
            <w:r>
              <w:rPr>
                <w:sz w:val="22"/>
              </w:rPr>
              <w:t xml:space="preserve">16% </w:t>
            </w:r>
          </w:p>
        </w:tc>
      </w:tr>
      <w:tr w:rsidR="00BB52D7">
        <w:trPr>
          <w:trHeight w:val="860"/>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NORD/LB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NORD/LB Norddeutsche Landesbank Girozentrale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Sparkassen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0,907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0,907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1,026 </w:t>
            </w:r>
          </w:p>
        </w:tc>
        <w:tc>
          <w:tcPr>
            <w:tcW w:w="488" w:type="dxa"/>
            <w:tcBorders>
              <w:top w:val="single" w:sz="8" w:space="0" w:color="000000"/>
              <w:left w:val="single" w:sz="4" w:space="0" w:color="000000"/>
              <w:bottom w:val="single" w:sz="8" w:space="0" w:color="000000"/>
              <w:right w:val="nil"/>
            </w:tcBorders>
            <w:shd w:val="clear" w:color="auto" w:fill="D9D9D9"/>
            <w:vAlign w:val="bottom"/>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09" w:firstLine="0"/>
            </w:pPr>
            <w:r>
              <w:rPr>
                <w:b/>
                <w:sz w:val="22"/>
              </w:rPr>
              <w:t xml:space="preserve">88% </w:t>
            </w:r>
          </w:p>
        </w:tc>
      </w:tr>
      <w:tr w:rsidR="00BB52D7">
        <w:trPr>
          <w:trHeight w:val="854"/>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Nordea Invest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Nordea Bank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Nordea Bank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83,833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70%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58,683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59,000 </w:t>
            </w:r>
          </w:p>
        </w:tc>
        <w:tc>
          <w:tcPr>
            <w:tcW w:w="488"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vMerge w:val="restart"/>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09" w:firstLine="0"/>
            </w:pPr>
            <w:r>
              <w:rPr>
                <w:b/>
                <w:sz w:val="22"/>
              </w:rPr>
              <w:t xml:space="preserve">99% </w:t>
            </w:r>
          </w:p>
        </w:tc>
      </w:tr>
      <w:tr w:rsidR="00BB52D7">
        <w:trPr>
          <w:trHeight w:val="866"/>
        </w:trPr>
        <w:tc>
          <w:tcPr>
            <w:tcW w:w="4266" w:type="dxa"/>
            <w:tcBorders>
              <w:top w:val="single" w:sz="4"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Nordea fu</w:t>
            </w:r>
            <w:r>
              <w:rPr>
                <w:b/>
                <w:sz w:val="22"/>
              </w:rPr>
              <w:t xml:space="preserve">nds company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860"/>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Novo banco Gestion,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Novo Banco, S.A.,SE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Novo Banco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0,724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0,724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0,724 </w:t>
            </w:r>
          </w:p>
        </w:tc>
        <w:tc>
          <w:tcPr>
            <w:tcW w:w="488"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0" w:firstLine="0"/>
            </w:pPr>
            <w:r>
              <w:rPr>
                <w:b/>
                <w:sz w:val="22"/>
              </w:rPr>
              <w:t xml:space="preserve">100% </w:t>
            </w:r>
          </w:p>
        </w:tc>
      </w:tr>
      <w:tr w:rsidR="00BB52D7">
        <w:trPr>
          <w:trHeight w:val="635"/>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Nykredit portefølje administration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Nykredit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Nykredit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6" w:firstLine="0"/>
              <w:jc w:val="right"/>
            </w:pPr>
            <w:r>
              <w:rPr>
                <w:b/>
                <w:sz w:val="22"/>
              </w:rPr>
              <w:t xml:space="preserve">3,675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3,675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bottom"/>
          </w:tcPr>
          <w:p w:rsidR="00BB52D7" w:rsidRDefault="00E33AE6">
            <w:pPr>
              <w:spacing w:after="0" w:line="259" w:lineRule="auto"/>
              <w:ind w:left="0" w:right="57" w:firstLine="0"/>
              <w:jc w:val="right"/>
            </w:pPr>
            <w:r>
              <w:rPr>
                <w:b/>
                <w:sz w:val="22"/>
              </w:rPr>
              <w:t xml:space="preserve">6,841 </w:t>
            </w:r>
          </w:p>
        </w:tc>
        <w:tc>
          <w:tcPr>
            <w:tcW w:w="488"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bottom"/>
          </w:tcPr>
          <w:p w:rsidR="00BB52D7" w:rsidRDefault="00E33AE6">
            <w:pPr>
              <w:spacing w:after="0" w:line="259" w:lineRule="auto"/>
              <w:ind w:left="109" w:firstLine="0"/>
            </w:pPr>
            <w:r>
              <w:rPr>
                <w:b/>
                <w:sz w:val="22"/>
              </w:rPr>
              <w:t xml:space="preserve">54% </w:t>
            </w:r>
          </w:p>
        </w:tc>
      </w:tr>
      <w:tr w:rsidR="00BB52D7">
        <w:trPr>
          <w:trHeight w:val="515"/>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lastRenderedPageBreak/>
              <w:t xml:space="preserve">Pictet Funds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Pictet &amp; Cie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Pictet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42,304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97%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41,179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54,152 </w:t>
            </w:r>
          </w:p>
        </w:tc>
        <w:tc>
          <w:tcPr>
            <w:tcW w:w="488"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09" w:firstLine="0"/>
            </w:pPr>
            <w:r>
              <w:rPr>
                <w:b/>
                <w:sz w:val="22"/>
              </w:rPr>
              <w:t xml:space="preserve">76% </w:t>
            </w: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PIMCO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77,535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488"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618"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615"/>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sz w:val="22"/>
              </w:rPr>
              <w:t xml:space="preserve">Pioneer Investments Austria GmbH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sz w:val="22"/>
              </w:rPr>
              <w:t xml:space="preserve">UniCredit Bank Austria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pPr>
            <w:r>
              <w:rPr>
                <w:sz w:val="22"/>
              </w:rPr>
              <w:t xml:space="preserve">Gruppo UniCredit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115,707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sz w:val="22"/>
              </w:rPr>
              <w:t xml:space="preserve">6%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6,942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sz w:val="22"/>
              </w:rPr>
              <w:t xml:space="preserve">7,047 </w:t>
            </w:r>
          </w:p>
        </w:tc>
        <w:tc>
          <w:tcPr>
            <w:tcW w:w="488" w:type="dxa"/>
            <w:tcBorders>
              <w:top w:val="single" w:sz="8" w:space="0" w:color="000000"/>
              <w:left w:val="single" w:sz="4" w:space="0" w:color="000000"/>
              <w:bottom w:val="single" w:sz="8" w:space="0" w:color="000000"/>
              <w:right w:val="nil"/>
            </w:tcBorders>
            <w:shd w:val="clear" w:color="auto" w:fill="D9D9D9"/>
            <w:vAlign w:val="bottom"/>
          </w:tcPr>
          <w:p w:rsidR="00BB52D7" w:rsidRDefault="00BB52D7">
            <w:pPr>
              <w:spacing w:after="160" w:line="259" w:lineRule="auto"/>
              <w:ind w:left="0" w:firstLine="0"/>
              <w:jc w:val="left"/>
            </w:pPr>
          </w:p>
        </w:tc>
        <w:tc>
          <w:tcPr>
            <w:tcW w:w="618"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146" w:firstLine="0"/>
              <w:jc w:val="left"/>
            </w:pPr>
            <w:r>
              <w:rPr>
                <w:sz w:val="22"/>
              </w:rPr>
              <w:t xml:space="preserve">99% </w:t>
            </w:r>
          </w:p>
        </w:tc>
      </w:tr>
    </w:tbl>
    <w:p w:rsidR="00BB52D7" w:rsidRDefault="00BB52D7">
      <w:pPr>
        <w:spacing w:after="0" w:line="259" w:lineRule="auto"/>
        <w:ind w:left="-1134" w:right="499" w:firstLine="0"/>
        <w:jc w:val="left"/>
      </w:pPr>
    </w:p>
    <w:tbl>
      <w:tblPr>
        <w:tblStyle w:val="TableGrid"/>
        <w:tblW w:w="14641" w:type="dxa"/>
        <w:tblInd w:w="-2" w:type="dxa"/>
        <w:tblCellMar>
          <w:top w:w="3" w:type="dxa"/>
          <w:left w:w="0" w:type="dxa"/>
          <w:bottom w:w="3" w:type="dxa"/>
          <w:right w:w="14" w:type="dxa"/>
        </w:tblCellMar>
        <w:tblLook w:val="04A0" w:firstRow="1" w:lastRow="0" w:firstColumn="1" w:lastColumn="0" w:noHBand="0" w:noVBand="1"/>
      </w:tblPr>
      <w:tblGrid>
        <w:gridCol w:w="4266"/>
        <w:gridCol w:w="3296"/>
        <w:gridCol w:w="1748"/>
        <w:gridCol w:w="1183"/>
        <w:gridCol w:w="939"/>
        <w:gridCol w:w="1045"/>
        <w:gridCol w:w="1058"/>
        <w:gridCol w:w="524"/>
        <w:gridCol w:w="582"/>
      </w:tblGrid>
      <w:tr w:rsidR="00BB52D7">
        <w:trPr>
          <w:trHeight w:val="625"/>
        </w:trPr>
        <w:tc>
          <w:tcPr>
            <w:tcW w:w="4266" w:type="dxa"/>
            <w:tcBorders>
              <w:top w:val="nil"/>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sz w:val="22"/>
              </w:rPr>
              <w:t xml:space="preserve">Pioneer investment management </w:t>
            </w:r>
          </w:p>
        </w:tc>
        <w:tc>
          <w:tcPr>
            <w:tcW w:w="3296"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748"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183"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939"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045"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524" w:type="dxa"/>
            <w:tcBorders>
              <w:top w:val="nil"/>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82" w:type="dxa"/>
            <w:tcBorders>
              <w:top w:val="nil"/>
              <w:left w:val="nil"/>
              <w:bottom w:val="single" w:sz="8" w:space="0" w:color="000000"/>
              <w:right w:val="single" w:sz="8" w:space="0" w:color="000000"/>
            </w:tcBorders>
            <w:shd w:val="clear" w:color="auto" w:fill="D9D9D9"/>
          </w:tcPr>
          <w:p w:rsidR="00BB52D7" w:rsidRDefault="00BB52D7">
            <w:pPr>
              <w:spacing w:after="160" w:line="259" w:lineRule="auto"/>
              <w:ind w:left="0" w:firstLine="0"/>
              <w:jc w:val="left"/>
            </w:pPr>
          </w:p>
        </w:tc>
      </w:tr>
      <w:tr w:rsidR="00BB52D7">
        <w:trPr>
          <w:trHeight w:val="500"/>
        </w:trPr>
        <w:tc>
          <w:tcPr>
            <w:tcW w:w="4266" w:type="dxa"/>
            <w:tcBorders>
              <w:top w:val="single" w:sz="8"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67" w:firstLine="0"/>
              <w:jc w:val="left"/>
            </w:pPr>
            <w:r>
              <w:rPr>
                <w:sz w:val="22"/>
              </w:rPr>
              <w:t xml:space="preserve">Popular Gestion Privada, SGIIC </w:t>
            </w:r>
          </w:p>
        </w:tc>
        <w:tc>
          <w:tcPr>
            <w:tcW w:w="3296"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70" w:firstLine="0"/>
              <w:jc w:val="left"/>
            </w:pPr>
            <w:r>
              <w:rPr>
                <w:sz w:val="22"/>
              </w:rPr>
              <w:t xml:space="preserve">Banco Popular Espanol, S.A. </w:t>
            </w:r>
          </w:p>
        </w:tc>
        <w:tc>
          <w:tcPr>
            <w:tcW w:w="1748" w:type="dxa"/>
            <w:tcBorders>
              <w:top w:val="single" w:sz="8" w:space="0" w:color="000000"/>
              <w:left w:val="single" w:sz="4" w:space="0" w:color="000000"/>
              <w:bottom w:val="single" w:sz="4" w:space="0" w:color="8DB4E2"/>
              <w:right w:val="single" w:sz="4" w:space="0" w:color="000000"/>
            </w:tcBorders>
            <w:shd w:val="clear" w:color="auto" w:fill="8DB4E2"/>
            <w:vAlign w:val="center"/>
          </w:tcPr>
          <w:p w:rsidR="00BB52D7" w:rsidRDefault="00E33AE6">
            <w:pPr>
              <w:spacing w:after="0" w:line="259" w:lineRule="auto"/>
              <w:ind w:left="70" w:firstLine="0"/>
              <w:jc w:val="left"/>
            </w:pPr>
            <w:r>
              <w:rPr>
                <w:sz w:val="22"/>
              </w:rPr>
              <w:t xml:space="preserve">Banco Popular </w:t>
            </w:r>
          </w:p>
        </w:tc>
        <w:tc>
          <w:tcPr>
            <w:tcW w:w="1183"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6" w:firstLine="0"/>
              <w:jc w:val="right"/>
            </w:pPr>
            <w:r>
              <w:rPr>
                <w:sz w:val="22"/>
              </w:rPr>
              <w:t xml:space="preserve">1,080 </w:t>
            </w:r>
          </w:p>
        </w:tc>
        <w:tc>
          <w:tcPr>
            <w:tcW w:w="939"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6" w:firstLine="0"/>
              <w:jc w:val="right"/>
            </w:pPr>
            <w:r>
              <w:rPr>
                <w:sz w:val="22"/>
              </w:rPr>
              <w:t xml:space="preserve">11,2% </w:t>
            </w:r>
          </w:p>
        </w:tc>
        <w:tc>
          <w:tcPr>
            <w:tcW w:w="1045"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7" w:firstLine="0"/>
              <w:jc w:val="right"/>
            </w:pPr>
            <w:r>
              <w:rPr>
                <w:sz w:val="22"/>
              </w:rPr>
              <w:t xml:space="preserve">0,121 </w:t>
            </w:r>
          </w:p>
        </w:tc>
        <w:tc>
          <w:tcPr>
            <w:tcW w:w="1058" w:type="dxa"/>
            <w:vMerge w:val="restart"/>
            <w:tcBorders>
              <w:top w:val="single" w:sz="8" w:space="0" w:color="000000"/>
              <w:left w:val="single" w:sz="4" w:space="0" w:color="000000"/>
              <w:bottom w:val="nil"/>
              <w:right w:val="single" w:sz="4" w:space="0" w:color="000000"/>
            </w:tcBorders>
            <w:shd w:val="clear" w:color="auto" w:fill="8DB4E2"/>
            <w:vAlign w:val="bottom"/>
          </w:tcPr>
          <w:p w:rsidR="00BB52D7" w:rsidRDefault="00E33AE6">
            <w:pPr>
              <w:spacing w:after="0" w:line="259" w:lineRule="auto"/>
              <w:ind w:left="0" w:right="57" w:firstLine="0"/>
              <w:jc w:val="right"/>
            </w:pPr>
            <w:r>
              <w:rPr>
                <w:sz w:val="22"/>
              </w:rPr>
              <w:t xml:space="preserve">1,929 </w:t>
            </w:r>
          </w:p>
        </w:tc>
        <w:tc>
          <w:tcPr>
            <w:tcW w:w="524" w:type="dxa"/>
            <w:vMerge w:val="restart"/>
            <w:tcBorders>
              <w:top w:val="single" w:sz="8" w:space="0" w:color="000000"/>
              <w:left w:val="single" w:sz="4" w:space="0" w:color="000000"/>
              <w:bottom w:val="nil"/>
              <w:right w:val="nil"/>
            </w:tcBorders>
            <w:shd w:val="clear" w:color="auto" w:fill="8DB4E2"/>
          </w:tcPr>
          <w:p w:rsidR="00BB52D7" w:rsidRDefault="00BB52D7">
            <w:pPr>
              <w:spacing w:after="160" w:line="259" w:lineRule="auto"/>
              <w:ind w:left="0" w:firstLine="0"/>
              <w:jc w:val="left"/>
            </w:pPr>
          </w:p>
        </w:tc>
        <w:tc>
          <w:tcPr>
            <w:tcW w:w="582" w:type="dxa"/>
            <w:vMerge w:val="restart"/>
            <w:tcBorders>
              <w:top w:val="single" w:sz="8" w:space="0" w:color="000000"/>
              <w:left w:val="nil"/>
              <w:bottom w:val="nil"/>
              <w:right w:val="single" w:sz="8" w:space="0" w:color="000000"/>
            </w:tcBorders>
            <w:shd w:val="clear" w:color="auto" w:fill="8DB4E2"/>
            <w:vAlign w:val="bottom"/>
          </w:tcPr>
          <w:p w:rsidR="00BB52D7" w:rsidRDefault="00E33AE6">
            <w:pPr>
              <w:spacing w:after="0" w:line="259" w:lineRule="auto"/>
              <w:ind w:left="221" w:firstLine="0"/>
              <w:jc w:val="left"/>
            </w:pPr>
            <w:r>
              <w:rPr>
                <w:sz w:val="22"/>
              </w:rPr>
              <w:t xml:space="preserve">6% </w:t>
            </w:r>
          </w:p>
        </w:tc>
      </w:tr>
      <w:tr w:rsidR="00BB52D7">
        <w:trPr>
          <w:trHeight w:val="127"/>
        </w:trPr>
        <w:tc>
          <w:tcPr>
            <w:tcW w:w="4266" w:type="dxa"/>
            <w:tcBorders>
              <w:top w:val="single" w:sz="4" w:space="0" w:color="000000"/>
              <w:left w:val="single" w:sz="8" w:space="0" w:color="000000"/>
              <w:bottom w:val="nil"/>
              <w:right w:val="single" w:sz="4" w:space="0" w:color="000000"/>
            </w:tcBorders>
            <w:shd w:val="clear" w:color="auto" w:fill="8DB4E2"/>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1748" w:type="dxa"/>
            <w:tcBorders>
              <w:top w:val="single" w:sz="4" w:space="0" w:color="8DB4E2"/>
              <w:left w:val="single" w:sz="4" w:space="0" w:color="000000"/>
              <w:bottom w:val="nil"/>
              <w:right w:val="single" w:sz="4" w:space="0" w:color="000000"/>
            </w:tcBorders>
            <w:shd w:val="clear" w:color="auto" w:fill="8DB4E2"/>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nil"/>
            </w:tcBorders>
          </w:tcPr>
          <w:p w:rsidR="00BB52D7" w:rsidRDefault="00BB52D7">
            <w:pPr>
              <w:spacing w:after="160" w:line="259" w:lineRule="auto"/>
              <w:ind w:left="0" w:firstLine="0"/>
              <w:jc w:val="left"/>
            </w:pPr>
          </w:p>
        </w:tc>
        <w:tc>
          <w:tcPr>
            <w:tcW w:w="0" w:type="auto"/>
            <w:vMerge/>
            <w:tcBorders>
              <w:top w:val="nil"/>
              <w:left w:val="nil"/>
              <w:bottom w:val="nil"/>
              <w:right w:val="single" w:sz="8" w:space="0" w:color="000000"/>
            </w:tcBorders>
          </w:tcPr>
          <w:p w:rsidR="00BB52D7" w:rsidRDefault="00BB52D7">
            <w:pPr>
              <w:spacing w:after="160" w:line="259" w:lineRule="auto"/>
              <w:ind w:left="0" w:firstLine="0"/>
              <w:jc w:val="left"/>
            </w:pPr>
          </w:p>
        </w:tc>
      </w:tr>
      <w:tr w:rsidR="00BB52D7">
        <w:trPr>
          <w:trHeight w:val="372"/>
        </w:trPr>
        <w:tc>
          <w:tcPr>
            <w:tcW w:w="4266" w:type="dxa"/>
            <w:tcBorders>
              <w:top w:val="nil"/>
              <w:left w:val="single" w:sz="8" w:space="0" w:color="000000"/>
              <w:bottom w:val="single" w:sz="8" w:space="0" w:color="000000"/>
              <w:right w:val="single" w:sz="4" w:space="0" w:color="000000"/>
            </w:tcBorders>
            <w:shd w:val="clear" w:color="auto" w:fill="8DB4E2"/>
          </w:tcPr>
          <w:p w:rsidR="00BB52D7" w:rsidRDefault="00E33AE6">
            <w:pPr>
              <w:spacing w:after="0" w:line="259" w:lineRule="auto"/>
              <w:ind w:left="67" w:firstLine="0"/>
              <w:jc w:val="left"/>
            </w:pPr>
            <w:r>
              <w:rPr>
                <w:sz w:val="22"/>
              </w:rPr>
              <w:t xml:space="preserve">Popular Gestao de Activos </w:t>
            </w:r>
          </w:p>
        </w:tc>
        <w:tc>
          <w:tcPr>
            <w:tcW w:w="3296"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1748" w:type="dxa"/>
            <w:tcBorders>
              <w:top w:val="nil"/>
              <w:left w:val="single" w:sz="4" w:space="0" w:color="000000"/>
              <w:bottom w:val="single" w:sz="8" w:space="0" w:color="000000"/>
              <w:right w:val="single" w:sz="4" w:space="0" w:color="000000"/>
            </w:tcBorders>
            <w:shd w:val="clear" w:color="auto" w:fill="8DB4E2"/>
          </w:tcPr>
          <w:p w:rsidR="00BB52D7" w:rsidRDefault="00E33AE6">
            <w:pPr>
              <w:spacing w:after="0" w:line="259" w:lineRule="auto"/>
              <w:ind w:left="70" w:firstLine="0"/>
              <w:jc w:val="left"/>
            </w:pPr>
            <w:r>
              <w:rPr>
                <w:sz w:val="22"/>
              </w:rPr>
              <w:t xml:space="preserve">Banco Popular </w:t>
            </w:r>
          </w:p>
        </w:tc>
        <w:tc>
          <w:tcPr>
            <w:tcW w:w="1183"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939"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1045"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1058" w:type="dxa"/>
            <w:tcBorders>
              <w:top w:val="nil"/>
              <w:left w:val="single" w:sz="4" w:space="0" w:color="000000"/>
              <w:bottom w:val="single" w:sz="8" w:space="0" w:color="000000"/>
              <w:right w:val="single" w:sz="4" w:space="0" w:color="000000"/>
            </w:tcBorders>
            <w:shd w:val="clear" w:color="auto" w:fill="8DB4E2"/>
          </w:tcPr>
          <w:p w:rsidR="00BB52D7" w:rsidRDefault="00BB52D7">
            <w:pPr>
              <w:spacing w:after="160" w:line="259" w:lineRule="auto"/>
              <w:ind w:left="0" w:firstLine="0"/>
              <w:jc w:val="left"/>
            </w:pPr>
          </w:p>
        </w:tc>
        <w:tc>
          <w:tcPr>
            <w:tcW w:w="524" w:type="dxa"/>
            <w:tcBorders>
              <w:top w:val="nil"/>
              <w:left w:val="single" w:sz="4" w:space="0" w:color="000000"/>
              <w:bottom w:val="single" w:sz="8" w:space="0" w:color="000000"/>
              <w:right w:val="nil"/>
            </w:tcBorders>
            <w:shd w:val="clear" w:color="auto" w:fill="8DB4E2"/>
          </w:tcPr>
          <w:p w:rsidR="00BB52D7" w:rsidRDefault="00BB52D7">
            <w:pPr>
              <w:spacing w:after="160" w:line="259" w:lineRule="auto"/>
              <w:ind w:left="0" w:firstLine="0"/>
              <w:jc w:val="left"/>
            </w:pPr>
          </w:p>
        </w:tc>
        <w:tc>
          <w:tcPr>
            <w:tcW w:w="582" w:type="dxa"/>
            <w:tcBorders>
              <w:top w:val="nil"/>
              <w:left w:val="nil"/>
              <w:bottom w:val="single" w:sz="8" w:space="0" w:color="000000"/>
              <w:right w:val="single" w:sz="8" w:space="0" w:color="000000"/>
            </w:tcBorders>
            <w:shd w:val="clear" w:color="auto" w:fill="8DB4E2"/>
          </w:tcPr>
          <w:p w:rsidR="00BB52D7" w:rsidRDefault="00BB52D7">
            <w:pPr>
              <w:spacing w:after="160" w:line="259" w:lineRule="auto"/>
              <w:ind w:left="0" w:firstLine="0"/>
              <w:jc w:val="left"/>
            </w:pPr>
          </w:p>
        </w:tc>
      </w:tr>
      <w:tr w:rsidR="00BB52D7">
        <w:trPr>
          <w:trHeight w:val="638"/>
        </w:trPr>
        <w:tc>
          <w:tcPr>
            <w:tcW w:w="4266" w:type="dxa"/>
            <w:tcBorders>
              <w:top w:val="single" w:sz="8" w:space="0" w:color="000000"/>
              <w:left w:val="single" w:sz="8" w:space="0" w:color="000000"/>
              <w:bottom w:val="single" w:sz="8" w:space="0" w:color="000000"/>
              <w:right w:val="single" w:sz="4" w:space="0" w:color="000000"/>
            </w:tcBorders>
            <w:vAlign w:val="bottom"/>
          </w:tcPr>
          <w:p w:rsidR="00BB52D7" w:rsidRDefault="00E33AE6">
            <w:pPr>
              <w:spacing w:after="0" w:line="259" w:lineRule="auto"/>
              <w:ind w:left="67" w:firstLine="0"/>
              <w:jc w:val="left"/>
            </w:pPr>
            <w:r>
              <w:rPr>
                <w:sz w:val="22"/>
              </w:rPr>
              <w:t xml:space="preserve">Pramerica Investment Management </w:t>
            </w:r>
          </w:p>
        </w:tc>
        <w:tc>
          <w:tcPr>
            <w:tcW w:w="3296"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7" w:firstLine="0"/>
              <w:jc w:val="right"/>
            </w:pPr>
            <w:r>
              <w:rPr>
                <w:sz w:val="22"/>
              </w:rPr>
              <w:t xml:space="preserve">14,149 </w:t>
            </w:r>
          </w:p>
        </w:tc>
        <w:tc>
          <w:tcPr>
            <w:tcW w:w="939"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70" w:firstLine="0"/>
              <w:jc w:val="left"/>
            </w:pPr>
            <w:r>
              <w:rPr>
                <w:sz w:val="22"/>
              </w:rPr>
              <w:t xml:space="preserve">NA </w:t>
            </w:r>
          </w:p>
        </w:tc>
        <w:tc>
          <w:tcPr>
            <w:tcW w:w="524" w:type="dxa"/>
            <w:tcBorders>
              <w:top w:val="single" w:sz="8" w:space="0" w:color="000000"/>
              <w:left w:val="single" w:sz="4" w:space="0" w:color="000000"/>
              <w:bottom w:val="single" w:sz="8" w:space="0" w:color="000000"/>
              <w:right w:val="nil"/>
            </w:tcBorders>
            <w:vAlign w:val="bottom"/>
          </w:tcPr>
          <w:p w:rsidR="00BB52D7" w:rsidRDefault="00E33AE6">
            <w:pPr>
              <w:spacing w:after="0" w:line="259" w:lineRule="auto"/>
              <w:ind w:left="70" w:firstLine="0"/>
            </w:pPr>
            <w:r>
              <w:rPr>
                <w:sz w:val="22"/>
              </w:rPr>
              <w:t xml:space="preserve">NA </w:t>
            </w:r>
          </w:p>
        </w:tc>
        <w:tc>
          <w:tcPr>
            <w:tcW w:w="582"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1228"/>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Raiffeisen Kapitalanlagegesellschaft m.b.H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Raiffeisenbank International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Raiffeisen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15,720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97%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15,220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22,359 </w:t>
            </w:r>
          </w:p>
        </w:tc>
        <w:tc>
          <w:tcPr>
            <w:tcW w:w="524" w:type="dxa"/>
            <w:vMerge w:val="restart"/>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82" w:type="dxa"/>
            <w:vMerge w:val="restart"/>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73" w:firstLine="0"/>
            </w:pPr>
            <w:r>
              <w:rPr>
                <w:b/>
                <w:sz w:val="22"/>
              </w:rPr>
              <w:t xml:space="preserve">68% </w:t>
            </w:r>
          </w:p>
        </w:tc>
      </w:tr>
      <w:tr w:rsidR="00BB52D7">
        <w:trPr>
          <w:trHeight w:val="1240"/>
        </w:trPr>
        <w:tc>
          <w:tcPr>
            <w:tcW w:w="4266" w:type="dxa"/>
            <w:tcBorders>
              <w:top w:val="single" w:sz="4"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Raiffeisen AM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nil"/>
            </w:tcBorders>
          </w:tcPr>
          <w:p w:rsidR="00BB52D7" w:rsidRDefault="00BB52D7">
            <w:pPr>
              <w:spacing w:after="160" w:line="259" w:lineRule="auto"/>
              <w:ind w:left="0" w:firstLine="0"/>
              <w:jc w:val="left"/>
            </w:pPr>
          </w:p>
        </w:tc>
        <w:tc>
          <w:tcPr>
            <w:tcW w:w="0" w:type="auto"/>
            <w:vMerge/>
            <w:tcBorders>
              <w:top w:val="nil"/>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1235"/>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Renta 4 Gestoria, SGIIC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Renta 4 Banco,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Renta 4 Banco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2,427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2,427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2,444 </w:t>
            </w:r>
          </w:p>
        </w:tc>
        <w:tc>
          <w:tcPr>
            <w:tcW w:w="524"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82"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73" w:firstLine="0"/>
            </w:pPr>
            <w:r>
              <w:rPr>
                <w:b/>
                <w:sz w:val="22"/>
              </w:rPr>
              <w:t xml:space="preserve">99% </w:t>
            </w:r>
          </w:p>
        </w:tc>
      </w:tr>
      <w:tr w:rsidR="00BB52D7">
        <w:trPr>
          <w:trHeight w:val="335"/>
        </w:trPr>
        <w:tc>
          <w:tcPr>
            <w:tcW w:w="4266" w:type="dxa"/>
            <w:tcBorders>
              <w:top w:val="single" w:sz="8"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67" w:firstLine="0"/>
              <w:jc w:val="left"/>
            </w:pPr>
            <w:r>
              <w:rPr>
                <w:sz w:val="22"/>
              </w:rPr>
              <w:t xml:space="preserve">Robeco Luxembourg S.A.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70" w:firstLine="0"/>
              <w:jc w:val="left"/>
            </w:pPr>
            <w:r>
              <w:rPr>
                <w:sz w:val="22"/>
              </w:rPr>
              <w:t xml:space="preserve">Stichting Bewaarder Robeco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70" w:firstLine="0"/>
              <w:jc w:val="left"/>
            </w:pPr>
            <w:r>
              <w:rPr>
                <w:sz w:val="22"/>
              </w:rPr>
              <w:t xml:space="preserve">Orix Corporation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sz w:val="22"/>
              </w:rPr>
              <w:t xml:space="preserve">32,748 </w:t>
            </w:r>
          </w:p>
        </w:tc>
        <w:tc>
          <w:tcPr>
            <w:tcW w:w="939"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6" w:firstLine="0"/>
              <w:jc w:val="right"/>
            </w:pPr>
            <w:r>
              <w:rPr>
                <w:sz w:val="22"/>
              </w:rPr>
              <w:t xml:space="preserve">4%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sz w:val="22"/>
              </w:rPr>
              <w:t xml:space="preserve">1,310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sz w:val="22"/>
              </w:rPr>
              <w:t xml:space="preserve">1,310 </w:t>
            </w:r>
          </w:p>
        </w:tc>
        <w:tc>
          <w:tcPr>
            <w:tcW w:w="524"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82" w:type="dxa"/>
            <w:tcBorders>
              <w:top w:val="single" w:sz="8" w:space="0" w:color="000000"/>
              <w:left w:val="nil"/>
              <w:bottom w:val="single" w:sz="8" w:space="0" w:color="000000"/>
              <w:right w:val="single" w:sz="8" w:space="0" w:color="000000"/>
            </w:tcBorders>
            <w:shd w:val="clear" w:color="auto" w:fill="D9D9D9"/>
          </w:tcPr>
          <w:p w:rsidR="00BB52D7" w:rsidRDefault="00E33AE6">
            <w:pPr>
              <w:spacing w:after="0" w:line="259" w:lineRule="auto"/>
              <w:ind w:left="0" w:firstLine="0"/>
            </w:pPr>
            <w:r>
              <w:rPr>
                <w:sz w:val="22"/>
              </w:rPr>
              <w:t xml:space="preserve">100% </w:t>
            </w: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lastRenderedPageBreak/>
              <w:t xml:space="preserve">Russells Investments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32,177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524"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582"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6"/>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67" w:firstLine="0"/>
              <w:jc w:val="left"/>
            </w:pPr>
            <w:r>
              <w:rPr>
                <w:sz w:val="22"/>
              </w:rPr>
              <w:t xml:space="preserve">St James's Place Group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31,976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70" w:firstLine="0"/>
              <w:jc w:val="left"/>
            </w:pPr>
            <w:r>
              <w:rPr>
                <w:sz w:val="22"/>
              </w:rPr>
              <w:t xml:space="preserve">NA </w:t>
            </w:r>
          </w:p>
        </w:tc>
        <w:tc>
          <w:tcPr>
            <w:tcW w:w="524" w:type="dxa"/>
            <w:tcBorders>
              <w:top w:val="single" w:sz="8" w:space="0" w:color="000000"/>
              <w:left w:val="single" w:sz="4" w:space="0" w:color="000000"/>
              <w:bottom w:val="single" w:sz="8" w:space="0" w:color="000000"/>
              <w:right w:val="nil"/>
            </w:tcBorders>
          </w:tcPr>
          <w:p w:rsidR="00BB52D7" w:rsidRDefault="00E33AE6">
            <w:pPr>
              <w:spacing w:after="0" w:line="259" w:lineRule="auto"/>
              <w:ind w:left="70" w:firstLine="0"/>
            </w:pPr>
            <w:r>
              <w:rPr>
                <w:sz w:val="22"/>
              </w:rPr>
              <w:t xml:space="preserve">NA </w:t>
            </w:r>
          </w:p>
        </w:tc>
        <w:tc>
          <w:tcPr>
            <w:tcW w:w="582" w:type="dxa"/>
            <w:tcBorders>
              <w:top w:val="single" w:sz="8" w:space="0" w:color="000000"/>
              <w:left w:val="nil"/>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1230"/>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67" w:firstLine="0"/>
              <w:jc w:val="left"/>
            </w:pPr>
            <w:r>
              <w:rPr>
                <w:b/>
                <w:sz w:val="22"/>
              </w:rPr>
              <w:t xml:space="preserve">Santander Asset Management </w:t>
            </w:r>
          </w:p>
        </w:tc>
        <w:tc>
          <w:tcPr>
            <w:tcW w:w="3296" w:type="dxa"/>
            <w:tcBorders>
              <w:top w:val="single" w:sz="8"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Banco Santanter Totta SA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70" w:firstLine="0"/>
              <w:jc w:val="left"/>
            </w:pPr>
            <w:r>
              <w:rPr>
                <w:b/>
                <w:sz w:val="22"/>
              </w:rPr>
              <w:t xml:space="preserve">Banco </w:t>
            </w:r>
          </w:p>
          <w:p w:rsidR="00BB52D7" w:rsidRDefault="00E33AE6">
            <w:pPr>
              <w:spacing w:after="0" w:line="259" w:lineRule="auto"/>
              <w:ind w:left="70" w:firstLine="0"/>
              <w:jc w:val="left"/>
            </w:pPr>
            <w:r>
              <w:rPr>
                <w:b/>
                <w:sz w:val="22"/>
              </w:rPr>
              <w:t xml:space="preserve">Santander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27,924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76%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21,222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35,329 </w:t>
            </w:r>
          </w:p>
        </w:tc>
        <w:tc>
          <w:tcPr>
            <w:tcW w:w="524" w:type="dxa"/>
            <w:tcBorders>
              <w:top w:val="single" w:sz="8" w:space="0" w:color="000000"/>
              <w:left w:val="single" w:sz="4" w:space="0" w:color="000000"/>
              <w:bottom w:val="single" w:sz="8" w:space="0" w:color="000000"/>
              <w:right w:val="nil"/>
            </w:tcBorders>
            <w:shd w:val="clear" w:color="auto" w:fill="D9D9D9"/>
          </w:tcPr>
          <w:p w:rsidR="00BB52D7" w:rsidRDefault="00BB52D7">
            <w:pPr>
              <w:spacing w:after="160" w:line="259" w:lineRule="auto"/>
              <w:ind w:left="0" w:firstLine="0"/>
              <w:jc w:val="left"/>
            </w:pPr>
          </w:p>
        </w:tc>
        <w:tc>
          <w:tcPr>
            <w:tcW w:w="582" w:type="dxa"/>
            <w:tcBorders>
              <w:top w:val="single" w:sz="8" w:space="0" w:color="000000"/>
              <w:left w:val="nil"/>
              <w:bottom w:val="single" w:sz="8" w:space="0" w:color="000000"/>
              <w:right w:val="single" w:sz="8" w:space="0" w:color="000000"/>
            </w:tcBorders>
            <w:shd w:val="clear" w:color="auto" w:fill="D9D9D9"/>
            <w:vAlign w:val="center"/>
          </w:tcPr>
          <w:p w:rsidR="00BB52D7" w:rsidRDefault="00E33AE6">
            <w:pPr>
              <w:spacing w:after="0" w:line="259" w:lineRule="auto"/>
              <w:ind w:left="73" w:firstLine="0"/>
            </w:pPr>
            <w:r>
              <w:rPr>
                <w:b/>
                <w:sz w:val="22"/>
              </w:rPr>
              <w:t xml:space="preserve">60% </w:t>
            </w:r>
          </w:p>
        </w:tc>
      </w:tr>
    </w:tbl>
    <w:p w:rsidR="00BB52D7" w:rsidRDefault="00BB52D7">
      <w:pPr>
        <w:spacing w:after="0" w:line="259" w:lineRule="auto"/>
        <w:ind w:left="-1134" w:right="499" w:firstLine="0"/>
        <w:jc w:val="left"/>
      </w:pPr>
    </w:p>
    <w:tbl>
      <w:tblPr>
        <w:tblStyle w:val="TableGrid"/>
        <w:tblW w:w="14641" w:type="dxa"/>
        <w:tblInd w:w="-2" w:type="dxa"/>
        <w:tblCellMar>
          <w:top w:w="0" w:type="dxa"/>
          <w:left w:w="67" w:type="dxa"/>
          <w:bottom w:w="0" w:type="dxa"/>
          <w:right w:w="14" w:type="dxa"/>
        </w:tblCellMar>
        <w:tblLook w:val="04A0" w:firstRow="1" w:lastRow="0" w:firstColumn="1" w:lastColumn="0" w:noHBand="0" w:noVBand="1"/>
      </w:tblPr>
      <w:tblGrid>
        <w:gridCol w:w="4266"/>
        <w:gridCol w:w="3296"/>
        <w:gridCol w:w="1748"/>
        <w:gridCol w:w="1183"/>
        <w:gridCol w:w="939"/>
        <w:gridCol w:w="1045"/>
        <w:gridCol w:w="1058"/>
        <w:gridCol w:w="1106"/>
      </w:tblGrid>
      <w:tr w:rsidR="00BB52D7">
        <w:trPr>
          <w:trHeight w:val="1150"/>
        </w:trPr>
        <w:tc>
          <w:tcPr>
            <w:tcW w:w="4266" w:type="dxa"/>
            <w:tcBorders>
              <w:top w:val="nil"/>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Santander Asset Management S.A., SGIIC </w:t>
            </w:r>
          </w:p>
        </w:tc>
        <w:tc>
          <w:tcPr>
            <w:tcW w:w="3296" w:type="dxa"/>
            <w:tcBorders>
              <w:top w:val="nil"/>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Santander Investment S.A. </w:t>
            </w:r>
          </w:p>
        </w:tc>
        <w:tc>
          <w:tcPr>
            <w:tcW w:w="1748"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1183"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939" w:type="dxa"/>
            <w:vMerge w:val="restart"/>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045" w:type="dxa"/>
            <w:vMerge w:val="restart"/>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058" w:type="dxa"/>
            <w:vMerge w:val="restart"/>
            <w:tcBorders>
              <w:top w:val="nil"/>
              <w:left w:val="single" w:sz="4" w:space="0" w:color="000000"/>
              <w:bottom w:val="single" w:sz="8" w:space="0" w:color="000000"/>
              <w:right w:val="single" w:sz="4" w:space="0" w:color="000000"/>
            </w:tcBorders>
            <w:shd w:val="clear" w:color="auto" w:fill="D9D9D9"/>
            <w:vAlign w:val="center"/>
          </w:tcPr>
          <w:p w:rsidR="00BB52D7" w:rsidRDefault="00BB52D7">
            <w:pPr>
              <w:spacing w:after="160" w:line="259" w:lineRule="auto"/>
              <w:ind w:left="0" w:firstLine="0"/>
              <w:jc w:val="left"/>
            </w:pPr>
          </w:p>
        </w:tc>
        <w:tc>
          <w:tcPr>
            <w:tcW w:w="1106" w:type="dxa"/>
            <w:vMerge w:val="restart"/>
            <w:tcBorders>
              <w:top w:val="nil"/>
              <w:left w:val="single" w:sz="4" w:space="0" w:color="000000"/>
              <w:bottom w:val="single" w:sz="8" w:space="0" w:color="000000"/>
              <w:right w:val="single" w:sz="8" w:space="0" w:color="000000"/>
            </w:tcBorders>
            <w:shd w:val="clear" w:color="auto" w:fill="D9D9D9"/>
            <w:vAlign w:val="center"/>
          </w:tcPr>
          <w:p w:rsidR="00BB52D7" w:rsidRDefault="00BB52D7">
            <w:pPr>
              <w:spacing w:after="160" w:line="259" w:lineRule="auto"/>
              <w:ind w:left="0" w:firstLine="0"/>
              <w:jc w:val="left"/>
            </w:pPr>
          </w:p>
        </w:tc>
      </w:tr>
      <w:tr w:rsidR="00BB52D7">
        <w:trPr>
          <w:trHeight w:val="635"/>
        </w:trPr>
        <w:tc>
          <w:tcPr>
            <w:tcW w:w="4266" w:type="dxa"/>
            <w:tcBorders>
              <w:top w:val="single" w:sz="4"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jc w:val="left"/>
            </w:pPr>
            <w:r>
              <w:rPr>
                <w:b/>
                <w:sz w:val="22"/>
              </w:rPr>
              <w:t xml:space="preserve">Santander Private Banking Gestion S.A. SGIIC </w:t>
            </w:r>
          </w:p>
        </w:tc>
        <w:tc>
          <w:tcPr>
            <w:tcW w:w="3296" w:type="dxa"/>
            <w:tcBorders>
              <w:top w:val="single" w:sz="4" w:space="0" w:color="D9D9D9"/>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Santander Investment S.A.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Schroders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123,893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752"/>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SEB Investment Management AB </w:t>
            </w:r>
          </w:p>
        </w:tc>
        <w:tc>
          <w:tcPr>
            <w:tcW w:w="3296"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SEB AB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SEB AG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41,972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41,972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69,519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60% </w:t>
            </w:r>
          </w:p>
        </w:tc>
      </w:tr>
      <w:tr w:rsidR="00BB52D7">
        <w:trPr>
          <w:trHeight w:val="755"/>
        </w:trPr>
        <w:tc>
          <w:tcPr>
            <w:tcW w:w="426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SEB Funds Services </w:t>
            </w:r>
          </w:p>
        </w:tc>
        <w:tc>
          <w:tcPr>
            <w:tcW w:w="3296" w:type="dxa"/>
            <w:tcBorders>
              <w:top w:val="single" w:sz="4" w:space="0" w:color="D9D9D9"/>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SEB AB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754"/>
        </w:trPr>
        <w:tc>
          <w:tcPr>
            <w:tcW w:w="4266" w:type="dxa"/>
            <w:tcBorders>
              <w:top w:val="single" w:sz="4"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SEB Wealth Management </w:t>
            </w:r>
          </w:p>
        </w:tc>
        <w:tc>
          <w:tcPr>
            <w:tcW w:w="3296" w:type="dxa"/>
            <w:tcBorders>
              <w:top w:val="single" w:sz="4" w:space="0" w:color="D9D9D9"/>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AS SEB Banka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946"/>
        </w:trPr>
        <w:tc>
          <w:tcPr>
            <w:tcW w:w="4266" w:type="dxa"/>
            <w:tcBorders>
              <w:top w:val="single" w:sz="8"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SSGS KAG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4" w:firstLine="0"/>
              <w:jc w:val="center"/>
            </w:pPr>
            <w:r>
              <w:rPr>
                <w:b/>
                <w:sz w:val="22"/>
              </w:rPr>
              <w:t xml:space="preserve">Société Générale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center"/>
            </w:pPr>
            <w:r>
              <w:rPr>
                <w:b/>
                <w:sz w:val="22"/>
              </w:rPr>
              <w:t xml:space="preserve">Société Générale S.A.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43,036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96%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41,314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b/>
                <w:sz w:val="22"/>
              </w:rPr>
              <w:t xml:space="preserve">198,674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21% </w:t>
            </w:r>
          </w:p>
        </w:tc>
      </w:tr>
      <w:tr w:rsidR="00BB52D7">
        <w:trPr>
          <w:trHeight w:val="320"/>
        </w:trPr>
        <w:tc>
          <w:tcPr>
            <w:tcW w:w="4266" w:type="dxa"/>
            <w:tcBorders>
              <w:top w:val="single" w:sz="4" w:space="0" w:color="000000"/>
              <w:left w:val="single" w:sz="8" w:space="0" w:color="000000"/>
              <w:bottom w:val="single" w:sz="4" w:space="0" w:color="000000"/>
              <w:right w:val="single" w:sz="4" w:space="0" w:color="000000"/>
            </w:tcBorders>
            <w:shd w:val="clear" w:color="auto" w:fill="8DB4E2"/>
          </w:tcPr>
          <w:p w:rsidR="00BB52D7" w:rsidRDefault="00E33AE6">
            <w:pPr>
              <w:spacing w:after="0" w:line="259" w:lineRule="auto"/>
              <w:ind w:left="0" w:firstLine="0"/>
              <w:jc w:val="left"/>
            </w:pPr>
            <w:r>
              <w:rPr>
                <w:b/>
                <w:sz w:val="22"/>
              </w:rPr>
              <w:t xml:space="preserve">Societe Generale Gestion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619"/>
        </w:trPr>
        <w:tc>
          <w:tcPr>
            <w:tcW w:w="4266" w:type="dxa"/>
            <w:tcBorders>
              <w:top w:val="single" w:sz="4" w:space="0" w:color="000000"/>
              <w:left w:val="single" w:sz="8" w:space="0" w:color="000000"/>
              <w:bottom w:val="single" w:sz="4" w:space="0" w:color="000000"/>
              <w:right w:val="single" w:sz="4" w:space="0" w:color="000000"/>
            </w:tcBorders>
            <w:shd w:val="clear" w:color="auto" w:fill="8DB4E2"/>
          </w:tcPr>
          <w:p w:rsidR="00BB52D7" w:rsidRDefault="00E33AE6">
            <w:pPr>
              <w:spacing w:after="0" w:line="259" w:lineRule="auto"/>
              <w:ind w:left="0" w:firstLine="0"/>
              <w:jc w:val="left"/>
            </w:pPr>
            <w:r>
              <w:rPr>
                <w:b/>
                <w:sz w:val="22"/>
              </w:rPr>
              <w:t xml:space="preserve">Société générale Private Wealth management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320"/>
        </w:trPr>
        <w:tc>
          <w:tcPr>
            <w:tcW w:w="4266" w:type="dxa"/>
            <w:tcBorders>
              <w:top w:val="single" w:sz="4" w:space="0" w:color="000000"/>
              <w:left w:val="single" w:sz="8" w:space="0" w:color="000000"/>
              <w:bottom w:val="single" w:sz="4" w:space="0" w:color="000000"/>
              <w:right w:val="single" w:sz="4" w:space="0" w:color="000000"/>
            </w:tcBorders>
            <w:shd w:val="clear" w:color="auto" w:fill="8DB4E2"/>
          </w:tcPr>
          <w:p w:rsidR="00BB52D7" w:rsidRDefault="00E33AE6">
            <w:pPr>
              <w:spacing w:after="0" w:line="259" w:lineRule="auto"/>
              <w:ind w:left="0" w:firstLine="0"/>
              <w:jc w:val="left"/>
            </w:pPr>
            <w:r>
              <w:rPr>
                <w:b/>
                <w:sz w:val="22"/>
              </w:rPr>
              <w:lastRenderedPageBreak/>
              <w:t xml:space="preserve">BRD AM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501"/>
        </w:trPr>
        <w:tc>
          <w:tcPr>
            <w:tcW w:w="4266" w:type="dxa"/>
            <w:tcBorders>
              <w:top w:val="single" w:sz="4" w:space="0" w:color="000000"/>
              <w:left w:val="single" w:sz="8" w:space="0" w:color="000000"/>
              <w:bottom w:val="single" w:sz="4"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Etoile Gestion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640"/>
        </w:trPr>
        <w:tc>
          <w:tcPr>
            <w:tcW w:w="4266" w:type="dxa"/>
            <w:tcBorders>
              <w:top w:val="single" w:sz="4"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Lyxor Asset Management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336"/>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Standard Life Investments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81,731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1285"/>
        </w:trPr>
        <w:tc>
          <w:tcPr>
            <w:tcW w:w="4266" w:type="dxa"/>
            <w:tcBorders>
              <w:top w:val="nil"/>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t xml:space="preserve">State Street Global Advisors </w:t>
            </w:r>
          </w:p>
        </w:tc>
        <w:tc>
          <w:tcPr>
            <w:tcW w:w="3296"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3" w:firstLine="0"/>
              <w:jc w:val="left"/>
            </w:pPr>
            <w:r>
              <w:rPr>
                <w:b/>
                <w:sz w:val="22"/>
              </w:rPr>
              <w:t xml:space="preserve">State Street </w:t>
            </w:r>
          </w:p>
        </w:tc>
        <w:tc>
          <w:tcPr>
            <w:tcW w:w="1748"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b/>
                <w:sz w:val="22"/>
              </w:rPr>
              <w:t xml:space="preserve">State Street </w:t>
            </w:r>
          </w:p>
        </w:tc>
        <w:tc>
          <w:tcPr>
            <w:tcW w:w="1183"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37,898 </w:t>
            </w:r>
          </w:p>
        </w:tc>
        <w:tc>
          <w:tcPr>
            <w:tcW w:w="939"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5" w:firstLine="0"/>
              <w:jc w:val="right"/>
            </w:pPr>
            <w:r>
              <w:rPr>
                <w:b/>
                <w:sz w:val="22"/>
              </w:rPr>
              <w:t xml:space="preserve">100% </w:t>
            </w:r>
          </w:p>
        </w:tc>
        <w:tc>
          <w:tcPr>
            <w:tcW w:w="1045"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37,898 </w:t>
            </w:r>
          </w:p>
        </w:tc>
        <w:tc>
          <w:tcPr>
            <w:tcW w:w="1058" w:type="dxa"/>
            <w:tcBorders>
              <w:top w:val="nil"/>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8" w:firstLine="0"/>
              <w:jc w:val="right"/>
            </w:pPr>
            <w:r>
              <w:rPr>
                <w:b/>
                <w:sz w:val="22"/>
              </w:rPr>
              <w:t xml:space="preserve">959,361 </w:t>
            </w:r>
          </w:p>
        </w:tc>
        <w:tc>
          <w:tcPr>
            <w:tcW w:w="1106" w:type="dxa"/>
            <w:tcBorders>
              <w:top w:val="nil"/>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4% </w:t>
            </w: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Threadneedle Investments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32,947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747"/>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UBS Third Party Mgmt </w:t>
            </w:r>
          </w:p>
        </w:tc>
        <w:tc>
          <w:tcPr>
            <w:tcW w:w="3296"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UBS </w:t>
            </w:r>
          </w:p>
        </w:tc>
        <w:tc>
          <w:tcPr>
            <w:tcW w:w="174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2" w:firstLine="0"/>
              <w:jc w:val="left"/>
            </w:pPr>
            <w:r>
              <w:rPr>
                <w:b/>
                <w:sz w:val="22"/>
              </w:rPr>
              <w:t xml:space="preserve">UBS </w:t>
            </w:r>
          </w:p>
        </w:tc>
        <w:tc>
          <w:tcPr>
            <w:tcW w:w="1183"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88,962 </w:t>
            </w:r>
          </w:p>
        </w:tc>
        <w:tc>
          <w:tcPr>
            <w:tcW w:w="939"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98% </w:t>
            </w:r>
          </w:p>
        </w:tc>
        <w:tc>
          <w:tcPr>
            <w:tcW w:w="1045"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86,782 </w:t>
            </w:r>
          </w:p>
        </w:tc>
        <w:tc>
          <w:tcPr>
            <w:tcW w:w="1058" w:type="dxa"/>
            <w:vMerge w:val="restart"/>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8" w:firstLine="0"/>
              <w:jc w:val="right"/>
            </w:pPr>
            <w:r>
              <w:rPr>
                <w:b/>
                <w:sz w:val="22"/>
              </w:rPr>
              <w:t xml:space="preserve">93,792 </w:t>
            </w:r>
          </w:p>
        </w:tc>
        <w:tc>
          <w:tcPr>
            <w:tcW w:w="1106" w:type="dxa"/>
            <w:vMerge w:val="restart"/>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93% </w:t>
            </w:r>
          </w:p>
        </w:tc>
      </w:tr>
      <w:tr w:rsidR="00BB52D7">
        <w:trPr>
          <w:trHeight w:val="756"/>
        </w:trPr>
        <w:tc>
          <w:tcPr>
            <w:tcW w:w="426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UBS Global AM GmbH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515"/>
        </w:trPr>
        <w:tc>
          <w:tcPr>
            <w:tcW w:w="4266" w:type="dxa"/>
            <w:tcBorders>
              <w:top w:val="single" w:sz="4"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UBS Gestion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319"/>
        </w:trPr>
        <w:tc>
          <w:tcPr>
            <w:tcW w:w="4266" w:type="dxa"/>
            <w:tcBorders>
              <w:top w:val="single" w:sz="4" w:space="0" w:color="000000"/>
              <w:left w:val="single" w:sz="8"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b/>
                <w:sz w:val="22"/>
              </w:rPr>
              <w:t xml:space="preserve">UBS Fund Management SA </w:t>
            </w: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tcPr>
          <w:p w:rsidR="00BB52D7" w:rsidRDefault="00BB52D7">
            <w:pPr>
              <w:spacing w:after="160" w:line="259" w:lineRule="auto"/>
              <w:ind w:left="0" w:firstLine="0"/>
              <w:jc w:val="left"/>
            </w:pPr>
          </w:p>
        </w:tc>
      </w:tr>
      <w:tr w:rsidR="00BB52D7">
        <w:trPr>
          <w:trHeight w:val="341"/>
        </w:trPr>
        <w:tc>
          <w:tcPr>
            <w:tcW w:w="4266" w:type="dxa"/>
            <w:tcBorders>
              <w:top w:val="single" w:sz="4" w:space="0" w:color="000000"/>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jc w:val="left"/>
            </w:pPr>
            <w:r>
              <w:rPr>
                <w:b/>
                <w:sz w:val="22"/>
              </w:rPr>
              <w:t xml:space="preserve">UBS Gestion, SGIIC </w:t>
            </w: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single" w:sz="8" w:space="0" w:color="000000"/>
              <w:right w:val="single" w:sz="8" w:space="0" w:color="000000"/>
            </w:tcBorders>
          </w:tcPr>
          <w:p w:rsidR="00BB52D7" w:rsidRDefault="00BB52D7">
            <w:pPr>
              <w:spacing w:after="160" w:line="259" w:lineRule="auto"/>
              <w:ind w:left="0" w:firstLine="0"/>
              <w:jc w:val="left"/>
            </w:pPr>
          </w:p>
        </w:tc>
      </w:tr>
      <w:tr w:rsidR="00BB52D7">
        <w:trPr>
          <w:trHeight w:val="485"/>
        </w:trPr>
        <w:tc>
          <w:tcPr>
            <w:tcW w:w="4266" w:type="dxa"/>
            <w:tcBorders>
              <w:top w:val="single" w:sz="8" w:space="0" w:color="000000"/>
              <w:left w:val="single" w:sz="8"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Union Investment Luxembourg </w:t>
            </w:r>
          </w:p>
        </w:tc>
        <w:tc>
          <w:tcPr>
            <w:tcW w:w="3296"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3" w:firstLine="0"/>
              <w:jc w:val="left"/>
            </w:pPr>
            <w:r>
              <w:rPr>
                <w:b/>
                <w:sz w:val="22"/>
              </w:rPr>
              <w:t xml:space="preserve">DZ Bank </w:t>
            </w:r>
          </w:p>
        </w:tc>
        <w:tc>
          <w:tcPr>
            <w:tcW w:w="1748"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2" w:firstLine="0"/>
            </w:pPr>
            <w:r>
              <w:rPr>
                <w:b/>
                <w:sz w:val="22"/>
              </w:rPr>
              <w:t xml:space="preserve">DZ Bank Group </w:t>
            </w:r>
          </w:p>
        </w:tc>
        <w:tc>
          <w:tcPr>
            <w:tcW w:w="1183"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42,471 </w:t>
            </w:r>
          </w:p>
        </w:tc>
        <w:tc>
          <w:tcPr>
            <w:tcW w:w="939"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4" w:space="0" w:color="D9D9D9"/>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42,471 </w:t>
            </w:r>
          </w:p>
        </w:tc>
        <w:tc>
          <w:tcPr>
            <w:tcW w:w="1058" w:type="dxa"/>
            <w:vMerge w:val="restart"/>
            <w:tcBorders>
              <w:top w:val="single" w:sz="8" w:space="0" w:color="000000"/>
              <w:left w:val="single" w:sz="4" w:space="0" w:color="000000"/>
              <w:bottom w:val="nil"/>
              <w:right w:val="single" w:sz="4" w:space="0" w:color="000000"/>
            </w:tcBorders>
            <w:shd w:val="clear" w:color="auto" w:fill="D9D9D9"/>
            <w:vAlign w:val="bottom"/>
          </w:tcPr>
          <w:p w:rsidR="00BB52D7" w:rsidRDefault="00E33AE6">
            <w:pPr>
              <w:spacing w:after="0" w:line="259" w:lineRule="auto"/>
              <w:ind w:left="0" w:right="58" w:firstLine="0"/>
              <w:jc w:val="right"/>
            </w:pPr>
            <w:r>
              <w:rPr>
                <w:b/>
                <w:sz w:val="22"/>
              </w:rPr>
              <w:t xml:space="preserve">109,540 </w:t>
            </w:r>
          </w:p>
        </w:tc>
        <w:tc>
          <w:tcPr>
            <w:tcW w:w="1106" w:type="dxa"/>
            <w:vMerge w:val="restart"/>
            <w:tcBorders>
              <w:top w:val="single" w:sz="8" w:space="0" w:color="000000"/>
              <w:left w:val="single" w:sz="4" w:space="0" w:color="000000"/>
              <w:bottom w:val="nil"/>
              <w:right w:val="single" w:sz="8" w:space="0" w:color="000000"/>
            </w:tcBorders>
            <w:shd w:val="clear" w:color="auto" w:fill="D9D9D9"/>
            <w:vAlign w:val="bottom"/>
          </w:tcPr>
          <w:p w:rsidR="00BB52D7" w:rsidRDefault="00E33AE6">
            <w:pPr>
              <w:spacing w:after="0" w:line="259" w:lineRule="auto"/>
              <w:ind w:left="0" w:right="55" w:firstLine="0"/>
              <w:jc w:val="right"/>
            </w:pPr>
            <w:r>
              <w:rPr>
                <w:b/>
                <w:sz w:val="22"/>
              </w:rPr>
              <w:t xml:space="preserve">79% </w:t>
            </w:r>
          </w:p>
        </w:tc>
      </w:tr>
      <w:tr w:rsidR="00BB52D7">
        <w:trPr>
          <w:trHeight w:val="259"/>
        </w:trPr>
        <w:tc>
          <w:tcPr>
            <w:tcW w:w="4266" w:type="dxa"/>
            <w:tcBorders>
              <w:top w:val="single" w:sz="4" w:space="0" w:color="000000"/>
              <w:left w:val="single" w:sz="8" w:space="0" w:color="000000"/>
              <w:bottom w:val="nil"/>
              <w:right w:val="single" w:sz="4" w:space="0" w:color="000000"/>
            </w:tcBorders>
            <w:shd w:val="clear" w:color="auto" w:fill="D9D9D9"/>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center"/>
          </w:tcPr>
          <w:p w:rsidR="00BB52D7" w:rsidRDefault="00BB52D7">
            <w:pPr>
              <w:spacing w:after="160" w:line="259" w:lineRule="auto"/>
              <w:ind w:left="0" w:firstLine="0"/>
              <w:jc w:val="left"/>
            </w:pPr>
          </w:p>
        </w:tc>
        <w:tc>
          <w:tcPr>
            <w:tcW w:w="1183" w:type="dxa"/>
            <w:tcBorders>
              <w:top w:val="single" w:sz="4" w:space="0" w:color="D9D9D9"/>
              <w:left w:val="single" w:sz="4" w:space="0" w:color="000000"/>
              <w:bottom w:val="nil"/>
              <w:right w:val="single" w:sz="4" w:space="0" w:color="000000"/>
            </w:tcBorders>
            <w:shd w:val="clear" w:color="auto" w:fill="D9D9D9"/>
          </w:tcPr>
          <w:p w:rsidR="00BB52D7" w:rsidRDefault="00BB52D7">
            <w:pPr>
              <w:spacing w:after="160" w:line="259" w:lineRule="auto"/>
              <w:ind w:left="0" w:firstLine="0"/>
              <w:jc w:val="left"/>
            </w:pPr>
          </w:p>
        </w:tc>
        <w:tc>
          <w:tcPr>
            <w:tcW w:w="939" w:type="dxa"/>
            <w:tcBorders>
              <w:top w:val="single" w:sz="4" w:space="0" w:color="D9D9D9"/>
              <w:left w:val="single" w:sz="4" w:space="0" w:color="000000"/>
              <w:bottom w:val="nil"/>
              <w:right w:val="single" w:sz="4" w:space="0" w:color="000000"/>
            </w:tcBorders>
            <w:shd w:val="clear" w:color="auto" w:fill="D9D9D9"/>
          </w:tcPr>
          <w:p w:rsidR="00BB52D7" w:rsidRDefault="00BB52D7">
            <w:pPr>
              <w:spacing w:after="160" w:line="259" w:lineRule="auto"/>
              <w:ind w:left="0" w:firstLine="0"/>
              <w:jc w:val="left"/>
            </w:pPr>
          </w:p>
        </w:tc>
        <w:tc>
          <w:tcPr>
            <w:tcW w:w="1045" w:type="dxa"/>
            <w:tcBorders>
              <w:top w:val="single" w:sz="4" w:space="0" w:color="D9D9D9"/>
              <w:left w:val="single" w:sz="4" w:space="0" w:color="000000"/>
              <w:bottom w:val="nil"/>
              <w:right w:val="single" w:sz="4" w:space="0" w:color="000000"/>
            </w:tcBorders>
            <w:shd w:val="clear" w:color="auto" w:fill="D9D9D9"/>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BB52D7" w:rsidRDefault="00BB52D7">
            <w:pPr>
              <w:spacing w:after="160" w:line="259" w:lineRule="auto"/>
              <w:ind w:left="0" w:firstLine="0"/>
              <w:jc w:val="left"/>
            </w:pPr>
          </w:p>
        </w:tc>
        <w:tc>
          <w:tcPr>
            <w:tcW w:w="0" w:type="auto"/>
            <w:vMerge/>
            <w:tcBorders>
              <w:top w:val="nil"/>
              <w:left w:val="single" w:sz="4" w:space="0" w:color="000000"/>
              <w:bottom w:val="nil"/>
              <w:right w:val="single" w:sz="8" w:space="0" w:color="000000"/>
            </w:tcBorders>
            <w:vAlign w:val="center"/>
          </w:tcPr>
          <w:p w:rsidR="00BB52D7" w:rsidRDefault="00BB52D7">
            <w:pPr>
              <w:spacing w:after="160" w:line="259" w:lineRule="auto"/>
              <w:ind w:left="0" w:firstLine="0"/>
              <w:jc w:val="left"/>
            </w:pPr>
          </w:p>
        </w:tc>
      </w:tr>
      <w:tr w:rsidR="00BB52D7">
        <w:trPr>
          <w:trHeight w:val="496"/>
        </w:trPr>
        <w:tc>
          <w:tcPr>
            <w:tcW w:w="4266" w:type="dxa"/>
            <w:tcBorders>
              <w:top w:val="nil"/>
              <w:left w:val="single" w:sz="8" w:space="0" w:color="000000"/>
              <w:bottom w:val="single" w:sz="8" w:space="0" w:color="000000"/>
              <w:right w:val="single" w:sz="4" w:space="0" w:color="000000"/>
            </w:tcBorders>
            <w:shd w:val="clear" w:color="auto" w:fill="D9D9D9"/>
          </w:tcPr>
          <w:p w:rsidR="00BB52D7" w:rsidRDefault="00E33AE6">
            <w:pPr>
              <w:spacing w:after="0" w:line="259" w:lineRule="auto"/>
              <w:ind w:left="0" w:firstLine="0"/>
            </w:pPr>
            <w:r>
              <w:rPr>
                <w:b/>
                <w:sz w:val="22"/>
              </w:rPr>
              <w:t xml:space="preserve">Union investment privatfunds Luxembourg </w:t>
            </w:r>
          </w:p>
        </w:tc>
        <w:tc>
          <w:tcPr>
            <w:tcW w:w="3296"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748"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183" w:type="dxa"/>
            <w:tcBorders>
              <w:top w:val="nil"/>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47,204 </w:t>
            </w:r>
          </w:p>
        </w:tc>
        <w:tc>
          <w:tcPr>
            <w:tcW w:w="939" w:type="dxa"/>
            <w:tcBorders>
              <w:top w:val="nil"/>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6" w:firstLine="0"/>
              <w:jc w:val="right"/>
            </w:pPr>
            <w:r>
              <w:rPr>
                <w:b/>
                <w:sz w:val="22"/>
              </w:rPr>
              <w:t xml:space="preserve">92% </w:t>
            </w:r>
          </w:p>
        </w:tc>
        <w:tc>
          <w:tcPr>
            <w:tcW w:w="1045" w:type="dxa"/>
            <w:tcBorders>
              <w:top w:val="nil"/>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43,673 </w:t>
            </w:r>
          </w:p>
        </w:tc>
        <w:tc>
          <w:tcPr>
            <w:tcW w:w="1058" w:type="dxa"/>
            <w:tcBorders>
              <w:top w:val="nil"/>
              <w:left w:val="single" w:sz="4" w:space="0" w:color="000000"/>
              <w:bottom w:val="single" w:sz="8" w:space="0" w:color="000000"/>
              <w:right w:val="single" w:sz="4" w:space="0" w:color="000000"/>
            </w:tcBorders>
            <w:shd w:val="clear" w:color="auto" w:fill="D9D9D9"/>
          </w:tcPr>
          <w:p w:rsidR="00BB52D7" w:rsidRDefault="00BB52D7">
            <w:pPr>
              <w:spacing w:after="160" w:line="259" w:lineRule="auto"/>
              <w:ind w:left="0" w:firstLine="0"/>
              <w:jc w:val="left"/>
            </w:pPr>
          </w:p>
        </w:tc>
        <w:tc>
          <w:tcPr>
            <w:tcW w:w="1106" w:type="dxa"/>
            <w:tcBorders>
              <w:top w:val="nil"/>
              <w:left w:val="single" w:sz="4" w:space="0" w:color="000000"/>
              <w:bottom w:val="single" w:sz="8" w:space="0" w:color="000000"/>
              <w:right w:val="single" w:sz="8" w:space="0" w:color="000000"/>
            </w:tcBorders>
            <w:shd w:val="clear" w:color="auto" w:fill="D9D9D9"/>
          </w:tcPr>
          <w:p w:rsidR="00BB52D7" w:rsidRDefault="00BB52D7">
            <w:pPr>
              <w:spacing w:after="160" w:line="259" w:lineRule="auto"/>
              <w:ind w:left="0" w:firstLine="0"/>
              <w:jc w:val="left"/>
            </w:pPr>
          </w:p>
        </w:tc>
      </w:tr>
      <w:tr w:rsidR="00BB52D7">
        <w:trPr>
          <w:trHeight w:val="526"/>
        </w:trPr>
        <w:tc>
          <w:tcPr>
            <w:tcW w:w="4266" w:type="dxa"/>
            <w:tcBorders>
              <w:top w:val="single" w:sz="8" w:space="0" w:color="000000"/>
              <w:left w:val="single" w:sz="8"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firstLine="0"/>
              <w:jc w:val="left"/>
            </w:pPr>
            <w:r>
              <w:rPr>
                <w:b/>
                <w:sz w:val="22"/>
              </w:rPr>
              <w:t xml:space="preserve">Union Bancaire Privée </w:t>
            </w:r>
          </w:p>
        </w:tc>
        <w:tc>
          <w:tcPr>
            <w:tcW w:w="3296"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3" w:firstLine="0"/>
              <w:jc w:val="left"/>
            </w:pPr>
            <w:r>
              <w:rPr>
                <w:b/>
                <w:sz w:val="22"/>
              </w:rPr>
              <w:t xml:space="preserve">Union Bancaire Privée </w:t>
            </w:r>
          </w:p>
        </w:tc>
        <w:tc>
          <w:tcPr>
            <w:tcW w:w="1748" w:type="dxa"/>
            <w:tcBorders>
              <w:top w:val="single" w:sz="8" w:space="0" w:color="000000"/>
              <w:left w:val="single" w:sz="4" w:space="0" w:color="000000"/>
              <w:bottom w:val="single" w:sz="8" w:space="0" w:color="000000"/>
              <w:right w:val="single" w:sz="4" w:space="0" w:color="000000"/>
            </w:tcBorders>
            <w:shd w:val="clear" w:color="auto" w:fill="D9D9D9"/>
          </w:tcPr>
          <w:p w:rsidR="00BB52D7" w:rsidRDefault="00E33AE6">
            <w:pPr>
              <w:spacing w:after="0" w:line="259" w:lineRule="auto"/>
              <w:ind w:left="2" w:firstLine="0"/>
              <w:jc w:val="left"/>
            </w:pPr>
            <w:r>
              <w:rPr>
                <w:b/>
                <w:sz w:val="22"/>
              </w:rPr>
              <w:t xml:space="preserve">Union Bancaire Privée </w:t>
            </w:r>
          </w:p>
        </w:tc>
        <w:tc>
          <w:tcPr>
            <w:tcW w:w="1183"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6,599 </w:t>
            </w:r>
          </w:p>
        </w:tc>
        <w:tc>
          <w:tcPr>
            <w:tcW w:w="939"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6" w:firstLine="0"/>
              <w:jc w:val="right"/>
            </w:pPr>
            <w:r>
              <w:rPr>
                <w:b/>
                <w:sz w:val="22"/>
              </w:rPr>
              <w:t xml:space="preserve">96% </w:t>
            </w:r>
          </w:p>
        </w:tc>
        <w:tc>
          <w:tcPr>
            <w:tcW w:w="1045"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6,335 </w:t>
            </w:r>
          </w:p>
        </w:tc>
        <w:tc>
          <w:tcPr>
            <w:tcW w:w="1058" w:type="dxa"/>
            <w:tcBorders>
              <w:top w:val="single" w:sz="8" w:space="0" w:color="000000"/>
              <w:left w:val="single" w:sz="4" w:space="0" w:color="000000"/>
              <w:bottom w:val="single" w:sz="8" w:space="0" w:color="000000"/>
              <w:right w:val="single" w:sz="4" w:space="0" w:color="000000"/>
            </w:tcBorders>
            <w:shd w:val="clear" w:color="auto" w:fill="D9D9D9"/>
            <w:vAlign w:val="center"/>
          </w:tcPr>
          <w:p w:rsidR="00BB52D7" w:rsidRDefault="00E33AE6">
            <w:pPr>
              <w:spacing w:after="0" w:line="259" w:lineRule="auto"/>
              <w:ind w:left="0" w:right="57" w:firstLine="0"/>
              <w:jc w:val="right"/>
            </w:pPr>
            <w:r>
              <w:rPr>
                <w:b/>
                <w:sz w:val="22"/>
              </w:rPr>
              <w:t xml:space="preserve">7,560 </w:t>
            </w:r>
          </w:p>
        </w:tc>
        <w:tc>
          <w:tcPr>
            <w:tcW w:w="1106" w:type="dxa"/>
            <w:tcBorders>
              <w:top w:val="single" w:sz="8" w:space="0" w:color="000000"/>
              <w:left w:val="single" w:sz="4" w:space="0" w:color="000000"/>
              <w:bottom w:val="single" w:sz="8" w:space="0" w:color="000000"/>
              <w:right w:val="single" w:sz="8" w:space="0" w:color="000000"/>
            </w:tcBorders>
            <w:shd w:val="clear" w:color="auto" w:fill="D9D9D9"/>
            <w:vAlign w:val="center"/>
          </w:tcPr>
          <w:p w:rsidR="00BB52D7" w:rsidRDefault="00E33AE6">
            <w:pPr>
              <w:spacing w:after="0" w:line="259" w:lineRule="auto"/>
              <w:ind w:left="0" w:right="55" w:firstLine="0"/>
              <w:jc w:val="right"/>
            </w:pPr>
            <w:r>
              <w:rPr>
                <w:b/>
                <w:sz w:val="22"/>
              </w:rPr>
              <w:t xml:space="preserve">84% </w:t>
            </w:r>
          </w:p>
        </w:tc>
      </w:tr>
      <w:tr w:rsidR="00BB52D7">
        <w:trPr>
          <w:trHeight w:val="337"/>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Universal-Investment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16,383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336"/>
        </w:trPr>
        <w:tc>
          <w:tcPr>
            <w:tcW w:w="4266" w:type="dxa"/>
            <w:tcBorders>
              <w:top w:val="single" w:sz="8" w:space="0" w:color="000000"/>
              <w:left w:val="single" w:sz="8" w:space="0" w:color="000000"/>
              <w:bottom w:val="single" w:sz="8" w:space="0" w:color="000000"/>
              <w:right w:val="single" w:sz="4" w:space="0" w:color="000000"/>
            </w:tcBorders>
          </w:tcPr>
          <w:p w:rsidR="00BB52D7" w:rsidRDefault="00E33AE6">
            <w:pPr>
              <w:spacing w:after="0" w:line="259" w:lineRule="auto"/>
              <w:ind w:left="0" w:firstLine="0"/>
              <w:jc w:val="left"/>
            </w:pPr>
            <w:r>
              <w:rPr>
                <w:sz w:val="22"/>
              </w:rPr>
              <w:t xml:space="preserve">Vanguard </w:t>
            </w:r>
          </w:p>
        </w:tc>
        <w:tc>
          <w:tcPr>
            <w:tcW w:w="3296"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7" w:firstLine="0"/>
              <w:jc w:val="right"/>
            </w:pPr>
            <w:r>
              <w:rPr>
                <w:sz w:val="22"/>
              </w:rPr>
              <w:t xml:space="preserve">41,873 </w:t>
            </w:r>
          </w:p>
        </w:tc>
        <w:tc>
          <w:tcPr>
            <w:tcW w:w="939"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tcPr>
          <w:p w:rsidR="00BB52D7" w:rsidRDefault="00E33AE6">
            <w:pPr>
              <w:spacing w:after="0" w:line="259" w:lineRule="auto"/>
              <w:ind w:left="2" w:firstLine="0"/>
              <w:jc w:val="left"/>
            </w:pPr>
            <w:r>
              <w:rPr>
                <w:sz w:val="22"/>
              </w:rPr>
              <w:t xml:space="preserve">NA </w:t>
            </w:r>
          </w:p>
        </w:tc>
      </w:tr>
      <w:tr w:rsidR="00BB52D7">
        <w:trPr>
          <w:trHeight w:val="497"/>
        </w:trPr>
        <w:tc>
          <w:tcPr>
            <w:tcW w:w="4266" w:type="dxa"/>
            <w:tcBorders>
              <w:top w:val="single" w:sz="8" w:space="0" w:color="000000"/>
              <w:left w:val="single" w:sz="8"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firstLine="0"/>
              <w:jc w:val="left"/>
            </w:pPr>
            <w:r>
              <w:rPr>
                <w:b/>
                <w:sz w:val="22"/>
              </w:rPr>
              <w:lastRenderedPageBreak/>
              <w:t xml:space="preserve">Warburg Invest </w:t>
            </w:r>
          </w:p>
        </w:tc>
        <w:tc>
          <w:tcPr>
            <w:tcW w:w="3296"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3" w:firstLine="0"/>
              <w:jc w:val="left"/>
            </w:pPr>
            <w:r>
              <w:rPr>
                <w:b/>
                <w:sz w:val="22"/>
              </w:rPr>
              <w:t xml:space="preserve">M.M. Warburg &amp; CO KGaA </w:t>
            </w:r>
          </w:p>
        </w:tc>
        <w:tc>
          <w:tcPr>
            <w:tcW w:w="174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2" w:firstLine="0"/>
              <w:jc w:val="left"/>
            </w:pPr>
            <w:r>
              <w:rPr>
                <w:b/>
                <w:sz w:val="22"/>
              </w:rPr>
              <w:t xml:space="preserve">M.M. Warburg </w:t>
            </w:r>
          </w:p>
        </w:tc>
        <w:tc>
          <w:tcPr>
            <w:tcW w:w="1183"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6" w:firstLine="0"/>
              <w:jc w:val="right"/>
            </w:pPr>
            <w:r>
              <w:rPr>
                <w:b/>
                <w:sz w:val="22"/>
              </w:rPr>
              <w:t xml:space="preserve">1,492 </w:t>
            </w:r>
          </w:p>
        </w:tc>
        <w:tc>
          <w:tcPr>
            <w:tcW w:w="939"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5" w:firstLine="0"/>
              <w:jc w:val="right"/>
            </w:pPr>
            <w:r>
              <w:rPr>
                <w:b/>
                <w:sz w:val="22"/>
              </w:rPr>
              <w:t xml:space="preserve">100% </w:t>
            </w:r>
          </w:p>
        </w:tc>
        <w:tc>
          <w:tcPr>
            <w:tcW w:w="1045"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1,492 </w:t>
            </w:r>
          </w:p>
        </w:tc>
        <w:tc>
          <w:tcPr>
            <w:tcW w:w="1058" w:type="dxa"/>
            <w:tcBorders>
              <w:top w:val="single" w:sz="8" w:space="0" w:color="000000"/>
              <w:left w:val="single" w:sz="4" w:space="0" w:color="000000"/>
              <w:bottom w:val="single" w:sz="8" w:space="0" w:color="000000"/>
              <w:right w:val="single" w:sz="4" w:space="0" w:color="000000"/>
            </w:tcBorders>
            <w:shd w:val="clear" w:color="auto" w:fill="8DB4E2"/>
            <w:vAlign w:val="center"/>
          </w:tcPr>
          <w:p w:rsidR="00BB52D7" w:rsidRDefault="00E33AE6">
            <w:pPr>
              <w:spacing w:after="0" w:line="259" w:lineRule="auto"/>
              <w:ind w:left="0" w:right="57" w:firstLine="0"/>
              <w:jc w:val="right"/>
            </w:pPr>
            <w:r>
              <w:rPr>
                <w:b/>
                <w:sz w:val="22"/>
              </w:rPr>
              <w:t xml:space="preserve">6,477 </w:t>
            </w:r>
          </w:p>
        </w:tc>
        <w:tc>
          <w:tcPr>
            <w:tcW w:w="1106" w:type="dxa"/>
            <w:tcBorders>
              <w:top w:val="single" w:sz="8" w:space="0" w:color="000000"/>
              <w:left w:val="single" w:sz="4" w:space="0" w:color="000000"/>
              <w:bottom w:val="single" w:sz="8" w:space="0" w:color="000000"/>
              <w:right w:val="single" w:sz="8" w:space="0" w:color="000000"/>
            </w:tcBorders>
            <w:shd w:val="clear" w:color="auto" w:fill="8DB4E2"/>
            <w:vAlign w:val="center"/>
          </w:tcPr>
          <w:p w:rsidR="00BB52D7" w:rsidRDefault="00E33AE6">
            <w:pPr>
              <w:spacing w:after="0" w:line="259" w:lineRule="auto"/>
              <w:ind w:left="0" w:right="55" w:firstLine="0"/>
              <w:jc w:val="right"/>
            </w:pPr>
            <w:r>
              <w:rPr>
                <w:b/>
                <w:sz w:val="22"/>
              </w:rPr>
              <w:t xml:space="preserve">23% </w:t>
            </w:r>
          </w:p>
        </w:tc>
      </w:tr>
      <w:tr w:rsidR="00BB52D7">
        <w:trPr>
          <w:trHeight w:val="637"/>
        </w:trPr>
        <w:tc>
          <w:tcPr>
            <w:tcW w:w="4266" w:type="dxa"/>
            <w:tcBorders>
              <w:top w:val="single" w:sz="8" w:space="0" w:color="000000"/>
              <w:left w:val="single" w:sz="8" w:space="0" w:color="000000"/>
              <w:bottom w:val="single" w:sz="8" w:space="0" w:color="000000"/>
              <w:right w:val="single" w:sz="4" w:space="0" w:color="000000"/>
            </w:tcBorders>
            <w:vAlign w:val="bottom"/>
          </w:tcPr>
          <w:p w:rsidR="00BB52D7" w:rsidRDefault="00E33AE6">
            <w:pPr>
              <w:spacing w:after="0" w:line="259" w:lineRule="auto"/>
              <w:ind w:left="0" w:firstLine="0"/>
              <w:jc w:val="left"/>
            </w:pPr>
            <w:r>
              <w:rPr>
                <w:sz w:val="22"/>
              </w:rPr>
              <w:t xml:space="preserve">Wellington Management Company </w:t>
            </w:r>
          </w:p>
        </w:tc>
        <w:tc>
          <w:tcPr>
            <w:tcW w:w="3296"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3" w:firstLine="0"/>
              <w:jc w:val="left"/>
            </w:pPr>
            <w:r>
              <w:rPr>
                <w:sz w:val="22"/>
              </w:rPr>
              <w:t xml:space="preserve">NA </w:t>
            </w:r>
          </w:p>
        </w:tc>
        <w:tc>
          <w:tcPr>
            <w:tcW w:w="174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83"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7" w:firstLine="0"/>
              <w:jc w:val="right"/>
            </w:pPr>
            <w:r>
              <w:rPr>
                <w:sz w:val="22"/>
              </w:rPr>
              <w:t xml:space="preserve">11,057 </w:t>
            </w:r>
          </w:p>
        </w:tc>
        <w:tc>
          <w:tcPr>
            <w:tcW w:w="939"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0" w:right="56" w:firstLine="0"/>
              <w:jc w:val="right"/>
            </w:pPr>
            <w:r>
              <w:rPr>
                <w:sz w:val="22"/>
              </w:rPr>
              <w:t xml:space="preserve">0% </w:t>
            </w:r>
          </w:p>
        </w:tc>
        <w:tc>
          <w:tcPr>
            <w:tcW w:w="1045"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058" w:type="dxa"/>
            <w:tcBorders>
              <w:top w:val="single" w:sz="8" w:space="0" w:color="000000"/>
              <w:left w:val="single" w:sz="4" w:space="0" w:color="000000"/>
              <w:bottom w:val="single" w:sz="8" w:space="0" w:color="000000"/>
              <w:right w:val="single" w:sz="4" w:space="0" w:color="000000"/>
            </w:tcBorders>
            <w:vAlign w:val="bottom"/>
          </w:tcPr>
          <w:p w:rsidR="00BB52D7" w:rsidRDefault="00E33AE6">
            <w:pPr>
              <w:spacing w:after="0" w:line="259" w:lineRule="auto"/>
              <w:ind w:left="2" w:firstLine="0"/>
              <w:jc w:val="left"/>
            </w:pPr>
            <w:r>
              <w:rPr>
                <w:sz w:val="22"/>
              </w:rPr>
              <w:t xml:space="preserve">NA </w:t>
            </w:r>
          </w:p>
        </w:tc>
        <w:tc>
          <w:tcPr>
            <w:tcW w:w="1106" w:type="dxa"/>
            <w:tcBorders>
              <w:top w:val="single" w:sz="8" w:space="0" w:color="000000"/>
              <w:left w:val="single" w:sz="4" w:space="0" w:color="000000"/>
              <w:bottom w:val="single" w:sz="8" w:space="0" w:color="000000"/>
              <w:right w:val="single" w:sz="8" w:space="0" w:color="000000"/>
            </w:tcBorders>
            <w:vAlign w:val="bottom"/>
          </w:tcPr>
          <w:p w:rsidR="00BB52D7" w:rsidRDefault="00E33AE6">
            <w:pPr>
              <w:spacing w:after="0" w:line="259" w:lineRule="auto"/>
              <w:ind w:left="2" w:firstLine="0"/>
              <w:jc w:val="left"/>
            </w:pPr>
            <w:r>
              <w:rPr>
                <w:sz w:val="22"/>
              </w:rPr>
              <w:t xml:space="preserve">NA </w:t>
            </w:r>
          </w:p>
        </w:tc>
      </w:tr>
      <w:tr w:rsidR="00BB52D7">
        <w:trPr>
          <w:trHeight w:val="312"/>
        </w:trPr>
        <w:tc>
          <w:tcPr>
            <w:tcW w:w="4266" w:type="dxa"/>
            <w:tcBorders>
              <w:top w:val="single" w:sz="8"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b/>
                <w:sz w:val="22"/>
              </w:rPr>
              <w:t xml:space="preserve">TOTAL </w:t>
            </w:r>
          </w:p>
        </w:tc>
        <w:tc>
          <w:tcPr>
            <w:tcW w:w="5044" w:type="dxa"/>
            <w:gridSpan w:val="2"/>
            <w:tcBorders>
              <w:top w:val="single" w:sz="8"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3" w:firstLine="0"/>
              <w:jc w:val="left"/>
            </w:pPr>
            <w:r>
              <w:rPr>
                <w:b/>
                <w:sz w:val="22"/>
              </w:rPr>
              <w:t xml:space="preserve">  </w:t>
            </w:r>
          </w:p>
        </w:tc>
        <w:tc>
          <w:tcPr>
            <w:tcW w:w="1183" w:type="dxa"/>
            <w:tcBorders>
              <w:top w:val="single" w:sz="8"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7" w:firstLine="0"/>
              <w:jc w:val="right"/>
            </w:pPr>
            <w:r>
              <w:rPr>
                <w:b/>
                <w:sz w:val="22"/>
              </w:rPr>
              <w:t xml:space="preserve">4,132,881 </w:t>
            </w:r>
          </w:p>
        </w:tc>
        <w:tc>
          <w:tcPr>
            <w:tcW w:w="939" w:type="dxa"/>
            <w:tcBorders>
              <w:top w:val="single" w:sz="8"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6" w:firstLine="0"/>
              <w:jc w:val="right"/>
            </w:pPr>
            <w:r>
              <w:rPr>
                <w:b/>
                <w:sz w:val="22"/>
              </w:rPr>
              <w:t xml:space="preserve">54% </w:t>
            </w:r>
          </w:p>
        </w:tc>
        <w:tc>
          <w:tcPr>
            <w:tcW w:w="1045" w:type="dxa"/>
            <w:tcBorders>
              <w:top w:val="single" w:sz="8"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8" w:firstLine="0"/>
              <w:jc w:val="left"/>
            </w:pPr>
            <w:r>
              <w:rPr>
                <w:b/>
                <w:sz w:val="22"/>
              </w:rPr>
              <w:t xml:space="preserve">1,496,470 </w:t>
            </w:r>
          </w:p>
        </w:tc>
        <w:tc>
          <w:tcPr>
            <w:tcW w:w="1058" w:type="dxa"/>
            <w:tcBorders>
              <w:top w:val="single" w:sz="8"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40" w:firstLine="0"/>
              <w:jc w:val="left"/>
            </w:pPr>
            <w:r>
              <w:rPr>
                <w:b/>
                <w:sz w:val="22"/>
              </w:rPr>
              <w:t xml:space="preserve">4,464,240 </w:t>
            </w:r>
          </w:p>
        </w:tc>
        <w:tc>
          <w:tcPr>
            <w:tcW w:w="1106" w:type="dxa"/>
            <w:tcBorders>
              <w:top w:val="single" w:sz="8"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5" w:firstLine="0"/>
              <w:jc w:val="right"/>
            </w:pPr>
            <w:r>
              <w:rPr>
                <w:b/>
                <w:sz w:val="22"/>
              </w:rPr>
              <w:t xml:space="preserve">34% </w:t>
            </w:r>
          </w:p>
        </w:tc>
      </w:tr>
    </w:tbl>
    <w:p w:rsidR="00BB52D7" w:rsidRDefault="00E33AE6">
      <w:pPr>
        <w:spacing w:after="3" w:line="259" w:lineRule="auto"/>
        <w:ind w:left="-5"/>
        <w:jc w:val="left"/>
      </w:pPr>
      <w:r>
        <w:rPr>
          <w:sz w:val="20"/>
        </w:rPr>
        <w:t xml:space="preserve">Source: Morningstar, EC staff calculations as of December 2014 </w:t>
      </w:r>
    </w:p>
    <w:p w:rsidR="00BB52D7" w:rsidRDefault="00BB52D7">
      <w:pPr>
        <w:sectPr w:rsidR="00BB52D7">
          <w:footerReference w:type="even" r:id="rId27"/>
          <w:footerReference w:type="default" r:id="rId28"/>
          <w:footerReference w:type="first" r:id="rId29"/>
          <w:pgSz w:w="16838" w:h="11906" w:orient="landscape"/>
          <w:pgMar w:top="1418" w:right="566" w:bottom="710" w:left="1134" w:header="708" w:footer="708" w:gutter="0"/>
          <w:pgNumType w:start="68"/>
          <w:cols w:space="708"/>
          <w:titlePg/>
        </w:sectPr>
      </w:pPr>
    </w:p>
    <w:p w:rsidR="00BB52D7" w:rsidRDefault="00E33AE6">
      <w:pPr>
        <w:tabs>
          <w:tab w:val="center" w:pos="400"/>
          <w:tab w:val="center" w:pos="2385"/>
        </w:tabs>
        <w:spacing w:after="229" w:line="248" w:lineRule="auto"/>
        <w:ind w:left="0" w:firstLine="0"/>
        <w:jc w:val="left"/>
      </w:pPr>
      <w:r>
        <w:rPr>
          <w:rFonts w:ascii="Calibri" w:eastAsia="Calibri" w:hAnsi="Calibri" w:cs="Calibri"/>
          <w:sz w:val="22"/>
        </w:rPr>
        <w:lastRenderedPageBreak/>
        <w:tab/>
      </w:r>
      <w:r>
        <w:t>-</w:t>
      </w:r>
      <w:r>
        <w:rPr>
          <w:rFonts w:ascii="Arial" w:eastAsia="Arial" w:hAnsi="Arial" w:cs="Arial"/>
        </w:rPr>
        <w:t xml:space="preserve"> </w:t>
      </w:r>
      <w:r>
        <w:rPr>
          <w:rFonts w:ascii="Arial" w:eastAsia="Arial" w:hAnsi="Arial" w:cs="Arial"/>
        </w:rPr>
        <w:tab/>
      </w:r>
      <w:r>
        <w:rPr>
          <w:b/>
        </w:rPr>
        <w:t xml:space="preserve">Bank and non-bank depositaries </w:t>
      </w:r>
    </w:p>
    <w:p w:rsidR="00BB52D7" w:rsidRDefault="00E33AE6">
      <w:pPr>
        <w:pStyle w:val="Heading6"/>
        <w:ind w:left="10" w:right="488"/>
      </w:pPr>
      <w:r>
        <w:t>Table 7</w:t>
      </w:r>
      <w:r>
        <w:t>- Non exhaustive list of non-Bank depositaries</w:t>
      </w:r>
      <w:r>
        <w:rPr>
          <w:u w:val="none"/>
        </w:rPr>
        <w:t xml:space="preserve"> </w:t>
      </w:r>
    </w:p>
    <w:tbl>
      <w:tblPr>
        <w:tblStyle w:val="TableGrid"/>
        <w:tblW w:w="7366" w:type="dxa"/>
        <w:tblInd w:w="-7" w:type="dxa"/>
        <w:tblCellMar>
          <w:top w:w="45" w:type="dxa"/>
          <w:left w:w="67" w:type="dxa"/>
          <w:bottom w:w="0" w:type="dxa"/>
          <w:right w:w="17" w:type="dxa"/>
        </w:tblCellMar>
        <w:tblLook w:val="04A0" w:firstRow="1" w:lastRow="0" w:firstColumn="1" w:lastColumn="0" w:noHBand="0" w:noVBand="1"/>
      </w:tblPr>
      <w:tblGrid>
        <w:gridCol w:w="3984"/>
        <w:gridCol w:w="1259"/>
        <w:gridCol w:w="2123"/>
      </w:tblGrid>
      <w:tr w:rsidR="00BB52D7">
        <w:trPr>
          <w:trHeight w:val="738"/>
        </w:trPr>
        <w:tc>
          <w:tcPr>
            <w:tcW w:w="3984"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0" w:firstLine="0"/>
              <w:jc w:val="left"/>
            </w:pPr>
            <w:r>
              <w:rPr>
                <w:b/>
                <w:sz w:val="20"/>
              </w:rPr>
              <w:t xml:space="preserve">Non-bank depositaries </w:t>
            </w:r>
          </w:p>
        </w:tc>
        <w:tc>
          <w:tcPr>
            <w:tcW w:w="1259"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5" w:firstLine="0"/>
              <w:jc w:val="left"/>
            </w:pPr>
            <w:r>
              <w:rPr>
                <w:b/>
                <w:sz w:val="20"/>
              </w:rPr>
              <w:t xml:space="preserve">Countries </w:t>
            </w:r>
          </w:p>
        </w:tc>
        <w:tc>
          <w:tcPr>
            <w:tcW w:w="2123" w:type="dxa"/>
            <w:tcBorders>
              <w:top w:val="single" w:sz="8" w:space="0" w:color="000000"/>
              <w:left w:val="single" w:sz="8" w:space="0" w:color="000000"/>
              <w:bottom w:val="single" w:sz="8" w:space="0" w:color="000000"/>
              <w:right w:val="single" w:sz="8" w:space="0" w:color="000000"/>
            </w:tcBorders>
            <w:shd w:val="clear" w:color="auto" w:fill="BFBFBF"/>
            <w:vAlign w:val="center"/>
          </w:tcPr>
          <w:p w:rsidR="00BB52D7" w:rsidRDefault="00E33AE6">
            <w:pPr>
              <w:spacing w:after="0" w:line="259" w:lineRule="auto"/>
              <w:ind w:left="5" w:firstLine="0"/>
              <w:jc w:val="left"/>
            </w:pPr>
            <w:r>
              <w:rPr>
                <w:b/>
                <w:sz w:val="20"/>
              </w:rPr>
              <w:t xml:space="preserve">AuM in Eur million </w:t>
            </w:r>
          </w:p>
        </w:tc>
      </w:tr>
      <w:tr w:rsidR="00BB52D7">
        <w:trPr>
          <w:trHeight w:val="796"/>
        </w:trPr>
        <w:tc>
          <w:tcPr>
            <w:tcW w:w="3984"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firstLine="0"/>
              <w:jc w:val="left"/>
            </w:pPr>
            <w:r>
              <w:rPr>
                <w:b/>
                <w:sz w:val="20"/>
              </w:rPr>
              <w:t xml:space="preserve">SEI Trustee &amp; Custodial Services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5" w:firstLine="0"/>
              <w:jc w:val="left"/>
            </w:pPr>
            <w:r>
              <w:rPr>
                <w:b/>
                <w:sz w:val="20"/>
              </w:rPr>
              <w:t xml:space="preserve">EI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right="49" w:firstLine="0"/>
              <w:jc w:val="right"/>
            </w:pPr>
            <w:r>
              <w:rPr>
                <w:b/>
                <w:sz w:val="20"/>
              </w:rPr>
              <w:t xml:space="preserve">9,720 </w:t>
            </w:r>
          </w:p>
        </w:tc>
      </w:tr>
      <w:tr w:rsidR="00BB52D7">
        <w:trPr>
          <w:trHeight w:val="572"/>
        </w:trPr>
        <w:tc>
          <w:tcPr>
            <w:tcW w:w="3984"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firstLine="0"/>
              <w:jc w:val="left"/>
            </w:pPr>
            <w:r>
              <w:rPr>
                <w:b/>
                <w:sz w:val="20"/>
              </w:rPr>
              <w:t xml:space="preserve">Stichting Bewaarder Robeco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5" w:firstLine="0"/>
              <w:jc w:val="left"/>
            </w:pPr>
            <w:r>
              <w:rPr>
                <w:b/>
                <w:sz w:val="20"/>
              </w:rPr>
              <w:t xml:space="preserve">NL, LU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right="49" w:firstLine="0"/>
              <w:jc w:val="right"/>
            </w:pPr>
            <w:r>
              <w:rPr>
                <w:b/>
                <w:sz w:val="20"/>
              </w:rPr>
              <w:t xml:space="preserve">5,999 </w:t>
            </w:r>
          </w:p>
        </w:tc>
      </w:tr>
      <w:tr w:rsidR="00BB52D7">
        <w:trPr>
          <w:trHeight w:val="504"/>
        </w:trPr>
        <w:tc>
          <w:tcPr>
            <w:tcW w:w="3984"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firstLine="0"/>
              <w:jc w:val="left"/>
            </w:pPr>
            <w:r>
              <w:rPr>
                <w:b/>
                <w:sz w:val="20"/>
              </w:rPr>
              <w:t xml:space="preserve">St,Bewaarder Fortis Beleggingsfondsen NL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5" w:firstLine="0"/>
              <w:jc w:val="left"/>
            </w:pPr>
            <w:r>
              <w:rPr>
                <w:b/>
                <w:sz w:val="20"/>
              </w:rPr>
              <w:t xml:space="preserve">NL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right="49" w:firstLine="0"/>
              <w:jc w:val="right"/>
            </w:pPr>
            <w:r>
              <w:rPr>
                <w:b/>
                <w:sz w:val="20"/>
              </w:rPr>
              <w:t xml:space="preserve">2,222 </w:t>
            </w:r>
          </w:p>
        </w:tc>
      </w:tr>
      <w:tr w:rsidR="00BB52D7">
        <w:trPr>
          <w:trHeight w:val="504"/>
        </w:trPr>
        <w:tc>
          <w:tcPr>
            <w:tcW w:w="3984"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firstLine="0"/>
              <w:jc w:val="left"/>
            </w:pPr>
            <w:r>
              <w:rPr>
                <w:b/>
                <w:sz w:val="20"/>
              </w:rPr>
              <w:t>Universal</w:t>
            </w:r>
            <w:r>
              <w:rPr>
                <w:b/>
                <w:sz w:val="20"/>
              </w:rPr>
              <w:t xml:space="preserve">-Investment Luxembourg S,A,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5" w:firstLine="0"/>
              <w:jc w:val="left"/>
            </w:pPr>
            <w:r>
              <w:rPr>
                <w:b/>
                <w:sz w:val="20"/>
              </w:rPr>
              <w:t xml:space="preserve">LU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right="49" w:firstLine="0"/>
              <w:jc w:val="right"/>
            </w:pPr>
            <w:r>
              <w:rPr>
                <w:b/>
                <w:sz w:val="20"/>
              </w:rPr>
              <w:t xml:space="preserve">2,109 </w:t>
            </w:r>
          </w:p>
        </w:tc>
      </w:tr>
      <w:tr w:rsidR="00BB52D7">
        <w:trPr>
          <w:trHeight w:val="504"/>
        </w:trPr>
        <w:tc>
          <w:tcPr>
            <w:tcW w:w="3984"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firstLine="0"/>
              <w:jc w:val="left"/>
            </w:pPr>
            <w:r>
              <w:rPr>
                <w:b/>
                <w:sz w:val="20"/>
              </w:rPr>
              <w:t xml:space="preserve">Mapfre Inversion Sociedad de valores, S,A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5" w:firstLine="0"/>
              <w:jc w:val="left"/>
            </w:pPr>
            <w:r>
              <w:rPr>
                <w:b/>
                <w:sz w:val="20"/>
              </w:rPr>
              <w:t xml:space="preserve">ES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BB52D7" w:rsidRDefault="00E33AE6">
            <w:pPr>
              <w:spacing w:after="0" w:line="259" w:lineRule="auto"/>
              <w:ind w:left="0" w:right="49" w:firstLine="0"/>
              <w:jc w:val="right"/>
            </w:pPr>
            <w:r>
              <w:rPr>
                <w:b/>
                <w:sz w:val="20"/>
              </w:rPr>
              <w:t xml:space="preserve">1,785 </w:t>
            </w:r>
          </w:p>
        </w:tc>
      </w:tr>
      <w:tr w:rsidR="00BB52D7">
        <w:trPr>
          <w:trHeight w:val="312"/>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b/>
                <w:sz w:val="20"/>
              </w:rPr>
              <w:t xml:space="preserve">Stichting Bewaarder TIGfund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b/>
                <w:sz w:val="20"/>
              </w:rPr>
              <w:t xml:space="preserve">NL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b/>
                <w:sz w:val="20"/>
              </w:rPr>
              <w:t xml:space="preserve">1,702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Inverseguros, SVB, S,A,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ES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0,438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Financière Meeschaert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FR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0,397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Interfi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FR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0,283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Oudart SA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FR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0,239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Portigon Financial Services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DE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0,178 </w:t>
            </w:r>
          </w:p>
        </w:tc>
      </w:tr>
      <w:tr w:rsidR="00BB52D7">
        <w:trPr>
          <w:trHeight w:val="312"/>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NLB Skladi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SL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0,126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COGEFI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FR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0,116 </w:t>
            </w:r>
          </w:p>
        </w:tc>
      </w:tr>
      <w:tr w:rsidR="00BB52D7">
        <w:trPr>
          <w:trHeight w:val="312"/>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Stichting Bewaarbedrijf Ohpen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NL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0,089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Financière d'Uzès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FR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0,052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Seligson &amp; Co Rahastoyhtiö Oyj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FI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0,051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ALIZEE Investment AG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AT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0,045 </w:t>
            </w:r>
          </w:p>
        </w:tc>
      </w:tr>
      <w:tr w:rsidR="00BB52D7">
        <w:trPr>
          <w:trHeight w:val="312"/>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ACA Sociedad de Valores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ES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0,036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Internationale KAG mbH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LU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0,022 </w:t>
            </w:r>
          </w:p>
        </w:tc>
      </w:tr>
      <w:tr w:rsidR="00BB52D7">
        <w:trPr>
          <w:trHeight w:val="311"/>
        </w:trPr>
        <w:tc>
          <w:tcPr>
            <w:tcW w:w="3984"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firstLine="0"/>
              <w:jc w:val="left"/>
            </w:pPr>
            <w:r>
              <w:rPr>
                <w:sz w:val="20"/>
              </w:rPr>
              <w:t xml:space="preserve">Leleux Associated Brokers S,A, </w:t>
            </w:r>
          </w:p>
        </w:tc>
        <w:tc>
          <w:tcPr>
            <w:tcW w:w="1259"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5" w:firstLine="0"/>
              <w:jc w:val="left"/>
            </w:pPr>
            <w:r>
              <w:rPr>
                <w:sz w:val="20"/>
              </w:rPr>
              <w:t xml:space="preserve">BE </w:t>
            </w:r>
          </w:p>
        </w:tc>
        <w:tc>
          <w:tcPr>
            <w:tcW w:w="2123" w:type="dxa"/>
            <w:tcBorders>
              <w:top w:val="single" w:sz="8" w:space="0" w:color="000000"/>
              <w:left w:val="single" w:sz="8" w:space="0" w:color="000000"/>
              <w:bottom w:val="single" w:sz="8" w:space="0" w:color="000000"/>
              <w:right w:val="single" w:sz="8" w:space="0" w:color="000000"/>
            </w:tcBorders>
            <w:shd w:val="clear" w:color="auto" w:fill="F2F2F2"/>
          </w:tcPr>
          <w:p w:rsidR="00BB52D7" w:rsidRDefault="00E33AE6">
            <w:pPr>
              <w:spacing w:after="0" w:line="259" w:lineRule="auto"/>
              <w:ind w:left="0" w:right="49" w:firstLine="0"/>
              <w:jc w:val="right"/>
            </w:pPr>
            <w:r>
              <w:rPr>
                <w:sz w:val="20"/>
              </w:rPr>
              <w:t xml:space="preserve">0,022 </w:t>
            </w:r>
          </w:p>
        </w:tc>
      </w:tr>
      <w:tr w:rsidR="00BB52D7">
        <w:trPr>
          <w:trHeight w:val="308"/>
        </w:trPr>
        <w:tc>
          <w:tcPr>
            <w:tcW w:w="3984"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firstLine="0"/>
              <w:jc w:val="left"/>
            </w:pPr>
            <w:r>
              <w:rPr>
                <w:b/>
                <w:sz w:val="20"/>
              </w:rPr>
              <w:t xml:space="preserve">TOTAL </w:t>
            </w:r>
          </w:p>
        </w:tc>
        <w:tc>
          <w:tcPr>
            <w:tcW w:w="1259"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5" w:firstLine="0"/>
              <w:jc w:val="left"/>
            </w:pPr>
            <w:r>
              <w:rPr>
                <w:sz w:val="20"/>
              </w:rPr>
              <w:t xml:space="preserve">  </w:t>
            </w:r>
          </w:p>
        </w:tc>
        <w:tc>
          <w:tcPr>
            <w:tcW w:w="2123" w:type="dxa"/>
            <w:tcBorders>
              <w:top w:val="single" w:sz="8" w:space="0" w:color="000000"/>
              <w:left w:val="single" w:sz="8" w:space="0" w:color="000000"/>
              <w:bottom w:val="single" w:sz="8" w:space="0" w:color="000000"/>
              <w:right w:val="single" w:sz="8" w:space="0" w:color="000000"/>
            </w:tcBorders>
            <w:shd w:val="clear" w:color="auto" w:fill="A6A6A6"/>
          </w:tcPr>
          <w:p w:rsidR="00BB52D7" w:rsidRDefault="00E33AE6">
            <w:pPr>
              <w:spacing w:after="0" w:line="259" w:lineRule="auto"/>
              <w:ind w:left="0" w:right="49" w:firstLine="0"/>
              <w:jc w:val="right"/>
            </w:pPr>
            <w:r>
              <w:rPr>
                <w:b/>
                <w:sz w:val="20"/>
              </w:rPr>
              <w:t xml:space="preserve">25,631 </w:t>
            </w:r>
          </w:p>
        </w:tc>
      </w:tr>
    </w:tbl>
    <w:p w:rsidR="00BB52D7" w:rsidRDefault="00E33AE6">
      <w:pPr>
        <w:spacing w:after="254" w:line="264" w:lineRule="auto"/>
        <w:ind w:left="10" w:right="9"/>
        <w:jc w:val="left"/>
      </w:pPr>
      <w:r>
        <w:rPr>
          <w:i/>
          <w:sz w:val="20"/>
        </w:rPr>
        <w:t xml:space="preserve">Source: Morningstar, Commission own calculation 31 December 2014, </w:t>
      </w:r>
    </w:p>
    <w:p w:rsidR="00BB52D7" w:rsidRDefault="00E33AE6">
      <w:pPr>
        <w:spacing w:after="1605"/>
        <w:ind w:left="10" w:right="567"/>
      </w:pPr>
      <w:r>
        <w:t>Most depositaries operating in Europe are authorised as a credit institution. They are therefore subject to all prudential and regulatory requirements applying to banks. Non-bank depositaries (table above) do, however, account for a small portion of the ma</w:t>
      </w:r>
      <w:r>
        <w:t xml:space="preserve">rket. In comparison to the banks, those depositaries tend to have significantly fewer assets in custody and, with a single exception, operate in a single Member State only. The ECB's analysis of the future business strategies to be adopted by such "single </w:t>
      </w:r>
      <w:r>
        <w:t xml:space="preserve">market" depositaries points out that these operators, in order to remain viable, have to either extent their custody networks or, should their market position weaken, "decide whether to continue investing and competing for external clients to at </w:t>
      </w:r>
      <w:r>
        <w:lastRenderedPageBreak/>
        <w:t>least brea</w:t>
      </w:r>
      <w:r>
        <w:t>k even on the fixed costs, or to exit the custody business and find a service provider to support their affiliates’ needs"</w:t>
      </w:r>
      <w:r>
        <w:rPr>
          <w:vertAlign w:val="superscript"/>
        </w:rPr>
        <w:footnoteReference w:id="88"/>
      </w:r>
      <w:r>
        <w:t xml:space="preserve">,  </w:t>
      </w:r>
    </w:p>
    <w:p w:rsidR="00BB52D7" w:rsidRDefault="00E33AE6">
      <w:pPr>
        <w:spacing w:after="0" w:line="259" w:lineRule="auto"/>
        <w:ind w:left="10" w:right="-15"/>
        <w:jc w:val="right"/>
      </w:pPr>
      <w:r>
        <w:rPr>
          <w:rFonts w:ascii="Arial" w:eastAsia="Arial" w:hAnsi="Arial" w:cs="Arial"/>
          <w:sz w:val="16"/>
        </w:rPr>
        <w:t xml:space="preserve">81 </w:t>
      </w:r>
    </w:p>
    <w:p w:rsidR="00BB52D7" w:rsidRDefault="00E33AE6">
      <w:pPr>
        <w:spacing w:after="0" w:line="259" w:lineRule="auto"/>
        <w:ind w:left="0" w:firstLine="0"/>
        <w:jc w:val="left"/>
      </w:pPr>
      <w:r>
        <w:rPr>
          <w:rFonts w:ascii="Arial" w:eastAsia="Arial" w:hAnsi="Arial" w:cs="Arial"/>
          <w:sz w:val="16"/>
        </w:rPr>
        <w:t xml:space="preserve"> </w:t>
      </w:r>
    </w:p>
    <w:p w:rsidR="00BB52D7" w:rsidRDefault="00E33AE6">
      <w:pPr>
        <w:spacing w:after="191"/>
        <w:ind w:left="10" w:right="567"/>
      </w:pPr>
      <w:r>
        <w:t>Indeed most of the asset managers favor the biggest depository service providers because of their global network of custodi</w:t>
      </w:r>
      <w:r>
        <w:t>ans. This is because irrespective of the place of investment the asset manager is assured that the depository will delegate custody of assets to sub-custodians that belong to the same group. Custodian services provided within the global network may come at</w:t>
      </w:r>
      <w:r>
        <w:t xml:space="preserve"> a more attractive price than it could be negotiated by the depository with an independent custodian domiciled in the jurisdiction of investment. </w:t>
      </w:r>
    </w:p>
    <w:p w:rsidR="00BB52D7" w:rsidRDefault="00E33AE6">
      <w:pPr>
        <w:pStyle w:val="Heading6"/>
        <w:ind w:left="10" w:right="488"/>
      </w:pPr>
      <w:r>
        <w:t>Table 8 - Overall markets (UCITS &amp; AIFs) where global custodians offer direct custody</w:t>
      </w:r>
      <w:r>
        <w:rPr>
          <w:u w:val="none"/>
        </w:rPr>
        <w:t xml:space="preserve"> </w:t>
      </w:r>
    </w:p>
    <w:tbl>
      <w:tblPr>
        <w:tblStyle w:val="TableGrid"/>
        <w:tblW w:w="8048" w:type="dxa"/>
        <w:tblInd w:w="-108" w:type="dxa"/>
        <w:tblCellMar>
          <w:top w:w="6" w:type="dxa"/>
          <w:left w:w="108" w:type="dxa"/>
          <w:bottom w:w="0" w:type="dxa"/>
          <w:right w:w="80" w:type="dxa"/>
        </w:tblCellMar>
        <w:tblLook w:val="04A0" w:firstRow="1" w:lastRow="0" w:firstColumn="1" w:lastColumn="0" w:noHBand="0" w:noVBand="1"/>
      </w:tblPr>
      <w:tblGrid>
        <w:gridCol w:w="1132"/>
        <w:gridCol w:w="1151"/>
        <w:gridCol w:w="851"/>
        <w:gridCol w:w="1277"/>
        <w:gridCol w:w="992"/>
        <w:gridCol w:w="1653"/>
        <w:gridCol w:w="992"/>
      </w:tblGrid>
      <w:tr w:rsidR="00BB52D7">
        <w:trPr>
          <w:trHeight w:val="340"/>
        </w:trPr>
        <w:tc>
          <w:tcPr>
            <w:tcW w:w="8048" w:type="dxa"/>
            <w:gridSpan w:val="7"/>
            <w:tcBorders>
              <w:top w:val="nil"/>
              <w:left w:val="nil"/>
              <w:bottom w:val="nil"/>
              <w:right w:val="nil"/>
            </w:tcBorders>
            <w:shd w:val="clear" w:color="auto" w:fill="000000"/>
          </w:tcPr>
          <w:p w:rsidR="00BB52D7" w:rsidRDefault="00E33AE6">
            <w:pPr>
              <w:tabs>
                <w:tab w:val="center" w:pos="1428"/>
                <w:tab w:val="center" w:pos="2458"/>
                <w:tab w:val="center" w:pos="3517"/>
                <w:tab w:val="center" w:pos="4655"/>
                <w:tab w:val="center" w:pos="5892"/>
                <w:tab w:val="center" w:pos="7269"/>
              </w:tabs>
              <w:spacing w:after="0" w:line="259" w:lineRule="auto"/>
              <w:ind w:left="0" w:firstLine="0"/>
              <w:jc w:val="left"/>
            </w:pPr>
            <w:r>
              <w:rPr>
                <w:rFonts w:ascii="Calibri" w:eastAsia="Calibri" w:hAnsi="Calibri" w:cs="Calibri"/>
                <w:b/>
                <w:color w:val="FFFFFF"/>
                <w:sz w:val="20"/>
              </w:rPr>
              <w:t xml:space="preserve">Custodian </w:t>
            </w:r>
            <w:r>
              <w:rPr>
                <w:rFonts w:ascii="Calibri" w:eastAsia="Calibri" w:hAnsi="Calibri" w:cs="Calibri"/>
                <w:b/>
                <w:color w:val="FFFFFF"/>
                <w:sz w:val="20"/>
              </w:rPr>
              <w:tab/>
              <w:t xml:space="preserve">Europe </w:t>
            </w:r>
            <w:r>
              <w:rPr>
                <w:rFonts w:ascii="Calibri" w:eastAsia="Calibri" w:hAnsi="Calibri" w:cs="Calibri"/>
                <w:b/>
                <w:color w:val="FFFFFF"/>
                <w:sz w:val="20"/>
              </w:rPr>
              <w:tab/>
            </w:r>
            <w:r>
              <w:rPr>
                <w:rFonts w:ascii="Calibri" w:eastAsia="Calibri" w:hAnsi="Calibri" w:cs="Calibri"/>
                <w:b/>
                <w:color w:val="FFFFFF"/>
                <w:sz w:val="20"/>
              </w:rPr>
              <w:t xml:space="preserve">Asia </w:t>
            </w:r>
            <w:r>
              <w:rPr>
                <w:rFonts w:ascii="Calibri" w:eastAsia="Calibri" w:hAnsi="Calibri" w:cs="Calibri"/>
                <w:b/>
                <w:color w:val="FFFFFF"/>
                <w:sz w:val="20"/>
              </w:rPr>
              <w:tab/>
              <w:t xml:space="preserve">Americas </w:t>
            </w:r>
            <w:r>
              <w:rPr>
                <w:rFonts w:ascii="Calibri" w:eastAsia="Calibri" w:hAnsi="Calibri" w:cs="Calibri"/>
                <w:b/>
                <w:color w:val="FFFFFF"/>
                <w:sz w:val="20"/>
              </w:rPr>
              <w:tab/>
              <w:t xml:space="preserve">Africa </w:t>
            </w:r>
            <w:r>
              <w:rPr>
                <w:rFonts w:ascii="Calibri" w:eastAsia="Calibri" w:hAnsi="Calibri" w:cs="Calibri"/>
                <w:b/>
                <w:color w:val="FFFFFF"/>
                <w:sz w:val="20"/>
              </w:rPr>
              <w:tab/>
              <w:t xml:space="preserve">Middle East </w:t>
            </w:r>
            <w:r>
              <w:rPr>
                <w:rFonts w:ascii="Calibri" w:eastAsia="Calibri" w:hAnsi="Calibri" w:cs="Calibri"/>
                <w:b/>
                <w:color w:val="FFFFFF"/>
                <w:sz w:val="20"/>
              </w:rPr>
              <w:tab/>
              <w:t xml:space="preserve">Total </w:t>
            </w:r>
          </w:p>
        </w:tc>
      </w:tr>
      <w:tr w:rsidR="00BB52D7">
        <w:trPr>
          <w:trHeight w:val="923"/>
        </w:trPr>
        <w:tc>
          <w:tcPr>
            <w:tcW w:w="1132" w:type="dxa"/>
            <w:tcBorders>
              <w:top w:val="nil"/>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8" w:firstLine="0"/>
              <w:jc w:val="center"/>
            </w:pPr>
            <w:r>
              <w:rPr>
                <w:sz w:val="20"/>
              </w:rPr>
              <w:t xml:space="preserve">BNP </w:t>
            </w:r>
          </w:p>
          <w:p w:rsidR="00BB52D7" w:rsidRDefault="00E33AE6">
            <w:pPr>
              <w:spacing w:after="0" w:line="259" w:lineRule="auto"/>
              <w:ind w:left="0" w:right="28" w:firstLine="0"/>
              <w:jc w:val="center"/>
            </w:pPr>
            <w:r>
              <w:rPr>
                <w:sz w:val="20"/>
              </w:rPr>
              <w:t xml:space="preserve">Paribas </w:t>
            </w:r>
          </w:p>
          <w:p w:rsidR="00BB52D7" w:rsidRDefault="00E33AE6">
            <w:pPr>
              <w:spacing w:after="0" w:line="259" w:lineRule="auto"/>
              <w:ind w:left="0" w:right="29" w:firstLine="0"/>
              <w:jc w:val="center"/>
            </w:pPr>
            <w:r>
              <w:rPr>
                <w:sz w:val="20"/>
              </w:rPr>
              <w:t xml:space="preserve">Securities </w:t>
            </w:r>
          </w:p>
          <w:p w:rsidR="00BB52D7" w:rsidRDefault="00E33AE6">
            <w:pPr>
              <w:spacing w:after="0" w:line="259" w:lineRule="auto"/>
              <w:ind w:left="0" w:right="29" w:firstLine="0"/>
              <w:jc w:val="center"/>
            </w:pPr>
            <w:r>
              <w:rPr>
                <w:sz w:val="20"/>
              </w:rPr>
              <w:t xml:space="preserve">Services </w:t>
            </w:r>
          </w:p>
        </w:tc>
        <w:tc>
          <w:tcPr>
            <w:tcW w:w="1151"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8" w:firstLine="0"/>
              <w:jc w:val="center"/>
            </w:pPr>
            <w:r>
              <w:rPr>
                <w:sz w:val="20"/>
              </w:rPr>
              <w:t xml:space="preserve">17 </w:t>
            </w:r>
          </w:p>
        </w:tc>
        <w:tc>
          <w:tcPr>
            <w:tcW w:w="851"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9" w:firstLine="0"/>
              <w:jc w:val="center"/>
            </w:pPr>
            <w:r>
              <w:rPr>
                <w:sz w:val="20"/>
              </w:rPr>
              <w:t xml:space="preserve">4 </w:t>
            </w:r>
          </w:p>
        </w:tc>
        <w:tc>
          <w:tcPr>
            <w:tcW w:w="1277"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9" w:firstLine="0"/>
              <w:jc w:val="center"/>
            </w:pPr>
            <w:r>
              <w:rPr>
                <w:sz w:val="20"/>
              </w:rPr>
              <w:t xml:space="preserve">N/D </w:t>
            </w:r>
          </w:p>
        </w:tc>
        <w:tc>
          <w:tcPr>
            <w:tcW w:w="992"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7" w:firstLine="0"/>
              <w:jc w:val="center"/>
            </w:pPr>
            <w:r>
              <w:rPr>
                <w:sz w:val="20"/>
              </w:rPr>
              <w:t xml:space="preserve">2 </w:t>
            </w:r>
          </w:p>
        </w:tc>
        <w:tc>
          <w:tcPr>
            <w:tcW w:w="1653"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30" w:firstLine="0"/>
              <w:jc w:val="center"/>
            </w:pPr>
            <w:r>
              <w:rPr>
                <w:sz w:val="20"/>
              </w:rPr>
              <w:t xml:space="preserve">N/D </w:t>
            </w:r>
          </w:p>
        </w:tc>
        <w:tc>
          <w:tcPr>
            <w:tcW w:w="992"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7" w:firstLine="0"/>
              <w:jc w:val="center"/>
            </w:pPr>
            <w:r>
              <w:rPr>
                <w:sz w:val="20"/>
              </w:rPr>
              <w:t xml:space="preserve">23 </w:t>
            </w:r>
          </w:p>
        </w:tc>
      </w:tr>
      <w:tr w:rsidR="00BB52D7">
        <w:trPr>
          <w:trHeight w:val="473"/>
        </w:trPr>
        <w:tc>
          <w:tcPr>
            <w:tcW w:w="113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9" w:firstLine="0"/>
              <w:jc w:val="center"/>
            </w:pPr>
            <w:r>
              <w:rPr>
                <w:sz w:val="20"/>
              </w:rPr>
              <w:t xml:space="preserve">BNY </w:t>
            </w:r>
          </w:p>
          <w:p w:rsidR="00BB52D7" w:rsidRDefault="00E33AE6">
            <w:pPr>
              <w:spacing w:after="0" w:line="259" w:lineRule="auto"/>
              <w:ind w:left="0" w:right="29" w:firstLine="0"/>
              <w:jc w:val="center"/>
            </w:pPr>
            <w:r>
              <w:rPr>
                <w:sz w:val="20"/>
              </w:rPr>
              <w:t xml:space="preserve">Mellon </w:t>
            </w:r>
          </w:p>
        </w:tc>
        <w:tc>
          <w:tcPr>
            <w:tcW w:w="115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8" w:firstLine="0"/>
              <w:jc w:val="center"/>
            </w:pPr>
            <w:r>
              <w:rPr>
                <w:sz w:val="20"/>
              </w:rPr>
              <w:t xml:space="preserve">5 </w:t>
            </w:r>
          </w:p>
        </w:tc>
        <w:tc>
          <w:tcPr>
            <w:tcW w:w="85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9" w:firstLine="0"/>
              <w:jc w:val="center"/>
            </w:pPr>
            <w:r>
              <w:rPr>
                <w:sz w:val="20"/>
              </w:rPr>
              <w:t xml:space="preserve">0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9" w:firstLine="0"/>
              <w:jc w:val="center"/>
            </w:pPr>
            <w:r>
              <w:rPr>
                <w:sz w:val="20"/>
              </w:rPr>
              <w:t xml:space="preserve">3 </w:t>
            </w:r>
          </w:p>
        </w:tc>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7" w:firstLine="0"/>
              <w:jc w:val="center"/>
            </w:pPr>
            <w:r>
              <w:rPr>
                <w:sz w:val="20"/>
              </w:rPr>
              <w:t xml:space="preserve">0 </w:t>
            </w:r>
          </w:p>
        </w:tc>
        <w:tc>
          <w:tcPr>
            <w:tcW w:w="165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30" w:firstLine="0"/>
              <w:jc w:val="center"/>
            </w:pPr>
            <w:r>
              <w:rPr>
                <w:sz w:val="20"/>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7" w:firstLine="0"/>
              <w:jc w:val="center"/>
            </w:pPr>
            <w:r>
              <w:rPr>
                <w:sz w:val="20"/>
              </w:rPr>
              <w:t xml:space="preserve">8 </w:t>
            </w:r>
          </w:p>
        </w:tc>
      </w:tr>
      <w:tr w:rsidR="00BB52D7">
        <w:trPr>
          <w:trHeight w:val="383"/>
        </w:trPr>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30" w:firstLine="0"/>
              <w:jc w:val="center"/>
            </w:pPr>
            <w:r>
              <w:rPr>
                <w:sz w:val="20"/>
              </w:rPr>
              <w:t xml:space="preserve">Citi </w:t>
            </w:r>
          </w:p>
        </w:tc>
        <w:tc>
          <w:tcPr>
            <w:tcW w:w="115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8" w:firstLine="0"/>
              <w:jc w:val="center"/>
            </w:pPr>
            <w:r>
              <w:rPr>
                <w:sz w:val="20"/>
              </w:rPr>
              <w:t xml:space="preserve">N/D </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9" w:firstLine="0"/>
              <w:jc w:val="center"/>
            </w:pPr>
            <w:r>
              <w:rPr>
                <w:sz w:val="20"/>
              </w:rPr>
              <w:t xml:space="preserve">N/D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9"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7" w:firstLine="0"/>
              <w:jc w:val="center"/>
            </w:pPr>
            <w:r>
              <w:rPr>
                <w:sz w:val="20"/>
              </w:rPr>
              <w:t xml:space="preserve">N/D </w:t>
            </w:r>
          </w:p>
        </w:tc>
        <w:tc>
          <w:tcPr>
            <w:tcW w:w="1653"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30"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7" w:firstLine="0"/>
              <w:jc w:val="center"/>
            </w:pPr>
            <w:r>
              <w:rPr>
                <w:sz w:val="20"/>
              </w:rPr>
              <w:t xml:space="preserve">61 </w:t>
            </w:r>
          </w:p>
        </w:tc>
      </w:tr>
      <w:tr w:rsidR="00BB52D7">
        <w:trPr>
          <w:trHeight w:val="702"/>
        </w:trPr>
        <w:tc>
          <w:tcPr>
            <w:tcW w:w="113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9" w:firstLine="0"/>
              <w:jc w:val="center"/>
            </w:pPr>
            <w:r>
              <w:rPr>
                <w:sz w:val="20"/>
              </w:rPr>
              <w:t xml:space="preserve">HSBC </w:t>
            </w:r>
          </w:p>
          <w:p w:rsidR="00BB52D7" w:rsidRDefault="00E33AE6">
            <w:pPr>
              <w:spacing w:after="0" w:line="259" w:lineRule="auto"/>
              <w:ind w:left="0" w:right="29" w:firstLine="0"/>
              <w:jc w:val="center"/>
            </w:pPr>
            <w:r>
              <w:rPr>
                <w:sz w:val="20"/>
              </w:rPr>
              <w:t xml:space="preserve">Securities </w:t>
            </w:r>
          </w:p>
          <w:p w:rsidR="00BB52D7" w:rsidRDefault="00E33AE6">
            <w:pPr>
              <w:spacing w:after="0" w:line="259" w:lineRule="auto"/>
              <w:ind w:left="0" w:right="29" w:firstLine="0"/>
              <w:jc w:val="center"/>
            </w:pPr>
            <w:r>
              <w:rPr>
                <w:sz w:val="20"/>
              </w:rPr>
              <w:t xml:space="preserve">Services </w:t>
            </w:r>
          </w:p>
        </w:tc>
        <w:tc>
          <w:tcPr>
            <w:tcW w:w="115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8" w:firstLine="0"/>
              <w:jc w:val="center"/>
            </w:pPr>
            <w:r>
              <w:rPr>
                <w:sz w:val="20"/>
              </w:rPr>
              <w:t xml:space="preserve">7 </w:t>
            </w:r>
          </w:p>
        </w:tc>
        <w:tc>
          <w:tcPr>
            <w:tcW w:w="85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9" w:firstLine="0"/>
              <w:jc w:val="center"/>
            </w:pPr>
            <w:r>
              <w:rPr>
                <w:sz w:val="20"/>
              </w:rPr>
              <w:t xml:space="preserve">18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9" w:firstLine="0"/>
              <w:jc w:val="center"/>
            </w:pPr>
            <w:r>
              <w:rPr>
                <w:sz w:val="20"/>
              </w:rPr>
              <w:t xml:space="preserve">4 </w:t>
            </w:r>
          </w:p>
        </w:tc>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7" w:firstLine="0"/>
              <w:jc w:val="center"/>
            </w:pPr>
            <w:r>
              <w:rPr>
                <w:sz w:val="20"/>
              </w:rPr>
              <w:t xml:space="preserve">1 </w:t>
            </w:r>
          </w:p>
        </w:tc>
        <w:tc>
          <w:tcPr>
            <w:tcW w:w="165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30" w:firstLine="0"/>
              <w:jc w:val="center"/>
            </w:pPr>
            <w:r>
              <w:rPr>
                <w:sz w:val="20"/>
              </w:rPr>
              <w:t xml:space="preserve">10 </w:t>
            </w:r>
          </w:p>
        </w:tc>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7" w:firstLine="0"/>
              <w:jc w:val="center"/>
            </w:pPr>
            <w:r>
              <w:rPr>
                <w:sz w:val="20"/>
              </w:rPr>
              <w:t xml:space="preserve">40 </w:t>
            </w:r>
          </w:p>
        </w:tc>
      </w:tr>
      <w:tr w:rsidR="00BB52D7">
        <w:trPr>
          <w:trHeight w:val="307"/>
        </w:trPr>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2" w:firstLine="0"/>
              <w:jc w:val="left"/>
            </w:pPr>
            <w:r>
              <w:rPr>
                <w:sz w:val="20"/>
              </w:rPr>
              <w:t xml:space="preserve">JP Morgan </w:t>
            </w:r>
          </w:p>
        </w:tc>
        <w:tc>
          <w:tcPr>
            <w:tcW w:w="115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8" w:firstLine="0"/>
              <w:jc w:val="center"/>
            </w:pPr>
            <w:r>
              <w:rPr>
                <w:sz w:val="20"/>
              </w:rPr>
              <w:t xml:space="preserve">N/D </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9" w:firstLine="0"/>
              <w:jc w:val="center"/>
            </w:pPr>
            <w:r>
              <w:rPr>
                <w:sz w:val="20"/>
              </w:rPr>
              <w:t xml:space="preserve">N/D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9"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7" w:firstLine="0"/>
              <w:jc w:val="center"/>
            </w:pPr>
            <w:r>
              <w:rPr>
                <w:sz w:val="20"/>
              </w:rPr>
              <w:t xml:space="preserve">N/D </w:t>
            </w:r>
          </w:p>
        </w:tc>
        <w:tc>
          <w:tcPr>
            <w:tcW w:w="1653"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30"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7" w:firstLine="0"/>
              <w:jc w:val="center"/>
            </w:pPr>
            <w:r>
              <w:rPr>
                <w:sz w:val="20"/>
              </w:rPr>
              <w:t xml:space="preserve">0 </w:t>
            </w:r>
          </w:p>
        </w:tc>
      </w:tr>
      <w:tr w:rsidR="00BB52D7">
        <w:trPr>
          <w:trHeight w:val="473"/>
        </w:trPr>
        <w:tc>
          <w:tcPr>
            <w:tcW w:w="113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rPr>
                <w:sz w:val="20"/>
              </w:rPr>
              <w:t xml:space="preserve">Northern Trust </w:t>
            </w:r>
          </w:p>
        </w:tc>
        <w:tc>
          <w:tcPr>
            <w:tcW w:w="115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8" w:firstLine="0"/>
              <w:jc w:val="center"/>
            </w:pPr>
            <w:r>
              <w:rPr>
                <w:sz w:val="20"/>
              </w:rPr>
              <w:t xml:space="preserve">2 </w:t>
            </w:r>
          </w:p>
        </w:tc>
        <w:tc>
          <w:tcPr>
            <w:tcW w:w="85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9" w:firstLine="0"/>
              <w:jc w:val="center"/>
            </w:pPr>
            <w:r>
              <w:rPr>
                <w:sz w:val="20"/>
              </w:rPr>
              <w:t xml:space="preserve">0 </w:t>
            </w:r>
          </w:p>
        </w:tc>
        <w:tc>
          <w:tcPr>
            <w:tcW w:w="127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9" w:firstLine="0"/>
              <w:jc w:val="center"/>
            </w:pPr>
            <w:r>
              <w:rPr>
                <w:sz w:val="20"/>
              </w:rPr>
              <w:t xml:space="preserve">2 </w:t>
            </w:r>
          </w:p>
        </w:tc>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7" w:firstLine="0"/>
              <w:jc w:val="center"/>
            </w:pPr>
            <w:r>
              <w:rPr>
                <w:sz w:val="20"/>
              </w:rPr>
              <w:t xml:space="preserve">0 </w:t>
            </w:r>
          </w:p>
        </w:tc>
        <w:tc>
          <w:tcPr>
            <w:tcW w:w="1653"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30" w:firstLine="0"/>
              <w:jc w:val="center"/>
            </w:pPr>
            <w:r>
              <w:rPr>
                <w:sz w:val="20"/>
              </w:rPr>
              <w:t xml:space="preserve">0 </w:t>
            </w:r>
          </w:p>
        </w:tc>
        <w:tc>
          <w:tcPr>
            <w:tcW w:w="992"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7" w:firstLine="0"/>
              <w:jc w:val="center"/>
            </w:pPr>
            <w:r>
              <w:rPr>
                <w:sz w:val="20"/>
              </w:rPr>
              <w:t xml:space="preserve">4 </w:t>
            </w:r>
          </w:p>
        </w:tc>
      </w:tr>
      <w:tr w:rsidR="00BB52D7">
        <w:trPr>
          <w:trHeight w:val="928"/>
        </w:trPr>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28" w:firstLine="0"/>
              <w:jc w:val="center"/>
            </w:pPr>
            <w:r>
              <w:rPr>
                <w:sz w:val="20"/>
              </w:rPr>
              <w:t xml:space="preserve">RBC </w:t>
            </w:r>
          </w:p>
          <w:p w:rsidR="00BB52D7" w:rsidRDefault="00E33AE6">
            <w:pPr>
              <w:spacing w:after="0" w:line="259" w:lineRule="auto"/>
              <w:ind w:left="26" w:firstLine="0"/>
              <w:jc w:val="left"/>
            </w:pPr>
            <w:r>
              <w:rPr>
                <w:sz w:val="20"/>
              </w:rPr>
              <w:t xml:space="preserve">Investor &amp; </w:t>
            </w:r>
          </w:p>
          <w:p w:rsidR="00BB52D7" w:rsidRDefault="00E33AE6">
            <w:pPr>
              <w:spacing w:after="0" w:line="259" w:lineRule="auto"/>
              <w:ind w:left="0" w:right="28" w:firstLine="0"/>
              <w:jc w:val="center"/>
            </w:pPr>
            <w:r>
              <w:rPr>
                <w:sz w:val="20"/>
              </w:rPr>
              <w:t xml:space="preserve">Treasury </w:t>
            </w:r>
          </w:p>
          <w:p w:rsidR="00BB52D7" w:rsidRDefault="00E33AE6">
            <w:pPr>
              <w:spacing w:after="0" w:line="259" w:lineRule="auto"/>
              <w:ind w:left="0" w:right="29" w:firstLine="0"/>
              <w:jc w:val="center"/>
            </w:pPr>
            <w:r>
              <w:rPr>
                <w:sz w:val="20"/>
              </w:rPr>
              <w:t xml:space="preserve">Services </w:t>
            </w:r>
          </w:p>
        </w:tc>
        <w:tc>
          <w:tcPr>
            <w:tcW w:w="11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8" w:firstLine="0"/>
              <w:jc w:val="center"/>
            </w:pPr>
            <w:r>
              <w:rPr>
                <w:sz w:val="20"/>
              </w:rPr>
              <w:t xml:space="preserve">2 </w:t>
            </w:r>
          </w:p>
        </w:tc>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9" w:firstLine="0"/>
              <w:jc w:val="center"/>
            </w:pPr>
            <w:r>
              <w:rPr>
                <w:sz w:val="20"/>
              </w:rPr>
              <w:t xml:space="preserve">0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9" w:firstLine="0"/>
              <w:jc w:val="center"/>
            </w:pPr>
            <w:r>
              <w:rPr>
                <w:sz w:val="20"/>
              </w:rPr>
              <w:t xml:space="preserve">1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7" w:firstLine="0"/>
              <w:jc w:val="center"/>
            </w:pPr>
            <w:r>
              <w:rPr>
                <w:sz w:val="20"/>
              </w:rPr>
              <w:t xml:space="preserve">0 </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30" w:firstLine="0"/>
              <w:jc w:val="center"/>
            </w:pPr>
            <w:r>
              <w:rPr>
                <w:sz w:val="20"/>
              </w:rPr>
              <w:t xml:space="preserve">0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7" w:firstLine="0"/>
              <w:jc w:val="center"/>
            </w:pPr>
            <w:r>
              <w:rPr>
                <w:sz w:val="20"/>
              </w:rPr>
              <w:t xml:space="preserve">3 </w:t>
            </w:r>
          </w:p>
        </w:tc>
      </w:tr>
      <w:tr w:rsidR="00BB52D7">
        <w:trPr>
          <w:trHeight w:val="313"/>
        </w:trPr>
        <w:tc>
          <w:tcPr>
            <w:tcW w:w="113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9" w:firstLine="0"/>
              <w:jc w:val="center"/>
            </w:pPr>
            <w:r>
              <w:rPr>
                <w:sz w:val="20"/>
              </w:rPr>
              <w:t xml:space="preserve">SGSS </w:t>
            </w:r>
          </w:p>
        </w:tc>
        <w:tc>
          <w:tcPr>
            <w:tcW w:w="115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8" w:firstLine="0"/>
              <w:jc w:val="center"/>
            </w:pPr>
            <w:r>
              <w:rPr>
                <w:sz w:val="20"/>
              </w:rPr>
              <w:t xml:space="preserve">18 </w:t>
            </w:r>
          </w:p>
        </w:tc>
        <w:tc>
          <w:tcPr>
            <w:tcW w:w="85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9" w:firstLine="0"/>
              <w:jc w:val="center"/>
            </w:pPr>
            <w:r>
              <w:rPr>
                <w:sz w:val="20"/>
              </w:rPr>
              <w:t xml:space="preserve">1 </w:t>
            </w:r>
          </w:p>
        </w:tc>
        <w:tc>
          <w:tcPr>
            <w:tcW w:w="127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9"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7" w:firstLine="0"/>
              <w:jc w:val="center"/>
            </w:pPr>
            <w:r>
              <w:rPr>
                <w:sz w:val="20"/>
              </w:rPr>
              <w:t xml:space="preserve">3 </w:t>
            </w:r>
          </w:p>
        </w:tc>
        <w:tc>
          <w:tcPr>
            <w:tcW w:w="165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30"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27" w:firstLine="0"/>
              <w:jc w:val="center"/>
            </w:pPr>
            <w:r>
              <w:rPr>
                <w:sz w:val="20"/>
              </w:rPr>
              <w:t xml:space="preserve">22 </w:t>
            </w:r>
          </w:p>
        </w:tc>
      </w:tr>
      <w:tr w:rsidR="00BB52D7">
        <w:trPr>
          <w:trHeight w:val="468"/>
        </w:trPr>
        <w:tc>
          <w:tcPr>
            <w:tcW w:w="1132"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5" w:right="2" w:firstLine="0"/>
              <w:jc w:val="center"/>
            </w:pPr>
            <w:r>
              <w:rPr>
                <w:sz w:val="20"/>
              </w:rPr>
              <w:t xml:space="preserve">State Street </w:t>
            </w:r>
          </w:p>
        </w:tc>
        <w:tc>
          <w:tcPr>
            <w:tcW w:w="11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8" w:firstLine="0"/>
              <w:jc w:val="center"/>
            </w:pPr>
            <w:r>
              <w:rPr>
                <w:sz w:val="20"/>
              </w:rPr>
              <w:t xml:space="preserve">N/D </w:t>
            </w:r>
          </w:p>
        </w:tc>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9" w:firstLine="0"/>
              <w:jc w:val="center"/>
            </w:pPr>
            <w:r>
              <w:rPr>
                <w:sz w:val="20"/>
              </w:rPr>
              <w:t xml:space="preserve">N/D </w:t>
            </w:r>
          </w:p>
        </w:tc>
        <w:tc>
          <w:tcPr>
            <w:tcW w:w="127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9"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7" w:firstLine="0"/>
              <w:jc w:val="center"/>
            </w:pPr>
            <w:r>
              <w:rPr>
                <w:sz w:val="20"/>
              </w:rPr>
              <w:t xml:space="preserve">N/D </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30" w:firstLine="0"/>
              <w:jc w:val="center"/>
            </w:pPr>
            <w:r>
              <w:rPr>
                <w:sz w:val="20"/>
              </w:rPr>
              <w:t xml:space="preserve">N/D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27" w:firstLine="0"/>
              <w:jc w:val="center"/>
            </w:pPr>
            <w:r>
              <w:rPr>
                <w:sz w:val="20"/>
              </w:rPr>
              <w:t xml:space="preserve">N/D </w:t>
            </w:r>
          </w:p>
        </w:tc>
      </w:tr>
    </w:tbl>
    <w:p w:rsidR="00BB52D7" w:rsidRDefault="00E33AE6">
      <w:pPr>
        <w:spacing w:after="254" w:line="264" w:lineRule="auto"/>
        <w:ind w:left="10" w:right="9"/>
        <w:jc w:val="left"/>
      </w:pPr>
      <w:r>
        <w:rPr>
          <w:i/>
          <w:sz w:val="20"/>
        </w:rPr>
        <w:t xml:space="preserve">Source: Global custody survey – September 2014 </w:t>
      </w:r>
    </w:p>
    <w:p w:rsidR="00BB52D7" w:rsidRDefault="00E33AE6">
      <w:pPr>
        <w:pStyle w:val="Heading6"/>
        <w:ind w:left="10" w:right="488"/>
      </w:pPr>
      <w:r>
        <w:t xml:space="preserve">Table 9 - </w:t>
      </w:r>
      <w:r>
        <w:t>Overall markets (UCITS &amp; AIFs) where global custodians offer custody via subcustodians</w:t>
      </w:r>
      <w:r>
        <w:rPr>
          <w:u w:val="none"/>
        </w:rPr>
        <w:t xml:space="preserve"> </w:t>
      </w:r>
    </w:p>
    <w:tbl>
      <w:tblPr>
        <w:tblStyle w:val="TableGrid"/>
        <w:tblW w:w="8774" w:type="dxa"/>
        <w:tblInd w:w="-16" w:type="dxa"/>
        <w:tblCellMar>
          <w:top w:w="49" w:type="dxa"/>
          <w:left w:w="108" w:type="dxa"/>
          <w:bottom w:w="0" w:type="dxa"/>
          <w:right w:w="59" w:type="dxa"/>
        </w:tblCellMar>
        <w:tblLook w:val="04A0" w:firstRow="1" w:lastRow="0" w:firstColumn="1" w:lastColumn="0" w:noHBand="0" w:noVBand="1"/>
      </w:tblPr>
      <w:tblGrid>
        <w:gridCol w:w="1133"/>
        <w:gridCol w:w="1480"/>
        <w:gridCol w:w="1440"/>
        <w:gridCol w:w="1560"/>
        <w:gridCol w:w="960"/>
        <w:gridCol w:w="1240"/>
        <w:gridCol w:w="961"/>
      </w:tblGrid>
      <w:tr w:rsidR="00BB52D7">
        <w:trPr>
          <w:trHeight w:val="557"/>
        </w:trPr>
        <w:tc>
          <w:tcPr>
            <w:tcW w:w="1133" w:type="dxa"/>
            <w:tcBorders>
              <w:top w:val="nil"/>
              <w:left w:val="nil"/>
              <w:bottom w:val="nil"/>
              <w:right w:val="nil"/>
            </w:tcBorders>
            <w:shd w:val="clear" w:color="auto" w:fill="000000"/>
            <w:vAlign w:val="center"/>
          </w:tcPr>
          <w:p w:rsidR="00BB52D7" w:rsidRDefault="00E33AE6">
            <w:pPr>
              <w:spacing w:after="0" w:line="259" w:lineRule="auto"/>
              <w:ind w:left="0" w:firstLine="0"/>
              <w:jc w:val="left"/>
            </w:pPr>
            <w:r>
              <w:rPr>
                <w:rFonts w:ascii="Calibri" w:eastAsia="Calibri" w:hAnsi="Calibri" w:cs="Calibri"/>
                <w:b/>
                <w:color w:val="FFFFFF"/>
                <w:sz w:val="22"/>
              </w:rPr>
              <w:t xml:space="preserve">Custodian </w:t>
            </w:r>
          </w:p>
        </w:tc>
        <w:tc>
          <w:tcPr>
            <w:tcW w:w="1480" w:type="dxa"/>
            <w:tcBorders>
              <w:top w:val="nil"/>
              <w:left w:val="nil"/>
              <w:bottom w:val="nil"/>
              <w:right w:val="nil"/>
            </w:tcBorders>
            <w:shd w:val="clear" w:color="auto" w:fill="000000"/>
            <w:vAlign w:val="center"/>
          </w:tcPr>
          <w:p w:rsidR="00BB52D7" w:rsidRDefault="00E33AE6">
            <w:pPr>
              <w:spacing w:after="0" w:line="259" w:lineRule="auto"/>
              <w:ind w:left="0" w:right="53" w:firstLine="0"/>
              <w:jc w:val="center"/>
            </w:pPr>
            <w:r>
              <w:rPr>
                <w:rFonts w:ascii="Calibri" w:eastAsia="Calibri" w:hAnsi="Calibri" w:cs="Calibri"/>
                <w:b/>
                <w:color w:val="FFFFFF"/>
                <w:sz w:val="22"/>
              </w:rPr>
              <w:t xml:space="preserve">Europe </w:t>
            </w:r>
          </w:p>
        </w:tc>
        <w:tc>
          <w:tcPr>
            <w:tcW w:w="1440" w:type="dxa"/>
            <w:tcBorders>
              <w:top w:val="nil"/>
              <w:left w:val="nil"/>
              <w:bottom w:val="nil"/>
              <w:right w:val="nil"/>
            </w:tcBorders>
            <w:shd w:val="clear" w:color="auto" w:fill="000000"/>
            <w:vAlign w:val="center"/>
          </w:tcPr>
          <w:p w:rsidR="00BB52D7" w:rsidRDefault="00E33AE6">
            <w:pPr>
              <w:spacing w:after="0" w:line="259" w:lineRule="auto"/>
              <w:ind w:left="0" w:right="50" w:firstLine="0"/>
              <w:jc w:val="center"/>
            </w:pPr>
            <w:r>
              <w:rPr>
                <w:rFonts w:ascii="Calibri" w:eastAsia="Calibri" w:hAnsi="Calibri" w:cs="Calibri"/>
                <w:b/>
                <w:color w:val="FFFFFF"/>
                <w:sz w:val="22"/>
              </w:rPr>
              <w:t xml:space="preserve">Asia </w:t>
            </w:r>
          </w:p>
        </w:tc>
        <w:tc>
          <w:tcPr>
            <w:tcW w:w="1560" w:type="dxa"/>
            <w:tcBorders>
              <w:top w:val="nil"/>
              <w:left w:val="nil"/>
              <w:bottom w:val="nil"/>
              <w:right w:val="nil"/>
            </w:tcBorders>
            <w:shd w:val="clear" w:color="auto" w:fill="000000"/>
            <w:vAlign w:val="center"/>
          </w:tcPr>
          <w:p w:rsidR="00BB52D7" w:rsidRDefault="00E33AE6">
            <w:pPr>
              <w:spacing w:after="0" w:line="259" w:lineRule="auto"/>
              <w:ind w:left="0" w:right="51" w:firstLine="0"/>
              <w:jc w:val="center"/>
            </w:pPr>
            <w:r>
              <w:rPr>
                <w:rFonts w:ascii="Calibri" w:eastAsia="Calibri" w:hAnsi="Calibri" w:cs="Calibri"/>
                <w:b/>
                <w:color w:val="FFFFFF"/>
                <w:sz w:val="22"/>
              </w:rPr>
              <w:t xml:space="preserve">Americas </w:t>
            </w:r>
          </w:p>
        </w:tc>
        <w:tc>
          <w:tcPr>
            <w:tcW w:w="960" w:type="dxa"/>
            <w:tcBorders>
              <w:top w:val="nil"/>
              <w:left w:val="nil"/>
              <w:bottom w:val="nil"/>
              <w:right w:val="nil"/>
            </w:tcBorders>
            <w:shd w:val="clear" w:color="auto" w:fill="000000"/>
            <w:vAlign w:val="center"/>
          </w:tcPr>
          <w:p w:rsidR="00BB52D7" w:rsidRDefault="00E33AE6">
            <w:pPr>
              <w:spacing w:after="0" w:line="259" w:lineRule="auto"/>
              <w:ind w:left="0" w:right="49" w:firstLine="0"/>
              <w:jc w:val="center"/>
            </w:pPr>
            <w:r>
              <w:rPr>
                <w:rFonts w:ascii="Calibri" w:eastAsia="Calibri" w:hAnsi="Calibri" w:cs="Calibri"/>
                <w:b/>
                <w:color w:val="FFFFFF"/>
                <w:sz w:val="22"/>
              </w:rPr>
              <w:t xml:space="preserve">Africa </w:t>
            </w:r>
          </w:p>
        </w:tc>
        <w:tc>
          <w:tcPr>
            <w:tcW w:w="1240" w:type="dxa"/>
            <w:tcBorders>
              <w:top w:val="nil"/>
              <w:left w:val="nil"/>
              <w:bottom w:val="nil"/>
              <w:right w:val="nil"/>
            </w:tcBorders>
            <w:shd w:val="clear" w:color="auto" w:fill="000000"/>
          </w:tcPr>
          <w:p w:rsidR="00BB52D7" w:rsidRDefault="00E33AE6">
            <w:pPr>
              <w:spacing w:after="0" w:line="259" w:lineRule="auto"/>
              <w:ind w:left="0" w:firstLine="0"/>
              <w:jc w:val="center"/>
            </w:pPr>
            <w:r>
              <w:rPr>
                <w:rFonts w:ascii="Calibri" w:eastAsia="Calibri" w:hAnsi="Calibri" w:cs="Calibri"/>
                <w:b/>
                <w:color w:val="FFFFFF"/>
                <w:sz w:val="22"/>
              </w:rPr>
              <w:t xml:space="preserve">Middle East </w:t>
            </w:r>
          </w:p>
        </w:tc>
        <w:tc>
          <w:tcPr>
            <w:tcW w:w="961" w:type="dxa"/>
            <w:tcBorders>
              <w:top w:val="nil"/>
              <w:left w:val="nil"/>
              <w:bottom w:val="nil"/>
              <w:right w:val="nil"/>
            </w:tcBorders>
            <w:shd w:val="clear" w:color="auto" w:fill="000000"/>
            <w:vAlign w:val="center"/>
          </w:tcPr>
          <w:p w:rsidR="00BB52D7" w:rsidRDefault="00E33AE6">
            <w:pPr>
              <w:spacing w:after="0" w:line="259" w:lineRule="auto"/>
              <w:ind w:left="0" w:right="51" w:firstLine="0"/>
              <w:jc w:val="center"/>
            </w:pPr>
            <w:r>
              <w:rPr>
                <w:rFonts w:ascii="Calibri" w:eastAsia="Calibri" w:hAnsi="Calibri" w:cs="Calibri"/>
                <w:b/>
                <w:color w:val="FFFFFF"/>
                <w:sz w:val="22"/>
              </w:rPr>
              <w:t xml:space="preserve">Total </w:t>
            </w:r>
          </w:p>
        </w:tc>
      </w:tr>
      <w:tr w:rsidR="00BB52D7">
        <w:trPr>
          <w:trHeight w:val="679"/>
        </w:trPr>
        <w:tc>
          <w:tcPr>
            <w:tcW w:w="1133" w:type="dxa"/>
            <w:tcBorders>
              <w:top w:val="nil"/>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2" w:firstLine="0"/>
              <w:jc w:val="center"/>
            </w:pPr>
            <w:r>
              <w:rPr>
                <w:sz w:val="16"/>
              </w:rPr>
              <w:t xml:space="preserve">BNP Paribas </w:t>
            </w:r>
          </w:p>
          <w:p w:rsidR="00BB52D7" w:rsidRDefault="00E33AE6">
            <w:pPr>
              <w:spacing w:after="0" w:line="259" w:lineRule="auto"/>
              <w:ind w:left="0" w:right="49" w:firstLine="0"/>
              <w:jc w:val="center"/>
            </w:pPr>
            <w:r>
              <w:rPr>
                <w:sz w:val="16"/>
              </w:rPr>
              <w:t xml:space="preserve">Securities </w:t>
            </w:r>
          </w:p>
          <w:p w:rsidR="00BB52D7" w:rsidRDefault="00E33AE6">
            <w:pPr>
              <w:spacing w:after="0" w:line="259" w:lineRule="auto"/>
              <w:ind w:left="0" w:right="52" w:firstLine="0"/>
              <w:jc w:val="center"/>
            </w:pPr>
            <w:r>
              <w:rPr>
                <w:sz w:val="16"/>
              </w:rPr>
              <w:t xml:space="preserve">Services </w:t>
            </w:r>
          </w:p>
        </w:tc>
        <w:tc>
          <w:tcPr>
            <w:tcW w:w="1480"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19 </w:t>
            </w:r>
          </w:p>
        </w:tc>
        <w:tc>
          <w:tcPr>
            <w:tcW w:w="1440"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15 </w:t>
            </w:r>
          </w:p>
        </w:tc>
        <w:tc>
          <w:tcPr>
            <w:tcW w:w="1560"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11 </w:t>
            </w:r>
          </w:p>
        </w:tc>
        <w:tc>
          <w:tcPr>
            <w:tcW w:w="960"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19 </w:t>
            </w:r>
          </w:p>
        </w:tc>
        <w:tc>
          <w:tcPr>
            <w:tcW w:w="1240"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48" w:firstLine="0"/>
              <w:jc w:val="center"/>
            </w:pPr>
            <w:r>
              <w:rPr>
                <w:sz w:val="16"/>
              </w:rPr>
              <w:t xml:space="preserve">11 </w:t>
            </w:r>
          </w:p>
        </w:tc>
        <w:tc>
          <w:tcPr>
            <w:tcW w:w="961" w:type="dxa"/>
            <w:tcBorders>
              <w:top w:val="nil"/>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75 </w:t>
            </w:r>
          </w:p>
        </w:tc>
      </w:tr>
      <w:tr w:rsidR="00BB52D7">
        <w:trPr>
          <w:trHeight w:val="312"/>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37" w:firstLine="0"/>
              <w:jc w:val="left"/>
            </w:pPr>
            <w:r>
              <w:rPr>
                <w:sz w:val="16"/>
              </w:rPr>
              <w:t xml:space="preserve">BNY Mellon </w:t>
            </w:r>
          </w:p>
        </w:tc>
        <w:tc>
          <w:tcPr>
            <w:tcW w:w="148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0" w:firstLine="0"/>
              <w:jc w:val="center"/>
            </w:pPr>
            <w:r>
              <w:rPr>
                <w:sz w:val="16"/>
              </w:rPr>
              <w:t xml:space="preserve">30 </w:t>
            </w:r>
          </w:p>
        </w:tc>
        <w:tc>
          <w:tcPr>
            <w:tcW w:w="144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0" w:firstLine="0"/>
              <w:jc w:val="center"/>
            </w:pPr>
            <w:r>
              <w:rPr>
                <w:sz w:val="16"/>
              </w:rPr>
              <w:t xml:space="preserve">20 </w:t>
            </w:r>
          </w:p>
        </w:tc>
        <w:tc>
          <w:tcPr>
            <w:tcW w:w="15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0" w:firstLine="0"/>
              <w:jc w:val="center"/>
            </w:pPr>
            <w:r>
              <w:rPr>
                <w:sz w:val="16"/>
              </w:rPr>
              <w:t xml:space="preserve">13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0" w:firstLine="0"/>
              <w:jc w:val="center"/>
            </w:pPr>
            <w:r>
              <w:rPr>
                <w:sz w:val="16"/>
              </w:rPr>
              <w:t xml:space="preserve">24 </w:t>
            </w:r>
          </w:p>
        </w:tc>
        <w:tc>
          <w:tcPr>
            <w:tcW w:w="124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9" w:firstLine="0"/>
              <w:jc w:val="center"/>
            </w:pPr>
            <w:r>
              <w:rPr>
                <w:sz w:val="16"/>
              </w:rPr>
              <w:t xml:space="preserve">8 </w:t>
            </w:r>
          </w:p>
        </w:tc>
        <w:tc>
          <w:tcPr>
            <w:tcW w:w="96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0" w:firstLine="0"/>
              <w:jc w:val="center"/>
            </w:pPr>
            <w:r>
              <w:rPr>
                <w:sz w:val="16"/>
              </w:rPr>
              <w:t xml:space="preserve">95 </w:t>
            </w:r>
          </w:p>
        </w:tc>
      </w:tr>
      <w:tr w:rsidR="00BB52D7">
        <w:trPr>
          <w:trHeight w:val="307"/>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1" w:firstLine="0"/>
              <w:jc w:val="center"/>
            </w:pPr>
            <w:r>
              <w:rPr>
                <w:sz w:val="16"/>
              </w:rPr>
              <w:lastRenderedPageBreak/>
              <w:t xml:space="preserve">Citi </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3" w:firstLine="0"/>
              <w:jc w:val="center"/>
            </w:pPr>
            <w:r>
              <w:rPr>
                <w:sz w:val="16"/>
              </w:rPr>
              <w:t xml:space="preserve">N/D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1" w:firstLine="0"/>
              <w:jc w:val="center"/>
            </w:pPr>
            <w:r>
              <w:rPr>
                <w:sz w:val="16"/>
              </w:rPr>
              <w:t xml:space="preserve">N/D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0" w:firstLine="0"/>
              <w:jc w:val="center"/>
            </w:pPr>
            <w:r>
              <w:rPr>
                <w:sz w:val="16"/>
              </w:rPr>
              <w:t xml:space="preserve">N/D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0" w:firstLine="0"/>
              <w:jc w:val="center"/>
            </w:pPr>
            <w:r>
              <w:rPr>
                <w:sz w:val="16"/>
              </w:rPr>
              <w:t xml:space="preserve">N/D </w:t>
            </w:r>
          </w:p>
        </w:tc>
        <w:tc>
          <w:tcPr>
            <w:tcW w:w="124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1" w:firstLine="0"/>
              <w:jc w:val="center"/>
            </w:pPr>
            <w:r>
              <w:rPr>
                <w:sz w:val="16"/>
              </w:rPr>
              <w:t xml:space="preserve">N/D </w:t>
            </w:r>
          </w:p>
        </w:tc>
        <w:tc>
          <w:tcPr>
            <w:tcW w:w="96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0" w:firstLine="0"/>
              <w:jc w:val="center"/>
            </w:pPr>
            <w:r>
              <w:rPr>
                <w:sz w:val="16"/>
              </w:rPr>
              <w:t xml:space="preserve">33 </w:t>
            </w:r>
          </w:p>
        </w:tc>
      </w:tr>
      <w:tr w:rsidR="00BB52D7">
        <w:trPr>
          <w:trHeight w:val="688"/>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1" w:firstLine="0"/>
              <w:jc w:val="center"/>
            </w:pPr>
            <w:r>
              <w:rPr>
                <w:sz w:val="16"/>
              </w:rPr>
              <w:t xml:space="preserve">HSBC </w:t>
            </w:r>
          </w:p>
          <w:p w:rsidR="00BB52D7" w:rsidRDefault="00E33AE6">
            <w:pPr>
              <w:spacing w:after="0" w:line="259" w:lineRule="auto"/>
              <w:ind w:left="0" w:right="49" w:firstLine="0"/>
              <w:jc w:val="center"/>
            </w:pPr>
            <w:r>
              <w:rPr>
                <w:sz w:val="16"/>
              </w:rPr>
              <w:t xml:space="preserve">Securities </w:t>
            </w:r>
          </w:p>
          <w:p w:rsidR="00BB52D7" w:rsidRDefault="00E33AE6">
            <w:pPr>
              <w:spacing w:after="0" w:line="259" w:lineRule="auto"/>
              <w:ind w:left="0" w:right="52" w:firstLine="0"/>
              <w:jc w:val="center"/>
            </w:pPr>
            <w:r>
              <w:rPr>
                <w:sz w:val="16"/>
              </w:rPr>
              <w:t xml:space="preserve">Services </w:t>
            </w:r>
          </w:p>
        </w:tc>
        <w:tc>
          <w:tcPr>
            <w:tcW w:w="148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0" w:firstLine="0"/>
              <w:jc w:val="center"/>
            </w:pPr>
            <w:r>
              <w:rPr>
                <w:sz w:val="16"/>
              </w:rPr>
              <w:t xml:space="preserve">29 </w:t>
            </w:r>
          </w:p>
        </w:tc>
        <w:tc>
          <w:tcPr>
            <w:tcW w:w="144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1" w:firstLine="0"/>
              <w:jc w:val="center"/>
            </w:pPr>
            <w:r>
              <w:rPr>
                <w:sz w:val="16"/>
              </w:rPr>
              <w:t xml:space="preserve">1 </w:t>
            </w:r>
          </w:p>
        </w:tc>
        <w:tc>
          <w:tcPr>
            <w:tcW w:w="15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1" w:firstLine="0"/>
              <w:jc w:val="center"/>
            </w:pPr>
            <w:r>
              <w:rPr>
                <w:sz w:val="16"/>
              </w:rPr>
              <w:t xml:space="preserve">5 </w:t>
            </w:r>
          </w:p>
        </w:tc>
        <w:tc>
          <w:tcPr>
            <w:tcW w:w="9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0" w:firstLine="0"/>
              <w:jc w:val="center"/>
            </w:pPr>
            <w:r>
              <w:rPr>
                <w:sz w:val="16"/>
              </w:rPr>
              <w:t xml:space="preserve">13 </w:t>
            </w:r>
          </w:p>
        </w:tc>
        <w:tc>
          <w:tcPr>
            <w:tcW w:w="124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49" w:firstLine="0"/>
              <w:jc w:val="center"/>
            </w:pPr>
            <w:r>
              <w:rPr>
                <w:sz w:val="16"/>
              </w:rPr>
              <w:t xml:space="preserve">2 </w:t>
            </w:r>
          </w:p>
        </w:tc>
        <w:tc>
          <w:tcPr>
            <w:tcW w:w="96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0" w:firstLine="0"/>
              <w:jc w:val="center"/>
            </w:pPr>
            <w:r>
              <w:rPr>
                <w:sz w:val="16"/>
              </w:rPr>
              <w:t xml:space="preserve">50 </w:t>
            </w:r>
          </w:p>
        </w:tc>
      </w:tr>
      <w:tr w:rsidR="00BB52D7">
        <w:trPr>
          <w:trHeight w:val="457"/>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1" w:right="11" w:firstLine="0"/>
              <w:jc w:val="center"/>
            </w:pPr>
            <w:r>
              <w:rPr>
                <w:sz w:val="16"/>
              </w:rPr>
              <w:t xml:space="preserve">Northern Trust </w:t>
            </w:r>
          </w:p>
        </w:tc>
        <w:tc>
          <w:tcPr>
            <w:tcW w:w="148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38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16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10 </w:t>
            </w:r>
          </w:p>
        </w:tc>
        <w:tc>
          <w:tcPr>
            <w:tcW w:w="96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50" w:firstLine="0"/>
              <w:jc w:val="center"/>
            </w:pPr>
            <w:r>
              <w:rPr>
                <w:sz w:val="16"/>
              </w:rPr>
              <w:t xml:space="preserve">25 </w:t>
            </w:r>
          </w:p>
        </w:tc>
        <w:tc>
          <w:tcPr>
            <w:tcW w:w="12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48" w:firstLine="0"/>
              <w:jc w:val="center"/>
            </w:pPr>
            <w:r>
              <w:rPr>
                <w:sz w:val="16"/>
              </w:rPr>
              <w:t xml:space="preserve">12 </w:t>
            </w:r>
          </w:p>
        </w:tc>
        <w:tc>
          <w:tcPr>
            <w:tcW w:w="9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B52D7" w:rsidRDefault="00E33AE6">
            <w:pPr>
              <w:spacing w:after="0" w:line="259" w:lineRule="auto"/>
              <w:ind w:left="0" w:right="49" w:firstLine="0"/>
              <w:jc w:val="center"/>
            </w:pPr>
            <w:r>
              <w:rPr>
                <w:sz w:val="16"/>
              </w:rPr>
              <w:t xml:space="preserve">101 </w:t>
            </w:r>
          </w:p>
        </w:tc>
      </w:tr>
      <w:tr w:rsidR="00BB52D7">
        <w:trPr>
          <w:trHeight w:val="688"/>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rPr>
                <w:sz w:val="16"/>
              </w:rPr>
              <w:t xml:space="preserve">RBC Investor &amp; Treasury Services </w:t>
            </w:r>
          </w:p>
        </w:tc>
        <w:tc>
          <w:tcPr>
            <w:tcW w:w="148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0" w:firstLine="0"/>
              <w:jc w:val="center"/>
            </w:pPr>
            <w:r>
              <w:rPr>
                <w:sz w:val="16"/>
              </w:rPr>
              <w:t xml:space="preserve">37 </w:t>
            </w:r>
          </w:p>
        </w:tc>
        <w:tc>
          <w:tcPr>
            <w:tcW w:w="144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0" w:firstLine="0"/>
              <w:jc w:val="center"/>
            </w:pPr>
            <w:r>
              <w:rPr>
                <w:sz w:val="16"/>
              </w:rPr>
              <w:t xml:space="preserve">18 </w:t>
            </w:r>
          </w:p>
        </w:tc>
        <w:tc>
          <w:tcPr>
            <w:tcW w:w="15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1" w:firstLine="0"/>
              <w:jc w:val="center"/>
            </w:pPr>
            <w:r>
              <w:rPr>
                <w:sz w:val="16"/>
              </w:rPr>
              <w:t xml:space="preserve">9 </w:t>
            </w:r>
          </w:p>
        </w:tc>
        <w:tc>
          <w:tcPr>
            <w:tcW w:w="9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0" w:firstLine="0"/>
              <w:jc w:val="center"/>
            </w:pPr>
            <w:r>
              <w:rPr>
                <w:sz w:val="16"/>
              </w:rPr>
              <w:t xml:space="preserve">11 </w:t>
            </w:r>
          </w:p>
        </w:tc>
        <w:tc>
          <w:tcPr>
            <w:tcW w:w="124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49" w:firstLine="0"/>
              <w:jc w:val="center"/>
            </w:pPr>
            <w:r>
              <w:rPr>
                <w:sz w:val="16"/>
              </w:rPr>
              <w:t xml:space="preserve">9 </w:t>
            </w:r>
          </w:p>
        </w:tc>
        <w:tc>
          <w:tcPr>
            <w:tcW w:w="961"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50" w:firstLine="0"/>
              <w:jc w:val="center"/>
            </w:pPr>
            <w:r>
              <w:rPr>
                <w:sz w:val="16"/>
              </w:rPr>
              <w:t xml:space="preserve">84 </w:t>
            </w:r>
          </w:p>
        </w:tc>
      </w:tr>
      <w:tr w:rsidR="00BB52D7">
        <w:trPr>
          <w:trHeight w:val="308"/>
        </w:trPr>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0" w:firstLine="0"/>
              <w:jc w:val="center"/>
            </w:pPr>
            <w:r>
              <w:rPr>
                <w:sz w:val="16"/>
              </w:rPr>
              <w:t xml:space="preserve">SGSS </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0" w:firstLine="0"/>
              <w:jc w:val="center"/>
            </w:pPr>
            <w:r>
              <w:rPr>
                <w:sz w:val="16"/>
              </w:rPr>
              <w:t xml:space="preserve">17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0" w:firstLine="0"/>
              <w:jc w:val="center"/>
            </w:pPr>
            <w:r>
              <w:rPr>
                <w:sz w:val="16"/>
              </w:rPr>
              <w:t xml:space="preserve">15 </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1" w:firstLine="0"/>
              <w:jc w:val="center"/>
            </w:pPr>
            <w:r>
              <w:rPr>
                <w:sz w:val="16"/>
              </w:rPr>
              <w:t xml:space="preserve">8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1" w:firstLine="0"/>
              <w:jc w:val="center"/>
            </w:pPr>
            <w:r>
              <w:rPr>
                <w:sz w:val="16"/>
              </w:rPr>
              <w:t xml:space="preserve">6 </w:t>
            </w:r>
          </w:p>
        </w:tc>
        <w:tc>
          <w:tcPr>
            <w:tcW w:w="124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49" w:firstLine="0"/>
              <w:jc w:val="center"/>
            </w:pPr>
            <w:r>
              <w:rPr>
                <w:sz w:val="16"/>
              </w:rPr>
              <w:t xml:space="preserve">6 </w:t>
            </w:r>
          </w:p>
        </w:tc>
        <w:tc>
          <w:tcPr>
            <w:tcW w:w="961"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0" w:firstLine="0"/>
              <w:jc w:val="center"/>
            </w:pPr>
            <w:r>
              <w:rPr>
                <w:sz w:val="16"/>
              </w:rPr>
              <w:t xml:space="preserve">52 </w:t>
            </w:r>
          </w:p>
        </w:tc>
      </w:tr>
      <w:tr w:rsidR="00BB52D7">
        <w:trPr>
          <w:trHeight w:val="311"/>
        </w:trPr>
        <w:tc>
          <w:tcPr>
            <w:tcW w:w="113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1" w:firstLine="0"/>
              <w:jc w:val="center"/>
            </w:pPr>
            <w:r>
              <w:rPr>
                <w:sz w:val="16"/>
              </w:rPr>
              <w:t xml:space="preserve">State Street </w:t>
            </w:r>
          </w:p>
        </w:tc>
        <w:tc>
          <w:tcPr>
            <w:tcW w:w="148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3" w:firstLine="0"/>
              <w:jc w:val="center"/>
            </w:pPr>
            <w:r>
              <w:rPr>
                <w:sz w:val="16"/>
              </w:rPr>
              <w:t xml:space="preserve">N/D </w:t>
            </w:r>
          </w:p>
        </w:tc>
        <w:tc>
          <w:tcPr>
            <w:tcW w:w="144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1" w:firstLine="0"/>
              <w:jc w:val="center"/>
            </w:pPr>
            <w:r>
              <w:rPr>
                <w:sz w:val="16"/>
              </w:rPr>
              <w:t xml:space="preserve">N/D </w:t>
            </w:r>
          </w:p>
        </w:tc>
        <w:tc>
          <w:tcPr>
            <w:tcW w:w="15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0" w:firstLine="0"/>
              <w:jc w:val="center"/>
            </w:pPr>
            <w:r>
              <w:rPr>
                <w:sz w:val="16"/>
              </w:rPr>
              <w:t xml:space="preserve">N/D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0" w:firstLine="0"/>
              <w:jc w:val="center"/>
            </w:pPr>
            <w:r>
              <w:rPr>
                <w:sz w:val="16"/>
              </w:rPr>
              <w:t xml:space="preserve">N/D </w:t>
            </w:r>
          </w:p>
        </w:tc>
        <w:tc>
          <w:tcPr>
            <w:tcW w:w="124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1" w:firstLine="0"/>
              <w:jc w:val="center"/>
            </w:pPr>
            <w:r>
              <w:rPr>
                <w:sz w:val="16"/>
              </w:rPr>
              <w:t xml:space="preserve">N/D </w:t>
            </w:r>
          </w:p>
        </w:tc>
        <w:tc>
          <w:tcPr>
            <w:tcW w:w="96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9" w:firstLine="0"/>
              <w:jc w:val="center"/>
            </w:pPr>
            <w:r>
              <w:rPr>
                <w:sz w:val="16"/>
              </w:rPr>
              <w:t xml:space="preserve">103 </w:t>
            </w:r>
          </w:p>
        </w:tc>
      </w:tr>
    </w:tbl>
    <w:p w:rsidR="00BB52D7" w:rsidRDefault="00E33AE6">
      <w:pPr>
        <w:spacing w:after="254" w:line="264" w:lineRule="auto"/>
        <w:ind w:left="10" w:right="9"/>
        <w:jc w:val="left"/>
      </w:pPr>
      <w:r>
        <w:rPr>
          <w:i/>
          <w:sz w:val="20"/>
        </w:rPr>
        <w:t xml:space="preserve">Source: Global custody survey- September 2014 </w:t>
      </w:r>
    </w:p>
    <w:p w:rsidR="00BB52D7" w:rsidRDefault="00E33AE6">
      <w:pPr>
        <w:pStyle w:val="Heading2"/>
        <w:tabs>
          <w:tab w:val="center" w:pos="400"/>
          <w:tab w:val="center" w:pos="2794"/>
        </w:tabs>
        <w:spacing w:after="10" w:line="249" w:lineRule="auto"/>
        <w:ind w:left="0" w:right="0" w:firstLine="0"/>
      </w:pPr>
      <w:bookmarkStart w:id="29" w:name="_Toc240989"/>
      <w:r>
        <w:rPr>
          <w:rFonts w:ascii="Calibri" w:eastAsia="Calibri" w:hAnsi="Calibri" w:cs="Calibri"/>
          <w:b w:val="0"/>
          <w:i w:val="0"/>
          <w:sz w:val="22"/>
          <w:u w:val="none"/>
        </w:rPr>
        <w:tab/>
      </w:r>
      <w:r>
        <w:rPr>
          <w:b w:val="0"/>
          <w:i w:val="0"/>
          <w:u w:val="none"/>
        </w:rPr>
        <w:t>-</w:t>
      </w:r>
      <w:r>
        <w:rPr>
          <w:rFonts w:ascii="Arial" w:eastAsia="Arial" w:hAnsi="Arial" w:cs="Arial"/>
          <w:b w:val="0"/>
          <w:i w:val="0"/>
          <w:u w:val="none"/>
        </w:rPr>
        <w:t xml:space="preserve"> </w:t>
      </w:r>
      <w:r>
        <w:rPr>
          <w:rFonts w:ascii="Arial" w:eastAsia="Arial" w:hAnsi="Arial" w:cs="Arial"/>
          <w:b w:val="0"/>
          <w:i w:val="0"/>
          <w:u w:val="none"/>
        </w:rPr>
        <w:tab/>
      </w:r>
      <w:r>
        <w:rPr>
          <w:b w:val="0"/>
          <w:i w:val="0"/>
          <w:u w:val="none"/>
        </w:rPr>
        <w:t xml:space="preserve">Cost of custody in different Member States </w:t>
      </w:r>
      <w:bookmarkEnd w:id="29"/>
    </w:p>
    <w:p w:rsidR="00BB52D7" w:rsidRDefault="00E33AE6">
      <w:pPr>
        <w:spacing w:after="216" w:line="259" w:lineRule="auto"/>
        <w:ind w:left="0" w:firstLine="0"/>
        <w:jc w:val="left"/>
      </w:pPr>
      <w:r>
        <w:t xml:space="preserve"> </w:t>
      </w:r>
    </w:p>
    <w:p w:rsidR="00BB52D7" w:rsidRDefault="00E33AE6">
      <w:pPr>
        <w:ind w:left="10"/>
      </w:pPr>
      <w:r>
        <w:t>Spreads in depositary rates (especially the spreads between the minimum and maximum rates) between Member States are often considerable</w:t>
      </w:r>
      <w:r>
        <w:rPr>
          <w:rFonts w:ascii="Calibri" w:eastAsia="Calibri" w:hAnsi="Calibri" w:cs="Calibri"/>
          <w:b/>
        </w:rPr>
        <w:t xml:space="preserve">.  </w:t>
      </w:r>
    </w:p>
    <w:p w:rsidR="00BB52D7" w:rsidRDefault="00E33AE6">
      <w:pPr>
        <w:ind w:left="10" w:right="568"/>
      </w:pPr>
      <w:r>
        <w:t>In an effort to shed</w:t>
      </w:r>
      <w:r>
        <w:t xml:space="preserve"> some light into the depositary fee structures, the Directorate General for the Internal Market and Services, in 2006, commissioned a study on cost structures that prevail in the asset management sector. </w:t>
      </w:r>
    </w:p>
    <w:p w:rsidR="00BB52D7" w:rsidRDefault="00E33AE6">
      <w:pPr>
        <w:spacing w:after="267"/>
        <w:ind w:left="10" w:right="568"/>
      </w:pPr>
      <w:r>
        <w:t>The cost of custody services depends on how these s</w:t>
      </w:r>
      <w:r>
        <w:t>ervices are remunerated. Typically, their payment schedule is set out in a ‘rate-card’ negotiated with the fund manager which includes a holding fee based on the value of the assets being ‘held’ in custody, as well as a transaction fee. Additional elements</w:t>
      </w:r>
      <w:r>
        <w:t xml:space="preserve"> affecting the cost of such services are the categories of the assets held by and the size of the fund. Research demonstrates that costs are highest for small funds that specialize in equity, followed by those with a focus in bonds. Custody costs are lowes</w:t>
      </w:r>
      <w:r>
        <w:t xml:space="preserve">t for money market funds.  </w:t>
      </w:r>
    </w:p>
    <w:p w:rsidR="00BB52D7" w:rsidRDefault="00E33AE6">
      <w:pPr>
        <w:ind w:left="10" w:right="569"/>
      </w:pPr>
      <w:r>
        <w:t xml:space="preserve">The costs all tend to converge once funds reach a ‘critical’ size (i,e, &gt; €100-150 million of assets hold in custody), suggesting that economies of scale maybe reaped above certain thresholds.  </w:t>
      </w:r>
    </w:p>
    <w:p w:rsidR="00BB52D7" w:rsidRDefault="00E33AE6">
      <w:pPr>
        <w:ind w:left="10" w:right="566"/>
      </w:pPr>
      <w:r>
        <w:t>A regression analysis revealed that there are sizeable differences across countries on the costs of custody, even after accounting for fund size. For example, compared to Belgium, custody fees are lower in France, the UK, and Sweden (although the coefficie</w:t>
      </w:r>
      <w:r>
        <w:t xml:space="preserve">nt for Sweden is not significant) and higher in Germany, Spain and Italy,  </w:t>
      </w:r>
    </w:p>
    <w:p w:rsidR="00BB52D7" w:rsidRDefault="00E33AE6">
      <w:pPr>
        <w:ind w:left="10" w:right="571"/>
      </w:pPr>
      <w:r>
        <w:t xml:space="preserve">These differences translate into significant differentials in overall average costs (in terms of basis points) paid by funds for </w:t>
      </w:r>
      <w:r>
        <w:rPr>
          <w:u w:val="single" w:color="000000"/>
        </w:rPr>
        <w:t>custody services</w:t>
      </w:r>
      <w:r>
        <w:t xml:space="preserve"> across relevant sample of EU count</w:t>
      </w:r>
      <w:r>
        <w:t xml:space="preserve">ries as depicted by the graph below. </w:t>
      </w:r>
    </w:p>
    <w:p w:rsidR="00BB52D7" w:rsidRDefault="00E33AE6">
      <w:pPr>
        <w:pStyle w:val="Heading6"/>
        <w:spacing w:after="220"/>
        <w:ind w:left="10" w:right="488"/>
      </w:pPr>
      <w:r>
        <w:lastRenderedPageBreak/>
        <w:t>Chart 1 – Overall average costs paid by funds for custody services across relevant sample of</w:t>
      </w:r>
      <w:r>
        <w:rPr>
          <w:u w:val="none"/>
        </w:rPr>
        <w:t xml:space="preserve"> </w:t>
      </w:r>
      <w:r>
        <w:t>EU countries</w:t>
      </w:r>
      <w:r>
        <w:rPr>
          <w:u w:val="none"/>
        </w:rPr>
        <w:t xml:space="preserve"> </w:t>
      </w:r>
    </w:p>
    <w:p w:rsidR="00BB52D7" w:rsidRDefault="00E33AE6">
      <w:pPr>
        <w:spacing w:after="123" w:line="259" w:lineRule="auto"/>
        <w:ind w:left="0" w:right="3202" w:firstLine="0"/>
        <w:jc w:val="center"/>
      </w:pPr>
      <w:r>
        <w:rPr>
          <w:noProof/>
        </w:rPr>
        <w:drawing>
          <wp:inline distT="0" distB="0" distL="0" distR="0">
            <wp:extent cx="4048760" cy="2400300"/>
            <wp:effectExtent l="0" t="0" r="0" b="0"/>
            <wp:docPr id="30832" name="Picture 30832"/>
            <wp:cNvGraphicFramePr/>
            <a:graphic xmlns:a="http://schemas.openxmlformats.org/drawingml/2006/main">
              <a:graphicData uri="http://schemas.openxmlformats.org/drawingml/2006/picture">
                <pic:pic xmlns:pic="http://schemas.openxmlformats.org/drawingml/2006/picture">
                  <pic:nvPicPr>
                    <pic:cNvPr id="30832" name="Picture 30832"/>
                    <pic:cNvPicPr/>
                  </pic:nvPicPr>
                  <pic:blipFill>
                    <a:blip r:embed="rId30"/>
                    <a:stretch>
                      <a:fillRect/>
                    </a:stretch>
                  </pic:blipFill>
                  <pic:spPr>
                    <a:xfrm>
                      <a:off x="0" y="0"/>
                      <a:ext cx="4048760" cy="2400300"/>
                    </a:xfrm>
                    <a:prstGeom prst="rect">
                      <a:avLst/>
                    </a:prstGeom>
                  </pic:spPr>
                </pic:pic>
              </a:graphicData>
            </a:graphic>
          </wp:inline>
        </w:drawing>
      </w:r>
      <w:r>
        <w:t xml:space="preserve"> </w:t>
      </w:r>
    </w:p>
    <w:p w:rsidR="00BB52D7" w:rsidRDefault="00E33AE6">
      <w:pPr>
        <w:spacing w:after="9" w:line="264" w:lineRule="auto"/>
        <w:ind w:left="10" w:right="9"/>
        <w:jc w:val="left"/>
      </w:pPr>
      <w:r>
        <w:rPr>
          <w:sz w:val="20"/>
        </w:rPr>
        <w:t xml:space="preserve">Source: </w:t>
      </w:r>
      <w:r>
        <w:rPr>
          <w:i/>
          <w:sz w:val="20"/>
        </w:rPr>
        <w:t>Potential cost savings in a fully integrated European investment fund market</w:t>
      </w:r>
      <w:r>
        <w:rPr>
          <w:sz w:val="20"/>
        </w:rPr>
        <w:t xml:space="preserve">, CRA International </w:t>
      </w:r>
    </w:p>
    <w:p w:rsidR="00BB52D7" w:rsidRDefault="00E33AE6">
      <w:pPr>
        <w:spacing w:after="3" w:line="259" w:lineRule="auto"/>
        <w:ind w:left="-5"/>
        <w:jc w:val="left"/>
      </w:pPr>
      <w:r>
        <w:rPr>
          <w:sz w:val="20"/>
        </w:rPr>
        <w:t>(Se</w:t>
      </w:r>
      <w:r>
        <w:rPr>
          <w:sz w:val="20"/>
        </w:rPr>
        <w:t>ptember 2006),</w:t>
      </w:r>
      <w:r>
        <w:t xml:space="preserve"> </w:t>
      </w:r>
    </w:p>
    <w:p w:rsidR="00BB52D7" w:rsidRDefault="00E33AE6">
      <w:pPr>
        <w:ind w:left="10" w:right="567"/>
      </w:pPr>
      <w:r>
        <w:t xml:space="preserve">The above trend of pricing heterogeneity in cost of custody between Member States as could be also observed in the overall costs of the </w:t>
      </w:r>
      <w:r>
        <w:rPr>
          <w:u w:val="single" w:color="000000"/>
        </w:rPr>
        <w:t>depositary</w:t>
      </w:r>
      <w:r>
        <w:t xml:space="preserve"> services which typically comprise custody and oversight costs (see: Table 10). </w:t>
      </w:r>
    </w:p>
    <w:p w:rsidR="00BB52D7" w:rsidRDefault="00E33AE6">
      <w:pPr>
        <w:pStyle w:val="Heading6"/>
        <w:ind w:left="10" w:right="488"/>
      </w:pPr>
      <w:r>
        <w:t>Table 10- Spr</w:t>
      </w:r>
      <w:r>
        <w:t>eads in depositary rates (%)</w:t>
      </w:r>
      <w:r>
        <w:rPr>
          <w:u w:val="none"/>
        </w:rPr>
        <w:t xml:space="preserve"> </w:t>
      </w:r>
    </w:p>
    <w:tbl>
      <w:tblPr>
        <w:tblStyle w:val="TableGrid"/>
        <w:tblW w:w="6279" w:type="dxa"/>
        <w:tblInd w:w="-14" w:type="dxa"/>
        <w:tblCellMar>
          <w:top w:w="58" w:type="dxa"/>
          <w:left w:w="109" w:type="dxa"/>
          <w:bottom w:w="0" w:type="dxa"/>
          <w:right w:w="51" w:type="dxa"/>
        </w:tblCellMar>
        <w:tblLook w:val="04A0" w:firstRow="1" w:lastRow="0" w:firstColumn="1" w:lastColumn="0" w:noHBand="0" w:noVBand="1"/>
      </w:tblPr>
      <w:tblGrid>
        <w:gridCol w:w="1479"/>
        <w:gridCol w:w="960"/>
        <w:gridCol w:w="960"/>
        <w:gridCol w:w="960"/>
        <w:gridCol w:w="1920"/>
      </w:tblGrid>
      <w:tr w:rsidR="00BB52D7">
        <w:trPr>
          <w:trHeight w:val="307"/>
        </w:trPr>
        <w:tc>
          <w:tcPr>
            <w:tcW w:w="1478"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right="57" w:firstLine="0"/>
              <w:jc w:val="center"/>
            </w:pPr>
            <w:r>
              <w:rPr>
                <w:sz w:val="22"/>
              </w:rPr>
              <w:t xml:space="preserve">in bps </w:t>
            </w:r>
          </w:p>
        </w:tc>
        <w:tc>
          <w:tcPr>
            <w:tcW w:w="960"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firstLine="0"/>
              <w:jc w:val="left"/>
            </w:pPr>
            <w:r>
              <w:rPr>
                <w:sz w:val="22"/>
              </w:rPr>
              <w:t xml:space="preserve">Average </w:t>
            </w:r>
          </w:p>
        </w:tc>
        <w:tc>
          <w:tcPr>
            <w:tcW w:w="960"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right="57" w:firstLine="0"/>
              <w:jc w:val="center"/>
            </w:pPr>
            <w:r>
              <w:rPr>
                <w:sz w:val="22"/>
              </w:rPr>
              <w:t xml:space="preserve">Min </w:t>
            </w:r>
          </w:p>
        </w:tc>
        <w:tc>
          <w:tcPr>
            <w:tcW w:w="960"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right="56" w:firstLine="0"/>
              <w:jc w:val="center"/>
            </w:pPr>
            <w:r>
              <w:rPr>
                <w:sz w:val="22"/>
              </w:rPr>
              <w:t xml:space="preserve">Max </w:t>
            </w:r>
          </w:p>
        </w:tc>
        <w:tc>
          <w:tcPr>
            <w:tcW w:w="1920"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firstLine="0"/>
              <w:jc w:val="left"/>
            </w:pPr>
            <w:r>
              <w:rPr>
                <w:sz w:val="22"/>
              </w:rPr>
              <w:t xml:space="preserve">Standard Deviation </w:t>
            </w:r>
          </w:p>
        </w:tc>
      </w:tr>
      <w:tr w:rsidR="00BB52D7">
        <w:trPr>
          <w:trHeight w:val="311"/>
        </w:trPr>
        <w:tc>
          <w:tcPr>
            <w:tcW w:w="14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0" w:firstLine="0"/>
              <w:jc w:val="center"/>
            </w:pPr>
            <w:r>
              <w:rPr>
                <w:sz w:val="22"/>
              </w:rPr>
              <w:t xml:space="preserve">Germany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1,29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0,90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1,93 </w:t>
            </w:r>
          </w:p>
        </w:tc>
        <w:tc>
          <w:tcPr>
            <w:tcW w:w="192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0,42 </w:t>
            </w:r>
          </w:p>
        </w:tc>
      </w:tr>
      <w:tr w:rsidR="00BB52D7">
        <w:trPr>
          <w:trHeight w:val="311"/>
        </w:trPr>
        <w:tc>
          <w:tcPr>
            <w:tcW w:w="14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7" w:firstLine="0"/>
              <w:jc w:val="center"/>
            </w:pPr>
            <w:r>
              <w:rPr>
                <w:sz w:val="22"/>
              </w:rPr>
              <w:t xml:space="preserve">Belgium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1,62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0,82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2,81 </w:t>
            </w:r>
          </w:p>
        </w:tc>
        <w:tc>
          <w:tcPr>
            <w:tcW w:w="192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0,90 </w:t>
            </w:r>
          </w:p>
        </w:tc>
      </w:tr>
      <w:tr w:rsidR="00BB52D7">
        <w:trPr>
          <w:trHeight w:val="310"/>
        </w:trPr>
        <w:tc>
          <w:tcPr>
            <w:tcW w:w="14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rPr>
                <w:sz w:val="22"/>
              </w:rPr>
              <w:t xml:space="preserve">UK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2,69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0,90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3,83 </w:t>
            </w:r>
          </w:p>
        </w:tc>
        <w:tc>
          <w:tcPr>
            <w:tcW w:w="192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0,98 </w:t>
            </w:r>
          </w:p>
        </w:tc>
      </w:tr>
      <w:tr w:rsidR="00BB52D7">
        <w:trPr>
          <w:trHeight w:val="310"/>
        </w:trPr>
        <w:tc>
          <w:tcPr>
            <w:tcW w:w="14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61" w:firstLine="0"/>
              <w:jc w:val="center"/>
            </w:pPr>
            <w:r>
              <w:rPr>
                <w:sz w:val="22"/>
              </w:rPr>
              <w:t xml:space="preserve">Netherlands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1,25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0,62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2,59 </w:t>
            </w:r>
          </w:p>
        </w:tc>
        <w:tc>
          <w:tcPr>
            <w:tcW w:w="192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0,78 </w:t>
            </w:r>
          </w:p>
        </w:tc>
      </w:tr>
      <w:tr w:rsidR="00BB52D7">
        <w:trPr>
          <w:trHeight w:val="311"/>
        </w:trPr>
        <w:tc>
          <w:tcPr>
            <w:tcW w:w="14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rPr>
                <w:sz w:val="22"/>
              </w:rPr>
              <w:t xml:space="preserve">Italy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1,34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0,90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2,02 </w:t>
            </w:r>
          </w:p>
        </w:tc>
        <w:tc>
          <w:tcPr>
            <w:tcW w:w="192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0,47 </w:t>
            </w:r>
          </w:p>
        </w:tc>
      </w:tr>
      <w:tr w:rsidR="00BB52D7">
        <w:trPr>
          <w:trHeight w:val="310"/>
        </w:trPr>
        <w:tc>
          <w:tcPr>
            <w:tcW w:w="14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9" w:firstLine="0"/>
              <w:jc w:val="center"/>
            </w:pPr>
            <w:r>
              <w:rPr>
                <w:sz w:val="22"/>
              </w:rPr>
              <w:t xml:space="preserve">Spain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1,28</w:t>
            </w:r>
            <w:r>
              <w:rPr>
                <w:sz w:val="22"/>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0,90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1,78 </w:t>
            </w:r>
          </w:p>
        </w:tc>
        <w:tc>
          <w:tcPr>
            <w:tcW w:w="192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0,38 </w:t>
            </w:r>
          </w:p>
        </w:tc>
      </w:tr>
      <w:tr w:rsidR="00BB52D7">
        <w:trPr>
          <w:trHeight w:val="311"/>
        </w:trPr>
        <w:tc>
          <w:tcPr>
            <w:tcW w:w="1478"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8" w:firstLine="0"/>
              <w:jc w:val="center"/>
            </w:pPr>
            <w:r>
              <w:rPr>
                <w:sz w:val="22"/>
              </w:rPr>
              <w:t xml:space="preserve">France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1,1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0,74 </w:t>
            </w:r>
          </w:p>
        </w:tc>
        <w:tc>
          <w:tcPr>
            <w:tcW w:w="9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1,49 </w:t>
            </w:r>
          </w:p>
        </w:tc>
        <w:tc>
          <w:tcPr>
            <w:tcW w:w="192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jc w:val="center"/>
            </w:pPr>
            <w:r>
              <w:rPr>
                <w:sz w:val="22"/>
              </w:rPr>
              <w:t xml:space="preserve">0,31 </w:t>
            </w:r>
          </w:p>
        </w:tc>
      </w:tr>
      <w:tr w:rsidR="00BB52D7">
        <w:trPr>
          <w:trHeight w:val="308"/>
        </w:trPr>
        <w:tc>
          <w:tcPr>
            <w:tcW w:w="1478"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9" w:firstLine="0"/>
              <w:jc w:val="center"/>
            </w:pPr>
            <w:r>
              <w:rPr>
                <w:b/>
                <w:sz w:val="22"/>
              </w:rPr>
              <w:t xml:space="preserve">Total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5" w:firstLine="0"/>
              <w:jc w:val="center"/>
            </w:pPr>
            <w:r>
              <w:rPr>
                <w:b/>
                <w:sz w:val="22"/>
              </w:rPr>
              <w:t xml:space="preserve">1,51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5" w:firstLine="0"/>
              <w:jc w:val="center"/>
            </w:pPr>
            <w:r>
              <w:rPr>
                <w:b/>
                <w:sz w:val="22"/>
              </w:rPr>
              <w:t xml:space="preserve">0,83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5" w:firstLine="0"/>
              <w:jc w:val="center"/>
            </w:pPr>
            <w:r>
              <w:rPr>
                <w:b/>
                <w:sz w:val="22"/>
              </w:rPr>
              <w:t xml:space="preserve">2,35 </w:t>
            </w:r>
          </w:p>
        </w:tc>
        <w:tc>
          <w:tcPr>
            <w:tcW w:w="192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right="55" w:firstLine="0"/>
              <w:jc w:val="center"/>
            </w:pPr>
            <w:r>
              <w:rPr>
                <w:b/>
                <w:sz w:val="22"/>
              </w:rPr>
              <w:t xml:space="preserve">0,61 </w:t>
            </w:r>
          </w:p>
        </w:tc>
      </w:tr>
    </w:tbl>
    <w:p w:rsidR="00BB52D7" w:rsidRDefault="00E33AE6">
      <w:pPr>
        <w:spacing w:after="132" w:line="264" w:lineRule="auto"/>
        <w:ind w:left="10" w:right="9"/>
        <w:jc w:val="left"/>
      </w:pPr>
      <w:r>
        <w:rPr>
          <w:i/>
          <w:sz w:val="20"/>
        </w:rPr>
        <w:t xml:space="preserve">Source: PWC figures submitted to the EC by Union Investment </w:t>
      </w:r>
    </w:p>
    <w:p w:rsidR="00BB52D7" w:rsidRDefault="00E33AE6">
      <w:pPr>
        <w:spacing w:after="0" w:line="259" w:lineRule="auto"/>
        <w:ind w:left="0" w:firstLine="0"/>
        <w:jc w:val="left"/>
      </w:pPr>
      <w:r>
        <w:t xml:space="preserve"> </w:t>
      </w:r>
    </w:p>
    <w:p w:rsidR="00BB52D7" w:rsidRDefault="00E33AE6">
      <w:pPr>
        <w:ind w:left="10" w:right="568"/>
      </w:pPr>
      <w:r>
        <w:t>The depositary charges fees</w:t>
      </w:r>
      <w:r>
        <w:rPr>
          <w:vertAlign w:val="superscript"/>
        </w:rPr>
        <w:footnoteReference w:id="89"/>
      </w:r>
      <w:r>
        <w:t xml:space="preserve"> for the safe-</w:t>
      </w:r>
      <w:r>
        <w:t>keeping services which is paid from the UCITS assets (i,e, borne by UCITS investors). Management companies that do not belong to a banking group typically use several of different depositaries (for different funds they manage) while the management companie</w:t>
      </w:r>
      <w:r>
        <w:t xml:space="preserve">s that belong to a banking group with an in-house depositary capacity tend to appoint an in-house depositary for the entire range of their funds. </w:t>
      </w:r>
    </w:p>
    <w:p w:rsidR="00BB52D7" w:rsidRDefault="00E33AE6">
      <w:pPr>
        <w:ind w:left="10" w:right="569"/>
      </w:pPr>
      <w:r>
        <w:t>The selection of a depositary or a custodian is based on costs, the quality of services rendered and security</w:t>
      </w:r>
      <w:r>
        <w:t xml:space="preserve"> of assets. However, in recent years, transparency and security requirements for the depositaries have grown because of regulatory changes (mainly the introduction of the AIFMD) as well as increased awareness of custody risk by customers. In addition, the </w:t>
      </w:r>
      <w:r>
        <w:t xml:space="preserve">UCITS V </w:t>
      </w:r>
      <w:r>
        <w:lastRenderedPageBreak/>
        <w:t xml:space="preserve">Directive reinforces the liability and duties of the UCITS’s depositary/third party and prohibits the reuse of assets on its own account. </w:t>
      </w:r>
    </w:p>
    <w:p w:rsidR="00BB52D7" w:rsidRDefault="00E33AE6">
      <w:pPr>
        <w:pStyle w:val="Heading2"/>
        <w:spacing w:after="229"/>
        <w:ind w:left="1203" w:right="3105" w:hanging="1203"/>
        <w:jc w:val="both"/>
      </w:pPr>
      <w:bookmarkStart w:id="30" w:name="_Toc240990"/>
      <w:r>
        <w:rPr>
          <w:i w:val="0"/>
          <w:u w:val="none"/>
        </w:rPr>
        <w:t xml:space="preserve">Annex 6: Steps to ensure insolvency protection of UCITS assets </w:t>
      </w:r>
      <w:r>
        <w:rPr>
          <w:b w:val="0"/>
          <w:i w:val="0"/>
          <w:u w:val="none"/>
        </w:rPr>
        <w:t xml:space="preserve"> </w:t>
      </w:r>
      <w:bookmarkEnd w:id="30"/>
    </w:p>
    <w:p w:rsidR="00BB52D7" w:rsidRDefault="00E33AE6">
      <w:pPr>
        <w:spacing w:after="214" w:line="259" w:lineRule="auto"/>
        <w:ind w:left="-5"/>
        <w:jc w:val="left"/>
      </w:pPr>
      <w:r>
        <w:rPr>
          <w:i/>
          <w:u w:val="single" w:color="000000"/>
        </w:rPr>
        <w:t>Problem drivers</w:t>
      </w:r>
      <w:r>
        <w:rPr>
          <w:i/>
        </w:rPr>
        <w:t xml:space="preserve"> </w:t>
      </w:r>
    </w:p>
    <w:p w:rsidR="00BB52D7" w:rsidRDefault="00E33AE6">
      <w:pPr>
        <w:ind w:left="10" w:right="567"/>
      </w:pPr>
      <w:r>
        <w:t>UCITS funds are allowed to invest in any third country of the asset managers' choice. Investments in a large range of countries all over the world are reflective of many UCITS and their investment strategies. However in some of jurisdictions either practic</w:t>
      </w:r>
      <w:r>
        <w:t>al considerations or local legal requirements may impose the necessity to have recourse to the services of a local custodian to safe-keep financial assets that are issued in these jurisdictions. In such cases a depositary may choose to delegate its safe-ke</w:t>
      </w:r>
      <w:r>
        <w:t xml:space="preserve">eping functions to this third party domiciled outside the EU. </w:t>
      </w:r>
    </w:p>
    <w:p w:rsidR="00BB52D7" w:rsidRDefault="00E33AE6">
      <w:pPr>
        <w:spacing w:after="214" w:line="259" w:lineRule="auto"/>
        <w:ind w:left="-5"/>
        <w:jc w:val="left"/>
      </w:pPr>
      <w:r>
        <w:rPr>
          <w:i/>
          <w:u w:val="single" w:color="000000"/>
        </w:rPr>
        <w:t>Problem</w:t>
      </w:r>
      <w:r>
        <w:rPr>
          <w:i/>
        </w:rPr>
        <w:t xml:space="preserve"> </w:t>
      </w:r>
    </w:p>
    <w:p w:rsidR="00BB52D7" w:rsidRDefault="00E33AE6">
      <w:pPr>
        <w:spacing w:after="251"/>
        <w:ind w:left="10" w:right="221"/>
      </w:pPr>
      <w:r>
        <w:t xml:space="preserve">Lack of clarity on what happens to UCITS assets held in custody by a third party can lead to the following issues:  </w:t>
      </w:r>
    </w:p>
    <w:p w:rsidR="00BB52D7" w:rsidRDefault="00E33AE6">
      <w:pPr>
        <w:numPr>
          <w:ilvl w:val="0"/>
          <w:numId w:val="20"/>
        </w:numPr>
        <w:spacing w:after="251"/>
        <w:ind w:right="326" w:hanging="360"/>
      </w:pPr>
      <w:r>
        <w:t>Investors are not protected against the insolvency of a local custo</w:t>
      </w:r>
      <w:r>
        <w:t xml:space="preserve">dian who has received a delegation to safe-keep UCITS assets; </w:t>
      </w:r>
    </w:p>
    <w:p w:rsidR="00BB52D7" w:rsidRDefault="00E33AE6">
      <w:pPr>
        <w:numPr>
          <w:ilvl w:val="0"/>
          <w:numId w:val="20"/>
        </w:numPr>
        <w:spacing w:after="251"/>
        <w:ind w:right="326" w:hanging="360"/>
      </w:pPr>
      <w:r>
        <w:t xml:space="preserve">Investors may not be sufficiently apprised of custody risk associated with investments in third countries;  </w:t>
      </w:r>
    </w:p>
    <w:p w:rsidR="00BB52D7" w:rsidRDefault="00E33AE6">
      <w:pPr>
        <w:numPr>
          <w:ilvl w:val="0"/>
          <w:numId w:val="20"/>
        </w:numPr>
        <w:ind w:right="326" w:hanging="360"/>
      </w:pPr>
      <w:r>
        <w:t>The sharing of responsibility in regards of the steps to be taken to ensure that UCI</w:t>
      </w:r>
      <w:r>
        <w:t xml:space="preserve">TS assets are not distributed to the benefit of a local custodian are not always sufficiently clear. </w:t>
      </w:r>
    </w:p>
    <w:p w:rsidR="00BB52D7" w:rsidRDefault="00E33AE6">
      <w:pPr>
        <w:spacing w:after="214" w:line="259" w:lineRule="auto"/>
        <w:ind w:left="-5"/>
        <w:jc w:val="left"/>
      </w:pPr>
      <w:r>
        <w:rPr>
          <w:i/>
          <w:u w:val="single" w:color="000000"/>
        </w:rPr>
        <w:t>Consequence</w:t>
      </w:r>
      <w:r>
        <w:rPr>
          <w:i/>
        </w:rPr>
        <w:t xml:space="preserve"> </w:t>
      </w:r>
    </w:p>
    <w:p w:rsidR="00BB52D7" w:rsidRDefault="00E33AE6">
      <w:pPr>
        <w:ind w:left="10" w:right="568"/>
      </w:pPr>
      <w:r>
        <w:t>The above situations could have adverse impacts on consumer protection, financial stability and transparency of the functioning of the capita</w:t>
      </w:r>
      <w:r>
        <w:t xml:space="preserve">l markets. The lack of clarity would leave discretion to UCITS management companies, depositaries and National Competent Authorities to assess whether UCITS management/investment companies and depositaries ensure that third party takes all necessary steps </w:t>
      </w:r>
      <w:r>
        <w:t>to ensure that in the event of insolvency of the third party, assets of a UCITS held by the third party in custody are unavailable for distribution among, or realisation for the benefit of, creditors of the third party. This could definitely result in a la</w:t>
      </w:r>
      <w:r>
        <w:t>ck of harmonisation in the application of the provisions of the UCITS Directive across different Member States and also to diminish the confidence of the investors in the UCITS regulation. This is an action that should be done ex-ante in order to prevent a</w:t>
      </w:r>
      <w:r>
        <w:t xml:space="preserve">ny kind of unexpected consequence in case of insolvency of the third party or any other third party to whom the custody has been delegated. </w:t>
      </w:r>
    </w:p>
    <w:p w:rsidR="00BB52D7" w:rsidRDefault="00E33AE6">
      <w:pPr>
        <w:ind w:left="10" w:right="569"/>
      </w:pPr>
      <w:r>
        <w:t>This is why, article 26b (e) empowers the Commission to adopt delegated acts specifying the steps to be taken by th</w:t>
      </w:r>
      <w:r>
        <w:t>e third party pursuant to point (d) of Article 22a (3) UCITS. This provision constitutes an adds-on in comparison to rules applicable to the depositaries under AIFMD. It foresees that one of the strict conditions for the safekeeping functions to be delegat</w:t>
      </w:r>
      <w:r>
        <w:t xml:space="preserve">ed to the third party is that the depositary can ensure that that third party, at all times during the performance of the tasks delegated to it ‘takes all necessary steps to ensure that in the event of insolvency of the third party, assets of a UCITS held </w:t>
      </w:r>
      <w:r>
        <w:t xml:space="preserve">by the third party in custody </w:t>
      </w:r>
      <w:r>
        <w:lastRenderedPageBreak/>
        <w:t xml:space="preserve">are unavailable for distribution among, or realisation for the benefit of, creditors of the third party'.  </w:t>
      </w:r>
    </w:p>
    <w:p w:rsidR="00BB52D7" w:rsidRDefault="00E33AE6">
      <w:pPr>
        <w:ind w:left="10" w:right="570"/>
      </w:pPr>
      <w:r>
        <w:t>In fact, two requirements in UCITS are important when assessing whether custodial assets are protected against insolve</w:t>
      </w:r>
      <w:r>
        <w:t>ncy of a custodian: (1) the requirement to ensure that UCITS’s assets are protected against the creditors' claims in case of the custodian's insolvency as laid down in Article 22a (3)(d) UCITS and, (2) the requirement to segregate the UCITS’ assets as requ</w:t>
      </w:r>
      <w:r>
        <w:t>ired under Article 22a(3)(c)</w:t>
      </w:r>
      <w:r>
        <w:rPr>
          <w:vertAlign w:val="superscript"/>
        </w:rPr>
        <w:footnoteReference w:id="90"/>
      </w:r>
      <w:r>
        <w:t xml:space="preserve">. </w:t>
      </w:r>
    </w:p>
    <w:p w:rsidR="00BB52D7" w:rsidRDefault="00E33AE6">
      <w:pPr>
        <w:ind w:left="10" w:right="567"/>
      </w:pPr>
      <w:r>
        <w:t>The objective of this empowerment is to protect UCITS assets in case of a third party's insolvency. Therefore this requires that depositaries exercise due diligence in selecting and appointing the third party to whom safekee</w:t>
      </w:r>
      <w:r>
        <w:t>ping is delegated. This is the rationale underpinning Article 22a(2)(c) UCITS. This means that all necessary efforts should be made to verify that insolvency laws and relevant jurisprudence in the jurisdiction of the delegate recognise the segregation of t</w:t>
      </w:r>
      <w:r>
        <w:t>he UCITS’ assets and that assets of UCITS are unavailable for distribution among, or realisation for the benefit of, creditors of the third party in case of its insolvency. There is a case for this requirement to be as close as possible to the correspondin</w:t>
      </w:r>
      <w:r>
        <w:t>g provision in Delegated Regulation n° 231/2013, which, in its Article 98 (2) (a) states that the depositary has to, at least, asses the regulatory and legal framework, including country risk, custody risk and the enforceability of the third party's contra</w:t>
      </w:r>
      <w:r>
        <w:t>ct to enable it to determine the potential implication if an insolvency of the third party for the assets and rights of the fund. Furthermore, the depositary is obliged to periodically review and monitor the custody risks, In accordance with Article 98 (3)</w:t>
      </w:r>
      <w:r>
        <w:t xml:space="preserve"> (c). That assessment shall be based on information provided by the third party and other data and information where available</w:t>
      </w:r>
      <w:r>
        <w:rPr>
          <w:vertAlign w:val="superscript"/>
        </w:rPr>
        <w:footnoteReference w:id="91"/>
      </w:r>
      <w:r>
        <w:t>. ESMA's advice however suggests that the depositary should make all reasonable effort, including the receipt of legal advice fro</w:t>
      </w:r>
      <w:r>
        <w:t>m a natural or legal person not affiliated to the depositary, to understand the material effect of the contractual provisions governing the arrangement with the third party on the UCITS' rights in respect of its assets, including how those contractual prov</w:t>
      </w:r>
      <w:r>
        <w:t>isions would operate in the jurisdiction where UCITS assets are held, including in the event of insolvency of the third party to which the depositary has delegated safekeeping duties. This additional requirement complements the due diligence duties which a</w:t>
      </w:r>
      <w:r>
        <w:t xml:space="preserve">re already established in Article 98 (2) (a) of Regulation n° 231/2013,  </w:t>
      </w:r>
    </w:p>
    <w:p w:rsidR="00BB52D7" w:rsidRDefault="00E33AE6">
      <w:pPr>
        <w:ind w:left="10" w:right="568"/>
      </w:pPr>
      <w:r>
        <w:t>With respect to the empowerment under Article 26b (e) UCITS, ESMA recommends on a series of steps that should be taken by the local custodian, to ensure protection of UCITS assets in</w:t>
      </w:r>
      <w:r>
        <w:t xml:space="preserve"> case of insolvency of the third party in order to specify Article 22a (3) (d). These steps include: information to the depositary on applicable insolvency laws, maintenance of the updated records and accounts of UCITS assets and their regular disclosure t</w:t>
      </w:r>
      <w:r>
        <w:t xml:space="preserve">o the depositary, management of custody and operational risks, advice on legal effects and enforcement of pledges any other operations on assets in the third country. The drafting of this duties will </w:t>
      </w:r>
      <w:r>
        <w:lastRenderedPageBreak/>
        <w:t>aligned with UCITS Directive and fit to provisions which</w:t>
      </w:r>
      <w:r>
        <w:t xml:space="preserve"> will be adopted along the lines of the Regulation n° 231/2013 (see Annex 9). </w:t>
      </w:r>
    </w:p>
    <w:p w:rsidR="00BB52D7" w:rsidRDefault="00E33AE6">
      <w:pPr>
        <w:ind w:left="10" w:right="572"/>
      </w:pPr>
      <w:r>
        <w:t>Furthermore, ESMA’s advice proposes a solution on how the delegating depositary can obtain a clear and up-to-date view on the insolvency laws and jurisprudence that govern insol</w:t>
      </w:r>
      <w:r>
        <w:t xml:space="preserve">vency in the jurisdiction of the third party in order to ensure compliance with Article 22(a)(3)(d). This will introduce legal clarity on how the depositary is able to meet its due diligence and monitoring obligations.  </w:t>
      </w:r>
    </w:p>
    <w:p w:rsidR="00BB52D7" w:rsidRDefault="00E33AE6">
      <w:pPr>
        <w:ind w:left="10" w:right="571"/>
      </w:pPr>
      <w:r>
        <w:t>In specifying the steps to be taken</w:t>
      </w:r>
      <w:r>
        <w:t xml:space="preserve"> by the third party in accordance with Article 22(a)(3) (d), which a delegating depositary has to check and monitor. ESMA identifies a core issue: who is best placed to provide the legal advice on the insolvency laws applicable in the third country's juris</w:t>
      </w:r>
      <w:r>
        <w:t xml:space="preserve">diction? </w:t>
      </w:r>
    </w:p>
    <w:p w:rsidR="00BB52D7" w:rsidRDefault="00E33AE6">
      <w:pPr>
        <w:ind w:left="10" w:right="568"/>
      </w:pPr>
      <w:r>
        <w:t>ESMA suggests that the third party, located outside of the EU, obtains a legal advice on country risk and custody risk to UCITS assets in case of insolvency of a third party from a person not affiliated to the third party to whom safe-keeping fun</w:t>
      </w:r>
      <w:r>
        <w:t xml:space="preserve">ctions are to be delegated. This option rests on the premise that only a third party that is independent of both the depositary and the custodian in receipt of delegation can be relied on to provide an objective and unbiased picture on the insolvency laws </w:t>
      </w:r>
      <w:r>
        <w:t xml:space="preserve">and jurisprudence in the country in which the third party is located. The rationale is that only a non-affiliated/non commercially dependent legal adviser can be trusted to make a fair and honest assessment of the key issue which is whether segregation of </w:t>
      </w:r>
      <w:r>
        <w:t xml:space="preserve">assets is robust enough to withstand a custodian's insolvency.  </w:t>
      </w:r>
    </w:p>
    <w:p w:rsidR="00BB52D7" w:rsidRDefault="00E33AE6">
      <w:pPr>
        <w:ind w:left="10" w:right="568"/>
      </w:pPr>
      <w:r>
        <w:t>The level 2 provisions have to impose a direct obligation on depositary to ensure that this obligation is met. This can be done by means of its contractual arrangement with the third party. T</w:t>
      </w:r>
      <w:r>
        <w:t xml:space="preserve">he suggested solution has the advantage of clarity regarding the integrity of the legal advice received by the depositary. Legal advice obtained from non-affiliated entity ensures the best available safeguard that this advice is objective and unbiased and </w:t>
      </w:r>
      <w:r>
        <w:t xml:space="preserve">thus provides the best available safeguards to UCITS investors, especially UCITS retail investors. This option is also best in avoiding conflict of interests that could arise out of the fact that the provider of the advice is in an employment relationship </w:t>
      </w:r>
      <w:r>
        <w:t xml:space="preserve">with the organisation or entity that has requested the advice or the concerned third party which has an economic interest in providing the delegated safe-keeping services. This option will boost the due diligence obligation of the depositary in comparison </w:t>
      </w:r>
      <w:r>
        <w:t xml:space="preserve">to the analogical provisions of AIFMD level 2. It should not however affect the liability regime laid down in UCITS which is imposed on depositary.  </w:t>
      </w:r>
    </w:p>
    <w:p w:rsidR="00BB52D7" w:rsidRDefault="00E33AE6">
      <w:pPr>
        <w:pStyle w:val="Heading7"/>
        <w:ind w:right="0"/>
      </w:pPr>
      <w:r>
        <w:t xml:space="preserve">Impacts on stakeholders (e,g,, consumers, asset managers, depositaries, custodians) </w:t>
      </w:r>
    </w:p>
    <w:p w:rsidR="00BB52D7" w:rsidRDefault="00E33AE6">
      <w:pPr>
        <w:ind w:left="10" w:right="569"/>
      </w:pPr>
      <w:r>
        <w:t xml:space="preserve">The requirement to obtain legal advice from a non-affiliated person will provide additional protection to investors and especially retail investors as they do not have the expertise and the resources to appreciate the finer points of applicable insolvency </w:t>
      </w:r>
      <w:r>
        <w:t xml:space="preserve">regime in the countries where investment assets are kept in custody.  </w:t>
      </w:r>
    </w:p>
    <w:p w:rsidR="00BB52D7" w:rsidRDefault="00E33AE6">
      <w:pPr>
        <w:ind w:left="10" w:right="570"/>
      </w:pPr>
      <w:r>
        <w:t>However, even professional investors that participated in the ESMA stakeholder consultation have mentioned that obtaining independent legal advice on custody risks in countries, in whic</w:t>
      </w:r>
      <w:r>
        <w:t>h they have business partners, is reflective of current market practice. Indeed, it is already a standard practice today for depositaries and global custodians to seek for legal advice on insolvency rules applicable in third country jurisdictions where mut</w:t>
      </w:r>
      <w:r>
        <w:t xml:space="preserve">ual fund assets are held in custody with a view of obtaining comfort as to what reasonable steps need to be taken in order to protect clients' assets. In consequence, this means that such legal advices already exist for </w:t>
      </w:r>
      <w:r>
        <w:lastRenderedPageBreak/>
        <w:t>almost all jurisdictions where UCITS</w:t>
      </w:r>
      <w:r>
        <w:t xml:space="preserve"> assets are invested and held in custody. However, those existing legal advice may be obliged to be redrafted in order to respect the requirement of the UCITS directive. In consequence, marginal costs may appear. </w:t>
      </w:r>
    </w:p>
    <w:p w:rsidR="00BB52D7" w:rsidRDefault="00E33AE6">
      <w:pPr>
        <w:ind w:left="10" w:right="566"/>
      </w:pPr>
      <w:r>
        <w:t>Obtaining legal advice from non-affiliated</w:t>
      </w:r>
      <w:r>
        <w:t xml:space="preserve"> entity is not expected to adversely impact small or medium sized custodians. Smaller custody organisations would invariably have to have recourse to external lawyers as they are unlikely to have these capacities in-house. In consequence, a uniform require</w:t>
      </w:r>
      <w:r>
        <w:t xml:space="preserve">ment that stipulates that all legal advice on applicable insolvency provisions has to be provided by an independent source is expected to level the playing field between large and smaller custody providers. </w:t>
      </w:r>
    </w:p>
    <w:p w:rsidR="00BB52D7" w:rsidRDefault="00E33AE6">
      <w:pPr>
        <w:ind w:left="10" w:right="568"/>
      </w:pPr>
      <w:r>
        <w:t>In addition, in order to reduce the cost for the</w:t>
      </w:r>
      <w:r>
        <w:t xml:space="preserve"> industry to have a legal advice from an independent legal adviser, it should not be prohibiting to mutualise the costs of these advices. For example, European association or national associations may play an active role in order to mutualise the costs. Th</w:t>
      </w:r>
      <w:r>
        <w:t xml:space="preserve">ese advices may be offered by the association in exchange of the contribution of their members. According to the market practise the cost of a legal advice will depend on many different factors such as: </w:t>
      </w:r>
    </w:p>
    <w:p w:rsidR="00BB52D7" w:rsidRDefault="00E33AE6">
      <w:pPr>
        <w:numPr>
          <w:ilvl w:val="0"/>
          <w:numId w:val="21"/>
        </w:numPr>
        <w:spacing w:after="274"/>
        <w:ind w:right="573" w:hanging="360"/>
      </w:pPr>
      <w:r>
        <w:t>Jurisdiction for which such advice is being sought (</w:t>
      </w:r>
      <w:r>
        <w:t>Is there a clear rule of law, available jurisprudence, etc.). The interest for this jurisdiction will also have in impact on the costs</w:t>
      </w:r>
      <w:r>
        <w:rPr>
          <w:vertAlign w:val="superscript"/>
        </w:rPr>
        <w:footnoteReference w:id="92"/>
      </w:r>
      <w:r>
        <w:t xml:space="preserve">.  </w:t>
      </w:r>
    </w:p>
    <w:p w:rsidR="00BB52D7" w:rsidRDefault="00E33AE6">
      <w:pPr>
        <w:numPr>
          <w:ilvl w:val="0"/>
          <w:numId w:val="21"/>
        </w:numPr>
        <w:ind w:right="573" w:hanging="360"/>
      </w:pPr>
      <w:r>
        <w:t xml:space="preserve">Different categories of assets covered by the advice (equities, fixed income instruments, other types of financial instruments). </w:t>
      </w:r>
    </w:p>
    <w:p w:rsidR="00BB52D7" w:rsidRDefault="00E33AE6">
      <w:pPr>
        <w:numPr>
          <w:ilvl w:val="0"/>
          <w:numId w:val="21"/>
        </w:numPr>
        <w:ind w:right="573" w:hanging="360"/>
      </w:pPr>
      <w:r>
        <w:t xml:space="preserve">Reputation and credibility of the independent firm providing such legal advice. </w:t>
      </w:r>
    </w:p>
    <w:p w:rsidR="00BB52D7" w:rsidRDefault="00E33AE6">
      <w:pPr>
        <w:ind w:left="10" w:right="572"/>
      </w:pPr>
      <w:r>
        <w:t>Depending on those factors, the estimate cost</w:t>
      </w:r>
      <w:r>
        <w:t xml:space="preserve"> of such legal advice could range from € 5,000 to €15,000. So sharing these costs via depositary associations, custodian associations or banking association will significantly decrease the costs per entity. Another alternative to pool the legal advice will</w:t>
      </w:r>
      <w:r>
        <w:t xml:space="preserve"> be to use the ISDA model. The ISDA model in another context has proven to be a successful way of mutualising the costs, while, at the same time, ensuring a high level of consistency and quality of the legal opinions made available and updated on a regular</w:t>
      </w:r>
      <w:r>
        <w:t xml:space="preserve"> basis. </w:t>
      </w:r>
    </w:p>
    <w:p w:rsidR="00BB52D7" w:rsidRDefault="00E33AE6">
      <w:pPr>
        <w:ind w:left="10" w:right="341"/>
      </w:pPr>
      <w:r>
        <w:t xml:space="preserve">These possibilities will contribute to not increase the costs for industry but also the costs paid at the end by the investors.  </w:t>
      </w:r>
    </w:p>
    <w:p w:rsidR="00BB52D7" w:rsidRDefault="00E33AE6">
      <w:pPr>
        <w:ind w:left="10" w:right="567"/>
      </w:pPr>
      <w:r>
        <w:t>Unlike to receive the advice from non-affiliated party, the option consisting to receive the advice from an 'in house</w:t>
      </w:r>
      <w:r>
        <w:t>' legal department of the asset managers, depositaries/third party or to the parent company of both parties (the 'in-house' option) should not be considered as providing enough safeguards to investors. The 'in house' option suffers from the fact that the a</w:t>
      </w:r>
      <w:r>
        <w:t>dvice is provided by a person who is in an employment relationship with the recipient of the advice or the third party to whom the safe-keeping functions are to be delegated. Pressure to render a more favourable view than the view objectively merited canno</w:t>
      </w:r>
      <w:r>
        <w:t xml:space="preserve">t, in these circumstances, be entirely excluded. The conflict of interest inherent in relying on an in-house legal opinion is prone to produce a more biased outcome. This could ultimately result in investor detriment. </w:t>
      </w:r>
    </w:p>
    <w:p w:rsidR="00BB52D7" w:rsidRDefault="00E33AE6">
      <w:pPr>
        <w:ind w:left="10" w:right="569"/>
      </w:pPr>
      <w:r>
        <w:lastRenderedPageBreak/>
        <w:t>Other parts of the ESMA’s advice whic</w:t>
      </w:r>
      <w:r>
        <w:t>h go beyond the list of steps the third party has to take during the performance of the safe-keeping tasks which have been delegated to it are disregarded insofar they go beyond the empowerment in Article 26b(e) UCITS. Some parts of advice are also already</w:t>
      </w:r>
      <w:r>
        <w:t xml:space="preserve"> covered by the due diligence duties and will be adopted in implementation of the empowerment in Article 26b(c). </w:t>
      </w:r>
    </w:p>
    <w:p w:rsidR="00BB52D7" w:rsidRDefault="00E33AE6">
      <w:pPr>
        <w:ind w:left="10" w:right="569"/>
      </w:pPr>
      <w:r>
        <w:t>This said other than changes required by legal drafting or consistency sake, we do not deviate from the ESMA's advice regarding this issue and</w:t>
      </w:r>
      <w:r>
        <w:t xml:space="preserve"> therefore there is no need for the further impact assessment. </w:t>
      </w:r>
    </w:p>
    <w:p w:rsidR="00BB52D7" w:rsidRDefault="00E33AE6">
      <w:pPr>
        <w:spacing w:after="0" w:line="259" w:lineRule="auto"/>
        <w:ind w:left="0" w:firstLine="0"/>
        <w:jc w:val="left"/>
      </w:pPr>
      <w:r>
        <w:rPr>
          <w:b/>
          <w:i/>
          <w:sz w:val="22"/>
        </w:rPr>
        <w:t xml:space="preserve">Table 1: Steps to ensure insolvency protection of UCITS assets - comparison of options – Legal advice options. </w:t>
      </w:r>
    </w:p>
    <w:tbl>
      <w:tblPr>
        <w:tblStyle w:val="TableGrid"/>
        <w:tblW w:w="9131" w:type="dxa"/>
        <w:tblInd w:w="-58" w:type="dxa"/>
        <w:tblCellMar>
          <w:top w:w="4" w:type="dxa"/>
          <w:left w:w="58" w:type="dxa"/>
          <w:bottom w:w="0" w:type="dxa"/>
          <w:right w:w="48" w:type="dxa"/>
        </w:tblCellMar>
        <w:tblLook w:val="04A0" w:firstRow="1" w:lastRow="0" w:firstColumn="1" w:lastColumn="0" w:noHBand="0" w:noVBand="1"/>
      </w:tblPr>
      <w:tblGrid>
        <w:gridCol w:w="4595"/>
        <w:gridCol w:w="1843"/>
        <w:gridCol w:w="2693"/>
      </w:tblGrid>
      <w:tr w:rsidR="00BB52D7">
        <w:trPr>
          <w:trHeight w:val="237"/>
        </w:trPr>
        <w:tc>
          <w:tcPr>
            <w:tcW w:w="4594" w:type="dxa"/>
            <w:tcBorders>
              <w:top w:val="single" w:sz="4" w:space="0" w:color="000000"/>
              <w:left w:val="single" w:sz="4" w:space="0" w:color="000000"/>
              <w:bottom w:val="nil"/>
              <w:right w:val="single" w:sz="4" w:space="0" w:color="000000"/>
            </w:tcBorders>
          </w:tcPr>
          <w:p w:rsidR="00BB52D7" w:rsidRDefault="00E33AE6">
            <w:pPr>
              <w:spacing w:after="0" w:line="259" w:lineRule="auto"/>
              <w:ind w:left="0" w:firstLine="0"/>
              <w:jc w:val="left"/>
            </w:pPr>
            <w:r>
              <w:rPr>
                <w:sz w:val="20"/>
              </w:rPr>
              <w:t xml:space="preserve"> </w:t>
            </w:r>
          </w:p>
        </w:tc>
        <w:tc>
          <w:tcPr>
            <w:tcW w:w="1843" w:type="dxa"/>
            <w:tcBorders>
              <w:top w:val="single" w:sz="4" w:space="0" w:color="000000"/>
              <w:left w:val="single" w:sz="4" w:space="0" w:color="000000"/>
              <w:bottom w:val="nil"/>
              <w:right w:val="single" w:sz="4" w:space="0" w:color="000000"/>
            </w:tcBorders>
          </w:tcPr>
          <w:p w:rsidR="00BB52D7" w:rsidRDefault="00E33AE6">
            <w:pPr>
              <w:spacing w:after="0" w:line="259" w:lineRule="auto"/>
              <w:ind w:left="0" w:right="11" w:firstLine="0"/>
              <w:jc w:val="center"/>
            </w:pPr>
            <w:r>
              <w:rPr>
                <w:sz w:val="20"/>
              </w:rPr>
              <w:t xml:space="preserve">Effectiveness </w:t>
            </w:r>
          </w:p>
        </w:tc>
        <w:tc>
          <w:tcPr>
            <w:tcW w:w="2693" w:type="dxa"/>
            <w:tcBorders>
              <w:top w:val="single" w:sz="4" w:space="0" w:color="000000"/>
              <w:left w:val="single" w:sz="4" w:space="0" w:color="000000"/>
              <w:bottom w:val="nil"/>
              <w:right w:val="single" w:sz="4" w:space="0" w:color="000000"/>
            </w:tcBorders>
          </w:tcPr>
          <w:p w:rsidR="00BB52D7" w:rsidRDefault="00E33AE6">
            <w:pPr>
              <w:spacing w:after="0" w:line="259" w:lineRule="auto"/>
              <w:ind w:left="0" w:right="10" w:firstLine="0"/>
              <w:jc w:val="center"/>
            </w:pPr>
            <w:r>
              <w:rPr>
                <w:sz w:val="20"/>
              </w:rPr>
              <w:t xml:space="preserve">Efficiency </w:t>
            </w:r>
          </w:p>
        </w:tc>
      </w:tr>
      <w:tr w:rsidR="00BB52D7">
        <w:trPr>
          <w:trHeight w:val="234"/>
        </w:trPr>
        <w:tc>
          <w:tcPr>
            <w:tcW w:w="4594" w:type="dxa"/>
            <w:tcBorders>
              <w:top w:val="nil"/>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0"/>
              </w:rPr>
              <w:t xml:space="preserve"> </w:t>
            </w:r>
          </w:p>
        </w:tc>
        <w:tc>
          <w:tcPr>
            <w:tcW w:w="1843" w:type="dxa"/>
            <w:tcBorders>
              <w:top w:val="nil"/>
              <w:left w:val="single" w:sz="4" w:space="0" w:color="000000"/>
              <w:bottom w:val="single" w:sz="4" w:space="0" w:color="000000"/>
              <w:right w:val="single" w:sz="4" w:space="0" w:color="000000"/>
            </w:tcBorders>
          </w:tcPr>
          <w:p w:rsidR="00BB52D7" w:rsidRDefault="00E33AE6">
            <w:pPr>
              <w:spacing w:after="0" w:line="259" w:lineRule="auto"/>
              <w:ind w:left="0" w:right="117" w:firstLine="0"/>
              <w:jc w:val="right"/>
            </w:pPr>
            <w:r>
              <w:rPr>
                <w:sz w:val="20"/>
              </w:rPr>
              <w:t xml:space="preserve">Investor protection  </w:t>
            </w:r>
          </w:p>
        </w:tc>
        <w:tc>
          <w:tcPr>
            <w:tcW w:w="2693" w:type="dxa"/>
            <w:tcBorders>
              <w:top w:val="nil"/>
              <w:left w:val="single" w:sz="4" w:space="0" w:color="000000"/>
              <w:bottom w:val="single" w:sz="4" w:space="0" w:color="000000"/>
              <w:right w:val="single" w:sz="4" w:space="0" w:color="000000"/>
            </w:tcBorders>
          </w:tcPr>
          <w:p w:rsidR="00BB52D7" w:rsidRDefault="00E33AE6">
            <w:pPr>
              <w:spacing w:after="0" w:line="259" w:lineRule="auto"/>
              <w:ind w:left="38" w:firstLine="0"/>
              <w:jc w:val="left"/>
            </w:pPr>
            <w:r>
              <w:rPr>
                <w:sz w:val="20"/>
              </w:rPr>
              <w:t xml:space="preserve">Limiting administrative burden </w:t>
            </w:r>
          </w:p>
        </w:tc>
      </w:tr>
      <w:tr w:rsidR="00BB52D7">
        <w:trPr>
          <w:trHeight w:val="240"/>
        </w:trPr>
        <w:tc>
          <w:tcPr>
            <w:tcW w:w="459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0"/>
              </w:rPr>
              <w:t xml:space="preserve">Option 1: legal advice from a non-affiliated entity </w:t>
            </w:r>
          </w:p>
        </w:tc>
        <w:tc>
          <w:tcPr>
            <w:tcW w:w="184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 w:firstLine="0"/>
              <w:jc w:val="center"/>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1" w:firstLine="0"/>
              <w:jc w:val="center"/>
            </w:pPr>
            <w:r>
              <w:rPr>
                <w:sz w:val="20"/>
              </w:rPr>
              <w:t xml:space="preserve">+ </w:t>
            </w:r>
          </w:p>
        </w:tc>
      </w:tr>
      <w:tr w:rsidR="00BB52D7">
        <w:trPr>
          <w:trHeight w:val="240"/>
        </w:trPr>
        <w:tc>
          <w:tcPr>
            <w:tcW w:w="4594"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0"/>
              </w:rPr>
              <w:t xml:space="preserve">Option 2:'in house' legal advice </w:t>
            </w:r>
          </w:p>
        </w:tc>
        <w:tc>
          <w:tcPr>
            <w:tcW w:w="184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10" w:firstLine="0"/>
              <w:jc w:val="center"/>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9" w:firstLine="0"/>
              <w:jc w:val="center"/>
            </w:pPr>
            <w:r>
              <w:rPr>
                <w:i/>
                <w:sz w:val="20"/>
              </w:rPr>
              <w:t>≈</w:t>
            </w:r>
            <w:r>
              <w:rPr>
                <w:sz w:val="20"/>
              </w:rPr>
              <w:t xml:space="preserve"> </w:t>
            </w:r>
          </w:p>
        </w:tc>
      </w:tr>
    </w:tbl>
    <w:p w:rsidR="00BB52D7" w:rsidRDefault="00E33AE6">
      <w:pPr>
        <w:spacing w:after="254" w:line="264" w:lineRule="auto"/>
        <w:ind w:left="10" w:right="9"/>
        <w:jc w:val="left"/>
      </w:pPr>
      <w:r>
        <w:rPr>
          <w:i/>
          <w:sz w:val="20"/>
        </w:rPr>
        <w:t xml:space="preserve">Magnitude of impact as compared with the baseline scenario: ++strongly positive; + positive; - - strongly negative;- </w:t>
      </w:r>
      <w:r>
        <w:rPr>
          <w:i/>
          <w:sz w:val="20"/>
        </w:rPr>
        <w:t xml:space="preserve">negative; ≈marginal; ? uncertain; n.a. not applicable.  </w:t>
      </w:r>
    </w:p>
    <w:p w:rsidR="00BB52D7" w:rsidRDefault="00E33AE6">
      <w:pPr>
        <w:spacing w:after="216" w:line="259" w:lineRule="auto"/>
        <w:ind w:left="0" w:firstLine="0"/>
        <w:jc w:val="left"/>
      </w:pPr>
      <w:r>
        <w:t xml:space="preserve"> </w:t>
      </w:r>
    </w:p>
    <w:p w:rsidR="00BB52D7" w:rsidRDefault="00E33AE6">
      <w:pPr>
        <w:spacing w:after="216" w:line="259" w:lineRule="auto"/>
        <w:ind w:left="0" w:firstLine="0"/>
        <w:jc w:val="left"/>
      </w:pPr>
      <w:r>
        <w:t xml:space="preserve"> </w:t>
      </w:r>
    </w:p>
    <w:p w:rsidR="00BB52D7" w:rsidRDefault="00E33AE6">
      <w:pPr>
        <w:spacing w:after="0" w:line="259" w:lineRule="auto"/>
        <w:ind w:left="0" w:firstLine="0"/>
        <w:jc w:val="left"/>
      </w:pPr>
      <w:r>
        <w:t xml:space="preserve"> </w:t>
      </w:r>
    </w:p>
    <w:p w:rsidR="00BB52D7" w:rsidRDefault="00BB52D7">
      <w:pPr>
        <w:sectPr w:rsidR="00BB52D7">
          <w:footerReference w:type="even" r:id="rId31"/>
          <w:footerReference w:type="default" r:id="rId32"/>
          <w:footerReference w:type="first" r:id="rId33"/>
          <w:pgSz w:w="11906" w:h="16838"/>
          <w:pgMar w:top="1232" w:right="850" w:bottom="710" w:left="1418" w:header="708" w:footer="708" w:gutter="0"/>
          <w:cols w:space="708"/>
          <w:titlePg/>
        </w:sectPr>
      </w:pPr>
    </w:p>
    <w:p w:rsidR="00BB52D7" w:rsidRDefault="00E33AE6">
      <w:pPr>
        <w:pStyle w:val="Heading2"/>
        <w:spacing w:after="229"/>
        <w:ind w:left="10" w:right="0"/>
        <w:jc w:val="both"/>
      </w:pPr>
      <w:bookmarkStart w:id="31" w:name="_Toc240991"/>
      <w:r>
        <w:rPr>
          <w:i w:val="0"/>
          <w:u w:val="none"/>
        </w:rPr>
        <w:lastRenderedPageBreak/>
        <w:t xml:space="preserve">Annex 7: How problems could evolve with regard to the various issues – Madoff case  </w:t>
      </w:r>
      <w:bookmarkEnd w:id="31"/>
    </w:p>
    <w:p w:rsidR="00BB52D7" w:rsidRDefault="00E33AE6">
      <w:pPr>
        <w:spacing w:after="0"/>
        <w:ind w:left="10" w:right="514"/>
      </w:pPr>
      <w:r>
        <w:t>In the LUXALPHA case</w:t>
      </w:r>
      <w:r>
        <w:rPr>
          <w:vertAlign w:val="superscript"/>
        </w:rPr>
        <w:footnoteReference w:id="93"/>
      </w:r>
      <w:r>
        <w:t>, the portfolio management was ensured by UBS Third Party M.C from 08/01/2006 to 11/18/2008. However, this entity has delegated their portfolio management to an entity named Bernard L, MADOFF Investment Securities LLC (BMIS). Furthermore, the custodian act</w:t>
      </w:r>
      <w:r>
        <w:t xml:space="preserve">ivity has been ensured by UBS (Luxembourg) SA who has entirely delegated to Bernard L, MADOFF Investment Securities LLC (BMIS) the custody of some assets. </w:t>
      </w:r>
    </w:p>
    <w:p w:rsidR="00BB52D7" w:rsidRDefault="00E33AE6">
      <w:pPr>
        <w:spacing w:after="0" w:line="259" w:lineRule="auto"/>
        <w:ind w:left="0" w:firstLine="0"/>
        <w:jc w:val="left"/>
      </w:pPr>
      <w:r>
        <w:t xml:space="preserve"> </w:t>
      </w:r>
    </w:p>
    <w:p w:rsidR="00BB52D7" w:rsidRDefault="00E33AE6">
      <w:pPr>
        <w:spacing w:after="0"/>
        <w:ind w:left="10" w:right="516"/>
      </w:pPr>
      <w:r>
        <w:t>The large scale of the Madoff fraud essentially went undetected for a long period because the depo</w:t>
      </w:r>
      <w:r>
        <w:t>sitary responsible for the safekeeping of the fund assets delegated custody over these assets to the same entity run by Bernard Madoff to which the management of investments was delegated. This has been reinforced by the fact that the information regarding</w:t>
      </w:r>
      <w:r>
        <w:t xml:space="preserve"> the delegation has not been disclosed to investors. </w:t>
      </w:r>
    </w:p>
    <w:p w:rsidR="00BB52D7" w:rsidRDefault="00E33AE6">
      <w:pPr>
        <w:spacing w:after="0" w:line="259" w:lineRule="auto"/>
        <w:ind w:left="0" w:firstLine="0"/>
        <w:jc w:val="left"/>
      </w:pPr>
      <w:r>
        <w:t xml:space="preserve"> </w:t>
      </w:r>
    </w:p>
    <w:p w:rsidR="00BB52D7" w:rsidRDefault="00E33AE6">
      <w:pPr>
        <w:ind w:left="10" w:right="843"/>
      </w:pPr>
      <w:r>
        <w:t xml:space="preserve">The chart below shows the structure of the delegation structure in the Luxalpha case: </w:t>
      </w:r>
    </w:p>
    <w:p w:rsidR="00BB52D7" w:rsidRDefault="00E33AE6">
      <w:pPr>
        <w:spacing w:after="0" w:line="259" w:lineRule="auto"/>
        <w:ind w:left="0" w:firstLine="0"/>
        <w:jc w:val="left"/>
      </w:pPr>
      <w:r>
        <w:t xml:space="preserve"> </w:t>
      </w:r>
      <w:r>
        <w:br w:type="page"/>
      </w:r>
    </w:p>
    <w:p w:rsidR="00BB52D7" w:rsidRDefault="00E33AE6">
      <w:pPr>
        <w:spacing w:after="0" w:line="259" w:lineRule="auto"/>
        <w:ind w:left="0" w:firstLine="0"/>
        <w:jc w:val="left"/>
      </w:pPr>
      <w:r>
        <w:lastRenderedPageBreak/>
        <w:t xml:space="preserve"> </w:t>
      </w:r>
    </w:p>
    <w:p w:rsidR="00BB52D7" w:rsidRDefault="00E33AE6">
      <w:pPr>
        <w:spacing w:after="22" w:line="259" w:lineRule="auto"/>
        <w:ind w:left="323" w:firstLine="0"/>
        <w:jc w:val="left"/>
      </w:pPr>
      <w:r>
        <w:rPr>
          <w:rFonts w:ascii="Calibri" w:eastAsia="Calibri" w:hAnsi="Calibri" w:cs="Calibri"/>
          <w:noProof/>
          <w:sz w:val="22"/>
        </w:rPr>
        <mc:AlternateContent>
          <mc:Choice Requires="wpg">
            <w:drawing>
              <wp:inline distT="0" distB="0" distL="0" distR="0">
                <wp:extent cx="5833110" cy="5746649"/>
                <wp:effectExtent l="0" t="0" r="0" b="0"/>
                <wp:docPr id="193578" name="Group 193578"/>
                <wp:cNvGraphicFramePr/>
                <a:graphic xmlns:a="http://schemas.openxmlformats.org/drawingml/2006/main">
                  <a:graphicData uri="http://schemas.microsoft.com/office/word/2010/wordprocessingGroup">
                    <wpg:wgp>
                      <wpg:cNvGrpSpPr/>
                      <wpg:grpSpPr>
                        <a:xfrm>
                          <a:off x="0" y="0"/>
                          <a:ext cx="5833110" cy="5746649"/>
                          <a:chOff x="0" y="0"/>
                          <a:chExt cx="5833110" cy="5746649"/>
                        </a:xfrm>
                      </wpg:grpSpPr>
                      <wps:wsp>
                        <wps:cNvPr id="31861" name="Shape 31861"/>
                        <wps:cNvSpPr/>
                        <wps:spPr>
                          <a:xfrm>
                            <a:off x="2101850" y="0"/>
                            <a:ext cx="1946910" cy="777875"/>
                          </a:xfrm>
                          <a:custGeom>
                            <a:avLst/>
                            <a:gdLst/>
                            <a:ahLst/>
                            <a:cxnLst/>
                            <a:rect l="0" t="0" r="0" b="0"/>
                            <a:pathLst>
                              <a:path w="1946910" h="777875">
                                <a:moveTo>
                                  <a:pt x="0" y="777875"/>
                                </a:moveTo>
                                <a:lnTo>
                                  <a:pt x="1946910" y="777875"/>
                                </a:lnTo>
                                <a:lnTo>
                                  <a:pt x="19469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1862" name="Rectangle 31862"/>
                        <wps:cNvSpPr/>
                        <wps:spPr>
                          <a:xfrm>
                            <a:off x="2720086" y="56744"/>
                            <a:ext cx="946166" cy="224380"/>
                          </a:xfrm>
                          <a:prstGeom prst="rect">
                            <a:avLst/>
                          </a:prstGeom>
                          <a:ln>
                            <a:noFill/>
                          </a:ln>
                        </wps:spPr>
                        <wps:txbx>
                          <w:txbxContent>
                            <w:p w:rsidR="00BB52D7" w:rsidRDefault="00E33AE6">
                              <w:pPr>
                                <w:spacing w:after="160" w:line="259" w:lineRule="auto"/>
                                <w:ind w:left="0" w:firstLine="0"/>
                                <w:jc w:val="left"/>
                              </w:pPr>
                              <w:r>
                                <w:rPr>
                                  <w:b/>
                                </w:rPr>
                                <w:t>Promoteur</w:t>
                              </w:r>
                            </w:p>
                          </w:txbxContent>
                        </wps:txbx>
                        <wps:bodyPr horzOverflow="overflow" vert="horz" lIns="0" tIns="0" rIns="0" bIns="0" rtlCol="0">
                          <a:noAutofit/>
                        </wps:bodyPr>
                      </wps:wsp>
                      <wps:wsp>
                        <wps:cNvPr id="31863" name="Rectangle 31863"/>
                        <wps:cNvSpPr/>
                        <wps:spPr>
                          <a:xfrm>
                            <a:off x="3431032" y="56744"/>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864" name="Rectangle 31864"/>
                        <wps:cNvSpPr/>
                        <wps:spPr>
                          <a:xfrm>
                            <a:off x="2554732" y="383642"/>
                            <a:ext cx="1385400" cy="224380"/>
                          </a:xfrm>
                          <a:prstGeom prst="rect">
                            <a:avLst/>
                          </a:prstGeom>
                          <a:ln>
                            <a:noFill/>
                          </a:ln>
                        </wps:spPr>
                        <wps:txbx>
                          <w:txbxContent>
                            <w:p w:rsidR="00BB52D7" w:rsidRDefault="00E33AE6">
                              <w:pPr>
                                <w:spacing w:after="160" w:line="259" w:lineRule="auto"/>
                                <w:ind w:left="0" w:firstLine="0"/>
                                <w:jc w:val="left"/>
                              </w:pPr>
                              <w:r>
                                <w:rPr>
                                  <w:i/>
                                </w:rPr>
                                <w:t>UBS AG (Suisse)</w:t>
                              </w:r>
                            </w:p>
                          </w:txbxContent>
                        </wps:txbx>
                        <wps:bodyPr horzOverflow="overflow" vert="horz" lIns="0" tIns="0" rIns="0" bIns="0" rtlCol="0">
                          <a:noAutofit/>
                        </wps:bodyPr>
                      </wps:wsp>
                      <wps:wsp>
                        <wps:cNvPr id="31865" name="Rectangle 31865"/>
                        <wps:cNvSpPr/>
                        <wps:spPr>
                          <a:xfrm>
                            <a:off x="3596386" y="383642"/>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866" name="Rectangle 31866"/>
                        <wps:cNvSpPr/>
                        <wps:spPr>
                          <a:xfrm>
                            <a:off x="2377186" y="558902"/>
                            <a:ext cx="1857875" cy="224380"/>
                          </a:xfrm>
                          <a:prstGeom prst="rect">
                            <a:avLst/>
                          </a:prstGeom>
                          <a:ln>
                            <a:noFill/>
                          </a:ln>
                        </wps:spPr>
                        <wps:txbx>
                          <w:txbxContent>
                            <w:p w:rsidR="00BB52D7" w:rsidRDefault="00E33AE6">
                              <w:pPr>
                                <w:spacing w:after="160" w:line="259" w:lineRule="auto"/>
                                <w:ind w:left="0" w:firstLine="0"/>
                                <w:jc w:val="left"/>
                              </w:pPr>
                              <w:r>
                                <w:rPr>
                                  <w:i/>
                                </w:rPr>
                                <w:t>UBS SA (Luxembourg)</w:t>
                              </w:r>
                            </w:p>
                          </w:txbxContent>
                        </wps:txbx>
                        <wps:bodyPr horzOverflow="overflow" vert="horz" lIns="0" tIns="0" rIns="0" bIns="0" rtlCol="0">
                          <a:noAutofit/>
                        </wps:bodyPr>
                      </wps:wsp>
                      <wps:wsp>
                        <wps:cNvPr id="31867" name="Rectangle 31867"/>
                        <wps:cNvSpPr/>
                        <wps:spPr>
                          <a:xfrm>
                            <a:off x="3773932" y="558902"/>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871" name="Shape 31871"/>
                        <wps:cNvSpPr/>
                        <wps:spPr>
                          <a:xfrm>
                            <a:off x="2132330" y="979170"/>
                            <a:ext cx="1975485" cy="659130"/>
                          </a:xfrm>
                          <a:custGeom>
                            <a:avLst/>
                            <a:gdLst/>
                            <a:ahLst/>
                            <a:cxnLst/>
                            <a:rect l="0" t="0" r="0" b="0"/>
                            <a:pathLst>
                              <a:path w="1975485" h="659130">
                                <a:moveTo>
                                  <a:pt x="0" y="659130"/>
                                </a:moveTo>
                                <a:lnTo>
                                  <a:pt x="1975485" y="659130"/>
                                </a:lnTo>
                                <a:lnTo>
                                  <a:pt x="197548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1872" name="Rectangle 31872"/>
                        <wps:cNvSpPr/>
                        <wps:spPr>
                          <a:xfrm>
                            <a:off x="3120898" y="1036168"/>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873" name="Rectangle 31873"/>
                        <wps:cNvSpPr/>
                        <wps:spPr>
                          <a:xfrm>
                            <a:off x="2693416" y="1211428"/>
                            <a:ext cx="1137339" cy="224380"/>
                          </a:xfrm>
                          <a:prstGeom prst="rect">
                            <a:avLst/>
                          </a:prstGeom>
                          <a:ln>
                            <a:noFill/>
                          </a:ln>
                        </wps:spPr>
                        <wps:txbx>
                          <w:txbxContent>
                            <w:p w:rsidR="00BB52D7" w:rsidRDefault="00E33AE6">
                              <w:pPr>
                                <w:spacing w:after="160" w:line="259" w:lineRule="auto"/>
                                <w:ind w:left="0" w:firstLine="0"/>
                                <w:jc w:val="left"/>
                              </w:pPr>
                              <w:r>
                                <w:rPr>
                                  <w:b/>
                                </w:rPr>
                                <w:t>LUXALPHA</w:t>
                              </w:r>
                            </w:p>
                          </w:txbxContent>
                        </wps:txbx>
                        <wps:bodyPr horzOverflow="overflow" vert="horz" lIns="0" tIns="0" rIns="0" bIns="0" rtlCol="0">
                          <a:noAutofit/>
                        </wps:bodyPr>
                      </wps:wsp>
                      <wps:wsp>
                        <wps:cNvPr id="31874" name="Rectangle 31874"/>
                        <wps:cNvSpPr/>
                        <wps:spPr>
                          <a:xfrm>
                            <a:off x="3548380" y="1211428"/>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875" name="Rectangle 31875"/>
                        <wps:cNvSpPr/>
                        <wps:spPr>
                          <a:xfrm>
                            <a:off x="3120898" y="1385164"/>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878" name="Shape 31878"/>
                        <wps:cNvSpPr/>
                        <wps:spPr>
                          <a:xfrm>
                            <a:off x="4488815" y="1118235"/>
                            <a:ext cx="1266825" cy="434340"/>
                          </a:xfrm>
                          <a:custGeom>
                            <a:avLst/>
                            <a:gdLst/>
                            <a:ahLst/>
                            <a:cxnLst/>
                            <a:rect l="0" t="0" r="0" b="0"/>
                            <a:pathLst>
                              <a:path w="1266825" h="434340">
                                <a:moveTo>
                                  <a:pt x="0" y="434340"/>
                                </a:moveTo>
                                <a:lnTo>
                                  <a:pt x="1266825" y="434340"/>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1879" name="Rectangle 31879"/>
                        <wps:cNvSpPr/>
                        <wps:spPr>
                          <a:xfrm>
                            <a:off x="4865370" y="1174852"/>
                            <a:ext cx="686284" cy="224380"/>
                          </a:xfrm>
                          <a:prstGeom prst="rect">
                            <a:avLst/>
                          </a:prstGeom>
                          <a:ln>
                            <a:noFill/>
                          </a:ln>
                        </wps:spPr>
                        <wps:txbx>
                          <w:txbxContent>
                            <w:p w:rsidR="00BB52D7" w:rsidRDefault="00E33AE6">
                              <w:pPr>
                                <w:spacing w:after="160" w:line="259" w:lineRule="auto"/>
                                <w:ind w:left="0" w:firstLine="0"/>
                                <w:jc w:val="left"/>
                              </w:pPr>
                              <w:r>
                                <w:rPr>
                                  <w:b/>
                                </w:rPr>
                                <w:t>Auditor</w:t>
                              </w:r>
                            </w:p>
                          </w:txbxContent>
                        </wps:txbx>
                        <wps:bodyPr horzOverflow="overflow" vert="horz" lIns="0" tIns="0" rIns="0" bIns="0" rtlCol="0">
                          <a:noAutofit/>
                        </wps:bodyPr>
                      </wps:wsp>
                      <wps:wsp>
                        <wps:cNvPr id="31880" name="Rectangle 31880"/>
                        <wps:cNvSpPr/>
                        <wps:spPr>
                          <a:xfrm>
                            <a:off x="5382006" y="1174852"/>
                            <a:ext cx="50674"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881" name="Rectangle 31881"/>
                        <wps:cNvSpPr/>
                        <wps:spPr>
                          <a:xfrm>
                            <a:off x="4786884" y="1350111"/>
                            <a:ext cx="945153" cy="224380"/>
                          </a:xfrm>
                          <a:prstGeom prst="rect">
                            <a:avLst/>
                          </a:prstGeom>
                          <a:ln>
                            <a:noFill/>
                          </a:ln>
                        </wps:spPr>
                        <wps:txbx>
                          <w:txbxContent>
                            <w:p w:rsidR="00BB52D7" w:rsidRDefault="00E33AE6">
                              <w:pPr>
                                <w:spacing w:after="160" w:line="259" w:lineRule="auto"/>
                                <w:ind w:left="0" w:firstLine="0"/>
                                <w:jc w:val="left"/>
                              </w:pPr>
                              <w:r>
                                <w:rPr>
                                  <w:b/>
                                </w:rPr>
                                <w:t xml:space="preserve">ERNST &amp; </w:t>
                              </w:r>
                            </w:p>
                          </w:txbxContent>
                        </wps:txbx>
                        <wps:bodyPr horzOverflow="overflow" vert="horz" lIns="0" tIns="0" rIns="0" bIns="0" rtlCol="0">
                          <a:noAutofit/>
                        </wps:bodyPr>
                      </wps:wsp>
                      <wps:wsp>
                        <wps:cNvPr id="31887" name="Shape 31887"/>
                        <wps:cNvSpPr/>
                        <wps:spPr>
                          <a:xfrm>
                            <a:off x="4721860" y="1886585"/>
                            <a:ext cx="1111250" cy="1142365"/>
                          </a:xfrm>
                          <a:custGeom>
                            <a:avLst/>
                            <a:gdLst/>
                            <a:ahLst/>
                            <a:cxnLst/>
                            <a:rect l="0" t="0" r="0" b="0"/>
                            <a:pathLst>
                              <a:path w="1111250" h="1142365">
                                <a:moveTo>
                                  <a:pt x="0" y="1142365"/>
                                </a:moveTo>
                                <a:lnTo>
                                  <a:pt x="1111250" y="1142365"/>
                                </a:lnTo>
                                <a:lnTo>
                                  <a:pt x="11112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1888" name="Rectangle 31888"/>
                        <wps:cNvSpPr/>
                        <wps:spPr>
                          <a:xfrm>
                            <a:off x="4909566" y="1943709"/>
                            <a:ext cx="980421" cy="224380"/>
                          </a:xfrm>
                          <a:prstGeom prst="rect">
                            <a:avLst/>
                          </a:prstGeom>
                          <a:ln>
                            <a:noFill/>
                          </a:ln>
                        </wps:spPr>
                        <wps:txbx>
                          <w:txbxContent>
                            <w:p w:rsidR="00BB52D7" w:rsidRDefault="00E33AE6">
                              <w:pPr>
                                <w:spacing w:after="160" w:line="259" w:lineRule="auto"/>
                                <w:ind w:left="0" w:firstLine="0"/>
                                <w:jc w:val="left"/>
                              </w:pPr>
                              <w:r>
                                <w:rPr>
                                  <w:b/>
                                </w:rPr>
                                <w:t>Distributor</w:t>
                              </w:r>
                            </w:p>
                          </w:txbxContent>
                        </wps:txbx>
                        <wps:bodyPr horzOverflow="overflow" vert="horz" lIns="0" tIns="0" rIns="0" bIns="0" rtlCol="0">
                          <a:noAutofit/>
                        </wps:bodyPr>
                      </wps:wsp>
                      <wps:wsp>
                        <wps:cNvPr id="31889" name="Rectangle 31889"/>
                        <wps:cNvSpPr/>
                        <wps:spPr>
                          <a:xfrm>
                            <a:off x="5646420" y="1943709"/>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890" name="Rectangle 31890"/>
                        <wps:cNvSpPr/>
                        <wps:spPr>
                          <a:xfrm>
                            <a:off x="5138928" y="2118208"/>
                            <a:ext cx="422207" cy="224380"/>
                          </a:xfrm>
                          <a:prstGeom prst="rect">
                            <a:avLst/>
                          </a:prstGeom>
                          <a:ln>
                            <a:noFill/>
                          </a:ln>
                        </wps:spPr>
                        <wps:txbx>
                          <w:txbxContent>
                            <w:p w:rsidR="00BB52D7" w:rsidRDefault="00E33AE6">
                              <w:pPr>
                                <w:spacing w:after="160" w:line="259" w:lineRule="auto"/>
                                <w:ind w:left="0" w:firstLine="0"/>
                                <w:jc w:val="left"/>
                              </w:pPr>
                              <w:r>
                                <w:rPr>
                                  <w:i/>
                                </w:rPr>
                                <w:t xml:space="preserve">UBS </w:t>
                              </w:r>
                            </w:p>
                          </w:txbxContent>
                        </wps:txbx>
                        <wps:bodyPr horzOverflow="overflow" vert="horz" lIns="0" tIns="0" rIns="0" bIns="0" rtlCol="0">
                          <a:noAutofit/>
                        </wps:bodyPr>
                      </wps:wsp>
                      <wps:wsp>
                        <wps:cNvPr id="193419" name="Rectangle 193419"/>
                        <wps:cNvSpPr/>
                        <wps:spPr>
                          <a:xfrm>
                            <a:off x="4893259" y="2293468"/>
                            <a:ext cx="1142170" cy="224380"/>
                          </a:xfrm>
                          <a:prstGeom prst="rect">
                            <a:avLst/>
                          </a:prstGeom>
                          <a:ln>
                            <a:noFill/>
                          </a:ln>
                        </wps:spPr>
                        <wps:txbx>
                          <w:txbxContent>
                            <w:p w:rsidR="00BB52D7" w:rsidRDefault="00E33AE6">
                              <w:pPr>
                                <w:spacing w:after="160" w:line="259" w:lineRule="auto"/>
                                <w:ind w:left="0" w:firstLine="0"/>
                                <w:jc w:val="left"/>
                              </w:pPr>
                              <w:r>
                                <w:rPr>
                                  <w:i/>
                                </w:rPr>
                                <w:t xml:space="preserve">Luxembourg) </w:t>
                              </w:r>
                            </w:p>
                          </w:txbxContent>
                        </wps:txbx>
                        <wps:bodyPr horzOverflow="overflow" vert="horz" lIns="0" tIns="0" rIns="0" bIns="0" rtlCol="0">
                          <a:noAutofit/>
                        </wps:bodyPr>
                      </wps:wsp>
                      <wps:wsp>
                        <wps:cNvPr id="193418" name="Rectangle 193418"/>
                        <wps:cNvSpPr/>
                        <wps:spPr>
                          <a:xfrm>
                            <a:off x="4842510" y="2293468"/>
                            <a:ext cx="67498" cy="224380"/>
                          </a:xfrm>
                          <a:prstGeom prst="rect">
                            <a:avLst/>
                          </a:prstGeom>
                          <a:ln>
                            <a:noFill/>
                          </a:ln>
                        </wps:spPr>
                        <wps:txbx>
                          <w:txbxContent>
                            <w:p w:rsidR="00BB52D7" w:rsidRDefault="00E33AE6">
                              <w:pPr>
                                <w:spacing w:after="160" w:line="259" w:lineRule="auto"/>
                                <w:ind w:left="0" w:firstLine="0"/>
                                <w:jc w:val="left"/>
                              </w:pPr>
                              <w:r>
                                <w:rPr>
                                  <w:i/>
                                </w:rPr>
                                <w:t>(</w:t>
                              </w:r>
                            </w:p>
                          </w:txbxContent>
                        </wps:txbx>
                        <wps:bodyPr horzOverflow="overflow" vert="horz" lIns="0" tIns="0" rIns="0" bIns="0" rtlCol="0">
                          <a:noAutofit/>
                        </wps:bodyPr>
                      </wps:wsp>
                      <wps:wsp>
                        <wps:cNvPr id="31892" name="Rectangle 31892"/>
                        <wps:cNvSpPr/>
                        <wps:spPr>
                          <a:xfrm>
                            <a:off x="5193792" y="2468728"/>
                            <a:ext cx="225158" cy="224380"/>
                          </a:xfrm>
                          <a:prstGeom prst="rect">
                            <a:avLst/>
                          </a:prstGeom>
                          <a:ln>
                            <a:noFill/>
                          </a:ln>
                        </wps:spPr>
                        <wps:txbx>
                          <w:txbxContent>
                            <w:p w:rsidR="00BB52D7" w:rsidRDefault="00E33AE6">
                              <w:pPr>
                                <w:spacing w:after="160" w:line="259" w:lineRule="auto"/>
                                <w:ind w:left="0" w:firstLine="0"/>
                                <w:jc w:val="left"/>
                              </w:pPr>
                              <w:r>
                                <w:rPr>
                                  <w:i/>
                                </w:rPr>
                                <w:t>SA</w:t>
                              </w:r>
                            </w:p>
                          </w:txbxContent>
                        </wps:txbx>
                        <wps:bodyPr horzOverflow="overflow" vert="horz" lIns="0" tIns="0" rIns="0" bIns="0" rtlCol="0">
                          <a:noAutofit/>
                        </wps:bodyPr>
                      </wps:wsp>
                      <wps:wsp>
                        <wps:cNvPr id="31893" name="Rectangle 31893"/>
                        <wps:cNvSpPr/>
                        <wps:spPr>
                          <a:xfrm>
                            <a:off x="5362956" y="2468728"/>
                            <a:ext cx="50674"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894" name="Rectangle 31894"/>
                        <wps:cNvSpPr/>
                        <wps:spPr>
                          <a:xfrm>
                            <a:off x="5278374" y="264322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895" name="Rectangle 31895"/>
                        <wps:cNvSpPr/>
                        <wps:spPr>
                          <a:xfrm>
                            <a:off x="4818888" y="297088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897" name="Shape 31897"/>
                        <wps:cNvSpPr/>
                        <wps:spPr>
                          <a:xfrm>
                            <a:off x="3360420" y="1867535"/>
                            <a:ext cx="1215390" cy="1161415"/>
                          </a:xfrm>
                          <a:custGeom>
                            <a:avLst/>
                            <a:gdLst/>
                            <a:ahLst/>
                            <a:cxnLst/>
                            <a:rect l="0" t="0" r="0" b="0"/>
                            <a:pathLst>
                              <a:path w="1215390" h="1161415">
                                <a:moveTo>
                                  <a:pt x="0" y="1161415"/>
                                </a:moveTo>
                                <a:lnTo>
                                  <a:pt x="1215390" y="1161415"/>
                                </a:lnTo>
                                <a:lnTo>
                                  <a:pt x="121539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1898" name="Rectangle 31898"/>
                        <wps:cNvSpPr/>
                        <wps:spPr>
                          <a:xfrm>
                            <a:off x="3477514" y="1924659"/>
                            <a:ext cx="1357226" cy="224380"/>
                          </a:xfrm>
                          <a:prstGeom prst="rect">
                            <a:avLst/>
                          </a:prstGeom>
                          <a:ln>
                            <a:noFill/>
                          </a:ln>
                        </wps:spPr>
                        <wps:txbx>
                          <w:txbxContent>
                            <w:p w:rsidR="00BB52D7" w:rsidRDefault="00E33AE6">
                              <w:pPr>
                                <w:spacing w:after="160" w:line="259" w:lineRule="auto"/>
                                <w:ind w:left="0" w:firstLine="0"/>
                                <w:jc w:val="left"/>
                              </w:pPr>
                              <w:r>
                                <w:rPr>
                                  <w:b/>
                                </w:rPr>
                                <w:t xml:space="preserve">Administrative </w:t>
                              </w:r>
                            </w:p>
                          </w:txbxContent>
                        </wps:txbx>
                        <wps:bodyPr horzOverflow="overflow" vert="horz" lIns="0" tIns="0" rIns="0" bIns="0" rtlCol="0">
                          <a:noAutofit/>
                        </wps:bodyPr>
                      </wps:wsp>
                      <wps:wsp>
                        <wps:cNvPr id="31899" name="Rectangle 31899"/>
                        <wps:cNvSpPr/>
                        <wps:spPr>
                          <a:xfrm>
                            <a:off x="3774694" y="2099920"/>
                            <a:ext cx="517880" cy="224380"/>
                          </a:xfrm>
                          <a:prstGeom prst="rect">
                            <a:avLst/>
                          </a:prstGeom>
                          <a:ln>
                            <a:noFill/>
                          </a:ln>
                        </wps:spPr>
                        <wps:txbx>
                          <w:txbxContent>
                            <w:p w:rsidR="00BB52D7" w:rsidRDefault="00E33AE6">
                              <w:pPr>
                                <w:spacing w:after="160" w:line="259" w:lineRule="auto"/>
                                <w:ind w:left="0" w:firstLine="0"/>
                                <w:jc w:val="left"/>
                              </w:pPr>
                              <w:r>
                                <w:rPr>
                                  <w:b/>
                                </w:rPr>
                                <w:t>Agent</w:t>
                              </w:r>
                            </w:p>
                          </w:txbxContent>
                        </wps:txbx>
                        <wps:bodyPr horzOverflow="overflow" vert="horz" lIns="0" tIns="0" rIns="0" bIns="0" rtlCol="0">
                          <a:noAutofit/>
                        </wps:bodyPr>
                      </wps:wsp>
                      <wps:wsp>
                        <wps:cNvPr id="31900" name="Rectangle 31900"/>
                        <wps:cNvSpPr/>
                        <wps:spPr>
                          <a:xfrm>
                            <a:off x="4164330" y="2099920"/>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01" name="Rectangle 31901"/>
                        <wps:cNvSpPr/>
                        <wps:spPr>
                          <a:xfrm>
                            <a:off x="3649726" y="2274418"/>
                            <a:ext cx="900155" cy="224380"/>
                          </a:xfrm>
                          <a:prstGeom prst="rect">
                            <a:avLst/>
                          </a:prstGeom>
                          <a:ln>
                            <a:noFill/>
                          </a:ln>
                        </wps:spPr>
                        <wps:txbx>
                          <w:txbxContent>
                            <w:p w:rsidR="00BB52D7" w:rsidRDefault="00E33AE6">
                              <w:pPr>
                                <w:spacing w:after="160" w:line="259" w:lineRule="auto"/>
                                <w:ind w:left="0" w:firstLine="0"/>
                                <w:jc w:val="left"/>
                              </w:pPr>
                              <w:r>
                                <w:rPr>
                                  <w:i/>
                                </w:rPr>
                                <w:t xml:space="preserve">UBS Fund </w:t>
                              </w:r>
                            </w:p>
                          </w:txbxContent>
                        </wps:txbx>
                        <wps:bodyPr horzOverflow="overflow" vert="horz" lIns="0" tIns="0" rIns="0" bIns="0" rtlCol="0">
                          <a:noAutofit/>
                        </wps:bodyPr>
                      </wps:wsp>
                      <wps:wsp>
                        <wps:cNvPr id="31902" name="Rectangle 31902"/>
                        <wps:cNvSpPr/>
                        <wps:spPr>
                          <a:xfrm>
                            <a:off x="3715258" y="2449678"/>
                            <a:ext cx="675775" cy="224380"/>
                          </a:xfrm>
                          <a:prstGeom prst="rect">
                            <a:avLst/>
                          </a:prstGeom>
                          <a:ln>
                            <a:noFill/>
                          </a:ln>
                        </wps:spPr>
                        <wps:txbx>
                          <w:txbxContent>
                            <w:p w:rsidR="00BB52D7" w:rsidRDefault="00E33AE6">
                              <w:pPr>
                                <w:spacing w:after="160" w:line="259" w:lineRule="auto"/>
                                <w:ind w:left="0" w:firstLine="0"/>
                                <w:jc w:val="left"/>
                              </w:pPr>
                              <w:r>
                                <w:rPr>
                                  <w:i/>
                                </w:rPr>
                                <w:t>Services</w:t>
                              </w:r>
                            </w:p>
                          </w:txbxContent>
                        </wps:txbx>
                        <wps:bodyPr horzOverflow="overflow" vert="horz" lIns="0" tIns="0" rIns="0" bIns="0" rtlCol="0">
                          <a:noAutofit/>
                        </wps:bodyPr>
                      </wps:wsp>
                      <wps:wsp>
                        <wps:cNvPr id="31903" name="Rectangle 31903"/>
                        <wps:cNvSpPr/>
                        <wps:spPr>
                          <a:xfrm>
                            <a:off x="4223004" y="2449678"/>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904" name="Rectangle 31904"/>
                        <wps:cNvSpPr/>
                        <wps:spPr>
                          <a:xfrm>
                            <a:off x="3480562" y="2624938"/>
                            <a:ext cx="1300440" cy="224380"/>
                          </a:xfrm>
                          <a:prstGeom prst="rect">
                            <a:avLst/>
                          </a:prstGeom>
                          <a:ln>
                            <a:noFill/>
                          </a:ln>
                        </wps:spPr>
                        <wps:txbx>
                          <w:txbxContent>
                            <w:p w:rsidR="00BB52D7" w:rsidRDefault="00E33AE6">
                              <w:pPr>
                                <w:spacing w:after="160" w:line="259" w:lineRule="auto"/>
                                <w:ind w:left="0" w:firstLine="0"/>
                                <w:jc w:val="left"/>
                              </w:pPr>
                              <w:r>
                                <w:rPr>
                                  <w:i/>
                                </w:rPr>
                                <w:t>Luxembourg SA</w:t>
                              </w:r>
                            </w:p>
                          </w:txbxContent>
                        </wps:txbx>
                        <wps:bodyPr horzOverflow="overflow" vert="horz" lIns="0" tIns="0" rIns="0" bIns="0" rtlCol="0">
                          <a:noAutofit/>
                        </wps:bodyPr>
                      </wps:wsp>
                      <wps:wsp>
                        <wps:cNvPr id="31905" name="Rectangle 31905"/>
                        <wps:cNvSpPr/>
                        <wps:spPr>
                          <a:xfrm>
                            <a:off x="4458462" y="2624938"/>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906" name="Rectangle 31906"/>
                        <wps:cNvSpPr/>
                        <wps:spPr>
                          <a:xfrm>
                            <a:off x="3969004" y="2799435"/>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09" name="Shape 31909"/>
                        <wps:cNvSpPr/>
                        <wps:spPr>
                          <a:xfrm>
                            <a:off x="1516380" y="1896110"/>
                            <a:ext cx="1604010" cy="1132840"/>
                          </a:xfrm>
                          <a:custGeom>
                            <a:avLst/>
                            <a:gdLst/>
                            <a:ahLst/>
                            <a:cxnLst/>
                            <a:rect l="0" t="0" r="0" b="0"/>
                            <a:pathLst>
                              <a:path w="1604010" h="1132840">
                                <a:moveTo>
                                  <a:pt x="0" y="1132840"/>
                                </a:moveTo>
                                <a:lnTo>
                                  <a:pt x="1604010" y="1132840"/>
                                </a:lnTo>
                                <a:lnTo>
                                  <a:pt x="1604010" y="0"/>
                                </a:lnTo>
                                <a:lnTo>
                                  <a:pt x="0" y="0"/>
                                </a:lnTo>
                                <a:close/>
                              </a:path>
                            </a:pathLst>
                          </a:custGeom>
                          <a:ln w="19050" cap="flat">
                            <a:custDash>
                              <a:ds d="600000" sp="450000"/>
                            </a:custDash>
                            <a:miter lim="127000"/>
                          </a:ln>
                        </wps:spPr>
                        <wps:style>
                          <a:lnRef idx="1">
                            <a:srgbClr val="000000"/>
                          </a:lnRef>
                          <a:fillRef idx="0">
                            <a:srgbClr val="000000">
                              <a:alpha val="0"/>
                            </a:srgbClr>
                          </a:fillRef>
                          <a:effectRef idx="0">
                            <a:scrgbClr r="0" g="0" b="0"/>
                          </a:effectRef>
                          <a:fontRef idx="none"/>
                        </wps:style>
                        <wps:bodyPr/>
                      </wps:wsp>
                      <wps:wsp>
                        <wps:cNvPr id="31910" name="Rectangle 31910"/>
                        <wps:cNvSpPr/>
                        <wps:spPr>
                          <a:xfrm>
                            <a:off x="1715516" y="1957426"/>
                            <a:ext cx="1603668" cy="224380"/>
                          </a:xfrm>
                          <a:prstGeom prst="rect">
                            <a:avLst/>
                          </a:prstGeom>
                          <a:ln>
                            <a:noFill/>
                          </a:ln>
                        </wps:spPr>
                        <wps:txbx>
                          <w:txbxContent>
                            <w:p w:rsidR="00BB52D7" w:rsidRDefault="00E33AE6">
                              <w:pPr>
                                <w:spacing w:after="160" w:line="259" w:lineRule="auto"/>
                                <w:ind w:left="0" w:firstLine="0"/>
                                <w:jc w:val="left"/>
                              </w:pPr>
                              <w:r>
                                <w:rPr>
                                  <w:b/>
                                </w:rPr>
                                <w:t>Portfolio Manager</w:t>
                              </w:r>
                            </w:p>
                          </w:txbxContent>
                        </wps:txbx>
                        <wps:bodyPr horzOverflow="overflow" vert="horz" lIns="0" tIns="0" rIns="0" bIns="0" rtlCol="0">
                          <a:noAutofit/>
                        </wps:bodyPr>
                      </wps:wsp>
                      <wps:wsp>
                        <wps:cNvPr id="31911" name="Rectangle 31911"/>
                        <wps:cNvSpPr/>
                        <wps:spPr>
                          <a:xfrm>
                            <a:off x="2922016" y="1957426"/>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12" name="Rectangle 31912"/>
                        <wps:cNvSpPr/>
                        <wps:spPr>
                          <a:xfrm>
                            <a:off x="1630934" y="2131923"/>
                            <a:ext cx="1830309" cy="224380"/>
                          </a:xfrm>
                          <a:prstGeom prst="rect">
                            <a:avLst/>
                          </a:prstGeom>
                          <a:ln>
                            <a:noFill/>
                          </a:ln>
                        </wps:spPr>
                        <wps:txbx>
                          <w:txbxContent>
                            <w:p w:rsidR="00BB52D7" w:rsidRDefault="00E33AE6">
                              <w:pPr>
                                <w:spacing w:after="160" w:line="259" w:lineRule="auto"/>
                                <w:ind w:left="0" w:firstLine="0"/>
                                <w:jc w:val="left"/>
                              </w:pPr>
                              <w:r>
                                <w:rPr>
                                  <w:i/>
                                </w:rPr>
                                <w:t>UBS Third Party M.C.</w:t>
                              </w:r>
                            </w:p>
                          </w:txbxContent>
                        </wps:txbx>
                        <wps:bodyPr horzOverflow="overflow" vert="horz" lIns="0" tIns="0" rIns="0" bIns="0" rtlCol="0">
                          <a:noAutofit/>
                        </wps:bodyPr>
                      </wps:wsp>
                      <wps:wsp>
                        <wps:cNvPr id="31913" name="Rectangle 31913"/>
                        <wps:cNvSpPr/>
                        <wps:spPr>
                          <a:xfrm>
                            <a:off x="3006598" y="2131923"/>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193417" name="Rectangle 193417"/>
                        <wps:cNvSpPr/>
                        <wps:spPr>
                          <a:xfrm>
                            <a:off x="2066809" y="2307184"/>
                            <a:ext cx="772040" cy="224380"/>
                          </a:xfrm>
                          <a:prstGeom prst="rect">
                            <a:avLst/>
                          </a:prstGeom>
                          <a:ln>
                            <a:noFill/>
                          </a:ln>
                        </wps:spPr>
                        <wps:txbx>
                          <w:txbxContent>
                            <w:p w:rsidR="00BB52D7" w:rsidRDefault="00E33AE6">
                              <w:pPr>
                                <w:spacing w:after="160" w:line="259" w:lineRule="auto"/>
                                <w:ind w:left="0" w:firstLine="0"/>
                                <w:jc w:val="left"/>
                              </w:pPr>
                              <w:r>
                                <w:rPr>
                                  <w:i/>
                                </w:rPr>
                                <w:t xml:space="preserve">/01/2006 </w:t>
                              </w:r>
                            </w:p>
                          </w:txbxContent>
                        </wps:txbx>
                        <wps:bodyPr horzOverflow="overflow" vert="horz" lIns="0" tIns="0" rIns="0" bIns="0" rtlCol="0">
                          <a:noAutofit/>
                        </wps:bodyPr>
                      </wps:wsp>
                      <wps:wsp>
                        <wps:cNvPr id="193416" name="Rectangle 193416"/>
                        <wps:cNvSpPr/>
                        <wps:spPr>
                          <a:xfrm>
                            <a:off x="1914398" y="2307184"/>
                            <a:ext cx="202706" cy="224380"/>
                          </a:xfrm>
                          <a:prstGeom prst="rect">
                            <a:avLst/>
                          </a:prstGeom>
                          <a:ln>
                            <a:noFill/>
                          </a:ln>
                        </wps:spPr>
                        <wps:txbx>
                          <w:txbxContent>
                            <w:p w:rsidR="00BB52D7" w:rsidRDefault="00E33AE6">
                              <w:pPr>
                                <w:spacing w:after="160" w:line="259" w:lineRule="auto"/>
                                <w:ind w:left="0" w:firstLine="0"/>
                                <w:jc w:val="left"/>
                              </w:pPr>
                              <w:r>
                                <w:rPr>
                                  <w:i/>
                                </w:rPr>
                                <w:t>08</w:t>
                              </w:r>
                            </w:p>
                          </w:txbxContent>
                        </wps:txbx>
                        <wps:bodyPr horzOverflow="overflow" vert="horz" lIns="0" tIns="0" rIns="0" bIns="0" rtlCol="0">
                          <a:noAutofit/>
                        </wps:bodyPr>
                      </wps:wsp>
                      <wps:wsp>
                        <wps:cNvPr id="31915" name="Rectangle 31915"/>
                        <wps:cNvSpPr/>
                        <wps:spPr>
                          <a:xfrm>
                            <a:off x="2646934" y="2337156"/>
                            <a:ext cx="101346" cy="184580"/>
                          </a:xfrm>
                          <a:prstGeom prst="rect">
                            <a:avLst/>
                          </a:prstGeom>
                          <a:ln>
                            <a:noFill/>
                          </a:ln>
                        </wps:spPr>
                        <wps:txbx>
                          <w:txbxContent>
                            <w:p w:rsidR="00BB52D7" w:rsidRDefault="00E33AE6">
                              <w:pPr>
                                <w:spacing w:after="160" w:line="259" w:lineRule="auto"/>
                                <w:ind w:left="0" w:firstLine="0"/>
                                <w:jc w:val="left"/>
                              </w:pPr>
                              <w:r>
                                <w:rPr>
                                  <w:i/>
                                </w:rPr>
                                <w:t>–</w:t>
                              </w:r>
                            </w:p>
                          </w:txbxContent>
                        </wps:txbx>
                        <wps:bodyPr horzOverflow="overflow" vert="horz" lIns="0" tIns="0" rIns="0" bIns="0" rtlCol="0">
                          <a:noAutofit/>
                        </wps:bodyPr>
                      </wps:wsp>
                      <wps:wsp>
                        <wps:cNvPr id="31916" name="Rectangle 31916"/>
                        <wps:cNvSpPr/>
                        <wps:spPr>
                          <a:xfrm>
                            <a:off x="2723134" y="2307184"/>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917" name="Rectangle 31917"/>
                        <wps:cNvSpPr/>
                        <wps:spPr>
                          <a:xfrm>
                            <a:off x="1971548" y="2482444"/>
                            <a:ext cx="924073" cy="224380"/>
                          </a:xfrm>
                          <a:prstGeom prst="rect">
                            <a:avLst/>
                          </a:prstGeom>
                          <a:ln>
                            <a:noFill/>
                          </a:ln>
                        </wps:spPr>
                        <wps:txbx>
                          <w:txbxContent>
                            <w:p w:rsidR="00BB52D7" w:rsidRDefault="00E33AE6">
                              <w:pPr>
                                <w:spacing w:after="160" w:line="259" w:lineRule="auto"/>
                                <w:ind w:left="0" w:firstLine="0"/>
                                <w:jc w:val="left"/>
                              </w:pPr>
                              <w:r>
                                <w:rPr>
                                  <w:i/>
                                </w:rPr>
                                <w:t>11/18/2008</w:t>
                              </w:r>
                            </w:p>
                          </w:txbxContent>
                        </wps:txbx>
                        <wps:bodyPr horzOverflow="overflow" vert="horz" lIns="0" tIns="0" rIns="0" bIns="0" rtlCol="0">
                          <a:noAutofit/>
                        </wps:bodyPr>
                      </wps:wsp>
                      <wps:wsp>
                        <wps:cNvPr id="31918" name="Rectangle 31918"/>
                        <wps:cNvSpPr/>
                        <wps:spPr>
                          <a:xfrm>
                            <a:off x="2665984" y="2482444"/>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919" name="Rectangle 31919"/>
                        <wps:cNvSpPr/>
                        <wps:spPr>
                          <a:xfrm>
                            <a:off x="2319274" y="265694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22" name="Shape 31922"/>
                        <wps:cNvSpPr/>
                        <wps:spPr>
                          <a:xfrm>
                            <a:off x="1933575" y="3363596"/>
                            <a:ext cx="1946910" cy="1786255"/>
                          </a:xfrm>
                          <a:custGeom>
                            <a:avLst/>
                            <a:gdLst/>
                            <a:ahLst/>
                            <a:cxnLst/>
                            <a:rect l="0" t="0" r="0" b="0"/>
                            <a:pathLst>
                              <a:path w="1946910" h="1786255">
                                <a:moveTo>
                                  <a:pt x="0" y="1786255"/>
                                </a:moveTo>
                                <a:lnTo>
                                  <a:pt x="1946910" y="1786255"/>
                                </a:lnTo>
                                <a:lnTo>
                                  <a:pt x="1946910" y="0"/>
                                </a:lnTo>
                                <a:lnTo>
                                  <a:pt x="0" y="0"/>
                                </a:lnTo>
                                <a:close/>
                              </a:path>
                            </a:pathLst>
                          </a:custGeom>
                          <a:ln w="38100" cap="rnd">
                            <a:miter lim="127000"/>
                          </a:ln>
                        </wps:spPr>
                        <wps:style>
                          <a:lnRef idx="1">
                            <a:srgbClr val="000000"/>
                          </a:lnRef>
                          <a:fillRef idx="0">
                            <a:srgbClr val="000000">
                              <a:alpha val="0"/>
                            </a:srgbClr>
                          </a:fillRef>
                          <a:effectRef idx="0">
                            <a:scrgbClr r="0" g="0" b="0"/>
                          </a:effectRef>
                          <a:fontRef idx="none"/>
                        </wps:style>
                        <wps:bodyPr/>
                      </wps:wsp>
                      <wps:wsp>
                        <wps:cNvPr id="31923" name="Rectangle 31923"/>
                        <wps:cNvSpPr/>
                        <wps:spPr>
                          <a:xfrm>
                            <a:off x="2906776" y="3434944"/>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24" name="Rectangle 31924"/>
                        <wps:cNvSpPr/>
                        <wps:spPr>
                          <a:xfrm>
                            <a:off x="2189734" y="3609442"/>
                            <a:ext cx="1958815" cy="224380"/>
                          </a:xfrm>
                          <a:prstGeom prst="rect">
                            <a:avLst/>
                          </a:prstGeom>
                          <a:ln>
                            <a:noFill/>
                          </a:ln>
                        </wps:spPr>
                        <wps:txbx>
                          <w:txbxContent>
                            <w:p w:rsidR="00BB52D7" w:rsidRDefault="00E33AE6">
                              <w:pPr>
                                <w:spacing w:after="160" w:line="259" w:lineRule="auto"/>
                                <w:ind w:left="0" w:firstLine="0"/>
                                <w:jc w:val="left"/>
                              </w:pPr>
                              <w:r>
                                <w:rPr>
                                  <w:b/>
                                </w:rPr>
                                <w:t xml:space="preserve">Bernard L. MADOFF </w:t>
                              </w:r>
                            </w:p>
                          </w:txbxContent>
                        </wps:txbx>
                        <wps:bodyPr horzOverflow="overflow" vert="horz" lIns="0" tIns="0" rIns="0" bIns="0" rtlCol="0">
                          <a:noAutofit/>
                        </wps:bodyPr>
                      </wps:wsp>
                      <wps:wsp>
                        <wps:cNvPr id="31925" name="Rectangle 31925"/>
                        <wps:cNvSpPr/>
                        <wps:spPr>
                          <a:xfrm>
                            <a:off x="2113534" y="3784702"/>
                            <a:ext cx="2161710" cy="224380"/>
                          </a:xfrm>
                          <a:prstGeom prst="rect">
                            <a:avLst/>
                          </a:prstGeom>
                          <a:ln>
                            <a:noFill/>
                          </a:ln>
                        </wps:spPr>
                        <wps:txbx>
                          <w:txbxContent>
                            <w:p w:rsidR="00BB52D7" w:rsidRDefault="00E33AE6">
                              <w:pPr>
                                <w:spacing w:after="160" w:line="259" w:lineRule="auto"/>
                                <w:ind w:left="0" w:firstLine="0"/>
                                <w:jc w:val="left"/>
                              </w:pPr>
                              <w:r>
                                <w:rPr>
                                  <w:b/>
                                </w:rPr>
                                <w:t xml:space="preserve">Investm. Securities LLC </w:t>
                              </w:r>
                            </w:p>
                          </w:txbxContent>
                        </wps:txbx>
                        <wps:bodyPr horzOverflow="overflow" vert="horz" lIns="0" tIns="0" rIns="0" bIns="0" rtlCol="0">
                          <a:noAutofit/>
                        </wps:bodyPr>
                      </wps:wsp>
                      <wps:wsp>
                        <wps:cNvPr id="193421" name="Rectangle 193421"/>
                        <wps:cNvSpPr/>
                        <wps:spPr>
                          <a:xfrm>
                            <a:off x="2712160" y="3959962"/>
                            <a:ext cx="636657" cy="224380"/>
                          </a:xfrm>
                          <a:prstGeom prst="rect">
                            <a:avLst/>
                          </a:prstGeom>
                          <a:ln>
                            <a:noFill/>
                          </a:ln>
                        </wps:spPr>
                        <wps:txbx>
                          <w:txbxContent>
                            <w:p w:rsidR="00BB52D7" w:rsidRDefault="00E33AE6">
                              <w:pPr>
                                <w:spacing w:after="160" w:line="259" w:lineRule="auto"/>
                                <w:ind w:left="0" w:firstLine="0"/>
                                <w:jc w:val="left"/>
                              </w:pPr>
                              <w:r>
                                <w:rPr>
                                  <w:b/>
                                </w:rPr>
                                <w:t xml:space="preserve">BMIS) </w:t>
                              </w:r>
                            </w:p>
                          </w:txbxContent>
                        </wps:txbx>
                        <wps:bodyPr horzOverflow="overflow" vert="horz" lIns="0" tIns="0" rIns="0" bIns="0" rtlCol="0">
                          <a:noAutofit/>
                        </wps:bodyPr>
                      </wps:wsp>
                      <wps:wsp>
                        <wps:cNvPr id="193420" name="Rectangle 193420"/>
                        <wps:cNvSpPr/>
                        <wps:spPr>
                          <a:xfrm>
                            <a:off x="2661412" y="3959962"/>
                            <a:ext cx="67495" cy="224380"/>
                          </a:xfrm>
                          <a:prstGeom prst="rect">
                            <a:avLst/>
                          </a:prstGeom>
                          <a:ln>
                            <a:noFill/>
                          </a:ln>
                        </wps:spPr>
                        <wps:txbx>
                          <w:txbxContent>
                            <w:p w:rsidR="00BB52D7" w:rsidRDefault="00E33AE6">
                              <w:pPr>
                                <w:spacing w:after="160" w:line="259" w:lineRule="auto"/>
                                <w:ind w:left="0" w:firstLine="0"/>
                                <w:jc w:val="left"/>
                              </w:pPr>
                              <w:r>
                                <w:rPr>
                                  <w:b/>
                                </w:rPr>
                                <w:t>(</w:t>
                              </w:r>
                            </w:p>
                          </w:txbxContent>
                        </wps:txbx>
                        <wps:bodyPr horzOverflow="overflow" vert="horz" lIns="0" tIns="0" rIns="0" bIns="0" rtlCol="0">
                          <a:noAutofit/>
                        </wps:bodyPr>
                      </wps:wsp>
                      <wps:wsp>
                        <wps:cNvPr id="31927" name="Rectangle 31927"/>
                        <wps:cNvSpPr/>
                        <wps:spPr>
                          <a:xfrm>
                            <a:off x="3190240" y="3959962"/>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28" name="Rectangle 31928"/>
                        <wps:cNvSpPr/>
                        <wps:spPr>
                          <a:xfrm>
                            <a:off x="2906776" y="413395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29" name="Rectangle 31929"/>
                        <wps:cNvSpPr/>
                        <wps:spPr>
                          <a:xfrm>
                            <a:off x="2195830" y="4309212"/>
                            <a:ext cx="1891725" cy="224380"/>
                          </a:xfrm>
                          <a:prstGeom prst="rect">
                            <a:avLst/>
                          </a:prstGeom>
                          <a:ln>
                            <a:noFill/>
                          </a:ln>
                        </wps:spPr>
                        <wps:txbx>
                          <w:txbxContent>
                            <w:p w:rsidR="00BB52D7" w:rsidRDefault="00E33AE6">
                              <w:pPr>
                                <w:spacing w:after="160" w:line="259" w:lineRule="auto"/>
                                <w:ind w:left="0" w:firstLine="0"/>
                                <w:jc w:val="left"/>
                              </w:pPr>
                              <w:r>
                                <w:t>Contract of 03/18/2004</w:t>
                              </w:r>
                            </w:p>
                          </w:txbxContent>
                        </wps:txbx>
                        <wps:bodyPr horzOverflow="overflow" vert="horz" lIns="0" tIns="0" rIns="0" bIns="0" rtlCol="0">
                          <a:noAutofit/>
                        </wps:bodyPr>
                      </wps:wsp>
                      <wps:wsp>
                        <wps:cNvPr id="31930" name="Rectangle 31930"/>
                        <wps:cNvSpPr/>
                        <wps:spPr>
                          <a:xfrm>
                            <a:off x="3617722" y="430921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31" name="Rectangle 31931"/>
                        <wps:cNvSpPr/>
                        <wps:spPr>
                          <a:xfrm>
                            <a:off x="2906776" y="448447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32" name="Rectangle 31932"/>
                        <wps:cNvSpPr/>
                        <wps:spPr>
                          <a:xfrm>
                            <a:off x="2044192" y="481213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34" name="Shape 31934"/>
                        <wps:cNvSpPr/>
                        <wps:spPr>
                          <a:xfrm>
                            <a:off x="4335780" y="3378200"/>
                            <a:ext cx="1419860" cy="1723390"/>
                          </a:xfrm>
                          <a:custGeom>
                            <a:avLst/>
                            <a:gdLst/>
                            <a:ahLst/>
                            <a:cxnLst/>
                            <a:rect l="0" t="0" r="0" b="0"/>
                            <a:pathLst>
                              <a:path w="1419860" h="1723390">
                                <a:moveTo>
                                  <a:pt x="0" y="1723390"/>
                                </a:moveTo>
                                <a:lnTo>
                                  <a:pt x="1419860" y="1723390"/>
                                </a:lnTo>
                                <a:lnTo>
                                  <a:pt x="1419860" y="0"/>
                                </a:lnTo>
                                <a:lnTo>
                                  <a:pt x="0" y="0"/>
                                </a:lnTo>
                                <a:close/>
                              </a:path>
                            </a:pathLst>
                          </a:custGeom>
                          <a:ln w="19050" cap="flat">
                            <a:custDash>
                              <a:ds d="1200000" sp="450000"/>
                            </a:custDash>
                            <a:miter lim="127000"/>
                          </a:ln>
                        </wps:spPr>
                        <wps:style>
                          <a:lnRef idx="1">
                            <a:srgbClr val="000000"/>
                          </a:lnRef>
                          <a:fillRef idx="0">
                            <a:srgbClr val="000000">
                              <a:alpha val="0"/>
                            </a:srgbClr>
                          </a:fillRef>
                          <a:effectRef idx="0">
                            <a:scrgbClr r="0" g="0" b="0"/>
                          </a:effectRef>
                          <a:fontRef idx="none"/>
                        </wps:style>
                        <wps:bodyPr/>
                      </wps:wsp>
                      <wps:wsp>
                        <wps:cNvPr id="31935" name="Rectangle 31935"/>
                        <wps:cNvSpPr/>
                        <wps:spPr>
                          <a:xfrm>
                            <a:off x="5046726" y="3439516"/>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36" name="Rectangle 31936"/>
                        <wps:cNvSpPr/>
                        <wps:spPr>
                          <a:xfrm>
                            <a:off x="4498848" y="3614776"/>
                            <a:ext cx="1457325" cy="224380"/>
                          </a:xfrm>
                          <a:prstGeom prst="rect">
                            <a:avLst/>
                          </a:prstGeom>
                          <a:ln>
                            <a:noFill/>
                          </a:ln>
                        </wps:spPr>
                        <wps:txbx>
                          <w:txbxContent>
                            <w:p w:rsidR="00BB52D7" w:rsidRDefault="00E33AE6">
                              <w:pPr>
                                <w:spacing w:after="160" w:line="259" w:lineRule="auto"/>
                                <w:ind w:left="0" w:firstLine="0"/>
                                <w:jc w:val="left"/>
                              </w:pPr>
                              <w:r>
                                <w:rPr>
                                  <w:b/>
                                </w:rPr>
                                <w:t>Portfolio advisor</w:t>
                              </w:r>
                            </w:p>
                          </w:txbxContent>
                        </wps:txbx>
                        <wps:bodyPr horzOverflow="overflow" vert="horz" lIns="0" tIns="0" rIns="0" bIns="0" rtlCol="0">
                          <a:noAutofit/>
                        </wps:bodyPr>
                      </wps:wsp>
                      <wps:wsp>
                        <wps:cNvPr id="31937" name="Rectangle 31937"/>
                        <wps:cNvSpPr/>
                        <wps:spPr>
                          <a:xfrm>
                            <a:off x="5594604" y="3614776"/>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38" name="Rectangle 31938"/>
                        <wps:cNvSpPr/>
                        <wps:spPr>
                          <a:xfrm>
                            <a:off x="4584954" y="3790036"/>
                            <a:ext cx="1278176" cy="224380"/>
                          </a:xfrm>
                          <a:prstGeom prst="rect">
                            <a:avLst/>
                          </a:prstGeom>
                          <a:ln>
                            <a:noFill/>
                          </a:ln>
                        </wps:spPr>
                        <wps:txbx>
                          <w:txbxContent>
                            <w:p w:rsidR="00BB52D7" w:rsidRDefault="00E33AE6">
                              <w:pPr>
                                <w:spacing w:after="160" w:line="259" w:lineRule="auto"/>
                                <w:ind w:left="0" w:firstLine="0"/>
                                <w:jc w:val="left"/>
                              </w:pPr>
                              <w:r>
                                <w:rPr>
                                  <w:b/>
                                </w:rPr>
                                <w:t xml:space="preserve">Access Intern. </w:t>
                              </w:r>
                            </w:p>
                          </w:txbxContent>
                        </wps:txbx>
                        <wps:bodyPr horzOverflow="overflow" vert="horz" lIns="0" tIns="0" rIns="0" bIns="0" rtlCol="0">
                          <a:noAutofit/>
                        </wps:bodyPr>
                      </wps:wsp>
                      <wps:wsp>
                        <wps:cNvPr id="31939" name="Rectangle 31939"/>
                        <wps:cNvSpPr/>
                        <wps:spPr>
                          <a:xfrm>
                            <a:off x="4716018" y="3965296"/>
                            <a:ext cx="877893" cy="224380"/>
                          </a:xfrm>
                          <a:prstGeom prst="rect">
                            <a:avLst/>
                          </a:prstGeom>
                          <a:ln>
                            <a:noFill/>
                          </a:ln>
                        </wps:spPr>
                        <wps:txbx>
                          <w:txbxContent>
                            <w:p w:rsidR="00BB52D7" w:rsidRDefault="00E33AE6">
                              <w:pPr>
                                <w:spacing w:after="160" w:line="259" w:lineRule="auto"/>
                                <w:ind w:left="0" w:firstLine="0"/>
                                <w:jc w:val="left"/>
                              </w:pPr>
                              <w:r>
                                <w:rPr>
                                  <w:b/>
                                </w:rPr>
                                <w:t>Adv. LLC</w:t>
                              </w:r>
                            </w:p>
                          </w:txbxContent>
                        </wps:txbx>
                        <wps:bodyPr horzOverflow="overflow" vert="horz" lIns="0" tIns="0" rIns="0" bIns="0" rtlCol="0">
                          <a:noAutofit/>
                        </wps:bodyPr>
                      </wps:wsp>
                      <wps:wsp>
                        <wps:cNvPr id="31940" name="Rectangle 31940"/>
                        <wps:cNvSpPr/>
                        <wps:spPr>
                          <a:xfrm>
                            <a:off x="5376672" y="3965296"/>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41" name="Rectangle 31941"/>
                        <wps:cNvSpPr/>
                        <wps:spPr>
                          <a:xfrm>
                            <a:off x="5046726" y="4140810"/>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193424" name="Rectangle 193424"/>
                        <wps:cNvSpPr/>
                        <wps:spPr>
                          <a:xfrm>
                            <a:off x="4494276" y="4314546"/>
                            <a:ext cx="67498" cy="224380"/>
                          </a:xfrm>
                          <a:prstGeom prst="rect">
                            <a:avLst/>
                          </a:prstGeom>
                          <a:ln>
                            <a:noFill/>
                          </a:ln>
                        </wps:spPr>
                        <wps:txbx>
                          <w:txbxContent>
                            <w:p w:rsidR="00BB52D7" w:rsidRDefault="00E33AE6">
                              <w:pPr>
                                <w:spacing w:after="160" w:line="259" w:lineRule="auto"/>
                                <w:ind w:left="0" w:firstLine="0"/>
                                <w:jc w:val="left"/>
                              </w:pPr>
                              <w:r>
                                <w:rPr>
                                  <w:b/>
                                </w:rPr>
                                <w:t>(</w:t>
                              </w:r>
                            </w:p>
                          </w:txbxContent>
                        </wps:txbx>
                        <wps:bodyPr horzOverflow="overflow" vert="horz" lIns="0" tIns="0" rIns="0" bIns="0" rtlCol="0">
                          <a:noAutofit/>
                        </wps:bodyPr>
                      </wps:wsp>
                      <wps:wsp>
                        <wps:cNvPr id="193425" name="Rectangle 193425"/>
                        <wps:cNvSpPr/>
                        <wps:spPr>
                          <a:xfrm>
                            <a:off x="4545026" y="4314546"/>
                            <a:ext cx="410857" cy="224380"/>
                          </a:xfrm>
                          <a:prstGeom prst="rect">
                            <a:avLst/>
                          </a:prstGeom>
                          <a:ln>
                            <a:noFill/>
                          </a:ln>
                        </wps:spPr>
                        <wps:txbx>
                          <w:txbxContent>
                            <w:p w:rsidR="00BB52D7" w:rsidRDefault="00E33AE6">
                              <w:pPr>
                                <w:spacing w:after="160" w:line="259" w:lineRule="auto"/>
                                <w:ind w:left="0" w:firstLine="0"/>
                                <w:jc w:val="left"/>
                              </w:pPr>
                              <w:r>
                                <w:rPr>
                                  <w:b/>
                                </w:rPr>
                                <w:t xml:space="preserve">NY) </w:t>
                              </w:r>
                            </w:p>
                          </w:txbxContent>
                        </wps:txbx>
                        <wps:bodyPr horzOverflow="overflow" vert="horz" lIns="0" tIns="0" rIns="0" bIns="0" rtlCol="0">
                          <a:noAutofit/>
                        </wps:bodyPr>
                      </wps:wsp>
                      <wps:wsp>
                        <wps:cNvPr id="193426" name="Rectangle 193426"/>
                        <wps:cNvSpPr/>
                        <wps:spPr>
                          <a:xfrm>
                            <a:off x="4853940" y="4314546"/>
                            <a:ext cx="529837" cy="224380"/>
                          </a:xfrm>
                          <a:prstGeom prst="rect">
                            <a:avLst/>
                          </a:prstGeom>
                          <a:ln>
                            <a:noFill/>
                          </a:ln>
                        </wps:spPr>
                        <wps:txbx>
                          <w:txbxContent>
                            <w:p w:rsidR="00BB52D7" w:rsidRDefault="00E33AE6">
                              <w:pPr>
                                <w:spacing w:after="160" w:line="259" w:lineRule="auto"/>
                                <w:ind w:left="0" w:firstLine="0"/>
                                <w:jc w:val="left"/>
                              </w:pPr>
                              <w:r>
                                <w:t>(08/01</w:t>
                              </w:r>
                            </w:p>
                          </w:txbxContent>
                        </wps:txbx>
                        <wps:bodyPr horzOverflow="overflow" vert="horz" lIns="0" tIns="0" rIns="0" bIns="0" rtlCol="0">
                          <a:noAutofit/>
                        </wps:bodyPr>
                      </wps:wsp>
                      <wps:wsp>
                        <wps:cNvPr id="193427" name="Rectangle 193427"/>
                        <wps:cNvSpPr/>
                        <wps:spPr>
                          <a:xfrm>
                            <a:off x="5251552" y="4314546"/>
                            <a:ext cx="512405" cy="224380"/>
                          </a:xfrm>
                          <a:prstGeom prst="rect">
                            <a:avLst/>
                          </a:prstGeom>
                          <a:ln>
                            <a:noFill/>
                          </a:ln>
                        </wps:spPr>
                        <wps:txbx>
                          <w:txbxContent>
                            <w:p w:rsidR="00BB52D7" w:rsidRDefault="00E33AE6">
                              <w:pPr>
                                <w:spacing w:after="160" w:line="259" w:lineRule="auto"/>
                                <w:ind w:left="0" w:firstLine="0"/>
                                <w:jc w:val="left"/>
                              </w:pPr>
                              <w:r>
                                <w:t xml:space="preserve">/2004 </w:t>
                              </w:r>
                            </w:p>
                          </w:txbxContent>
                        </wps:txbx>
                        <wps:bodyPr horzOverflow="overflow" vert="horz" lIns="0" tIns="0" rIns="0" bIns="0" rtlCol="0">
                          <a:noAutofit/>
                        </wps:bodyPr>
                      </wps:wsp>
                      <wps:wsp>
                        <wps:cNvPr id="31944" name="Rectangle 31944"/>
                        <wps:cNvSpPr/>
                        <wps:spPr>
                          <a:xfrm>
                            <a:off x="4597908" y="4519927"/>
                            <a:ext cx="101346" cy="184382"/>
                          </a:xfrm>
                          <a:prstGeom prst="rect">
                            <a:avLst/>
                          </a:prstGeom>
                          <a:ln>
                            <a:noFill/>
                          </a:ln>
                        </wps:spPr>
                        <wps:txbx>
                          <w:txbxContent>
                            <w:p w:rsidR="00BB52D7" w:rsidRDefault="00E33AE6">
                              <w:pPr>
                                <w:spacing w:after="160" w:line="259" w:lineRule="auto"/>
                                <w:ind w:left="0" w:firstLine="0"/>
                                <w:jc w:val="left"/>
                              </w:pPr>
                              <w:r>
                                <w:t>–</w:t>
                              </w:r>
                            </w:p>
                          </w:txbxContent>
                        </wps:txbx>
                        <wps:bodyPr horzOverflow="overflow" vert="horz" lIns="0" tIns="0" rIns="0" bIns="0" rtlCol="0">
                          <a:noAutofit/>
                        </wps:bodyPr>
                      </wps:wsp>
                      <wps:wsp>
                        <wps:cNvPr id="31945" name="Rectangle 31945"/>
                        <wps:cNvSpPr/>
                        <wps:spPr>
                          <a:xfrm>
                            <a:off x="4674108" y="448980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193428" name="Rectangle 193428"/>
                        <wps:cNvSpPr/>
                        <wps:spPr>
                          <a:xfrm>
                            <a:off x="4712208" y="4489806"/>
                            <a:ext cx="202692" cy="224380"/>
                          </a:xfrm>
                          <a:prstGeom prst="rect">
                            <a:avLst/>
                          </a:prstGeom>
                          <a:ln>
                            <a:noFill/>
                          </a:ln>
                        </wps:spPr>
                        <wps:txbx>
                          <w:txbxContent>
                            <w:p w:rsidR="00BB52D7" w:rsidRDefault="00E33AE6">
                              <w:pPr>
                                <w:spacing w:after="160" w:line="259" w:lineRule="auto"/>
                                <w:ind w:left="0" w:firstLine="0"/>
                                <w:jc w:val="left"/>
                              </w:pPr>
                              <w:r>
                                <w:t>11</w:t>
                              </w:r>
                            </w:p>
                          </w:txbxContent>
                        </wps:txbx>
                        <wps:bodyPr horzOverflow="overflow" vert="horz" lIns="0" tIns="0" rIns="0" bIns="0" rtlCol="0">
                          <a:noAutofit/>
                        </wps:bodyPr>
                      </wps:wsp>
                      <wps:wsp>
                        <wps:cNvPr id="193430" name="Rectangle 193430"/>
                        <wps:cNvSpPr/>
                        <wps:spPr>
                          <a:xfrm>
                            <a:off x="4864608" y="4489806"/>
                            <a:ext cx="366670" cy="224380"/>
                          </a:xfrm>
                          <a:prstGeom prst="rect">
                            <a:avLst/>
                          </a:prstGeom>
                          <a:ln>
                            <a:noFill/>
                          </a:ln>
                        </wps:spPr>
                        <wps:txbx>
                          <w:txbxContent>
                            <w:p w:rsidR="00BB52D7" w:rsidRDefault="00E33AE6">
                              <w:pPr>
                                <w:spacing w:after="160" w:line="259" w:lineRule="auto"/>
                                <w:ind w:left="0" w:firstLine="0"/>
                                <w:jc w:val="left"/>
                              </w:pPr>
                              <w:r>
                                <w:t xml:space="preserve">/17/ </w:t>
                              </w:r>
                            </w:p>
                          </w:txbxContent>
                        </wps:txbx>
                        <wps:bodyPr horzOverflow="overflow" vert="horz" lIns="0" tIns="0" rIns="0" bIns="0" rtlCol="0">
                          <a:noAutofit/>
                        </wps:bodyPr>
                      </wps:wsp>
                      <wps:wsp>
                        <wps:cNvPr id="193429" name="Rectangle 193429"/>
                        <wps:cNvSpPr/>
                        <wps:spPr>
                          <a:xfrm>
                            <a:off x="5140300" y="4489806"/>
                            <a:ext cx="471868" cy="224380"/>
                          </a:xfrm>
                          <a:prstGeom prst="rect">
                            <a:avLst/>
                          </a:prstGeom>
                          <a:ln>
                            <a:noFill/>
                          </a:ln>
                        </wps:spPr>
                        <wps:txbx>
                          <w:txbxContent>
                            <w:p w:rsidR="00BB52D7" w:rsidRDefault="00E33AE6">
                              <w:pPr>
                                <w:spacing w:after="160" w:line="259" w:lineRule="auto"/>
                                <w:ind w:left="0" w:firstLine="0"/>
                                <w:jc w:val="left"/>
                              </w:pPr>
                              <w:r>
                                <w:t>2008)</w:t>
                              </w:r>
                            </w:p>
                          </w:txbxContent>
                        </wps:txbx>
                        <wps:bodyPr horzOverflow="overflow" vert="horz" lIns="0" tIns="0" rIns="0" bIns="0" rtlCol="0">
                          <a:noAutofit/>
                        </wps:bodyPr>
                      </wps:wsp>
                      <wps:wsp>
                        <wps:cNvPr id="31947" name="Rectangle 31947"/>
                        <wps:cNvSpPr/>
                        <wps:spPr>
                          <a:xfrm>
                            <a:off x="5495544" y="448980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48" name="Rectangle 31948"/>
                        <wps:cNvSpPr/>
                        <wps:spPr>
                          <a:xfrm>
                            <a:off x="5046726" y="466506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49" name="Rectangle 31949"/>
                        <wps:cNvSpPr/>
                        <wps:spPr>
                          <a:xfrm>
                            <a:off x="4437888" y="4992726"/>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51" name="Shape 31951"/>
                        <wps:cNvSpPr/>
                        <wps:spPr>
                          <a:xfrm>
                            <a:off x="170815" y="3313430"/>
                            <a:ext cx="1425575" cy="1788160"/>
                          </a:xfrm>
                          <a:custGeom>
                            <a:avLst/>
                            <a:gdLst/>
                            <a:ahLst/>
                            <a:cxnLst/>
                            <a:rect l="0" t="0" r="0" b="0"/>
                            <a:pathLst>
                              <a:path w="1425575" h="1788160">
                                <a:moveTo>
                                  <a:pt x="0" y="1788160"/>
                                </a:moveTo>
                                <a:lnTo>
                                  <a:pt x="1425575" y="1788160"/>
                                </a:lnTo>
                                <a:lnTo>
                                  <a:pt x="1425575" y="0"/>
                                </a:lnTo>
                                <a:lnTo>
                                  <a:pt x="0" y="0"/>
                                </a:lnTo>
                                <a:close/>
                              </a:path>
                            </a:pathLst>
                          </a:custGeom>
                          <a:ln w="38100" cap="rnd">
                            <a:miter lim="127000"/>
                          </a:ln>
                        </wps:spPr>
                        <wps:style>
                          <a:lnRef idx="1">
                            <a:srgbClr val="000000"/>
                          </a:lnRef>
                          <a:fillRef idx="0">
                            <a:srgbClr val="000000">
                              <a:alpha val="0"/>
                            </a:srgbClr>
                          </a:fillRef>
                          <a:effectRef idx="0">
                            <a:scrgbClr r="0" g="0" b="0"/>
                          </a:effectRef>
                          <a:fontRef idx="none"/>
                        </wps:style>
                        <wps:bodyPr/>
                      </wps:wsp>
                      <wps:wsp>
                        <wps:cNvPr id="31952" name="Rectangle 31952"/>
                        <wps:cNvSpPr/>
                        <wps:spPr>
                          <a:xfrm>
                            <a:off x="519938" y="3384652"/>
                            <a:ext cx="1019135" cy="224380"/>
                          </a:xfrm>
                          <a:prstGeom prst="rect">
                            <a:avLst/>
                          </a:prstGeom>
                          <a:ln>
                            <a:noFill/>
                          </a:ln>
                        </wps:spPr>
                        <wps:txbx>
                          <w:txbxContent>
                            <w:p w:rsidR="00BB52D7" w:rsidRDefault="00E33AE6">
                              <w:pPr>
                                <w:spacing w:after="160" w:line="259" w:lineRule="auto"/>
                                <w:ind w:left="0" w:firstLine="0"/>
                                <w:jc w:val="left"/>
                              </w:pPr>
                              <w:r>
                                <w:rPr>
                                  <w:b/>
                                </w:rPr>
                                <w:t xml:space="preserve">Bernard L. </w:t>
                              </w:r>
                            </w:p>
                          </w:txbxContent>
                        </wps:txbx>
                        <wps:bodyPr horzOverflow="overflow" vert="horz" lIns="0" tIns="0" rIns="0" bIns="0" rtlCol="0">
                          <a:noAutofit/>
                        </wps:bodyPr>
                      </wps:wsp>
                      <wps:wsp>
                        <wps:cNvPr id="31953" name="Rectangle 31953"/>
                        <wps:cNvSpPr/>
                        <wps:spPr>
                          <a:xfrm>
                            <a:off x="549656" y="3559912"/>
                            <a:ext cx="939477" cy="224380"/>
                          </a:xfrm>
                          <a:prstGeom prst="rect">
                            <a:avLst/>
                          </a:prstGeom>
                          <a:ln>
                            <a:noFill/>
                          </a:ln>
                        </wps:spPr>
                        <wps:txbx>
                          <w:txbxContent>
                            <w:p w:rsidR="00BB52D7" w:rsidRDefault="00E33AE6">
                              <w:pPr>
                                <w:spacing w:after="160" w:line="259" w:lineRule="auto"/>
                                <w:ind w:left="0" w:firstLine="0"/>
                                <w:jc w:val="left"/>
                              </w:pPr>
                              <w:r>
                                <w:rPr>
                                  <w:b/>
                                </w:rPr>
                                <w:t xml:space="preserve">MADOFF </w:t>
                              </w:r>
                            </w:p>
                          </w:txbxContent>
                        </wps:txbx>
                        <wps:bodyPr horzOverflow="overflow" vert="horz" lIns="0" tIns="0" rIns="0" bIns="0" rtlCol="0">
                          <a:noAutofit/>
                        </wps:bodyPr>
                      </wps:wsp>
                      <wps:wsp>
                        <wps:cNvPr id="31954" name="Rectangle 31954"/>
                        <wps:cNvSpPr/>
                        <wps:spPr>
                          <a:xfrm>
                            <a:off x="601472" y="3735172"/>
                            <a:ext cx="800025" cy="224380"/>
                          </a:xfrm>
                          <a:prstGeom prst="rect">
                            <a:avLst/>
                          </a:prstGeom>
                          <a:ln>
                            <a:noFill/>
                          </a:ln>
                        </wps:spPr>
                        <wps:txbx>
                          <w:txbxContent>
                            <w:p w:rsidR="00BB52D7" w:rsidRDefault="00E33AE6">
                              <w:pPr>
                                <w:spacing w:after="160" w:line="259" w:lineRule="auto"/>
                                <w:ind w:left="0" w:firstLine="0"/>
                                <w:jc w:val="left"/>
                              </w:pPr>
                              <w:r>
                                <w:rPr>
                                  <w:b/>
                                </w:rPr>
                                <w:t xml:space="preserve">Investm. </w:t>
                              </w:r>
                            </w:p>
                          </w:txbxContent>
                        </wps:txbx>
                        <wps:bodyPr horzOverflow="overflow" vert="horz" lIns="0" tIns="0" rIns="0" bIns="0" rtlCol="0">
                          <a:noAutofit/>
                        </wps:bodyPr>
                      </wps:wsp>
                      <wps:wsp>
                        <wps:cNvPr id="31955" name="Rectangle 31955"/>
                        <wps:cNvSpPr/>
                        <wps:spPr>
                          <a:xfrm>
                            <a:off x="391160" y="3910432"/>
                            <a:ext cx="1360874" cy="224380"/>
                          </a:xfrm>
                          <a:prstGeom prst="rect">
                            <a:avLst/>
                          </a:prstGeom>
                          <a:ln>
                            <a:noFill/>
                          </a:ln>
                        </wps:spPr>
                        <wps:txbx>
                          <w:txbxContent>
                            <w:p w:rsidR="00BB52D7" w:rsidRDefault="00E33AE6">
                              <w:pPr>
                                <w:spacing w:after="160" w:line="259" w:lineRule="auto"/>
                                <w:ind w:left="0" w:firstLine="0"/>
                                <w:jc w:val="left"/>
                              </w:pPr>
                              <w:r>
                                <w:rPr>
                                  <w:b/>
                                </w:rPr>
                                <w:t xml:space="preserve">Securities LLC </w:t>
                              </w:r>
                            </w:p>
                          </w:txbxContent>
                        </wps:txbx>
                        <wps:bodyPr horzOverflow="overflow" vert="horz" lIns="0" tIns="0" rIns="0" bIns="0" rtlCol="0">
                          <a:noAutofit/>
                        </wps:bodyPr>
                      </wps:wsp>
                      <wps:wsp>
                        <wps:cNvPr id="193422" name="Rectangle 193422"/>
                        <wps:cNvSpPr/>
                        <wps:spPr>
                          <a:xfrm>
                            <a:off x="638048" y="4085692"/>
                            <a:ext cx="67495" cy="224380"/>
                          </a:xfrm>
                          <a:prstGeom prst="rect">
                            <a:avLst/>
                          </a:prstGeom>
                          <a:ln>
                            <a:noFill/>
                          </a:ln>
                        </wps:spPr>
                        <wps:txbx>
                          <w:txbxContent>
                            <w:p w:rsidR="00BB52D7" w:rsidRDefault="00E33AE6">
                              <w:pPr>
                                <w:spacing w:after="160" w:line="259" w:lineRule="auto"/>
                                <w:ind w:left="0" w:firstLine="0"/>
                                <w:jc w:val="left"/>
                              </w:pPr>
                              <w:r>
                                <w:rPr>
                                  <w:b/>
                                </w:rPr>
                                <w:t>(</w:t>
                              </w:r>
                            </w:p>
                          </w:txbxContent>
                        </wps:txbx>
                        <wps:bodyPr horzOverflow="overflow" vert="horz" lIns="0" tIns="0" rIns="0" bIns="0" rtlCol="0">
                          <a:noAutofit/>
                        </wps:bodyPr>
                      </wps:wsp>
                      <wps:wsp>
                        <wps:cNvPr id="193423" name="Rectangle 193423"/>
                        <wps:cNvSpPr/>
                        <wps:spPr>
                          <a:xfrm>
                            <a:off x="688796" y="4085692"/>
                            <a:ext cx="636657" cy="224380"/>
                          </a:xfrm>
                          <a:prstGeom prst="rect">
                            <a:avLst/>
                          </a:prstGeom>
                          <a:ln>
                            <a:noFill/>
                          </a:ln>
                        </wps:spPr>
                        <wps:txbx>
                          <w:txbxContent>
                            <w:p w:rsidR="00BB52D7" w:rsidRDefault="00E33AE6">
                              <w:pPr>
                                <w:spacing w:after="160" w:line="259" w:lineRule="auto"/>
                                <w:ind w:left="0" w:firstLine="0"/>
                                <w:jc w:val="left"/>
                              </w:pPr>
                              <w:r>
                                <w:rPr>
                                  <w:b/>
                                </w:rPr>
                                <w:t xml:space="preserve">BMIS) </w:t>
                              </w:r>
                            </w:p>
                          </w:txbxContent>
                        </wps:txbx>
                        <wps:bodyPr horzOverflow="overflow" vert="horz" lIns="0" tIns="0" rIns="0" bIns="0" rtlCol="0">
                          <a:noAutofit/>
                        </wps:bodyPr>
                      </wps:wsp>
                      <wps:wsp>
                        <wps:cNvPr id="31957" name="Rectangle 31957"/>
                        <wps:cNvSpPr/>
                        <wps:spPr>
                          <a:xfrm>
                            <a:off x="1166876" y="4085692"/>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58" name="Rectangle 31958"/>
                        <wps:cNvSpPr/>
                        <wps:spPr>
                          <a:xfrm>
                            <a:off x="883412" y="425968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59" name="Rectangle 31959"/>
                        <wps:cNvSpPr/>
                        <wps:spPr>
                          <a:xfrm>
                            <a:off x="447548" y="4434942"/>
                            <a:ext cx="315389" cy="224380"/>
                          </a:xfrm>
                          <a:prstGeom prst="rect">
                            <a:avLst/>
                          </a:prstGeom>
                          <a:ln>
                            <a:noFill/>
                          </a:ln>
                        </wps:spPr>
                        <wps:txbx>
                          <w:txbxContent>
                            <w:p w:rsidR="00BB52D7" w:rsidRDefault="00E33AE6">
                              <w:pPr>
                                <w:spacing w:after="160" w:line="259" w:lineRule="auto"/>
                                <w:ind w:left="0" w:firstLine="0"/>
                                <w:jc w:val="left"/>
                              </w:pPr>
                              <w:r>
                                <w:t>Sub</w:t>
                              </w:r>
                            </w:p>
                          </w:txbxContent>
                        </wps:txbx>
                        <wps:bodyPr horzOverflow="overflow" vert="horz" lIns="0" tIns="0" rIns="0" bIns="0" rtlCol="0">
                          <a:noAutofit/>
                        </wps:bodyPr>
                      </wps:wsp>
                      <wps:wsp>
                        <wps:cNvPr id="31960" name="Rectangle 31960"/>
                        <wps:cNvSpPr/>
                        <wps:spPr>
                          <a:xfrm>
                            <a:off x="684530" y="4434942"/>
                            <a:ext cx="67498" cy="224380"/>
                          </a:xfrm>
                          <a:prstGeom prst="rect">
                            <a:avLst/>
                          </a:prstGeom>
                          <a:ln>
                            <a:noFill/>
                          </a:ln>
                        </wps:spPr>
                        <wps:txbx>
                          <w:txbxContent>
                            <w:p w:rsidR="00BB52D7" w:rsidRDefault="00E33AE6">
                              <w:pPr>
                                <w:spacing w:after="160" w:line="259" w:lineRule="auto"/>
                                <w:ind w:left="0" w:firstLine="0"/>
                                <w:jc w:val="left"/>
                              </w:pPr>
                              <w:r>
                                <w:t>-</w:t>
                              </w:r>
                            </w:p>
                          </w:txbxContent>
                        </wps:txbx>
                        <wps:bodyPr horzOverflow="overflow" vert="horz" lIns="0" tIns="0" rIns="0" bIns="0" rtlCol="0">
                          <a:noAutofit/>
                        </wps:bodyPr>
                      </wps:wsp>
                      <wps:wsp>
                        <wps:cNvPr id="31961" name="Rectangle 31961"/>
                        <wps:cNvSpPr/>
                        <wps:spPr>
                          <a:xfrm>
                            <a:off x="735584" y="4434942"/>
                            <a:ext cx="776919" cy="224380"/>
                          </a:xfrm>
                          <a:prstGeom prst="rect">
                            <a:avLst/>
                          </a:prstGeom>
                          <a:ln>
                            <a:noFill/>
                          </a:ln>
                        </wps:spPr>
                        <wps:txbx>
                          <w:txbxContent>
                            <w:p w:rsidR="00BB52D7" w:rsidRDefault="00E33AE6">
                              <w:pPr>
                                <w:spacing w:after="160" w:line="259" w:lineRule="auto"/>
                                <w:ind w:left="0" w:firstLine="0"/>
                                <w:jc w:val="left"/>
                              </w:pPr>
                              <w:r>
                                <w:t>custodian</w:t>
                              </w:r>
                            </w:p>
                          </w:txbxContent>
                        </wps:txbx>
                        <wps:bodyPr horzOverflow="overflow" vert="horz" lIns="0" tIns="0" rIns="0" bIns="0" rtlCol="0">
                          <a:noAutofit/>
                        </wps:bodyPr>
                      </wps:wsp>
                      <wps:wsp>
                        <wps:cNvPr id="31962" name="Rectangle 31962"/>
                        <wps:cNvSpPr/>
                        <wps:spPr>
                          <a:xfrm>
                            <a:off x="1320038" y="443494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63" name="Rectangle 31963"/>
                        <wps:cNvSpPr/>
                        <wps:spPr>
                          <a:xfrm>
                            <a:off x="462788" y="4610202"/>
                            <a:ext cx="1169938" cy="224380"/>
                          </a:xfrm>
                          <a:prstGeom prst="rect">
                            <a:avLst/>
                          </a:prstGeom>
                          <a:ln>
                            <a:noFill/>
                          </a:ln>
                        </wps:spPr>
                        <wps:txbx>
                          <w:txbxContent>
                            <w:p w:rsidR="00BB52D7" w:rsidRDefault="00E33AE6">
                              <w:pPr>
                                <w:spacing w:after="160" w:line="259" w:lineRule="auto"/>
                                <w:ind w:left="0" w:firstLine="0"/>
                                <w:jc w:val="left"/>
                              </w:pPr>
                              <w:r>
                                <w:t xml:space="preserve">Agreement of </w:t>
                              </w:r>
                            </w:p>
                          </w:txbxContent>
                        </wps:txbx>
                        <wps:bodyPr horzOverflow="overflow" vert="horz" lIns="0" tIns="0" rIns="0" bIns="0" rtlCol="0">
                          <a:noAutofit/>
                        </wps:bodyPr>
                      </wps:wsp>
                      <wps:wsp>
                        <wps:cNvPr id="31964" name="Rectangle 31964"/>
                        <wps:cNvSpPr/>
                        <wps:spPr>
                          <a:xfrm>
                            <a:off x="536702" y="4785462"/>
                            <a:ext cx="924073" cy="224380"/>
                          </a:xfrm>
                          <a:prstGeom prst="rect">
                            <a:avLst/>
                          </a:prstGeom>
                          <a:ln>
                            <a:noFill/>
                          </a:ln>
                        </wps:spPr>
                        <wps:txbx>
                          <w:txbxContent>
                            <w:p w:rsidR="00BB52D7" w:rsidRDefault="00E33AE6">
                              <w:pPr>
                                <w:spacing w:after="160" w:line="259" w:lineRule="auto"/>
                                <w:ind w:left="0" w:firstLine="0"/>
                                <w:jc w:val="left"/>
                              </w:pPr>
                              <w:r>
                                <w:t>02/05/2004</w:t>
                              </w:r>
                            </w:p>
                          </w:txbxContent>
                        </wps:txbx>
                        <wps:bodyPr horzOverflow="overflow" vert="horz" lIns="0" tIns="0" rIns="0" bIns="0" rtlCol="0">
                          <a:noAutofit/>
                        </wps:bodyPr>
                      </wps:wsp>
                      <wps:wsp>
                        <wps:cNvPr id="31965" name="Rectangle 31965"/>
                        <wps:cNvSpPr/>
                        <wps:spPr>
                          <a:xfrm>
                            <a:off x="1230884" y="4785462"/>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966" name="Rectangle 31966"/>
                        <wps:cNvSpPr/>
                        <wps:spPr>
                          <a:xfrm>
                            <a:off x="883412" y="4959960"/>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68" name="Shape 31968"/>
                        <wps:cNvSpPr/>
                        <wps:spPr>
                          <a:xfrm>
                            <a:off x="2318385" y="1631188"/>
                            <a:ext cx="809117" cy="269240"/>
                          </a:xfrm>
                          <a:custGeom>
                            <a:avLst/>
                            <a:gdLst/>
                            <a:ahLst/>
                            <a:cxnLst/>
                            <a:rect l="0" t="0" r="0" b="0"/>
                            <a:pathLst>
                              <a:path w="809117" h="269240">
                                <a:moveTo>
                                  <a:pt x="800100" y="1016"/>
                                </a:moveTo>
                                <a:cubicBezTo>
                                  <a:pt x="803529" y="0"/>
                                  <a:pt x="807085" y="1905"/>
                                  <a:pt x="808101" y="5207"/>
                                </a:cubicBezTo>
                                <a:cubicBezTo>
                                  <a:pt x="809117" y="8636"/>
                                  <a:pt x="807212" y="12192"/>
                                  <a:pt x="803910" y="13208"/>
                                </a:cubicBezTo>
                                <a:lnTo>
                                  <a:pt x="74658" y="238929"/>
                                </a:lnTo>
                                <a:lnTo>
                                  <a:pt x="84074" y="269240"/>
                                </a:lnTo>
                                <a:lnTo>
                                  <a:pt x="0" y="255398"/>
                                </a:lnTo>
                                <a:lnTo>
                                  <a:pt x="61468" y="196469"/>
                                </a:lnTo>
                                <a:lnTo>
                                  <a:pt x="70880" y="226766"/>
                                </a:lnTo>
                                <a:lnTo>
                                  <a:pt x="800100" y="1016"/>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69" name="Shape 31969"/>
                        <wps:cNvSpPr/>
                        <wps:spPr>
                          <a:xfrm>
                            <a:off x="716915" y="1631569"/>
                            <a:ext cx="2410206" cy="285115"/>
                          </a:xfrm>
                          <a:custGeom>
                            <a:avLst/>
                            <a:gdLst/>
                            <a:ahLst/>
                            <a:cxnLst/>
                            <a:rect l="0" t="0" r="0" b="0"/>
                            <a:pathLst>
                              <a:path w="2410206" h="285115">
                                <a:moveTo>
                                  <a:pt x="2402840" y="381"/>
                                </a:moveTo>
                                <a:cubicBezTo>
                                  <a:pt x="2406269" y="0"/>
                                  <a:pt x="2409444" y="2540"/>
                                  <a:pt x="2409825" y="6096"/>
                                </a:cubicBezTo>
                                <a:cubicBezTo>
                                  <a:pt x="2410206" y="9525"/>
                                  <a:pt x="2407666" y="12700"/>
                                  <a:pt x="2404110" y="13081"/>
                                </a:cubicBezTo>
                                <a:lnTo>
                                  <a:pt x="76467" y="253449"/>
                                </a:lnTo>
                                <a:lnTo>
                                  <a:pt x="79756" y="285115"/>
                                </a:lnTo>
                                <a:lnTo>
                                  <a:pt x="0" y="255016"/>
                                </a:lnTo>
                                <a:lnTo>
                                  <a:pt x="71882" y="209296"/>
                                </a:lnTo>
                                <a:lnTo>
                                  <a:pt x="75162" y="240879"/>
                                </a:lnTo>
                                <a:lnTo>
                                  <a:pt x="2402840" y="381"/>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0" name="Shape 31970"/>
                        <wps:cNvSpPr/>
                        <wps:spPr>
                          <a:xfrm>
                            <a:off x="3113405" y="1631315"/>
                            <a:ext cx="854710" cy="253111"/>
                          </a:xfrm>
                          <a:custGeom>
                            <a:avLst/>
                            <a:gdLst/>
                            <a:ahLst/>
                            <a:cxnLst/>
                            <a:rect l="0" t="0" r="0" b="0"/>
                            <a:pathLst>
                              <a:path w="854710" h="253111">
                                <a:moveTo>
                                  <a:pt x="8636" y="889"/>
                                </a:moveTo>
                                <a:lnTo>
                                  <a:pt x="782785" y="210179"/>
                                </a:lnTo>
                                <a:lnTo>
                                  <a:pt x="791083" y="179578"/>
                                </a:lnTo>
                                <a:lnTo>
                                  <a:pt x="854710" y="236220"/>
                                </a:lnTo>
                                <a:lnTo>
                                  <a:pt x="771144" y="253111"/>
                                </a:lnTo>
                                <a:lnTo>
                                  <a:pt x="779448" y="222487"/>
                                </a:lnTo>
                                <a:lnTo>
                                  <a:pt x="5334" y="13081"/>
                                </a:lnTo>
                                <a:cubicBezTo>
                                  <a:pt x="1905" y="12192"/>
                                  <a:pt x="0" y="8763"/>
                                  <a:pt x="889" y="5334"/>
                                </a:cubicBezTo>
                                <a:cubicBezTo>
                                  <a:pt x="1778" y="1905"/>
                                  <a:pt x="5207" y="0"/>
                                  <a:pt x="8636" y="889"/>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1" name="Shape 31971"/>
                        <wps:cNvSpPr/>
                        <wps:spPr>
                          <a:xfrm>
                            <a:off x="3113659" y="1631569"/>
                            <a:ext cx="2163826" cy="284099"/>
                          </a:xfrm>
                          <a:custGeom>
                            <a:avLst/>
                            <a:gdLst/>
                            <a:ahLst/>
                            <a:cxnLst/>
                            <a:rect l="0" t="0" r="0" b="0"/>
                            <a:pathLst>
                              <a:path w="2163826" h="284099">
                                <a:moveTo>
                                  <a:pt x="7493" y="381"/>
                                </a:moveTo>
                                <a:lnTo>
                                  <a:pt x="2088850" y="239975"/>
                                </a:lnTo>
                                <a:lnTo>
                                  <a:pt x="2092452" y="208407"/>
                                </a:lnTo>
                                <a:lnTo>
                                  <a:pt x="2163826" y="255016"/>
                                </a:lnTo>
                                <a:lnTo>
                                  <a:pt x="2083816" y="284099"/>
                                </a:lnTo>
                                <a:lnTo>
                                  <a:pt x="2087416" y="252544"/>
                                </a:lnTo>
                                <a:lnTo>
                                  <a:pt x="5969" y="13081"/>
                                </a:lnTo>
                                <a:cubicBezTo>
                                  <a:pt x="2540" y="12700"/>
                                  <a:pt x="0" y="9525"/>
                                  <a:pt x="381" y="5969"/>
                                </a:cubicBezTo>
                                <a:cubicBezTo>
                                  <a:pt x="762" y="2540"/>
                                  <a:pt x="3937" y="0"/>
                                  <a:pt x="7493" y="381"/>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2" name="Shape 31972"/>
                        <wps:cNvSpPr/>
                        <wps:spPr>
                          <a:xfrm>
                            <a:off x="2311146" y="3031236"/>
                            <a:ext cx="595884" cy="313944"/>
                          </a:xfrm>
                          <a:custGeom>
                            <a:avLst/>
                            <a:gdLst/>
                            <a:ahLst/>
                            <a:cxnLst/>
                            <a:rect l="0" t="0" r="0" b="0"/>
                            <a:pathLst>
                              <a:path w="595884" h="313944">
                                <a:moveTo>
                                  <a:pt x="10160" y="1651"/>
                                </a:moveTo>
                                <a:lnTo>
                                  <a:pt x="531259" y="273140"/>
                                </a:lnTo>
                                <a:lnTo>
                                  <a:pt x="545973" y="244984"/>
                                </a:lnTo>
                                <a:lnTo>
                                  <a:pt x="595884" y="313944"/>
                                </a:lnTo>
                                <a:lnTo>
                                  <a:pt x="510667" y="312547"/>
                                </a:lnTo>
                                <a:lnTo>
                                  <a:pt x="525392" y="284368"/>
                                </a:lnTo>
                                <a:lnTo>
                                  <a:pt x="4318" y="12827"/>
                                </a:lnTo>
                                <a:cubicBezTo>
                                  <a:pt x="1143" y="11303"/>
                                  <a:pt x="0" y="7366"/>
                                  <a:pt x="1651" y="4318"/>
                                </a:cubicBezTo>
                                <a:cubicBezTo>
                                  <a:pt x="3175" y="1143"/>
                                  <a:pt x="7112" y="0"/>
                                  <a:pt x="10160" y="1651"/>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3" name="Shape 31973"/>
                        <wps:cNvSpPr/>
                        <wps:spPr>
                          <a:xfrm>
                            <a:off x="2311654" y="3035554"/>
                            <a:ext cx="2734056" cy="361950"/>
                          </a:xfrm>
                          <a:custGeom>
                            <a:avLst/>
                            <a:gdLst/>
                            <a:ahLst/>
                            <a:cxnLst/>
                            <a:rect l="0" t="0" r="0" b="0"/>
                            <a:pathLst>
                              <a:path w="2734056" h="361950">
                                <a:moveTo>
                                  <a:pt x="7493" y="381"/>
                                </a:moveTo>
                                <a:lnTo>
                                  <a:pt x="2659183" y="317765"/>
                                </a:lnTo>
                                <a:lnTo>
                                  <a:pt x="2662936" y="286258"/>
                                </a:lnTo>
                                <a:lnTo>
                                  <a:pt x="2734056" y="333121"/>
                                </a:lnTo>
                                <a:lnTo>
                                  <a:pt x="2653919" y="361950"/>
                                </a:lnTo>
                                <a:lnTo>
                                  <a:pt x="2657685" y="330341"/>
                                </a:lnTo>
                                <a:lnTo>
                                  <a:pt x="5969" y="13081"/>
                                </a:lnTo>
                                <a:cubicBezTo>
                                  <a:pt x="2540" y="12573"/>
                                  <a:pt x="0" y="9398"/>
                                  <a:pt x="381" y="5969"/>
                                </a:cubicBezTo>
                                <a:cubicBezTo>
                                  <a:pt x="889" y="2540"/>
                                  <a:pt x="4064" y="0"/>
                                  <a:pt x="7493" y="381"/>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4" name="Shape 31974"/>
                        <wps:cNvSpPr/>
                        <wps:spPr>
                          <a:xfrm>
                            <a:off x="679196" y="3022600"/>
                            <a:ext cx="76200" cy="231775"/>
                          </a:xfrm>
                          <a:custGeom>
                            <a:avLst/>
                            <a:gdLst/>
                            <a:ahLst/>
                            <a:cxnLst/>
                            <a:rect l="0" t="0" r="0" b="0"/>
                            <a:pathLst>
                              <a:path w="76200" h="231775">
                                <a:moveTo>
                                  <a:pt x="37719" y="0"/>
                                </a:moveTo>
                                <a:cubicBezTo>
                                  <a:pt x="41148" y="0"/>
                                  <a:pt x="44069" y="2794"/>
                                  <a:pt x="44069" y="6350"/>
                                </a:cubicBezTo>
                                <a:lnTo>
                                  <a:pt x="44537" y="155554"/>
                                </a:lnTo>
                                <a:lnTo>
                                  <a:pt x="76200" y="155448"/>
                                </a:lnTo>
                                <a:lnTo>
                                  <a:pt x="38354" y="231775"/>
                                </a:lnTo>
                                <a:lnTo>
                                  <a:pt x="0" y="155702"/>
                                </a:lnTo>
                                <a:lnTo>
                                  <a:pt x="31837" y="155596"/>
                                </a:lnTo>
                                <a:lnTo>
                                  <a:pt x="31369" y="6350"/>
                                </a:lnTo>
                                <a:cubicBezTo>
                                  <a:pt x="31369" y="2922"/>
                                  <a:pt x="34163" y="0"/>
                                  <a:pt x="37719"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5" name="Shape 31975"/>
                        <wps:cNvSpPr/>
                        <wps:spPr>
                          <a:xfrm>
                            <a:off x="2970911" y="771525"/>
                            <a:ext cx="76200" cy="207645"/>
                          </a:xfrm>
                          <a:custGeom>
                            <a:avLst/>
                            <a:gdLst/>
                            <a:ahLst/>
                            <a:cxnLst/>
                            <a:rect l="0" t="0" r="0" b="0"/>
                            <a:pathLst>
                              <a:path w="76200" h="207645">
                                <a:moveTo>
                                  <a:pt x="37719" y="0"/>
                                </a:moveTo>
                                <a:cubicBezTo>
                                  <a:pt x="41148" y="0"/>
                                  <a:pt x="44069" y="2794"/>
                                  <a:pt x="44069" y="6350"/>
                                </a:cubicBezTo>
                                <a:lnTo>
                                  <a:pt x="44415" y="131424"/>
                                </a:lnTo>
                                <a:lnTo>
                                  <a:pt x="76200" y="131318"/>
                                </a:lnTo>
                                <a:lnTo>
                                  <a:pt x="38354" y="207645"/>
                                </a:lnTo>
                                <a:lnTo>
                                  <a:pt x="0" y="131573"/>
                                </a:lnTo>
                                <a:lnTo>
                                  <a:pt x="31715" y="131467"/>
                                </a:lnTo>
                                <a:lnTo>
                                  <a:pt x="31369" y="6350"/>
                                </a:lnTo>
                                <a:cubicBezTo>
                                  <a:pt x="31369" y="2922"/>
                                  <a:pt x="34163" y="0"/>
                                  <a:pt x="37719"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6" name="Shape 31976"/>
                        <wps:cNvSpPr/>
                        <wps:spPr>
                          <a:xfrm>
                            <a:off x="4107815" y="1296289"/>
                            <a:ext cx="381000" cy="76962"/>
                          </a:xfrm>
                          <a:custGeom>
                            <a:avLst/>
                            <a:gdLst/>
                            <a:ahLst/>
                            <a:cxnLst/>
                            <a:rect l="0" t="0" r="0" b="0"/>
                            <a:pathLst>
                              <a:path w="381000" h="76962">
                                <a:moveTo>
                                  <a:pt x="76327" y="0"/>
                                </a:moveTo>
                                <a:lnTo>
                                  <a:pt x="76221" y="31788"/>
                                </a:lnTo>
                                <a:lnTo>
                                  <a:pt x="304821" y="32474"/>
                                </a:lnTo>
                                <a:lnTo>
                                  <a:pt x="304927" y="762"/>
                                </a:lnTo>
                                <a:lnTo>
                                  <a:pt x="381000" y="39116"/>
                                </a:lnTo>
                                <a:lnTo>
                                  <a:pt x="304673" y="76962"/>
                                </a:lnTo>
                                <a:lnTo>
                                  <a:pt x="304779" y="45174"/>
                                </a:lnTo>
                                <a:lnTo>
                                  <a:pt x="76179" y="44488"/>
                                </a:lnTo>
                                <a:lnTo>
                                  <a:pt x="76073" y="76200"/>
                                </a:lnTo>
                                <a:lnTo>
                                  <a:pt x="0" y="37847"/>
                                </a:lnTo>
                                <a:lnTo>
                                  <a:pt x="7632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1977" name="Shape 31977"/>
                        <wps:cNvSpPr/>
                        <wps:spPr>
                          <a:xfrm>
                            <a:off x="1276350" y="5619115"/>
                            <a:ext cx="553720" cy="1905"/>
                          </a:xfrm>
                          <a:custGeom>
                            <a:avLst/>
                            <a:gdLst/>
                            <a:ahLst/>
                            <a:cxnLst/>
                            <a:rect l="0" t="0" r="0" b="0"/>
                            <a:pathLst>
                              <a:path w="553720" h="1905">
                                <a:moveTo>
                                  <a:pt x="0" y="0"/>
                                </a:moveTo>
                                <a:lnTo>
                                  <a:pt x="553720" y="1905"/>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31978" name="Shape 31978"/>
                        <wps:cNvSpPr/>
                        <wps:spPr>
                          <a:xfrm>
                            <a:off x="1318260" y="5322570"/>
                            <a:ext cx="553720" cy="13335"/>
                          </a:xfrm>
                          <a:custGeom>
                            <a:avLst/>
                            <a:gdLst/>
                            <a:ahLst/>
                            <a:cxnLst/>
                            <a:rect l="0" t="0" r="0" b="0"/>
                            <a:pathLst>
                              <a:path w="553720" h="13335">
                                <a:moveTo>
                                  <a:pt x="0" y="0"/>
                                </a:moveTo>
                                <a:lnTo>
                                  <a:pt x="553720" y="13335"/>
                                </a:lnTo>
                              </a:path>
                            </a:pathLst>
                          </a:custGeom>
                          <a:ln w="19050" cap="flat">
                            <a:custDash>
                              <a:ds d="600000" sp="450000"/>
                            </a:custDash>
                            <a:round/>
                          </a:ln>
                        </wps:spPr>
                        <wps:style>
                          <a:lnRef idx="1">
                            <a:srgbClr val="000000"/>
                          </a:lnRef>
                          <a:fillRef idx="0">
                            <a:srgbClr val="000000">
                              <a:alpha val="0"/>
                            </a:srgbClr>
                          </a:fillRef>
                          <a:effectRef idx="0">
                            <a:scrgbClr r="0" g="0" b="0"/>
                          </a:effectRef>
                          <a:fontRef idx="none"/>
                        </wps:style>
                        <wps:bodyPr/>
                      </wps:wsp>
                      <wps:wsp>
                        <wps:cNvPr id="31980" name="Rectangle 31980"/>
                        <wps:cNvSpPr/>
                        <wps:spPr>
                          <a:xfrm>
                            <a:off x="2332990" y="5250282"/>
                            <a:ext cx="3539846" cy="224380"/>
                          </a:xfrm>
                          <a:prstGeom prst="rect">
                            <a:avLst/>
                          </a:prstGeom>
                          <a:ln>
                            <a:noFill/>
                          </a:ln>
                        </wps:spPr>
                        <wps:txbx>
                          <w:txbxContent>
                            <w:p w:rsidR="00BB52D7" w:rsidRDefault="00E33AE6">
                              <w:pPr>
                                <w:spacing w:after="160" w:line="259" w:lineRule="auto"/>
                                <w:ind w:left="0" w:firstLine="0"/>
                                <w:jc w:val="left"/>
                              </w:pPr>
                              <w:r>
                                <w:t>New participant disclosed in the Prospectus</w:t>
                              </w:r>
                            </w:p>
                          </w:txbxContent>
                        </wps:txbx>
                        <wps:bodyPr horzOverflow="overflow" vert="horz" lIns="0" tIns="0" rIns="0" bIns="0" rtlCol="0">
                          <a:noAutofit/>
                        </wps:bodyPr>
                      </wps:wsp>
                      <wps:wsp>
                        <wps:cNvPr id="31981" name="Rectangle 31981"/>
                        <wps:cNvSpPr/>
                        <wps:spPr>
                          <a:xfrm>
                            <a:off x="4994910" y="5250282"/>
                            <a:ext cx="50673" cy="224380"/>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31982" name="Rectangle 31982"/>
                        <wps:cNvSpPr/>
                        <wps:spPr>
                          <a:xfrm>
                            <a:off x="2332990" y="5577943"/>
                            <a:ext cx="2438385" cy="224379"/>
                          </a:xfrm>
                          <a:prstGeom prst="rect">
                            <a:avLst/>
                          </a:prstGeom>
                          <a:ln>
                            <a:noFill/>
                          </a:ln>
                        </wps:spPr>
                        <wps:txbx>
                          <w:txbxContent>
                            <w:p w:rsidR="00BB52D7" w:rsidRDefault="00E33AE6">
                              <w:pPr>
                                <w:spacing w:after="160" w:line="259" w:lineRule="auto"/>
                                <w:ind w:left="0" w:firstLine="0"/>
                                <w:jc w:val="left"/>
                              </w:pPr>
                              <w:r>
                                <w:t>Undisclosed in the Prospectus</w:t>
                              </w:r>
                            </w:p>
                          </w:txbxContent>
                        </wps:txbx>
                        <wps:bodyPr horzOverflow="overflow" vert="horz" lIns="0" tIns="0" rIns="0" bIns="0" rtlCol="0">
                          <a:noAutofit/>
                        </wps:bodyPr>
                      </wps:wsp>
                      <wps:wsp>
                        <wps:cNvPr id="31983" name="Rectangle 31983"/>
                        <wps:cNvSpPr/>
                        <wps:spPr>
                          <a:xfrm>
                            <a:off x="4166616" y="5577943"/>
                            <a:ext cx="50673" cy="224379"/>
                          </a:xfrm>
                          <a:prstGeom prst="rect">
                            <a:avLst/>
                          </a:prstGeom>
                          <a:ln>
                            <a:noFill/>
                          </a:ln>
                        </wps:spPr>
                        <wps:txbx>
                          <w:txbxContent>
                            <w:p w:rsidR="00BB52D7" w:rsidRDefault="00E33AE6">
                              <w:pPr>
                                <w:spacing w:after="160" w:line="259" w:lineRule="auto"/>
                                <w:ind w:left="0" w:firstLine="0"/>
                                <w:jc w:val="left"/>
                              </w:pPr>
                              <w:r>
                                <w:t xml:space="preserve"> </w:t>
                              </w:r>
                            </w:p>
                          </w:txbxContent>
                        </wps:txbx>
                        <wps:bodyPr horzOverflow="overflow" vert="horz" lIns="0" tIns="0" rIns="0" bIns="0" rtlCol="0">
                          <a:noAutofit/>
                        </wps:bodyPr>
                      </wps:wsp>
                      <wps:wsp>
                        <wps:cNvPr id="244319" name="Shape 244319"/>
                        <wps:cNvSpPr/>
                        <wps:spPr>
                          <a:xfrm>
                            <a:off x="0" y="1886585"/>
                            <a:ext cx="1433195" cy="1142365"/>
                          </a:xfrm>
                          <a:custGeom>
                            <a:avLst/>
                            <a:gdLst/>
                            <a:ahLst/>
                            <a:cxnLst/>
                            <a:rect l="0" t="0" r="0" b="0"/>
                            <a:pathLst>
                              <a:path w="1433195" h="1142365">
                                <a:moveTo>
                                  <a:pt x="0" y="0"/>
                                </a:moveTo>
                                <a:lnTo>
                                  <a:pt x="1433195" y="0"/>
                                </a:lnTo>
                                <a:lnTo>
                                  <a:pt x="1433195" y="1142365"/>
                                </a:lnTo>
                                <a:lnTo>
                                  <a:pt x="0" y="11423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1985" name="Shape 31985"/>
                        <wps:cNvSpPr/>
                        <wps:spPr>
                          <a:xfrm>
                            <a:off x="0" y="1886585"/>
                            <a:ext cx="1433195" cy="1142365"/>
                          </a:xfrm>
                          <a:custGeom>
                            <a:avLst/>
                            <a:gdLst/>
                            <a:ahLst/>
                            <a:cxnLst/>
                            <a:rect l="0" t="0" r="0" b="0"/>
                            <a:pathLst>
                              <a:path w="1433195" h="1142365">
                                <a:moveTo>
                                  <a:pt x="0" y="1142365"/>
                                </a:moveTo>
                                <a:lnTo>
                                  <a:pt x="1433195" y="1142365"/>
                                </a:lnTo>
                                <a:lnTo>
                                  <a:pt x="143319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1986" name="Rectangle 31986"/>
                        <wps:cNvSpPr/>
                        <wps:spPr>
                          <a:xfrm>
                            <a:off x="241046" y="1943709"/>
                            <a:ext cx="1317295" cy="224380"/>
                          </a:xfrm>
                          <a:prstGeom prst="rect">
                            <a:avLst/>
                          </a:prstGeom>
                          <a:ln>
                            <a:noFill/>
                          </a:ln>
                        </wps:spPr>
                        <wps:txbx>
                          <w:txbxContent>
                            <w:p w:rsidR="00BB52D7" w:rsidRDefault="00E33AE6">
                              <w:pPr>
                                <w:spacing w:after="160" w:line="259" w:lineRule="auto"/>
                                <w:ind w:left="0" w:firstLine="0"/>
                                <w:jc w:val="left"/>
                              </w:pPr>
                              <w:r>
                                <w:rPr>
                                  <w:b/>
                                </w:rPr>
                                <w:t xml:space="preserve">Custodian and </w:t>
                              </w:r>
                            </w:p>
                          </w:txbxContent>
                        </wps:txbx>
                        <wps:bodyPr horzOverflow="overflow" vert="horz" lIns="0" tIns="0" rIns="0" bIns="0" rtlCol="0">
                          <a:noAutofit/>
                        </wps:bodyPr>
                      </wps:wsp>
                      <wps:wsp>
                        <wps:cNvPr id="31987" name="Rectangle 31987"/>
                        <wps:cNvSpPr/>
                        <wps:spPr>
                          <a:xfrm>
                            <a:off x="300482" y="2118970"/>
                            <a:ext cx="1159195" cy="224380"/>
                          </a:xfrm>
                          <a:prstGeom prst="rect">
                            <a:avLst/>
                          </a:prstGeom>
                          <a:ln>
                            <a:noFill/>
                          </a:ln>
                        </wps:spPr>
                        <wps:txbx>
                          <w:txbxContent>
                            <w:p w:rsidR="00BB52D7" w:rsidRDefault="00E33AE6">
                              <w:pPr>
                                <w:spacing w:after="160" w:line="259" w:lineRule="auto"/>
                                <w:ind w:left="0" w:firstLine="0"/>
                                <w:jc w:val="left"/>
                              </w:pPr>
                              <w:r>
                                <w:rPr>
                                  <w:b/>
                                </w:rPr>
                                <w:t xml:space="preserve">Main Paying </w:t>
                              </w:r>
                            </w:p>
                          </w:txbxContent>
                        </wps:txbx>
                        <wps:bodyPr horzOverflow="overflow" vert="horz" lIns="0" tIns="0" rIns="0" bIns="0" rtlCol="0">
                          <a:noAutofit/>
                        </wps:bodyPr>
                      </wps:wsp>
                      <wps:wsp>
                        <wps:cNvPr id="31988" name="Rectangle 31988"/>
                        <wps:cNvSpPr/>
                        <wps:spPr>
                          <a:xfrm>
                            <a:off x="522224" y="2294230"/>
                            <a:ext cx="517880" cy="224380"/>
                          </a:xfrm>
                          <a:prstGeom prst="rect">
                            <a:avLst/>
                          </a:prstGeom>
                          <a:ln>
                            <a:noFill/>
                          </a:ln>
                        </wps:spPr>
                        <wps:txbx>
                          <w:txbxContent>
                            <w:p w:rsidR="00BB52D7" w:rsidRDefault="00E33AE6">
                              <w:pPr>
                                <w:spacing w:after="160" w:line="259" w:lineRule="auto"/>
                                <w:ind w:left="0" w:firstLine="0"/>
                                <w:jc w:val="left"/>
                              </w:pPr>
                              <w:r>
                                <w:rPr>
                                  <w:b/>
                                </w:rPr>
                                <w:t>Agent</w:t>
                              </w:r>
                            </w:p>
                          </w:txbxContent>
                        </wps:txbx>
                        <wps:bodyPr horzOverflow="overflow" vert="horz" lIns="0" tIns="0" rIns="0" bIns="0" rtlCol="0">
                          <a:noAutofit/>
                        </wps:bodyPr>
                      </wps:wsp>
                      <wps:wsp>
                        <wps:cNvPr id="31989" name="Rectangle 31989"/>
                        <wps:cNvSpPr/>
                        <wps:spPr>
                          <a:xfrm>
                            <a:off x="911606" y="2294230"/>
                            <a:ext cx="50673" cy="224380"/>
                          </a:xfrm>
                          <a:prstGeom prst="rect">
                            <a:avLst/>
                          </a:prstGeom>
                          <a:ln>
                            <a:noFill/>
                          </a:ln>
                        </wps:spPr>
                        <wps:txbx>
                          <w:txbxContent>
                            <w:p w:rsidR="00BB52D7" w:rsidRDefault="00E33AE6">
                              <w:pPr>
                                <w:spacing w:after="160" w:line="259" w:lineRule="auto"/>
                                <w:ind w:left="0" w:firstLine="0"/>
                                <w:jc w:val="left"/>
                              </w:pPr>
                              <w:r>
                                <w:rPr>
                                  <w:b/>
                                </w:rPr>
                                <w:t xml:space="preserve"> </w:t>
                              </w:r>
                            </w:p>
                          </w:txbxContent>
                        </wps:txbx>
                        <wps:bodyPr horzOverflow="overflow" vert="horz" lIns="0" tIns="0" rIns="0" bIns="0" rtlCol="0">
                          <a:noAutofit/>
                        </wps:bodyPr>
                      </wps:wsp>
                      <wps:wsp>
                        <wps:cNvPr id="31990" name="Rectangle 31990"/>
                        <wps:cNvSpPr/>
                        <wps:spPr>
                          <a:xfrm>
                            <a:off x="122936" y="2468728"/>
                            <a:ext cx="1630455" cy="224380"/>
                          </a:xfrm>
                          <a:prstGeom prst="rect">
                            <a:avLst/>
                          </a:prstGeom>
                          <a:ln>
                            <a:noFill/>
                          </a:ln>
                        </wps:spPr>
                        <wps:txbx>
                          <w:txbxContent>
                            <w:p w:rsidR="00BB52D7" w:rsidRDefault="00E33AE6">
                              <w:pPr>
                                <w:spacing w:after="160" w:line="259" w:lineRule="auto"/>
                                <w:ind w:left="0" w:firstLine="0"/>
                                <w:jc w:val="left"/>
                              </w:pPr>
                              <w:r>
                                <w:rPr>
                                  <w:i/>
                                </w:rPr>
                                <w:t xml:space="preserve">UBS (Luxembourg) </w:t>
                              </w:r>
                            </w:p>
                          </w:txbxContent>
                        </wps:txbx>
                        <wps:bodyPr horzOverflow="overflow" vert="horz" lIns="0" tIns="0" rIns="0" bIns="0" rtlCol="0">
                          <a:noAutofit/>
                        </wps:bodyPr>
                      </wps:wsp>
                      <wps:wsp>
                        <wps:cNvPr id="31991" name="Rectangle 31991"/>
                        <wps:cNvSpPr/>
                        <wps:spPr>
                          <a:xfrm>
                            <a:off x="632714" y="2643988"/>
                            <a:ext cx="225158" cy="224380"/>
                          </a:xfrm>
                          <a:prstGeom prst="rect">
                            <a:avLst/>
                          </a:prstGeom>
                          <a:ln>
                            <a:noFill/>
                          </a:ln>
                        </wps:spPr>
                        <wps:txbx>
                          <w:txbxContent>
                            <w:p w:rsidR="00BB52D7" w:rsidRDefault="00E33AE6">
                              <w:pPr>
                                <w:spacing w:after="160" w:line="259" w:lineRule="auto"/>
                                <w:ind w:left="0" w:firstLine="0"/>
                                <w:jc w:val="left"/>
                              </w:pPr>
                              <w:r>
                                <w:rPr>
                                  <w:i/>
                                </w:rPr>
                                <w:t>SA</w:t>
                              </w:r>
                            </w:p>
                          </w:txbxContent>
                        </wps:txbx>
                        <wps:bodyPr horzOverflow="overflow" vert="horz" lIns="0" tIns="0" rIns="0" bIns="0" rtlCol="0">
                          <a:noAutofit/>
                        </wps:bodyPr>
                      </wps:wsp>
                      <wps:wsp>
                        <wps:cNvPr id="31992" name="Rectangle 31992"/>
                        <wps:cNvSpPr/>
                        <wps:spPr>
                          <a:xfrm>
                            <a:off x="801878" y="2643988"/>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s:wsp>
                        <wps:cNvPr id="31993" name="Rectangle 31993"/>
                        <wps:cNvSpPr/>
                        <wps:spPr>
                          <a:xfrm>
                            <a:off x="228092" y="2819247"/>
                            <a:ext cx="1300439" cy="224380"/>
                          </a:xfrm>
                          <a:prstGeom prst="rect">
                            <a:avLst/>
                          </a:prstGeom>
                          <a:ln>
                            <a:noFill/>
                          </a:ln>
                        </wps:spPr>
                        <wps:txbx>
                          <w:txbxContent>
                            <w:p w:rsidR="00BB52D7" w:rsidRDefault="00E33AE6">
                              <w:pPr>
                                <w:spacing w:after="160" w:line="259" w:lineRule="auto"/>
                                <w:ind w:left="0" w:firstLine="0"/>
                                <w:jc w:val="left"/>
                              </w:pPr>
                              <w:r>
                                <w:rPr>
                                  <w:i/>
                                </w:rPr>
                                <w:t>Luxembourg SA</w:t>
                              </w:r>
                            </w:p>
                          </w:txbxContent>
                        </wps:txbx>
                        <wps:bodyPr horzOverflow="overflow" vert="horz" lIns="0" tIns="0" rIns="0" bIns="0" rtlCol="0">
                          <a:noAutofit/>
                        </wps:bodyPr>
                      </wps:wsp>
                      <wps:wsp>
                        <wps:cNvPr id="31994" name="Rectangle 31994"/>
                        <wps:cNvSpPr/>
                        <wps:spPr>
                          <a:xfrm>
                            <a:off x="1205738" y="2819247"/>
                            <a:ext cx="50673" cy="224380"/>
                          </a:xfrm>
                          <a:prstGeom prst="rect">
                            <a:avLst/>
                          </a:prstGeom>
                          <a:ln>
                            <a:noFill/>
                          </a:ln>
                        </wps:spPr>
                        <wps:txbx>
                          <w:txbxContent>
                            <w:p w:rsidR="00BB52D7" w:rsidRDefault="00E33AE6">
                              <w:pPr>
                                <w:spacing w:after="160" w:line="259" w:lineRule="auto"/>
                                <w:ind w:left="0" w:firstLine="0"/>
                                <w:jc w:val="left"/>
                              </w:pPr>
                              <w:r>
                                <w:rPr>
                                  <w:i/>
                                </w:rPr>
                                <w:t xml:space="preserve"> </w:t>
                              </w:r>
                            </w:p>
                          </w:txbxContent>
                        </wps:txbx>
                        <wps:bodyPr horzOverflow="overflow" vert="horz" lIns="0" tIns="0" rIns="0" bIns="0" rtlCol="0">
                          <a:noAutofit/>
                        </wps:bodyPr>
                      </wps:wsp>
                    </wpg:wgp>
                  </a:graphicData>
                </a:graphic>
              </wp:inline>
            </w:drawing>
          </mc:Choice>
          <mc:Fallback>
            <w:pict>
              <v:group id="Group 193578" o:spid="_x0000_s1249" style="width:459.3pt;height:452.5pt;mso-position-horizontal-relative:char;mso-position-vertical-relative:line" coordsize="58331,5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">
                <v:shape id="Shape 31861" o:spid="_x0000_s1250" style="position:absolute;left:21018;width:19469;height:7778;visibility:visible;mso-wrap-style:square;v-text-anchor:top" coordsize="1946910,777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d38cA&#10;AADeAAAADwAAAGRycy9kb3ducmV2LnhtbESPT2vCQBTE74LfYXlCb7qJFbGpqxRpofjnYLQ9P7PP&#10;JDT7NmS3MX57VxA8DjPzG2a+7EwlWmpcaVlBPIpAEGdWl5wrOB6+hjMQziNrrCyTgis5WC76vTkm&#10;2l54T23qcxEg7BJUUHhfJ1K6rCCDbmRr4uCdbWPQB9nkUjd4CXBTyXEUTaXBksNCgTWtCsr+0n+j&#10;YLNJs9/JenJ6a3dyt07ZfR5/tkq9DLqPdxCeOv8MP9rfWsFrPJvGcL8Tr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hnd/HAAAA3gAAAA8AAAAAAAAAAAAAAAAAmAIAAGRy&#10;cy9kb3ducmV2LnhtbFBLBQYAAAAABAAEAPUAAACMAwAAAAA=&#10;" path="m,777875r1946910,l1946910,,,,,777875xe" filled="f">
                  <v:stroke miterlimit="83231f" joinstyle="miter" endcap="round"/>
                  <v:path arrowok="t" textboxrect="0,0,1946910,777875"/>
                </v:shape>
                <v:rect id="Rectangle 31862" o:spid="_x0000_s1251" style="position:absolute;left:27200;top:567;width:94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hkbMYA&#10;AADeAAAADwAAAGRycy9kb3ducmV2LnhtbESPQYvCMBSE74L/ITzBm6YqSO0aRdRFj64K7t4ezdu2&#10;2LyUJmurv94sCB6HmfmGmS9bU4ob1a6wrGA0jEAQp1YXnCk4nz4HMQjnkTWWlknBnRwsF93OHBNt&#10;G/6i29FnIkDYJagg975KpHRpTgbd0FbEwfu1tUEfZJ1JXWMT4KaU4yiaSoMFh4UcK1rnlF6Pf0bB&#10;Lq5W33v7aLJy+7O7HC6zzWnmler32tUHCE+tf4df7b1WMBnF0zH83w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hkbMYAAADeAAAADwAAAAAAAAAAAAAAAACYAgAAZHJz&#10;L2Rvd25yZXYueG1sUEsFBgAAAAAEAAQA9QAAAIsDAAAAAA==&#10;" filled="f" stroked="f">
                  <v:textbox inset="0,0,0,0">
                    <w:txbxContent>
                      <w:p w:rsidR="00BB52D7" w:rsidRDefault="00E33AE6">
                        <w:pPr>
                          <w:spacing w:after="160" w:line="259" w:lineRule="auto"/>
                          <w:ind w:left="0" w:firstLine="0"/>
                          <w:jc w:val="left"/>
                        </w:pPr>
                        <w:r>
                          <w:rPr>
                            <w:b/>
                          </w:rPr>
                          <w:t>Promoteur</w:t>
                        </w:r>
                      </w:p>
                    </w:txbxContent>
                  </v:textbox>
                </v:rect>
                <v:rect id="Rectangle 31863" o:spid="_x0000_s1252" style="position:absolute;left:34310;top:56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B98cA&#10;AADeAAAADwAAAGRycy9kb3ducmV2LnhtbESPQWvCQBSE74L/YXlCb7qxQoipq4htSY5tFGxvj+xr&#10;Esy+DdmtSfvruwXB4zAz3zCb3WhacaXeNZYVLBcRCOLS6oYrBafj6zwB4TyyxtYyKfghB7vtdLLB&#10;VNuB3+la+EoECLsUFdTed6mUrqzJoFvYjjh4X7Y36IPsK6l7HALctPIximJpsOGwUGNHh5rKS/Ft&#10;FGRJt//I7e9QtS+f2fntvH4+rr1SD7Nx/wTC0+jv4Vs71wpWyyRewf+dcAXk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Ewff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 </w:t>
                        </w:r>
                      </w:p>
                    </w:txbxContent>
                  </v:textbox>
                </v:rect>
                <v:rect id="Rectangle 31864" o:spid="_x0000_s1253" style="position:absolute;left:25547;top:3836;width:138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1Zg8cA&#10;AADeAAAADwAAAGRycy9kb3ducmV2LnhtbESPT2vCQBTE70K/w/IK3nRjFYnRVaRV9Oifgnp7ZJ9J&#10;aPZtyK4m+um7BaHHYWZ+w8wWrSnFnWpXWFYw6EcgiFOrC84UfB/XvRiE88gaS8uk4EEOFvO3zgwT&#10;bRve0/3gMxEg7BJUkHtfJVK6NCeDrm8r4uBdbW3QB1lnUtfYBLgp5UcUjaXBgsNCjhV95pT+HG5G&#10;wSauluetfTZZubpsTrvT5Os48Up139vlFISn1v+HX+2tVjAcxOMR/N0JV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tWYP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UBS AG (Suisse)</w:t>
                        </w:r>
                      </w:p>
                    </w:txbxContent>
                  </v:textbox>
                </v:rect>
                <v:rect id="Rectangle 31865" o:spid="_x0000_s1254" style="position:absolute;left:35963;top:383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8GMcA&#10;AADeAAAADwAAAGRycy9kb3ducmV2LnhtbESPT2vCQBTE70K/w/IK3nRjRYnRVaRV9Oifgnp7ZJ9J&#10;aPZtyK4m+um7BaHHYWZ+w8wWrSnFnWpXWFYw6EcgiFOrC84UfB/XvRiE88gaS8uk4EEOFvO3zgwT&#10;bRve0/3gMxEg7BJUkHtfJVK6NCeDrm8r4uBdbW3QB1lnUtfYBLgp5UcUjaXBgsNCjhV95pT+HG5G&#10;wSauluetfTZZubpsTrvT5Os48Up139vlFISn1v+HX+2tVjAcxOMR/N0JV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h/Bj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 </w:t>
                        </w:r>
                      </w:p>
                    </w:txbxContent>
                  </v:textbox>
                </v:rect>
                <v:rect id="Rectangle 31866" o:spid="_x0000_s1255" style="position:absolute;left:23771;top:5589;width:1857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Nib8cA&#10;AADeAAAADwAAAGRycy9kb3ducmV2LnhtbESPT2vCQBTE7wW/w/KE3upGCyFGVxH/oMdWBfX2yD6T&#10;YPZtyK4m7afvFgSPw8z8hpnOO1OJBzWutKxgOIhAEGdWl5wrOB42HwkI55E1VpZJwQ85mM96b1NM&#10;tW35mx57n4sAYZeigsL7OpXSZQUZdANbEwfvahuDPsgml7rBNsBNJUdRFEuDJYeFAmtaFpTd9nej&#10;YJvUi/PO/rZ5tb5sT1+n8eow9kq997vFBISnzr/Cz/ZOK/gcJnEM/3fCFZ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zYm/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UBS SA (Luxembourg)</w:t>
                        </w:r>
                      </w:p>
                    </w:txbxContent>
                  </v:textbox>
                </v:rect>
                <v:rect id="Rectangle 31867" o:spid="_x0000_s1256" style="position:absolute;left:37739;top:558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9McA&#10;AADeAAAADwAAAGRycy9kb3ducmV2LnhtbESPT2vCQBTE74LfYXlCb7pRQWPqKqIWPdY/YHt7ZF+T&#10;YPZtyG5N6qd3C4LHYWZ+w8yXrSnFjWpXWFYwHEQgiFOrC84UnE8f/RiE88gaS8uk4I8cLBfdzhwT&#10;bRs+0O3oMxEg7BJUkHtfJVK6NCeDbmAr4uD92NqgD7LOpK6xCXBTylEUTaTBgsNCjhWtc0qvx1+j&#10;YBdXq6+9vTdZuf3eXT4vs81p5pV667WrdxCeWv8KP9t7rWA8jCdT+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x/T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 </w:t>
                        </w:r>
                      </w:p>
                    </w:txbxContent>
                  </v:textbox>
                </v:rect>
                <v:shape id="Shape 31871" o:spid="_x0000_s1257" style="position:absolute;left:21323;top:9791;width:19755;height:6592;visibility:visible;mso-wrap-style:square;v-text-anchor:top" coordsize="1975485,65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NRcgA&#10;AADeAAAADwAAAGRycy9kb3ducmV2LnhtbESPUUvDMBSF3wX/Q7iCby5pBR112SgbgqIgm26+Xppr&#10;U9fc1CZ21V9vhMEeD+ec73Bmi9G1YqA+NJ41ZBMFgrjypuFaw9vr/dUURIjIBlvPpOGHAizm52cz&#10;LIw/8JqGTaxFgnAoUIONsSukDJUlh2HiO+LkffjeYUyyr6Xp8ZDgrpW5UjfSYcNpwWJHS0vVfvPt&#10;NKjd9vPly66fH5/yvBxatdqX779aX16M5R2ISGM8hY/tB6PhOpveZvB/J10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t81FyAAAAN4AAAAPAAAAAAAAAAAAAAAAAJgCAABk&#10;cnMvZG93bnJldi54bWxQSwUGAAAAAAQABAD1AAAAjQMAAAAA&#10;" path="m,659130r1975485,l1975485,,,,,659130xe" filled="f">
                  <v:stroke miterlimit="83231f" joinstyle="miter" endcap="round"/>
                  <v:path arrowok="t" textboxrect="0,0,1975485,659130"/>
                </v:shape>
                <v:rect id="Rectangle 31872" o:spid="_x0000_s1258" style="position:absolute;left:31208;top:1036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ysccA&#10;AADeAAAADwAAAGRycy9kb3ducmV2LnhtbESPT2vCQBTE74LfYXmCN92oUGPqKmIreqx/wPb2yL4m&#10;wezbkF1N6qd3C4LHYWZ+w8yXrSnFjWpXWFYwGkYgiFOrC84UnI6bQQzCeWSNpWVS8EcOlotuZ46J&#10;tg3v6XbwmQgQdgkqyL2vEildmpNBN7QVcfB+bW3QB1lnUtfYBLgp5TiK3qTBgsNCjhWtc0ovh6tR&#10;sI2r1ffO3pus/PzZnr/Os4/jzCvV77WrdxCeWv8KP9s7rWAyiqd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R8rH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 </w:t>
                        </w:r>
                      </w:p>
                    </w:txbxContent>
                  </v:textbox>
                </v:rect>
                <v:rect id="Rectangle 31873" o:spid="_x0000_s1259" style="position:absolute;left:26934;top:12114;width:113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XKsgA&#10;AADeAAAADwAAAGRycy9kb3ducmV2LnhtbESPT2vCQBTE7wW/w/KE3urGCm2M2YjYFj3WP6DeHtln&#10;Esy+DdmtSf30bqHgcZiZ3zDpvDe1uFLrKssKxqMIBHFudcWFgv3u6yUG4TyyxtoyKfglB/Ns8JRi&#10;om3HG7pufSEChF2CCkrvm0RKl5dk0I1sQxy8s20N+iDbQuoWuwA3tXyNojdpsOKwUGJDy5Lyy/bH&#10;KFjFzeK4treuqD9Pq8P3Yfqxm3qlnof9YgbCU+8f4f/2WiuYjOP3CfzdCVdAZ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HVcq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LUXALPHA</w:t>
                        </w:r>
                      </w:p>
                    </w:txbxContent>
                  </v:textbox>
                </v:rect>
                <v:rect id="Rectangle 31874" o:spid="_x0000_s1260" style="position:absolute;left:35483;top:1211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PXsgA&#10;AADeAAAADwAAAGRycy9kb3ducmV2LnhtbESPT2vCQBTE70K/w/IK3nSTWtqYZhVRix79U7C9PbKv&#10;SWj2bciuJvrpu4WCx2FmfsNk897U4kKtqywriMcRCOLc6ooLBR/H91ECwnlkjbVlUnAlB/PZwyDD&#10;VNuO93Q5+EIECLsUFZTeN6mULi/JoBvbhjh437Y16INsC6lb7ALc1PIpil6kwYrDQokNLUvKfw5n&#10;o2CTNIvPrb11Rb3+2px2p+nqOPVKDR/7xRsIT72/h//bW61gEievz/B3J1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9M9eyAAAAN4AAAAPAAAAAAAAAAAAAAAAAJgCAABk&#10;cnMvZG93bnJldi54bWxQSwUGAAAAAAQABAD1AAAAjQMAAAAA&#10;" filled="f" stroked="f">
                  <v:textbox inset="0,0,0,0">
                    <w:txbxContent>
                      <w:p w:rsidR="00BB52D7" w:rsidRDefault="00E33AE6">
                        <w:pPr>
                          <w:spacing w:after="160" w:line="259" w:lineRule="auto"/>
                          <w:ind w:left="0" w:firstLine="0"/>
                          <w:jc w:val="left"/>
                        </w:pPr>
                        <w:r>
                          <w:rPr>
                            <w:i/>
                          </w:rPr>
                          <w:t xml:space="preserve"> </w:t>
                        </w:r>
                      </w:p>
                    </w:txbxContent>
                  </v:textbox>
                </v:rect>
                <v:rect id="Rectangle 31875" o:spid="_x0000_s1261" style="position:absolute;left:31208;top:1385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qxcgA&#10;AADeAAAADwAAAGRycy9kb3ducmV2LnhtbESPT2vCQBTE70K/w/IK3nSTStuYZhVRix79U7C9PbKv&#10;SWj2bciuJvrpu4WCx2FmfsNk897U4kKtqywriMcRCOLc6ooLBR/H91ECwnlkjbVlUnAlB/PZwyDD&#10;VNuO93Q5+EIECLsUFZTeN6mULi/JoBvbhjh437Y16INsC6lb7ALc1PIpil6kwYrDQokNLUvKfw5n&#10;o2CTNIvPrb11Rb3+2px2p+nqOPVKDR/7xRsIT72/h//bW61gEievz/B3J1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uGrFyAAAAN4AAAAPAAAAAAAAAAAAAAAAAJgCAABk&#10;cnMvZG93bnJldi54bWxQSwUGAAAAAAQABAD1AAAAjQMAAAAA&#10;" filled="f" stroked="f">
                  <v:textbox inset="0,0,0,0">
                    <w:txbxContent>
                      <w:p w:rsidR="00BB52D7" w:rsidRDefault="00E33AE6">
                        <w:pPr>
                          <w:spacing w:after="160" w:line="259" w:lineRule="auto"/>
                          <w:ind w:left="0" w:firstLine="0"/>
                          <w:jc w:val="left"/>
                        </w:pPr>
                        <w:r>
                          <w:t xml:space="preserve"> </w:t>
                        </w:r>
                      </w:p>
                    </w:txbxContent>
                  </v:textbox>
                </v:rect>
                <v:shape id="Shape 31878" o:spid="_x0000_s1262" style="position:absolute;left:44888;top:11182;width:12668;height:4343;visibility:visible;mso-wrap-style:square;v-text-anchor:top" coordsize="1266825,43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aX8MA&#10;AADeAAAADwAAAGRycy9kb3ducmV2LnhtbERPy2oCMRTdC/5DuEJ3mrGlPqZGkYKMIC7Uur8ktzNT&#10;JzdDEsfp3zeLgsvDea82vW1ERz7UjhVMJxkIYu1MzaWCr8tuvAARIrLBxjEp+KUAm/VwsMLcuAef&#10;qDvHUqQQDjkqqGJscymDrshimLiWOHHfzluMCfpSGo+PFG4b+ZplM2mx5tRQYUufFenb+W4VFMtZ&#10;sdQ//XXvD0Wn3dFf3+cHpV5G/fYDRKQ+PsX/7r1R8DZdzNPedCd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eaX8MAAADeAAAADwAAAAAAAAAAAAAAAACYAgAAZHJzL2Rv&#10;d25yZXYueG1sUEsFBgAAAAAEAAQA9QAAAIgDAAAAAA==&#10;" path="m,434340r1266825,l1266825,,,,,434340xe" filled="f">
                  <v:stroke miterlimit="83231f" joinstyle="miter" endcap="round"/>
                  <v:path arrowok="t" textboxrect="0,0,1266825,434340"/>
                </v:shape>
                <v:rect id="Rectangle 31879" o:spid="_x0000_s1263" style="position:absolute;left:48653;top:11748;width:68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VgwMcA&#10;AADeAAAADwAAAGRycy9kb3ducmV2LnhtbESPQWvCQBSE7wX/w/IEb3WjQpvEbERsix5bFdTbI/tM&#10;gtm3Ibs1aX99t1DocZiZb5hsNZhG3KlztWUFs2kEgriwuuZSwfHw9hiDcB5ZY2OZFHyRg1U+esgw&#10;1bbnD7rvfSkChF2KCirv21RKV1Rk0E1tSxy8q+0M+iC7UuoO+wA3jZxH0ZM0WHNYqLClTUXFbf9p&#10;FGzjdn3e2e++bF4v29P7KXk5JF6pyXhYL0F4Gvx/+K+90woWs/g5gd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1YMD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Auditor</w:t>
                        </w:r>
                      </w:p>
                    </w:txbxContent>
                  </v:textbox>
                </v:rect>
                <v:rect id="Rectangle 31880" o:spid="_x0000_s1264" style="position:absolute;left:53820;top:1174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5esYA&#10;AADeAAAADwAAAGRycy9kb3ducmV2LnhtbESPzWrCQBSF94W+w3AFd81EhRJjRpGq6LI1hbS7S+aa&#10;BDN3QmY0sU/fWRS6PJw/vmwzmlbcqXeNZQWzKAZBXFrdcKXgMz+8JCCcR9bYWiYFD3KwWT8/ZZhq&#10;O/AH3c++EmGEXYoKau+7VEpX1mTQRbYjDt7F9gZ9kH0ldY9DGDetnMfxqzTYcHiosaO3msrr+WYU&#10;HJNu+3WyP0PV7r+PxXux3OVLr9R0Mm5XIDyN/j/81z5pBYtZkgSAgBNQ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q5esYAAADeAAAADwAAAAAAAAAAAAAAAACYAgAAZHJz&#10;L2Rvd25yZXYueG1sUEsFBgAAAAAEAAQA9QAAAIsDAAAAAA==&#10;" filled="f" stroked="f">
                  <v:textbox inset="0,0,0,0">
                    <w:txbxContent>
                      <w:p w:rsidR="00BB52D7" w:rsidRDefault="00E33AE6">
                        <w:pPr>
                          <w:spacing w:after="160" w:line="259" w:lineRule="auto"/>
                          <w:ind w:left="0" w:firstLine="0"/>
                          <w:jc w:val="left"/>
                        </w:pPr>
                        <w:r>
                          <w:rPr>
                            <w:b/>
                          </w:rPr>
                          <w:t xml:space="preserve"> </w:t>
                        </w:r>
                      </w:p>
                    </w:txbxContent>
                  </v:textbox>
                </v:rect>
                <v:rect id="Rectangle 31881" o:spid="_x0000_s1265" style="position:absolute;left:47868;top:13501;width:945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Yc4ccA&#10;AADeAAAADwAAAGRycy9kb3ducmV2LnhtbESPQWvCQBSE70L/w/IK3nSTFiTGbERaix5bLai3R/aZ&#10;hGbfhuxqor++WxB6HGbmGyZbDqYRV+pcbVlBPI1AEBdW11wq+N5/TBIQziNrbCyTghs5WOZPowxT&#10;bXv+ouvOlyJA2KWooPK+TaV0RUUG3dS2xME7286gD7Irpe6wD3DTyJcomkmDNYeFClt6q6j42V2M&#10;gk3Sro5be+/LZn3aHD4P8/f93Cs1fh5WCxCeBv8ffrS3WsFrnCQx/N0JV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WHOH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ERNST &amp; </w:t>
                        </w:r>
                      </w:p>
                    </w:txbxContent>
                  </v:textbox>
                </v:rect>
                <v:shape id="Shape 31887" o:spid="_x0000_s1266" style="position:absolute;left:47218;top:18865;width:11113;height:11424;visibility:visible;mso-wrap-style:square;v-text-anchor:top" coordsize="1111250,114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5sYA&#10;AADeAAAADwAAAGRycy9kb3ducmV2LnhtbESPzWrDMBCE74W+g9hAL6WRk5TWcSKbEijNpYGkeYDF&#10;2lgm1spYin/evgoUehxm5htmW4y2ET11vnasYDFPQBCXTtdcKTj/fL6kIHxA1tg4JgUTeSjyx4ct&#10;ZtoNfKT+FCoRIewzVGBCaDMpfWnIop+7ljh6F9dZDFF2ldQdDhFuG7lMkjdpsea4YLClnaHyerpZ&#10;Bc/Trbx88/4Vj+cv3R6sqfv1qNTTbPzYgAg0hv/wX3uvFawWafoO9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e5sYAAADeAAAADwAAAAAAAAAAAAAAAACYAgAAZHJz&#10;L2Rvd25yZXYueG1sUEsFBgAAAAAEAAQA9QAAAIsDAAAAAA==&#10;" path="m,1142365r1111250,l1111250,,,,,1142365xe" filled="f">
                  <v:stroke miterlimit="83231f" joinstyle="miter" endcap="round"/>
                  <v:path arrowok="t" textboxrect="0,0,1111250,1142365"/>
                </v:shape>
                <v:rect id="Rectangle 31888" o:spid="_x0000_s1267" style="position:absolute;left:49095;top:19437;width:980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y1fMQA&#10;AADeAAAADwAAAGRycy9kb3ducmV2LnhtbERPTWvCQBC9F/oflhG8NRsVSoxZRaqix9YU0t6G7JgE&#10;s7Mhu5rYX989FHp8vO9sM5pW3Kl3jWUFsygGQVxa3XCl4DM/vCQgnEfW2FomBQ9ysFk/P2WYajvw&#10;B93PvhIhhF2KCmrvu1RKV9Zk0EW2Iw7cxfYGfYB9JXWPQwg3rZzH8as02HBoqLGjt5rK6/lmFByT&#10;bvt1sj9D1e6/j8V7sdzlS6/UdDJuVyA8jf5f/Oc+aQWLWZKEveFOu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stXzEAAAA3gAAAA8AAAAAAAAAAAAAAAAAmAIAAGRycy9k&#10;b3ducmV2LnhtbFBLBQYAAAAABAAEAPUAAACJAwAAAAA=&#10;" filled="f" stroked="f">
                  <v:textbox inset="0,0,0,0">
                    <w:txbxContent>
                      <w:p w:rsidR="00BB52D7" w:rsidRDefault="00E33AE6">
                        <w:pPr>
                          <w:spacing w:after="160" w:line="259" w:lineRule="auto"/>
                          <w:ind w:left="0" w:firstLine="0"/>
                          <w:jc w:val="left"/>
                        </w:pPr>
                        <w:r>
                          <w:rPr>
                            <w:b/>
                          </w:rPr>
                          <w:t>Distributor</w:t>
                        </w:r>
                      </w:p>
                    </w:txbxContent>
                  </v:textbox>
                </v:rect>
                <v:rect id="Rectangle 31889" o:spid="_x0000_s1268" style="position:absolute;left:56464;top:1943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AQ58YA&#10;AADeAAAADwAAAGRycy9kb3ducmV2LnhtbESPQWvCQBSE7wX/w/IEb3WjBUmiq4i26LFVQb09ss8k&#10;mH0bslsT/fXdguBxmJlvmNmiM5W4UeNKywpGwwgEcWZ1ybmCw/7rPQbhPLLGyjIpuJODxbz3NsNU&#10;25Z/6LbzuQgQdikqKLyvUyldVpBBN7Q1cfAutjHog2xyqRtsA9xUchxFE2mw5LBQYE2rgrLr7tco&#10;2MT18rS1jzavPs+b4/cxWe8Tr9Sg3y2nIDx1/hV+trdawccojhP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AQ58YAAADeAAAADwAAAAAAAAAAAAAAAACYAgAAZHJz&#10;L2Rvd25yZXYueG1sUEsFBgAAAAAEAAQA9QAAAIsDAAAAAA==&#10;" filled="f" stroked="f">
                  <v:textbox inset="0,0,0,0">
                    <w:txbxContent>
                      <w:p w:rsidR="00BB52D7" w:rsidRDefault="00E33AE6">
                        <w:pPr>
                          <w:spacing w:after="160" w:line="259" w:lineRule="auto"/>
                          <w:ind w:left="0" w:firstLine="0"/>
                          <w:jc w:val="left"/>
                        </w:pPr>
                        <w:r>
                          <w:rPr>
                            <w:b/>
                          </w:rPr>
                          <w:t xml:space="preserve"> </w:t>
                        </w:r>
                      </w:p>
                    </w:txbxContent>
                  </v:textbox>
                </v:rect>
                <v:rect id="Rectangle 31890" o:spid="_x0000_s1269" style="position:absolute;left:51389;top:21182;width:422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vp8YA&#10;AADeAAAADwAAAGRycy9kb3ducmV2LnhtbESPzWrCQBSF9wXfYbhCd80kFUoSHUVsRZetFqK7S+aa&#10;BDN3QmaapH36zqLQ5eH88a02k2nFQL1rLCtIohgEcWl1w5WCz/P+KQXhPLLG1jIp+CYHm/XsYYW5&#10;tiN/0HDylQgj7HJUUHvf5VK6siaDLrIdcfButjfog+wrqXscw7hp5XMcv0iDDYeHGjva1VTeT19G&#10;wSHttpej/Rmr9u16KN6L7PWceaUe59N2CcLT5P/Df+2jVrBI0iwABJyA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Mvp8YAAADeAAAADwAAAAAAAAAAAAAAAACYAgAAZHJz&#10;L2Rvd25yZXYueG1sUEsFBgAAAAAEAAQA9QAAAIsDAAAAAA==&#10;" filled="f" stroked="f">
                  <v:textbox inset="0,0,0,0">
                    <w:txbxContent>
                      <w:p w:rsidR="00BB52D7" w:rsidRDefault="00E33AE6">
                        <w:pPr>
                          <w:spacing w:after="160" w:line="259" w:lineRule="auto"/>
                          <w:ind w:left="0" w:firstLine="0"/>
                          <w:jc w:val="left"/>
                        </w:pPr>
                        <w:r>
                          <w:rPr>
                            <w:i/>
                          </w:rPr>
                          <w:t xml:space="preserve">UBS </w:t>
                        </w:r>
                      </w:p>
                    </w:txbxContent>
                  </v:textbox>
                </v:rect>
                <v:rect id="Rectangle 193419" o:spid="_x0000_s1270" style="position:absolute;left:48932;top:22934;width:1142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2Fe8QA&#10;AADfAAAADwAAAGRycy9kb3ducmV2LnhtbERPy2rCQBTdF/oPwy10VydaKSY6ivhAl/UB6u6SuSbB&#10;zJ2QGU30651CweXhvEeT1pTiRrUrLCvodiIQxKnVBWcK9rvl1wCE88gaS8uk4E4OJuP3txEm2ja8&#10;odvWZyKEsEtQQe59lUjp0pwMuo6tiAN3trVBH2CdSV1jE8JNKXtR9CMNFhwacqxollN62V6NgtWg&#10;mh7X9tFk5eK0Ovwe4vku9kp9frTTIQhPrX+J/91rHebH3/1uDH9/AgA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XvEAAAA3wAAAA8AAAAAAAAAAAAAAAAAmAIAAGRycy9k&#10;b3ducmV2LnhtbFBLBQYAAAAABAAEAPUAAACJAwAAAAA=&#10;" filled="f" stroked="f">
                  <v:textbox inset="0,0,0,0">
                    <w:txbxContent>
                      <w:p w:rsidR="00BB52D7" w:rsidRDefault="00E33AE6">
                        <w:pPr>
                          <w:spacing w:after="160" w:line="259" w:lineRule="auto"/>
                          <w:ind w:left="0" w:firstLine="0"/>
                          <w:jc w:val="left"/>
                        </w:pPr>
                        <w:r>
                          <w:rPr>
                            <w:i/>
                          </w:rPr>
                          <w:t xml:space="preserve">Luxembourg) </w:t>
                        </w:r>
                      </w:p>
                    </w:txbxContent>
                  </v:textbox>
                </v:rect>
                <v:rect id="Rectangle 193418" o:spid="_x0000_s1271" style="position:absolute;left:48425;top:2293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4MQA&#10;AADfAAAADwAAAGRycy9kb3ducmV2LnhtbERPTWvCQBC9F/oflil4qxtrKSa6irQWPVot2N6G7JiE&#10;ZmdDdjXRX+8cCh4f73u26F2tztSGyrOB0TABRZx7W3Fh4Hv/+TwBFSKyxdozGbhQgMX88WGGmfUd&#10;f9F5FwslIRwyNFDG2GRah7wkh2HoG2Lhjr51GAW2hbYtdhLuav2SJG/aYcXSUGJD7yXlf7uTM7Ce&#10;NMufjb92Rb36XR+2h/Rjn0ZjBk/9cgoqUh/v4n/3xsr8dPw6ksHyRwD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xIODEAAAA3wAAAA8AAAAAAAAAAAAAAAAAmAIAAGRycy9k&#10;b3ducmV2LnhtbFBLBQYAAAAABAAEAPUAAACJAwAAAAA=&#10;" filled="f" stroked="f">
                  <v:textbox inset="0,0,0,0">
                    <w:txbxContent>
                      <w:p w:rsidR="00BB52D7" w:rsidRDefault="00E33AE6">
                        <w:pPr>
                          <w:spacing w:after="160" w:line="259" w:lineRule="auto"/>
                          <w:ind w:left="0" w:firstLine="0"/>
                          <w:jc w:val="left"/>
                        </w:pPr>
                        <w:r>
                          <w:rPr>
                            <w:i/>
                          </w:rPr>
                          <w:t>(</w:t>
                        </w:r>
                      </w:p>
                    </w:txbxContent>
                  </v:textbox>
                </v:rect>
                <v:rect id="Rectangle 31892" o:spid="_x0000_s1272" style="position:absolute;left:51937;top:24687;width:225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US8cA&#10;AADeAAAADwAAAGRycy9kb3ducmV2LnhtbESPQWvCQBSE7wX/w/KE3upGhZJEVxGt6LEaQb09ss8k&#10;mH0bsluT9td3hUKPw8x8w8yXvanFg1pXWVYwHkUgiHOrKy4UnLLtWwzCeWSNtWVS8E0OlovByxxT&#10;bTs+0OPoCxEg7FJUUHrfpFK6vCSDbmQb4uDdbGvQB9kWUrfYBbip5SSK3qXBisNCiQ2tS8rvxy+j&#10;YBc3q8ve/nRF/XHdnT/PySZLvFKvw341A+Gp9//hv/ZeK5iO42QCzzvh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dFEv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SA</w:t>
                        </w:r>
                      </w:p>
                    </w:txbxContent>
                  </v:textbox>
                </v:rect>
                <v:rect id="Rectangle 31893" o:spid="_x0000_s1273" style="position:absolute;left:53629;top:2468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x0McA&#10;AADeAAAADwAAAGRycy9kb3ducmV2LnhtbESPQWvCQBSE7wX/w/KE3urGCiVJsxHRFj1WI2hvj+wz&#10;CWbfhuzWpP31XaHQ4zAz3zDZcjStuFHvGssK5rMIBHFpdcOVgmPx/hSDcB5ZY2uZFHyTg2U+ecgw&#10;1XbgPd0OvhIBwi5FBbX3XSqlK2sy6Ga2Iw7exfYGfZB9JXWPQ4CbVj5H0Ys02HBYqLGjdU3l9fBl&#10;FGzjbnXe2Z+hat8+t6ePU7IpEq/U43RcvYLwNPr/8F97pxUs5nGygPu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RsdD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 </w:t>
                        </w:r>
                      </w:p>
                    </w:txbxContent>
                  </v:textbox>
                </v:rect>
                <v:rect id="Rectangle 31894" o:spid="_x0000_s1274" style="position:absolute;left:52783;top:2643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ppMcA&#10;AADeAAAADwAAAGRycy9kb3ducmV2LnhtbESPQWvCQBSE7wX/w/IEb3WjlpLEbERsix5bFdTbI/tM&#10;gtm3Ibs1aX99t1DocZiZb5hsNZhG3KlztWUFs2kEgriwuuZSwfHw9hiDcB5ZY2OZFHyRg1U+esgw&#10;1bbnD7rvfSkChF2KCirv21RKV1Rk0E1tSxy8q+0M+iC7UuoO+wA3jZxH0bM0WHNYqLClTUXFbf9p&#10;FGzjdn3e2e++bF4v29P7KXk5JF6pyXhYL0F4Gvx/+K+90woWszh5gt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4KaT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31895" o:spid="_x0000_s1275" style="position:absolute;left:48188;top:2970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MP8cA&#10;AADeAAAADwAAAGRycy9kb3ducmV2LnhtbESPQWvCQBSE7wX/w/IEb3Wj0pLEbERsix5bFdTbI/tM&#10;gtm3Ibs1aX99t1DocZiZb5hsNZhG3KlztWUFs2kEgriwuuZSwfHw9hiDcB5ZY2OZFHyRg1U+esgw&#10;1bbnD7rvfSkChF2KCirv21RKV1Rk0E1tSxy8q+0M+iC7UuoO+wA3jZxH0bM0WHNYqLClTUXFbf9p&#10;FGzjdn3e2e++bF4v29P7KXk5JF6pyXhYL0F4Gvx/+K+90woWszh5gt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0jD/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shape id="Shape 31897" o:spid="_x0000_s1276" style="position:absolute;left:33604;top:18675;width:12154;height:11614;visibility:visible;mso-wrap-style:square;v-text-anchor:top" coordsize="1215390,116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5UJcYA&#10;AADeAAAADwAAAGRycy9kb3ducmV2LnhtbESPQWvCQBSE70L/w/IKvenGVkwaXaUIKbmqPbS3R/aZ&#10;BLNvw+6qyb/vCoLHYWa+YdbbwXTiSs63lhXMZwkI4srqlmsFP8dimoHwAVljZ5kUjORhu3mZrDHX&#10;9sZ7uh5CLSKEfY4KmhD6XEpfNWTQz2xPHL2TdQZDlK6W2uEtwk0n35NkKQ22HBca7GnXUHU+XIyC&#10;XVGUy2KRZpW+lO04fi/Of+5XqbfX4WsFItAQnuFHu9QKPubZZwr3O/EK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5UJcYAAADeAAAADwAAAAAAAAAAAAAAAACYAgAAZHJz&#10;L2Rvd25yZXYueG1sUEsFBgAAAAAEAAQA9QAAAIsDAAAAAA==&#10;" path="m,1161415r1215390,l1215390,,,,,1161415xe" filled="f">
                  <v:stroke miterlimit="83231f" joinstyle="miter" endcap="round"/>
                  <v:path arrowok="t" textboxrect="0,0,1215390,1161415"/>
                </v:shape>
                <v:rect id="Rectangle 31898" o:spid="_x0000_s1277" style="position:absolute;left:34775;top:19246;width:1357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jocUA&#10;AADeAAAADwAAAGRycy9kb3ducmV2LnhtbERPTWvCQBC9F/wPywi9NZtUKEl0FbEVPbZaiN6G7JgE&#10;s7Mhu03S/vruodDj432vNpNpxUC9aywrSKIYBHFpdcOVgs/z/ikF4TyyxtYyKfgmB5v17GGFubYj&#10;f9Bw8pUIIexyVFB73+VSurImgy6yHXHgbrY36APsK6l7HEO4aeVzHL9Igw2Hhho72tVU3k9fRsEh&#10;7baXo/0Zq/bteijei+z1nHmlHufTdgnC0+T/xX/uo1awSNIs7A13whW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OhxQAAAN4AAAAPAAAAAAAAAAAAAAAAAJgCAABkcnMv&#10;ZG93bnJldi54bWxQSwUGAAAAAAQABAD1AAAAigMAAAAA&#10;" filled="f" stroked="f">
                  <v:textbox inset="0,0,0,0">
                    <w:txbxContent>
                      <w:p w:rsidR="00BB52D7" w:rsidRDefault="00E33AE6">
                        <w:pPr>
                          <w:spacing w:after="160" w:line="259" w:lineRule="auto"/>
                          <w:ind w:left="0" w:firstLine="0"/>
                          <w:jc w:val="left"/>
                        </w:pPr>
                        <w:r>
                          <w:rPr>
                            <w:b/>
                          </w:rPr>
                          <w:t xml:space="preserve">Administrative </w:t>
                        </w:r>
                      </w:p>
                    </w:txbxContent>
                  </v:textbox>
                </v:rect>
                <v:rect id="Rectangle 31899" o:spid="_x0000_s1278" style="position:absolute;left:37746;top:20999;width:51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GOscA&#10;AADeAAAADwAAAGRycy9kb3ducmV2LnhtbESPQWvCQBSE70L/w/IKvenGCiVJsxFpFT2qKdjeHtnX&#10;JDT7NmRXk/bXu4LQ4zAz3zDZcjStuFDvGssK5rMIBHFpdcOVgo9iM41BOI+ssbVMCn7JwTJ/mGSY&#10;ajvwgS5HX4kAYZeigtr7LpXSlTUZdDPbEQfv2/YGfZB9JXWPQ4CbVj5H0Ys02HBYqLGjt5rKn+PZ&#10;KNjG3epzZ/+Gql1/bU/7U/JeJF6pp8dx9QrC0+j/w/f2TitYzOMkgdudcAVk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5hjr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Agent</w:t>
                        </w:r>
                      </w:p>
                    </w:txbxContent>
                  </v:textbox>
                </v:rect>
                <v:rect id="Rectangle 31900" o:spid="_x0000_s1279" style="position:absolute;left:41643;top:209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1vcYA&#10;AADeAAAADwAAAGRycy9kb3ducmV2LnhtbESPzWrCQBSF9wXfYbiF7pqJCmLSjCJa0WVrhOjukrlN&#10;QjN3QmZqUp++syi4PJw/vmw9mlbcqHeNZQXTKAZBXFrdcKXgnO9flyCcR9bYWiYFv+RgvZo8ZZhq&#10;O/An3U6+EmGEXYoKau+7VEpX1mTQRbYjDt6X7Q36IPtK6h6HMG5aOYvjhTTYcHiosaNtTeX36cco&#10;OCy7zeVo70PVvl8PxUeR7PLEK/XyPG7eQHga/SP83z5qBfNpEge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i1vcYAAADeAAAADwAAAAAAAAAAAAAAAACYAgAAZHJz&#10;L2Rvd25yZXYueG1sUEsFBgAAAAAEAAQA9QAAAIsDA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01" o:spid="_x0000_s1280" style="position:absolute;left:36497;top:22744;width:900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QJscA&#10;AADeAAAADwAAAGRycy9kb3ducmV2LnhtbESPT2vCQBTE70K/w/IK3nSTFsREV5HWokf/FNTbI/tM&#10;QrNvQ3Y10U/vCkKPw8z8hpnOO1OJKzWutKwgHkYgiDOrS84V/O5/BmMQziNrrCyTghs5mM/eelNM&#10;tW15S9edz0WAsEtRQeF9nUrpsoIMuqGtiYN3to1BH2STS91gG+Cmkh9RNJIGSw4LBdb0VVD2t7sY&#10;BatxvTiu7b3Nq+Vpddgcku994pXqv3eLCQhPnf8Pv9prreAzTqIYnnfCF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kECb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UBS Fund </w:t>
                        </w:r>
                      </w:p>
                    </w:txbxContent>
                  </v:textbox>
                </v:rect>
                <v:rect id="Rectangle 31902" o:spid="_x0000_s1281" style="position:absolute;left:37152;top:24496;width:675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OUccA&#10;AADeAAAADwAAAGRycy9kb3ducmV2LnhtbESPQWvCQBSE7wX/w/KE3uomKRQTXUPQFj22Kqi3R/aZ&#10;BLNvQ3Zr0v76bqHQ4zAz3zDLfDStuFPvGssK4lkEgri0uuFKwfHw9jQH4TyyxtYyKfgiB/lq8rDE&#10;TNuBP+i+95UIEHYZKqi97zIpXVmTQTezHXHwrrY36IPsK6l7HALctDKJohdpsOGwUGNH65rK2/7T&#10;KNjOu+K8s99D1b5etqf3U7o5pF6px+lYLEB4Gv1/+K+90wqe4zRK4P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2jlH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Services</w:t>
                        </w:r>
                      </w:p>
                    </w:txbxContent>
                  </v:textbox>
                </v:rect>
                <v:rect id="Rectangle 31903" o:spid="_x0000_s1282" style="position:absolute;left:42230;top:2449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yscA&#10;AADeAAAADwAAAGRycy9kb3ducmV2LnhtbESPQWvCQBSE7wX/w/KE3uomDYhJXUPQih5bLdjeHtln&#10;Esy+DdnVpP76bqHQ4zAz3zDLfDStuFHvGssK4lkEgri0uuFKwcdx+7QA4TyyxtYyKfgmB/lq8rDE&#10;TNuB3+l28JUIEHYZKqi97zIpXVmTQTezHXHwzrY36IPsK6l7HALctPI5iubSYMNhocaO1jWVl8PV&#10;KNgtuuJzb+9D1b5+7U5vp3RzTL1Sj9OxeAHhafT/4b/2XitI4jRK4P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K8r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 </w:t>
                        </w:r>
                      </w:p>
                    </w:txbxContent>
                  </v:textbox>
                </v:rect>
                <v:rect id="Rectangle 31904" o:spid="_x0000_s1283" style="position:absolute;left:34805;top:26249;width:1300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OzvsgA&#10;AADeAAAADwAAAGRycy9kb3ducmV2LnhtbESPT2vCQBTE74V+h+UVeqsbWylJzCpSFT36p5B6e2Rf&#10;k9Ds25BdTeyn7woFj8PM/IbJ5oNpxIU6V1tWMB5FIIgLq2suFXwe1y8xCOeRNTaWScGVHMxnjw8Z&#10;ptr2vKfLwZciQNilqKDyvk2ldEVFBt3ItsTB+7adQR9kV0rdYR/gppGvUfQuDdYcFips6aOi4udw&#10;Ngo2cbv42trfvmxWp02+y5PlMfFKPT8NiykIT4O/h//bW63gbZxEE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E7O+yAAAAN4AAAAPAAAAAAAAAAAAAAAAAJgCAABk&#10;cnMvZG93bnJldi54bWxQSwUGAAAAAAQABAD1AAAAjQMAAAAA&#10;" filled="f" stroked="f">
                  <v:textbox inset="0,0,0,0">
                    <w:txbxContent>
                      <w:p w:rsidR="00BB52D7" w:rsidRDefault="00E33AE6">
                        <w:pPr>
                          <w:spacing w:after="160" w:line="259" w:lineRule="auto"/>
                          <w:ind w:left="0" w:firstLine="0"/>
                          <w:jc w:val="left"/>
                        </w:pPr>
                        <w:r>
                          <w:rPr>
                            <w:i/>
                          </w:rPr>
                          <w:t>Luxembourg SA</w:t>
                        </w:r>
                      </w:p>
                    </w:txbxContent>
                  </v:textbox>
                </v:rect>
                <v:rect id="Rectangle 31905" o:spid="_x0000_s1284" style="position:absolute;left:44584;top:262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WJcgA&#10;AADeAAAADwAAAGRycy9kb3ducmV2LnhtbESPT2vCQBTE74V+h+UVeqsbWyxJzCpSFT36p5B6e2Rf&#10;k9Ds25BdTeyn7woFj8PM/IbJ5oNpxIU6V1tWMB5FIIgLq2suFXwe1y8xCOeRNTaWScGVHMxnjw8Z&#10;ptr2vKfLwZciQNilqKDyvk2ldEVFBt3ItsTB+7adQR9kV0rdYR/gppGvUfQuDdYcFips6aOi4udw&#10;Ngo2cbv42trfvmxWp02+y5PlMfFKPT8NiykIT4O/h//bW63gbZxEE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XxYlyAAAAN4AAAAPAAAAAAAAAAAAAAAAAJgCAABk&#10;cnMvZG93bnJldi54bWxQSwUGAAAAAAQABAD1AAAAjQMAAAAA&#10;" filled="f" stroked="f">
                  <v:textbox inset="0,0,0,0">
                    <w:txbxContent>
                      <w:p w:rsidR="00BB52D7" w:rsidRDefault="00E33AE6">
                        <w:pPr>
                          <w:spacing w:after="160" w:line="259" w:lineRule="auto"/>
                          <w:ind w:left="0" w:firstLine="0"/>
                          <w:jc w:val="left"/>
                        </w:pPr>
                        <w:r>
                          <w:rPr>
                            <w:i/>
                          </w:rPr>
                          <w:t xml:space="preserve"> </w:t>
                        </w:r>
                      </w:p>
                    </w:txbxContent>
                  </v:textbox>
                </v:rect>
                <v:rect id="Rectangle 31906" o:spid="_x0000_s1285" style="position:absolute;left:39690;top:2799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IUscA&#10;AADeAAAADwAAAGRycy9kb3ducmV2LnhtbESPQWvCQBSE7wX/w/KE3uomLYiJriFoSzy2Kqi3R/aZ&#10;BLNvQ3Zr0v76bqHQ4zAz3zCrbDStuFPvGssK4lkEgri0uuFKwfHw9rQA4TyyxtYyKfgiB9l68rDC&#10;VNuBP+i+95UIEHYpKqi971IpXVmTQTezHXHwrrY36IPsK6l7HALctPI5iubSYMNhocaONjWVt/2n&#10;UVAsuvy8s99D1b5eitP7KdkeEq/U43TMlyA8jf4//NfeaQUvcRLN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iFL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shape id="Shape 31909" o:spid="_x0000_s1286" style="position:absolute;left:15163;top:18961;width:16040;height:11328;visibility:visible;mso-wrap-style:square;v-text-anchor:top" coordsize="1604010,11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y7MQA&#10;AADeAAAADwAAAGRycy9kb3ducmV2LnhtbESPQYvCMBSE7wv7H8Jb2NuaaKHUahQRhPVoFb0+m2db&#10;bF5KE7X++82C4HGYmW+Y+XKwrbhT7xvHGsYjBYK4dKbhSsNhv/nJQPiAbLB1TBqe5GG5+PyYY27c&#10;g3d0L0IlIoR9jhrqELpcSl/WZNGPXEccvYvrLYYo+0qaHh8Rbls5USqVFhuOCzV2tK6pvBY3q2Gb&#10;FcfnLjPJ+bRNknbvU5UdUq2/v4bVDESgIbzDr/av0ZCMp2oK/3fiF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i8uzEAAAA3gAAAA8AAAAAAAAAAAAAAAAAmAIAAGRycy9k&#10;b3ducmV2LnhtbFBLBQYAAAAABAAEAPUAAACJAwAAAAA=&#10;" path="m,1132840r1604010,l1604010,,,,,1132840xe" filled="f" strokeweight="1.5pt">
                  <v:stroke miterlimit="83231f" joinstyle="miter"/>
                  <v:path arrowok="t" textboxrect="0,0,1604010,1132840"/>
                </v:shape>
                <v:rect id="Rectangle 31910" o:spid="_x0000_s1287" style="position:absolute;left:17155;top:19574;width:1603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jYMQA&#10;AADeAAAADwAAAGRycy9kb3ducmV2LnhtbESPy4rCMBSG98K8QziCO007A2KrUWQu6NIbqLtDc2yL&#10;zUlpMrb69GYhuPz5b3yzRWcqcaPGlZYVxKMIBHFmdcm5gsP+bzgB4TyyxsoyKbiTg8X8ozfDVNuW&#10;t3Tb+VyEEXYpKii8r1MpXVaQQTeyNXHwLrYx6INscqkbbMO4qeRnFI2lwZLDQ4E1fReUXXf/RsFq&#10;Ui9Pa/to8+r3vDpujsnPPvFKDfrdcgrCU+ff4Vd7rRV8xUkcAAJOQ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xI2DEAAAA3gAAAA8AAAAAAAAAAAAAAAAAmAIAAGRycy9k&#10;b3ducmV2LnhtbFBLBQYAAAAABAAEAPUAAACJAwAAAAA=&#10;" filled="f" stroked="f">
                  <v:textbox inset="0,0,0,0">
                    <w:txbxContent>
                      <w:p w:rsidR="00BB52D7" w:rsidRDefault="00E33AE6">
                        <w:pPr>
                          <w:spacing w:after="160" w:line="259" w:lineRule="auto"/>
                          <w:ind w:left="0" w:firstLine="0"/>
                          <w:jc w:val="left"/>
                        </w:pPr>
                        <w:r>
                          <w:rPr>
                            <w:b/>
                          </w:rPr>
                          <w:t>Portfolio Manager</w:t>
                        </w:r>
                      </w:p>
                    </w:txbxContent>
                  </v:textbox>
                </v:rect>
                <v:rect id="Rectangle 31911" o:spid="_x0000_s1288" style="position:absolute;left:29220;top:1957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2G+8cA&#10;AADeAAAADwAAAGRycy9kb3ducmV2LnhtbESPT2vCQBTE74LfYXmCN92kQjGpq4hV9Fj/gO3tkX1N&#10;gtm3Ibua2E/fFQSPw8z8hpktOlOJGzWutKwgHkcgiDOrS84VnI6b0RSE88gaK8uk4E4OFvN+b4ap&#10;ti3v6XbwuQgQdikqKLyvUyldVpBBN7Y1cfB+bWPQB9nkUjfYBrip5FsUvUuDJYeFAmtaFZRdDlej&#10;YDutl987+9fm1fpne/46J5/HxCs1HHTLDxCeOv8KP9s7rWASJ3EMjzvhCs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9hvv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12" o:spid="_x0000_s1289" style="position:absolute;left:16309;top:21319;width:1830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YjMcA&#10;AADeAAAADwAAAGRycy9kb3ducmV2LnhtbESPQWvCQBSE7wX/w/KE3uomCsVEVxGt6LEaQb09ss8k&#10;mH0bsluT9td3hUKPw8x8w8yXvanFg1pXWVYQjyIQxLnVFRcKTtn2bQrCeWSNtWVS8E0OlovByxxT&#10;bTs+0OPoCxEg7FJUUHrfpFK6vCSDbmQb4uDdbGvQB9kWUrfYBbip5TiK3qXBisNCiQ2tS8rvxy+j&#10;YDdtVpe9/emK+uO6O3+ek02WeKVeh/1qBsJT7//Df+29VjCJk3gMzzvh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vGIz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UBS Third Party M.C.</w:t>
                        </w:r>
                      </w:p>
                    </w:txbxContent>
                  </v:textbox>
                </v:rect>
                <v:rect id="Rectangle 31913" o:spid="_x0000_s1290" style="position:absolute;left:30065;top:2131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9F8cA&#10;AADeAAAADwAAAGRycy9kb3ducmV2LnhtbESPQWvCQBSE7wX/w/KE3uomFYpJs4poix6rEbS3R/aZ&#10;BLNvQ3abpP31XaHQ4zAz3zDZajSN6KlztWUF8SwCQVxYXXOp4JS/Py1AOI+ssbFMCr7JwWo5ecgw&#10;1XbgA/VHX4oAYZeigsr7NpXSFRUZdDPbEgfvajuDPsiulLrDIcBNI5+j6EUarDksVNjSpqLidvwy&#10;CnaLdn3Z25+hbN4+d+ePc7LNE6/U43Rcv4LwNPr/8F97rxXM4ySew/1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jvRf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 </w:t>
                        </w:r>
                      </w:p>
                    </w:txbxContent>
                  </v:textbox>
                </v:rect>
                <v:rect id="Rectangle 193417" o:spid="_x0000_s1291" style="position:absolute;left:20668;top:23071;width:77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0ksQA&#10;AADfAAAADwAAAGRycy9kb3ducmV2LnhtbERPTWvCQBC9F/wPywi91Y1W1ERXkbaiR6uCehuyYxLM&#10;zobs1qT99a4g9Ph437NFa0pxo9oVlhX0exEI4tTqgjMFh/3qbQLCeWSNpWVS8EsOFvPOywwTbRv+&#10;ptvOZyKEsEtQQe59lUjp0pwMup6tiAN3sbVBH2CdSV1jE8JNKQdRNJIGCw4NOVb0kVN63f0YBetJ&#10;tTxt7F+TlV/n9XF7jD/3sVfqtdsupyA8tf5f/HRvdJgfvw/7Y3j8CQ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utJLEAAAA3wAAAA8AAAAAAAAAAAAAAAAAmAIAAGRycy9k&#10;b3ducmV2LnhtbFBLBQYAAAAABAAEAPUAAACJAwAAAAA=&#10;" filled="f" stroked="f">
                  <v:textbox inset="0,0,0,0">
                    <w:txbxContent>
                      <w:p w:rsidR="00BB52D7" w:rsidRDefault="00E33AE6">
                        <w:pPr>
                          <w:spacing w:after="160" w:line="259" w:lineRule="auto"/>
                          <w:ind w:left="0" w:firstLine="0"/>
                          <w:jc w:val="left"/>
                        </w:pPr>
                        <w:r>
                          <w:rPr>
                            <w:i/>
                          </w:rPr>
                          <w:t xml:space="preserve">/01/2006 </w:t>
                        </w:r>
                      </w:p>
                    </w:txbxContent>
                  </v:textbox>
                </v:rect>
                <v:rect id="Rectangle 193416" o:spid="_x0000_s1292" style="position:absolute;left:19143;top:23071;width:202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RCcQA&#10;AADfAAAADwAAAGRycy9kb3ducmV2LnhtbERPy2rCQBTdF/yH4Qrd1Ym2SJI6imiLLn2B7e6SuU2C&#10;mTshMzXRr3cEweXhvCezzlTiTI0rLSsYDiIQxJnVJecKDvvvtxiE88gaK8uk4EIOZtPeywRTbVve&#10;0nnncxFC2KWooPC+TqV0WUEG3cDWxIH7s41BH2CTS91gG8JNJUdRNJYGSw4NBda0KCg77f6NglVc&#10;z3/W9trm1dfv6rg5Jst94pV67XfzTxCeOv8UP9xrHeYn7x/DMdz/BAB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iEQnEAAAA3wAAAA8AAAAAAAAAAAAAAAAAmAIAAGRycy9k&#10;b3ducmV2LnhtbFBLBQYAAAAABAAEAPUAAACJAwAAAAA=&#10;" filled="f" stroked="f">
                  <v:textbox inset="0,0,0,0">
                    <w:txbxContent>
                      <w:p w:rsidR="00BB52D7" w:rsidRDefault="00E33AE6">
                        <w:pPr>
                          <w:spacing w:after="160" w:line="259" w:lineRule="auto"/>
                          <w:ind w:left="0" w:firstLine="0"/>
                          <w:jc w:val="left"/>
                        </w:pPr>
                        <w:r>
                          <w:rPr>
                            <w:i/>
                          </w:rPr>
                          <w:t>08</w:t>
                        </w:r>
                      </w:p>
                    </w:txbxContent>
                  </v:textbox>
                </v:rect>
                <v:rect id="Rectangle 31915" o:spid="_x0000_s1293" style="position:absolute;left:26469;top:23371;width:1013;height:1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aA+MgA&#10;AADeAAAADwAAAGRycy9kb3ducmV2LnhtbESPW2vCQBSE34X+h+UU+qabtFhMzEakF/TRS8H6dsge&#10;k2D2bMhuTeyv7woFH4eZ+YbJFoNpxIU6V1tWEE8iEMSF1TWXCr72n+MZCOeRNTaWScGVHCzyh1GG&#10;qbY9b+my86UIEHYpKqi8b1MpXVGRQTexLXHwTrYz6IPsSqk77APcNPI5il6lwZrDQoUtvVVUnHc/&#10;RsFq1i6/1/a3L5uP4+qwOSTv+8Qr9fQ4LOcgPA3+Hv5vr7WClziJp3C7E66Az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hoD4yAAAAN4AAAAPAAAAAAAAAAAAAAAAAJgCAABk&#10;cnMvZG93bnJldi54bWxQSwUGAAAAAAQABAD1AAAAjQMAAAAA&#10;" filled="f" stroked="f">
                  <v:textbox inset="0,0,0,0">
                    <w:txbxContent>
                      <w:p w:rsidR="00BB52D7" w:rsidRDefault="00E33AE6">
                        <w:pPr>
                          <w:spacing w:after="160" w:line="259" w:lineRule="auto"/>
                          <w:ind w:left="0" w:firstLine="0"/>
                          <w:jc w:val="left"/>
                        </w:pPr>
                        <w:r>
                          <w:rPr>
                            <w:i/>
                          </w:rPr>
                          <w:t>–</w:t>
                        </w:r>
                      </w:p>
                    </w:txbxContent>
                  </v:textbox>
                </v:rect>
                <v:rect id="Rectangle 31916" o:spid="_x0000_s1294" style="position:absolute;left:27231;top:230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j8cA&#10;AADeAAAADwAAAGRycy9kb3ducmV2LnhtbESPQWvCQBSE74X+h+UVvNVNFMSkWUVaix7VFGxvj+xr&#10;Epp9G7LbJO2vdwXB4zAz3zDZejSN6KlztWUF8TQCQVxYXXOp4CN/f16CcB5ZY2OZFPyRg/Xq8SHD&#10;VNuBj9SffCkChF2KCirv21RKV1Rk0E1tSxy8b9sZ9EF2pdQdDgFuGjmLooU0WHNYqLCl14qKn9Ov&#10;UbBbtpvPvf0fymb7tTsfzslbnnilJk/j5gWEp9Hfw7f2XiuYx0m8gOudcAXk6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UHo/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 </w:t>
                        </w:r>
                      </w:p>
                    </w:txbxContent>
                  </v:textbox>
                </v:rect>
                <v:rect id="Rectangle 31917" o:spid="_x0000_s1295" style="position:absolute;left:19715;top:24824;width:92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7FMgA&#10;AADeAAAADwAAAGRycy9kb3ducmV2LnhtbESPW2vCQBSE34X+h+UU+qabtGBNzEakF/TRS8H6dsge&#10;k2D2bMhuTeyv7woFH4eZ+YbJFoNpxIU6V1tWEE8iEMSF1TWXCr72n+MZCOeRNTaWScGVHCzyh1GG&#10;qbY9b+my86UIEHYpKqi8b1MpXVGRQTexLXHwTrYz6IPsSqk77APcNPI5iqbSYM1hocKW3ioqzrsf&#10;o2A1a5ffa/vbl83HcXXYHJL3feKVenoclnMQngZ/D/+311rBS5zEr3C7E66Az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GLsUyAAAAN4AAAAPAAAAAAAAAAAAAAAAAJgCAABk&#10;cnMvZG93bnJldi54bWxQSwUGAAAAAAQABAD1AAAAjQMAAAAA&#10;" filled="f" stroked="f">
                  <v:textbox inset="0,0,0,0">
                    <w:txbxContent>
                      <w:p w:rsidR="00BB52D7" w:rsidRDefault="00E33AE6">
                        <w:pPr>
                          <w:spacing w:after="160" w:line="259" w:lineRule="auto"/>
                          <w:ind w:left="0" w:firstLine="0"/>
                          <w:jc w:val="left"/>
                        </w:pPr>
                        <w:r>
                          <w:rPr>
                            <w:i/>
                          </w:rPr>
                          <w:t>11/18/2008</w:t>
                        </w:r>
                      </w:p>
                    </w:txbxContent>
                  </v:textbox>
                </v:rect>
                <v:rect id="Rectangle 31918" o:spid="_x0000_s1296" style="position:absolute;left:26659;top:248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cvZsIA&#10;AADeAAAADwAAAGRycy9kb3ducmV2LnhtbERPy4rCMBTdC/MP4QruNO0MiK1GkXmgS1+g7i7NtS02&#10;N6XJ2OrXm4Xg8nDes0VnKnGjxpWWFcSjCARxZnXJuYLD/m84AeE8ssbKMim4k4PF/KM3w1Tblrd0&#10;2/lchBB2KSoovK9TKV1WkEE3sjVx4C62MegDbHKpG2xDuKnkZxSNpcGSQ0OBNX0XlF13/0bBalIv&#10;T2v7aPPq97w6bo7Jzz7xSg363XIKwlPn3+KXe60VfMVJHPaGO+EK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y9mwgAAAN4AAAAPAAAAAAAAAAAAAAAAAJgCAABkcnMvZG93&#10;bnJldi54bWxQSwUGAAAAAAQABAD1AAAAhwMAAAAA&#10;" filled="f" stroked="f">
                  <v:textbox inset="0,0,0,0">
                    <w:txbxContent>
                      <w:p w:rsidR="00BB52D7" w:rsidRDefault="00E33AE6">
                        <w:pPr>
                          <w:spacing w:after="160" w:line="259" w:lineRule="auto"/>
                          <w:ind w:left="0" w:firstLine="0"/>
                          <w:jc w:val="left"/>
                        </w:pPr>
                        <w:r>
                          <w:rPr>
                            <w:i/>
                          </w:rPr>
                          <w:t xml:space="preserve"> </w:t>
                        </w:r>
                      </w:p>
                    </w:txbxContent>
                  </v:textbox>
                </v:rect>
                <v:rect id="Rectangle 31919" o:spid="_x0000_s1297" style="position:absolute;left:23192;top:2656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K/ccA&#10;AADeAAAADwAAAGRycy9kb3ducmV2LnhtbESPQWvCQBSE7wX/w/KE3uomFYqJ2YjYih5bFdTbI/tM&#10;gtm3Ibs1aX99tyB4HGbmGyZbDKYRN+pcbVlBPIlAEBdW11wqOOzXLzMQziNrbCyTgh9ysMhHTxmm&#10;2vb8RbedL0WAsEtRQeV9m0rpiooMuoltiYN3sZ1BH2RXSt1hH+Cmka9R9CYN1hwWKmxpVVFx3X0b&#10;BZtZuzxt7W9fNh/nzfHzmLzvE6/U83hYzkF4GvwjfG9vtYJpnMQJ/N8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Liv3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shape id="Shape 31922" o:spid="_x0000_s1298" style="position:absolute;left:19335;top:33635;width:19469;height:17863;visibility:visible;mso-wrap-style:square;v-text-anchor:top" coordsize="1946910,1786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bBjcgA&#10;AADeAAAADwAAAGRycy9kb3ducmV2LnhtbESPQWvCQBSE74L/YXmF3nRjisWmrhKEgKBQ1B7a2zP7&#10;moRm34bdNcb++m6h4HGYmW+Y5XowrejJ+caygtk0AUFcWt1wpeD9VEwWIHxA1thaJgU38rBejUdL&#10;zLS98oH6Y6hEhLDPUEEdQpdJ6cuaDPqp7Yij92WdwRClq6R2eI1w08o0SZ6lwYbjQo0dbWoqv48X&#10;o+Ccfs7zLn87fOxsuy+Kn928OjulHh+G/BVEoCHcw//trVbwNHtJU/i7E6+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9sGNyAAAAN4AAAAPAAAAAAAAAAAAAAAAAJgCAABk&#10;cnMvZG93bnJldi54bWxQSwUGAAAAAAQABAD1AAAAjQMAAAAA&#10;" path="m,1786255r1946910,l1946910,,,,,1786255xe" filled="f" strokeweight="3pt">
                  <v:stroke miterlimit="83231f" joinstyle="miter" endcap="round"/>
                  <v:path arrowok="t" textboxrect="0,0,1946910,1786255"/>
                </v:shape>
                <v:rect id="Rectangle 31923" o:spid="_x0000_s1299" style="position:absolute;left:29067;top:343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3qscA&#10;AADeAAAADwAAAGRycy9kb3ducmV2LnhtbESPQWvCQBSE7wX/w/KE3upGA8WkriK2khzbKNjeHtnX&#10;JJh9G7KrSfvruwXB4zAz3zCrzWhacaXeNZYVzGcRCOLS6oYrBcfD/mkJwnlkja1lUvBDDjbrycMK&#10;U20H/qBr4SsRIOxSVFB736VSurImg25mO+LgfdveoA+yr6TucQhw08pFFD1Lgw2HhRo72tVUnouL&#10;UZAtu+1nbn+Hqn37yk7vp+T1kHilHqfj9gWEp9Hfw7d2rhXE82QRw/+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Pd6r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24" o:spid="_x0000_s1300" style="position:absolute;left:21897;top:36094;width:195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v3sgA&#10;AADeAAAADwAAAGRycy9kb3ducmV2LnhtbESPT2vCQBTE7wW/w/KE3upGW4qJboLYFj3WP6DeHtln&#10;Esy+DdmtSf30bqHgcZiZ3zDzrDe1uFLrKssKxqMIBHFudcWFgv3u62UKwnlkjbVlUvBLDrJ08DTH&#10;RNuON3Td+kIECLsEFZTeN4mULi/JoBvZhjh4Z9sa9EG2hdQtdgFuajmJondpsOKwUGJDy5Lyy/bH&#10;KFhNm8VxbW9dUX+eVofvQ/yxi71Sz8N+MQPhqfeP8H97rRW8juPJ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pu/e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Bernard L. MADOFF </w:t>
                        </w:r>
                      </w:p>
                    </w:txbxContent>
                  </v:textbox>
                </v:rect>
                <v:rect id="Rectangle 31925" o:spid="_x0000_s1301" style="position:absolute;left:21135;top:37847;width:2161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KRcgA&#10;AADeAAAADwAAAGRycy9kb3ducmV2LnhtbESPT2vCQBTE7wW/w/KE3upGS4uJboLYFj3WP6DeHtln&#10;Esy+DdmtSf30bqHgcZiZ3zDzrDe1uFLrKssKxqMIBHFudcWFgv3u62UKwnlkjbVlUvBLDrJ08DTH&#10;RNuON3Td+kIECLsEFZTeN4mULi/JoBvZhjh4Z9sa9EG2hdQtdgFuajmJondpsOKwUGJDy5Lyy/bH&#10;KFhNm8VxbW9dUX+eVofvQ/yxi71Sz8N+MQPhqfeP8H97rRW8juPJ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6kpF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Investm. Securities LLC </w:t>
                        </w:r>
                      </w:p>
                    </w:txbxContent>
                  </v:textbox>
                </v:rect>
                <v:rect id="Rectangle 193421" o:spid="_x0000_s1302" style="position:absolute;left:27121;top:39599;width:63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dDwMUA&#10;AADfAAAADwAAAGRycy9kb3ducmV2LnhtbERPy2rCQBTdF/oPwy10VydaKUl0EqRadOmjoO4umWsS&#10;mrkTMlMT+/UdodDl4bzn+WAacaXO1ZYVjEcRCOLC6ppLBZ+Hj5cYhPPIGhvLpOBGDvLs8WGOqbY9&#10;7+i696UIIexSVFB536ZSuqIig25kW+LAXWxn0AfYlVJ32Idw08hJFL1JgzWHhgpbeq+o+Np/GwXr&#10;uF2cNvanL5vVeX3cHpPlIfFKPT8NixkIT4P/F/+5NzrMT16nkzHc/wQA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0PAxQAAAN8AAAAPAAAAAAAAAAAAAAAAAJgCAABkcnMv&#10;ZG93bnJldi54bWxQSwUGAAAAAAQABAD1AAAAigMAAAAA&#10;" filled="f" stroked="f">
                  <v:textbox inset="0,0,0,0">
                    <w:txbxContent>
                      <w:p w:rsidR="00BB52D7" w:rsidRDefault="00E33AE6">
                        <w:pPr>
                          <w:spacing w:after="160" w:line="259" w:lineRule="auto"/>
                          <w:ind w:left="0" w:firstLine="0"/>
                          <w:jc w:val="left"/>
                        </w:pPr>
                        <w:r>
                          <w:rPr>
                            <w:b/>
                          </w:rPr>
                          <w:t xml:space="preserve">BMIS) </w:t>
                        </w:r>
                      </w:p>
                    </w:txbxContent>
                  </v:textbox>
                </v:rect>
                <v:rect id="Rectangle 193420" o:spid="_x0000_s1303" style="position:absolute;left:26614;top:39599;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mW8UA&#10;AADfAAAADwAAAGRycy9kb3ducmV2LnhtbERPS2vCQBC+C/0PyxR60021FBNdRdSix/oA29uQHZPQ&#10;7GzIbk3aX985FDx+fO/5sne1ulEbKs8GnkcJKOLc24oLA+fT23AKKkRki7VnMvBDAZaLh8EcM+s7&#10;PtDtGAslIRwyNFDG2GRah7wkh2HkG2Lhrr51GAW2hbYtdhLuaj1OklftsGJpKLGhdUn51/HbGdhN&#10;m9XH3v92Rb393F3eL+nmlEZjnh771QxUpD7exf/uvZX56eRlLA/kjwD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ZbxQAAAN8AAAAPAAAAAAAAAAAAAAAAAJgCAABkcnMv&#10;ZG93bnJldi54bWxQSwUGAAAAAAQABAD1AAAAigMAAAAA&#10;" filled="f" stroked="f">
                  <v:textbox inset="0,0,0,0">
                    <w:txbxContent>
                      <w:p w:rsidR="00BB52D7" w:rsidRDefault="00E33AE6">
                        <w:pPr>
                          <w:spacing w:after="160" w:line="259" w:lineRule="auto"/>
                          <w:ind w:left="0" w:firstLine="0"/>
                          <w:jc w:val="left"/>
                        </w:pPr>
                        <w:r>
                          <w:rPr>
                            <w:b/>
                          </w:rPr>
                          <w:t>(</w:t>
                        </w:r>
                      </w:p>
                    </w:txbxContent>
                  </v:textbox>
                </v:rect>
                <v:rect id="Rectangle 31927" o:spid="_x0000_s1304" style="position:absolute;left:31902;top:395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xqcgA&#10;AADeAAAADwAAAGRycy9kb3ducmV2LnhtbESPT2vCQBTE7wW/w/KE3upGC62JboLYFj3WP6DeHtln&#10;Esy+DdmtSf30bqHgcZiZ3zDzrDe1uFLrKssKxqMIBHFudcWFgv3u62UKwnlkjbVlUvBLDrJ08DTH&#10;RNuON3Td+kIECLsEFZTeN4mULi/JoBvZhjh4Z9sa9EG2hdQtdgFuajmJojdpsOKwUGJDy5Lyy/bH&#10;KFhNm8VxbW9dUX+eVofvQ/yxi71Sz8N+MQPhqfeP8H97rRW8juPJ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dHGp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28" o:spid="_x0000_s1305" style="position:absolute;left:29067;top:413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l28QA&#10;AADeAAAADwAAAGRycy9kb3ducmV2LnhtbERPTWvCQBC9F/wPywi91Y0WiomuItqSHFsjRG9DdkyC&#10;2dmQ3Zq0v757KHh8vO/1djStuFPvGssK5rMIBHFpdcOVglP+8bIE4TyyxtYyKfghB9vN5GmNibYD&#10;f9H96CsRQtglqKD2vkukdGVNBt3MdsSBu9reoA+wr6TucQjhppWLKHqTBhsODTV2tK+pvB2/jYJ0&#10;2e3Omf0dqvb9khafRXzIY6/U83TcrUB4Gv1D/O/OtILXebwIe8OdcAX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r5dvEAAAA3gAAAA8AAAAAAAAAAAAAAAAAmAIAAGRycy9k&#10;b3ducmV2LnhtbFBLBQYAAAAABAAEAPUAAACJAwAAAAA=&#10;" filled="f" stroked="f">
                  <v:textbox inset="0,0,0,0">
                    <w:txbxContent>
                      <w:p w:rsidR="00BB52D7" w:rsidRDefault="00E33AE6">
                        <w:pPr>
                          <w:spacing w:after="160" w:line="259" w:lineRule="auto"/>
                          <w:ind w:left="0" w:firstLine="0"/>
                          <w:jc w:val="left"/>
                        </w:pPr>
                        <w:r>
                          <w:t xml:space="preserve"> </w:t>
                        </w:r>
                      </w:p>
                    </w:txbxContent>
                  </v:textbox>
                </v:rect>
                <v:rect id="Rectangle 31929" o:spid="_x0000_s1306" style="position:absolute;left:21958;top:43092;width:1891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AQMcA&#10;AADeAAAADwAAAGRycy9kb3ducmV2LnhtbESPQWvCQBSE7wX/w/KE3upGC8VE1xC0RY+tEaK3R/aZ&#10;BLNvQ3Zr0v76bqHQ4zAz3zDrdDStuFPvGssK5rMIBHFpdcOVglP+9rQE4TyyxtYyKfgiB+lm8rDG&#10;RNuBP+h+9JUIEHYJKqi97xIpXVmTQTezHXHwrrY36IPsK6l7HALctHIRRS/SYMNhocaOtjWVt+On&#10;UbBfdtn5YL+Hqn297Iv3It7lsVfqcTpmKxCeRv8f/msftILnebyI4f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nQEDHAAAA3gAAAA8AAAAAAAAAAAAAAAAAmAIAAGRy&#10;cy9kb3ducmV2LnhtbFBLBQYAAAAABAAEAPUAAACMAwAAAAA=&#10;" filled="f" stroked="f">
                  <v:textbox inset="0,0,0,0">
                    <w:txbxContent>
                      <w:p w:rsidR="00BB52D7" w:rsidRDefault="00E33AE6">
                        <w:pPr>
                          <w:spacing w:after="160" w:line="259" w:lineRule="auto"/>
                          <w:ind w:left="0" w:firstLine="0"/>
                          <w:jc w:val="left"/>
                        </w:pPr>
                        <w:r>
                          <w:t>Contract of 03/18/2004</w:t>
                        </w:r>
                      </w:p>
                    </w:txbxContent>
                  </v:textbox>
                </v:rect>
                <v:rect id="Rectangle 31930" o:spid="_x0000_s1307" style="position:absolute;left:36177;top:4309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AMUA&#10;AADeAAAADwAAAGRycy9kb3ducmV2LnhtbESPzYrCMBSF94LvEK7gTlMVBluNIjOKLrUOOO4uzZ22&#10;THNTmmjrPL1ZCC4P549vue5MJe7UuNKygsk4AkGcWV1yruD7vBvNQTiPrLGyTAoe5GC96veWmGjb&#10;8onuqc9FGGGXoILC+zqR0mUFGXRjWxMH79c2Bn2QTS51g20YN5WcRtGHNFhyeCiwps+Csr/0ZhTs&#10;5/Xm52D/27zaXveX4yX+OsdeqeGg2yxAeOr8O/xqH7SC2SSeBYCAE1B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H8AxQAAAN4AAAAPAAAAAAAAAAAAAAAAAJgCAABkcnMv&#10;ZG93bnJldi54bWxQSwUGAAAAAAQABAD1AAAAigMAAAAA&#10;" filled="f" stroked="f">
                  <v:textbox inset="0,0,0,0">
                    <w:txbxContent>
                      <w:p w:rsidR="00BB52D7" w:rsidRDefault="00E33AE6">
                        <w:pPr>
                          <w:spacing w:after="160" w:line="259" w:lineRule="auto"/>
                          <w:ind w:left="0" w:firstLine="0"/>
                          <w:jc w:val="left"/>
                        </w:pPr>
                        <w:r>
                          <w:t xml:space="preserve"> </w:t>
                        </w:r>
                      </w:p>
                    </w:txbxContent>
                  </v:textbox>
                </v:rect>
                <v:rect id="Rectangle 31931" o:spid="_x0000_s1308" style="position:absolute;left:29067;top:448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am8cA&#10;AADeAAAADwAAAGRycy9kb3ducmV2LnhtbESPQWvCQBSE7wX/w/KE3uomFYpJs4poix6rEbS3R/aZ&#10;BLNvQ3abpP31XaHQ4zAz3zDZajSN6KlztWUF8SwCQVxYXXOp4JS/Py1AOI+ssbFMCr7JwWo5ecgw&#10;1XbgA/VHX4oAYZeigsr7NpXSFRUZdDPbEgfvajuDPsiulLrDIcBNI5+j6EUarDksVNjSpqLidvwy&#10;CnaLdn3Z25+hbN4+d+ePc7LNE6/U43Rcv4LwNPr/8F97rxXM42Qew/1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I2pv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31932" o:spid="_x0000_s1309" style="position:absolute;left:20441;top:481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E7McA&#10;AADeAAAADwAAAGRycy9kb3ducmV2LnhtbESPQWvCQBSE7wX/w/KE3upGA8WkriK2khzbKNjeHtnX&#10;JJh9G7KrSfvruwXB4zAz3zCrzWhacaXeNZYVzGcRCOLS6oYrBcfD/mkJwnlkja1lUvBDDjbrycMK&#10;U20H/qBr4SsRIOxSVFB736VSurImg25mO+LgfdveoA+yr6TucQhw08pFFD1Lgw2HhRo72tVUnouL&#10;UZAtu+1nbn+Hqn37yk7vp+T1kHilHqfj9gWEp9Hfw7d2rhXE8yRewP+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aROz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shape id="Shape 31934" o:spid="_x0000_s1310" style="position:absolute;left:43357;top:33782;width:14199;height:17233;visibility:visible;mso-wrap-style:square;v-text-anchor:top" coordsize="1419860,1723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GUMkA&#10;AADeAAAADwAAAGRycy9kb3ducmV2LnhtbESPT2vCQBTE7wW/w/IEL0U3URETXUUKhZZSin8Oentk&#10;n0k0+zZktxr99G5B6HGYmd8w82VrKnGhxpWWFcSDCARxZnXJuYLd9r0/BeE8ssbKMim4kYPlovMy&#10;x1TbK6/psvG5CBB2KSoovK9TKV1WkEE3sDVx8I62MeiDbHKpG7wGuKnkMIom0mDJYaHAmt4Kys6b&#10;X6Pg9f55cPn2fNr/4PoWfZVJHX8nSvW67WoGwlPr/8PP9odWMIqT0Rj+7oQrIBc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ERGUMkAAADeAAAADwAAAAAAAAAAAAAAAACYAgAA&#10;ZHJzL2Rvd25yZXYueG1sUEsFBgAAAAAEAAQA9QAAAI4DAAAAAA==&#10;" path="m,1723390r1419860,l1419860,,,,,1723390xe" filled="f" strokeweight="1.5pt">
                  <v:stroke miterlimit="83231f" joinstyle="miter"/>
                  <v:path arrowok="t" textboxrect="0,0,1419860,1723390"/>
                </v:shape>
                <v:rect id="Rectangle 31935" o:spid="_x0000_s1311" style="position:absolute;left:50467;top:3439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PcmMgA&#10;AADeAAAADwAAAGRycy9kb3ducmV2LnhtbESPT2vCQBTE7wW/w/KE3urGSouJboLYFj3WP6DeHtln&#10;Esy+DdmtSf30bqHgcZiZ3zDzrDe1uFLrKssKxqMIBHFudcWFgv3u62UKwnlkjbVlUvBLDrJ08DTH&#10;RNuON3Td+kIECLsEFZTeN4mULi/JoBvZhjh4Z9sa9EG2hdQtdgFuavkaRe/SYMVhocSGliXll+2P&#10;UbCaNovj2t66ov48rQ7fh/hjF3ulnof9YgbCU+8f4f/2WiuYjOPJ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M9yY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36" o:spid="_x0000_s1312" style="position:absolute;left:44988;top:36147;width:145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C78cA&#10;AADeAAAADwAAAGRycy9kb3ducmV2LnhtbESPQWvCQBSE74L/YXlCb7qxgpjUVcS26LE1QtrbI/ua&#10;BHffhuzWpP313YLgcZiZb5j1drBGXKnzjWMF81kCgrh0uuFKwTl/na5A+ICs0TgmBT/kYbsZj9aY&#10;adfzO11PoRIRwj5DBXUIbSalL2uy6GeuJY7el+sshii7SuoO+wi3Rj4myVJabDgu1NjSvqbycvq2&#10;Cg6rdvdxdL99ZV4+D8VbkT7naVDqYTLsnkAEGsI9fGsftYLFPF0s4f9OvAJ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hQu/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Portfolio advisor</w:t>
                        </w:r>
                      </w:p>
                    </w:txbxContent>
                  </v:textbox>
                </v:rect>
                <v:rect id="Rectangle 31937" o:spid="_x0000_s1313" style="position:absolute;left:55946;top:3614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3ndMgA&#10;AADeAAAADwAAAGRycy9kb3ducmV2LnhtbESPT2vCQBTE7wW/w/KE3urGCq2JboLYFj3WP6DeHtln&#10;Esy+DdmtSf30bqHgcZiZ3zDzrDe1uFLrKssKxqMIBHFudcWFgv3u62UKwnlkjbVlUvBLDrJ08DTH&#10;RNuON3Td+kIECLsEFZTeN4mULi/JoBvZhjh4Z9sa9EG2hdQtdgFuavkaRW/SYMVhocSGliXll+2P&#10;UbCaNovj2t66ov48rQ7fh/hjF3ulnof9YgbCU+8f4f/2WiuYjOPJ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red0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38" o:spid="_x0000_s1314" style="position:absolute;left:45849;top:37900;width:1278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zBsMA&#10;AADeAAAADwAAAGRycy9kb3ducmV2LnhtbERPTYvCMBC9C/6HMII3TVVYbDWK7Cp61Lrgehua2bZs&#10;MylNtHV/vTkIHh/ve7nuTCXu1LjSsoLJOAJBnFldcq7g+7wbzUE4j6yxskwKHuRgver3lpho2/KJ&#10;7qnPRQhhl6CCwvs6kdJlBRl0Y1sTB+7XNgZ9gE0udYNtCDeVnEbRhzRYcmgosKbPgrK/9GYU7Of1&#10;5udg/9u82l73l+Ml/jrHXqnhoNssQHjq/Fv8ch+0gtkknoW94U6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JzBsMAAADeAAAADwAAAAAAAAAAAAAAAACYAgAAZHJzL2Rv&#10;d25yZXYueG1sUEsFBgAAAAAEAAQA9QAAAIgDAAAAAA==&#10;" filled="f" stroked="f">
                  <v:textbox inset="0,0,0,0">
                    <w:txbxContent>
                      <w:p w:rsidR="00BB52D7" w:rsidRDefault="00E33AE6">
                        <w:pPr>
                          <w:spacing w:after="160" w:line="259" w:lineRule="auto"/>
                          <w:ind w:left="0" w:firstLine="0"/>
                          <w:jc w:val="left"/>
                        </w:pPr>
                        <w:r>
                          <w:rPr>
                            <w:b/>
                          </w:rPr>
                          <w:t xml:space="preserve">Access Intern. </w:t>
                        </w:r>
                      </w:p>
                    </w:txbxContent>
                  </v:textbox>
                </v:rect>
                <v:rect id="Rectangle 31939" o:spid="_x0000_s1315" style="position:absolute;left:47160;top:39652;width:87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WnccA&#10;AADeAAAADwAAAGRycy9kb3ducmV2LnhtbESPT2vCQBTE74V+h+UVequbNCAmuobQP+jRqqDeHtnX&#10;JDT7NmS3JvXTuwXB4zAzv2EW+WhacabeNZYVxJMIBHFpdcOVgv3u82UGwnlkja1lUvBHDvLl48MC&#10;M20H/qLz1lciQNhlqKD2vsukdGVNBt3EdsTB+7a9QR9kX0nd4xDgppWvUTSVBhsOCzV29FZT+bP9&#10;NQpWs644ru1lqNqP0+qwOaTvu9Qr9fw0FnMQnkZ/D9/aa60gidMkhf874QrI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1p3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Adv. LLC</w:t>
                        </w:r>
                      </w:p>
                    </w:txbxContent>
                  </v:textbox>
                </v:rect>
                <v:rect id="Rectangle 31940" o:spid="_x0000_s1316" style="position:absolute;left:53766;top:3965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MfcUA&#10;AADeAAAADwAAAGRycy9kb3ducmV2LnhtbESPy4rCMBSG98K8QzgD7jT1gthqFBkVXTo64Mzu0Bzb&#10;Ms1JaaKtPr1ZCC5//hvffNmaUtyodoVlBYN+BII4tbrgTMHPadubgnAeWWNpmRTcycFy8dGZY6Jt&#10;w990O/pMhBF2CSrIva8SKV2ak0HXtxVx8C62NuiDrDOpa2zCuCnlMIom0mDB4SHHir5ySv+PV6Ng&#10;N61Wv3v7aLJy87c7H87x+hR7pbqf7WoGwlPr3+FXe68VjAbxOAAEnIA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gx9xQAAAN4AAAAPAAAAAAAAAAAAAAAAAJgCAABkcnMv&#10;ZG93bnJldi54bWxQSwUGAAAAAAQABAD1AAAAigM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41" o:spid="_x0000_s1317" style="position:absolute;left:50467;top:4140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6p5sgA&#10;AADeAAAADwAAAGRycy9kb3ducmV2LnhtbESPW2vCQBSE34X+h+UU+qabtFJMzEakF/TRS8H6dsge&#10;k2D2bMhuTeyv7woFH4eZ+YbJFoNpxIU6V1tWEE8iEMSF1TWXCr72n+MZCOeRNTaWScGVHCzyh1GG&#10;qbY9b+my86UIEHYpKqi8b1MpXVGRQTexLXHwTrYz6IPsSqk77APcNPI5il6lwZrDQoUtvVVUnHc/&#10;RsFq1i6/1/a3L5uP4+qwOSTv+8Qr9fQ4LOcgPA3+Hv5vr7WClziZxnC7E66Az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Dqnm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 </w:t>
                        </w:r>
                      </w:p>
                    </w:txbxContent>
                  </v:textbox>
                </v:rect>
                <v:rect id="Rectangle 193424" o:spid="_x0000_s1318" style="position:absolute;left:44942;top:43145;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WMQA&#10;AADfAAAADwAAAGRycy9kb3ducmV2LnhtbERPy2rCQBTdC/7DcIXudOIDMamjiFp0WR9gu7tkbpNg&#10;5k7ITE3q1zsFweXhvOfL1pTiRrUrLCsYDiIQxKnVBWcKzqeP/gyE88gaS8uk4I8cLBfdzhwTbRs+&#10;0O3oMxFC2CWoIPe+SqR0aU4G3cBWxIH7sbVBH2CdSV1jE8JNKUdRNJUGCw4NOVa0zim9Hn+Ngt2s&#10;Wn3t7b3Jyu337vJ5iTen2Cv11mtX7yA8tf4lfrr3OsyPx5PRBP7/BA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4FjEAAAA3wAAAA8AAAAAAAAAAAAAAAAAmAIAAGRycy9k&#10;b3ducmV2LnhtbFBLBQYAAAAABAAEAPUAAACJAwAAAAA=&#10;" filled="f" stroked="f">
                  <v:textbox inset="0,0,0,0">
                    <w:txbxContent>
                      <w:p w:rsidR="00BB52D7" w:rsidRDefault="00E33AE6">
                        <w:pPr>
                          <w:spacing w:after="160" w:line="259" w:lineRule="auto"/>
                          <w:ind w:left="0" w:firstLine="0"/>
                          <w:jc w:val="left"/>
                        </w:pPr>
                        <w:r>
                          <w:rPr>
                            <w:b/>
                          </w:rPr>
                          <w:t>(</w:t>
                        </w:r>
                      </w:p>
                    </w:txbxContent>
                  </v:textbox>
                </v:rect>
                <v:rect id="Rectangle 193425" o:spid="_x0000_s1319" style="position:absolute;left:45450;top:43145;width:410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Fw8UA&#10;AADfAAAADwAAAGRycy9kb3ducmV2LnhtbERPTWvCQBC9C/0PyxR6001tFZO6irSW5GhVUG9DdpqE&#10;ZmdDdjXRX98tCD0+3vd82ZtaXKh1lWUFz6MIBHFudcWFgv3uczgD4TyyxtoyKbiSg+XiYTDHRNuO&#10;v+iy9YUIIewSVFB63yRSurwkg25kG+LAfdvWoA+wLaRusQvhppbjKJpKgxWHhhIbei8p/9mejYJ0&#10;1qyOmb11Rb0+pYfNIf7YxV6pp8d+9QbCU+//xXd3psP8+OV1PIG/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EXDxQAAAN8AAAAPAAAAAAAAAAAAAAAAAJgCAABkcnMv&#10;ZG93bnJldi54bWxQSwUGAAAAAAQABAD1AAAAigMAAAAA&#10;" filled="f" stroked="f">
                  <v:textbox inset="0,0,0,0">
                    <w:txbxContent>
                      <w:p w:rsidR="00BB52D7" w:rsidRDefault="00E33AE6">
                        <w:pPr>
                          <w:spacing w:after="160" w:line="259" w:lineRule="auto"/>
                          <w:ind w:left="0" w:firstLine="0"/>
                          <w:jc w:val="left"/>
                        </w:pPr>
                        <w:r>
                          <w:rPr>
                            <w:b/>
                          </w:rPr>
                          <w:t xml:space="preserve">NY) </w:t>
                        </w:r>
                      </w:p>
                    </w:txbxContent>
                  </v:textbox>
                </v:rect>
                <v:rect id="Rectangle 193426" o:spid="_x0000_s1320" style="position:absolute;left:48539;top:43145;width:529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btMUA&#10;AADfAAAADwAAAGRycy9kb3ducmV2LnhtbERPy2rCQBTdF/oPwy24q5NqEROdBGktuqwPUHeXzDUJ&#10;zdwJmdFEv75TKLg8nPc8600trtS6yrKCt2EEgji3uuJCwX739ToF4TyyxtoyKbiRgyx9fppjom3H&#10;G7pufSFCCLsEFZTeN4mULi/JoBvahjhwZ9sa9AG2hdQtdiHc1HIURRNpsOLQUGJDHyXlP9uLUbCa&#10;Novj2t67ol6eVofvQ/y5i71Sg5d+MQPhqfcP8b97rcP8ePw+msDfnwB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tu0xQAAAN8AAAAPAAAAAAAAAAAAAAAAAJgCAABkcnMv&#10;ZG93bnJldi54bWxQSwUGAAAAAAQABAD1AAAAigMAAAAA&#10;" filled="f" stroked="f">
                  <v:textbox inset="0,0,0,0">
                    <w:txbxContent>
                      <w:p w:rsidR="00BB52D7" w:rsidRDefault="00E33AE6">
                        <w:pPr>
                          <w:spacing w:after="160" w:line="259" w:lineRule="auto"/>
                          <w:ind w:left="0" w:firstLine="0"/>
                          <w:jc w:val="left"/>
                        </w:pPr>
                        <w:r>
                          <w:t>(08/01</w:t>
                        </w:r>
                      </w:p>
                    </w:txbxContent>
                  </v:textbox>
                </v:rect>
                <v:rect id="Rectangle 193427" o:spid="_x0000_s1321" style="position:absolute;left:52515;top:43145;width:512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L8UA&#10;AADfAAAADwAAAGRycy9kb3ducmV2LnhtbERPTWvCQBC9C/0PyxR6001tUZO6irSW5GhVUG9DdpqE&#10;ZmdDdjXRX98tCD0+3vd82ZtaXKh1lWUFz6MIBHFudcWFgv3uczgD4TyyxtoyKbiSg+XiYTDHRNuO&#10;v+iy9YUIIewSVFB63yRSurwkg25kG+LAfdvWoA+wLaRusQvhppbjKJpIgxWHhhIbei8p/9mejYJ0&#10;1qyOmb11Rb0+pYfNIf7YxV6pp8d+9QbCU+//xXd3psP8+OV1PIW/PwG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n4vxQAAAN8AAAAPAAAAAAAAAAAAAAAAAJgCAABkcnMv&#10;ZG93bnJldi54bWxQSwUGAAAAAAQABAD1AAAAigMAAAAA&#10;" filled="f" stroked="f">
                  <v:textbox inset="0,0,0,0">
                    <w:txbxContent>
                      <w:p w:rsidR="00BB52D7" w:rsidRDefault="00E33AE6">
                        <w:pPr>
                          <w:spacing w:after="160" w:line="259" w:lineRule="auto"/>
                          <w:ind w:left="0" w:firstLine="0"/>
                          <w:jc w:val="left"/>
                        </w:pPr>
                        <w:r>
                          <w:t xml:space="preserve">/2004 </w:t>
                        </w:r>
                      </w:p>
                    </w:txbxContent>
                  </v:textbox>
                </v:rect>
                <v:rect id="Rectangle 31944" o:spid="_x0000_s1322" style="position:absolute;left:45979;top:45199;width:1013;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KfsgA&#10;AADeAAAADwAAAGRycy9kb3ducmV2LnhtbESPW2vCQBSE3wv9D8sp+FY3tiImZiPSC/ropaC+HbLH&#10;JDR7NmRXk/rrXUHo4zAz3zDpvDe1uFDrKssKRsMIBHFudcWFgp/d9+sUhPPIGmvLpOCPHMyz56cU&#10;E2073tBl6wsRIOwSVFB63yRSurwkg25oG+LgnWxr0AfZFlK32AW4qeVbFE2kwYrDQokNfZSU/27P&#10;RsFy2iwOK3vtivrruNyv9/HnLvZKDV76xQyEp97/hx/tlVbwPorHY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eQp+yAAAAN4AAAAPAAAAAAAAAAAAAAAAAJgCAABk&#10;cnMvZG93bnJldi54bWxQSwUGAAAAAAQABAD1AAAAjQMAAAAA&#10;" filled="f" stroked="f">
                  <v:textbox inset="0,0,0,0">
                    <w:txbxContent>
                      <w:p w:rsidR="00BB52D7" w:rsidRDefault="00E33AE6">
                        <w:pPr>
                          <w:spacing w:after="160" w:line="259" w:lineRule="auto"/>
                          <w:ind w:left="0" w:firstLine="0"/>
                          <w:jc w:val="left"/>
                        </w:pPr>
                        <w:r>
                          <w:t>–</w:t>
                        </w:r>
                      </w:p>
                    </w:txbxContent>
                  </v:textbox>
                </v:rect>
                <v:rect id="Rectangle 31945" o:spid="_x0000_s1323" style="position:absolute;left:46741;top:4489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v5cgA&#10;AADeAAAADwAAAGRycy9kb3ducmV2LnhtbESPT2vCQBTE70K/w/IK3nRjbYtJXUXUkhz9U7C9PbKv&#10;SWj2bciuJvrpu4WCx2FmfsPMl72pxYVaV1lWMBlHIIhzqysuFHwc30czEM4ja6wtk4IrOVguHgZz&#10;TLTteE+Xgy9EgLBLUEHpfZNI6fKSDLqxbYiD921bgz7ItpC6xS7ATS2fouhVGqw4LJTY0Lqk/Odw&#10;NgrSWbP6zOytK+rtV3raneLNMfZKDR/71RsIT72/h//bmVYwncTPL/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Na/lyAAAAN4AAAAPAAAAAAAAAAAAAAAAAJgCAABk&#10;cnMvZG93bnJldi54bWxQSwUGAAAAAAQABAD1AAAAjQMAAAAA&#10;" filled="f" stroked="f">
                  <v:textbox inset="0,0,0,0">
                    <w:txbxContent>
                      <w:p w:rsidR="00BB52D7" w:rsidRDefault="00E33AE6">
                        <w:pPr>
                          <w:spacing w:after="160" w:line="259" w:lineRule="auto"/>
                          <w:ind w:left="0" w:firstLine="0"/>
                          <w:jc w:val="left"/>
                        </w:pPr>
                        <w:r>
                          <w:t xml:space="preserve"> </w:t>
                        </w:r>
                      </w:p>
                    </w:txbxContent>
                  </v:textbox>
                </v:rect>
                <v:rect id="Rectangle 193428" o:spid="_x0000_s1324" style="position:absolute;left:47122;top:44898;width:202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3qXcUA&#10;AADfAAAADwAAAGRycy9kb3ducmV2LnhtbERPS2vCQBC+C/0PyxR60021FBNdRdSix/oA29uQHZPQ&#10;7GzIbk3aX985FDx+fO/5sne1ulEbKs8GnkcJKOLc24oLA+fT23AKKkRki7VnMvBDAZaLh8EcM+s7&#10;PtDtGAslIRwyNFDG2GRah7wkh2HkG2Lhrr51GAW2hbYtdhLuaj1OklftsGJpKLGhdUn51/HbGdhN&#10;m9XH3v92Rb393F3eL+nmlEZjnh771QxUpD7exf/uvZX56eRlLIPljwD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pdxQAAAN8AAAAPAAAAAAAAAAAAAAAAAJgCAABkcnMv&#10;ZG93bnJldi54bWxQSwUGAAAAAAQABAD1AAAAigMAAAAA&#10;" filled="f" stroked="f">
                  <v:textbox inset="0,0,0,0">
                    <w:txbxContent>
                      <w:p w:rsidR="00BB52D7" w:rsidRDefault="00E33AE6">
                        <w:pPr>
                          <w:spacing w:after="160" w:line="259" w:lineRule="auto"/>
                          <w:ind w:left="0" w:firstLine="0"/>
                          <w:jc w:val="left"/>
                        </w:pPr>
                        <w:r>
                          <w:t>11</w:t>
                        </w:r>
                      </w:p>
                    </w:txbxContent>
                  </v:textbox>
                </v:rect>
                <v:rect id="Rectangle 193430" o:spid="_x0000_s1325" style="position:absolute;left:48646;top:44898;width:366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whsUA&#10;AADfAAAADwAAAGRycy9kb3ducmV2LnhtbERPS2vCQBC+F/oflil4q5uqFBNdRWxFj/UBtrchOyah&#10;2dmQXU3aX985FDx+fO/5sne1ulEbKs8GXoYJKOLc24oLA6fj5nkKKkRki7VnMvBDAZaLx4c5ZtZ3&#10;vKfbIRZKQjhkaKCMscm0DnlJDsPQN8TCXXzrMApsC21b7CTc1XqUJK/aYcXSUGJD65Ly78PVGdhO&#10;m9Xnzv92Rf3+tT1/nNO3YxqNGTz1qxmoSH28i//dOyvz0/FkLA/kjwD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nCGxQAAAN8AAAAPAAAAAAAAAAAAAAAAAJgCAABkcnMv&#10;ZG93bnJldi54bWxQSwUGAAAAAAQABAD1AAAAigMAAAAA&#10;" filled="f" stroked="f">
                  <v:textbox inset="0,0,0,0">
                    <w:txbxContent>
                      <w:p w:rsidR="00BB52D7" w:rsidRDefault="00E33AE6">
                        <w:pPr>
                          <w:spacing w:after="160" w:line="259" w:lineRule="auto"/>
                          <w:ind w:left="0" w:firstLine="0"/>
                          <w:jc w:val="left"/>
                        </w:pPr>
                        <w:r>
                          <w:t xml:space="preserve">/17/ </w:t>
                        </w:r>
                      </w:p>
                    </w:txbxContent>
                  </v:textbox>
                </v:rect>
                <v:rect id="Rectangle 193429" o:spid="_x0000_s1326" style="position:absolute;left:51403;top:44898;width:471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PxsQA&#10;AADfAAAADwAAAGRycy9kb3ducmV2LnhtbERPy2rCQBTdC/7DcAvudFKVYqKjiG3RpS9Qd5fMNQlm&#10;7oTM1MR+fUcouDyc92zRmlLcqXaFZQXvgwgEcWp1wZmC4+G7PwHhPLLG0jIpeJCDxbzbmWGibcM7&#10;uu99JkIIuwQV5N5XiZQuzcmgG9iKOHBXWxv0AdaZ1DU2IdyUchhFH9JgwaEhx4pWOaW3/Y9RsJ5U&#10;y/PG/jZZ+XVZn7an+PMQe6V6b+1yCsJT61/if/dGh/nxaDyM4fknAJ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T8bEAAAA3wAAAA8AAAAAAAAAAAAAAAAAmAIAAGRycy9k&#10;b3ducmV2LnhtbFBLBQYAAAAABAAEAPUAAACJAwAAAAA=&#10;" filled="f" stroked="f">
                  <v:textbox inset="0,0,0,0">
                    <w:txbxContent>
                      <w:p w:rsidR="00BB52D7" w:rsidRDefault="00E33AE6">
                        <w:pPr>
                          <w:spacing w:after="160" w:line="259" w:lineRule="auto"/>
                          <w:ind w:left="0" w:firstLine="0"/>
                          <w:jc w:val="left"/>
                        </w:pPr>
                        <w:r>
                          <w:t>2008)</w:t>
                        </w:r>
                      </w:p>
                    </w:txbxContent>
                  </v:textbox>
                </v:rect>
                <v:rect id="Rectangle 31947" o:spid="_x0000_s1327" style="position:absolute;left:54955;top:4489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uUCcgA&#10;AADeAAAADwAAAGRycy9kb3ducmV2LnhtbESPT2vCQBTE70K/w/IK3nRjLa1JXUXUkhz9U7C9PbKv&#10;SWj2bciuJvrpu4WCx2FmfsPMl72pxYVaV1lWMBlHIIhzqysuFHwc30czEM4ja6wtk4IrOVguHgZz&#10;TLTteE+Xgy9EgLBLUEHpfZNI6fKSDLqxbYiD921bgz7ItpC6xS7ATS2fouhFGqw4LJTY0Lqk/Odw&#10;NgrSWbP6zOytK+rtV3raneLNMfZKDR/71RsIT72/h//bmVYwncTP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q5QJyAAAAN4AAAAPAAAAAAAAAAAAAAAAAJgCAABk&#10;cnMvZG93bnJldi54bWxQSwUGAAAAAAQABAD1AAAAjQMAAAAA&#10;" filled="f" stroked="f">
                  <v:textbox inset="0,0,0,0">
                    <w:txbxContent>
                      <w:p w:rsidR="00BB52D7" w:rsidRDefault="00E33AE6">
                        <w:pPr>
                          <w:spacing w:after="160" w:line="259" w:lineRule="auto"/>
                          <w:ind w:left="0" w:firstLine="0"/>
                          <w:jc w:val="left"/>
                        </w:pPr>
                        <w:r>
                          <w:t xml:space="preserve"> </w:t>
                        </w:r>
                      </w:p>
                    </w:txbxContent>
                  </v:textbox>
                </v:rect>
                <v:rect id="Rectangle 31948" o:spid="_x0000_s1328" style="position:absolute;left:50467;top:4665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Ae8QA&#10;AADeAAAADwAAAGRycy9kb3ducmV2LnhtbERPy4rCMBTdC/MP4Q6409QHYqtRZFR06eiAM7tLc23L&#10;NDelibb69WYhuDyc93zZmlLcqHaFZQWDfgSCOLW64EzBz2nbm4JwHlljaZkU3MnBcvHRmWOibcPf&#10;dDv6TIQQdgkqyL2vEildmpNB17cVceAutjboA6wzqWtsQrgp5TCKJtJgwaEhx4q+ckr/j1ejYDet&#10;Vr97+2iycvO3Ox/O8foUe6W6n+1qBsJT69/il3uvFYwG8TjsDXfCF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0AHvEAAAA3gAAAA8AAAAAAAAAAAAAAAAAmAIAAGRycy9k&#10;b3ducmV2LnhtbFBLBQYAAAAABAAEAPUAAACJAwAAAAA=&#10;" filled="f" stroked="f">
                  <v:textbox inset="0,0,0,0">
                    <w:txbxContent>
                      <w:p w:rsidR="00BB52D7" w:rsidRDefault="00E33AE6">
                        <w:pPr>
                          <w:spacing w:after="160" w:line="259" w:lineRule="auto"/>
                          <w:ind w:left="0" w:firstLine="0"/>
                          <w:jc w:val="left"/>
                        </w:pPr>
                        <w:r>
                          <w:t xml:space="preserve"> </w:t>
                        </w:r>
                      </w:p>
                    </w:txbxContent>
                  </v:textbox>
                </v:rect>
                <v:rect id="Rectangle 31949" o:spid="_x0000_s1329" style="position:absolute;left:44378;top:4992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il4MgA&#10;AADeAAAADwAAAGRycy9kb3ducmV2LnhtbESPT2vCQBTE74LfYXmCN91YiyQxq0j/oEerhdTbI/ua&#10;hGbfhuzWpP30XUHocZiZ3zDZdjCNuFLnassKFvMIBHFhdc2lgvfz6ywG4TyyxsYyKfghB9vNeJRh&#10;qm3Pb3Q9+VIECLsUFVTet6mUrqjIoJvbljh4n7Yz6IPsSqk77APcNPIhilbSYM1hocKWnioqvk7f&#10;RsE+bncfB/vbl83LZZ8f8+T5nHilppNhtwbhafD/4Xv7oBUsF8ljAr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KXgyAAAAN4AAAAPAAAAAAAAAAAAAAAAAJgCAABk&#10;cnMvZG93bnJldi54bWxQSwUGAAAAAAQABAD1AAAAjQMAAAAA&#10;" filled="f" stroked="f">
                  <v:textbox inset="0,0,0,0">
                    <w:txbxContent>
                      <w:p w:rsidR="00BB52D7" w:rsidRDefault="00E33AE6">
                        <w:pPr>
                          <w:spacing w:after="160" w:line="259" w:lineRule="auto"/>
                          <w:ind w:left="0" w:firstLine="0"/>
                          <w:jc w:val="left"/>
                        </w:pPr>
                        <w:r>
                          <w:t xml:space="preserve"> </w:t>
                        </w:r>
                      </w:p>
                    </w:txbxContent>
                  </v:textbox>
                </v:rect>
                <v:shape id="Shape 31951" o:spid="_x0000_s1330" style="position:absolute;left:1708;top:33134;width:14255;height:17881;visibility:visible;mso-wrap-style:square;v-text-anchor:top" coordsize="1425575,1788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uhRsgA&#10;AADeAAAADwAAAGRycy9kb3ducmV2LnhtbESPUUvDMBSF3wX/Q7gD31xSp2Oty4Y4RF8cc9sPuDR3&#10;bVlzU5Ks7fz1RhB8PJxzvsNZrkfbip58aBxryKYKBHHpTMOVhuPh7X4BIkRkg61j0nClAOvV7c0S&#10;C+MG/qJ+HyuRIBwK1FDH2BVShrImi2HqOuLknZy3GJP0lTQehwS3rXxQai4tNpwWauzotabyvL9Y&#10;DWq3eN8+9pfrwef5kB/HzelTfWt9NxlfnkFEGuN/+K/9YTTMsvwpg9876QrI1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a6FGyAAAAN4AAAAPAAAAAAAAAAAAAAAAAJgCAABk&#10;cnMvZG93bnJldi54bWxQSwUGAAAAAAQABAD1AAAAjQMAAAAA&#10;" path="m,1788160r1425575,l1425575,,,,,1788160xe" filled="f" strokeweight="3pt">
                  <v:stroke miterlimit="83231f" joinstyle="miter" endcap="round"/>
                  <v:path arrowok="t" textboxrect="0,0,1425575,1788160"/>
                </v:shape>
                <v:rect id="Rectangle 31952" o:spid="_x0000_s1331" style="position:absolute;left:5199;top:33846;width:101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TMgA&#10;AADeAAAADwAAAGRycy9kb3ducmV2LnhtbESPT2vCQBTE7wW/w/KE3upGS4uJboLYFj3WP6DeHtln&#10;Esy+DdmtSf30bqHgcZiZ3zDzrDe1uFLrKssKxqMIBHFudcWFgv3u62UKwnlkjbVlUvBLDrJ08DTH&#10;RNuON3Td+kIECLsEFZTeN4mULi/JoBvZhjh4Z9sa9EG2hdQtdgFuajmJondpsOKwUGJDy5Lyy/bH&#10;KFhNm8VxbW9dUX+eVofvQ/yxi71Sz8N+MQPhqfeP8H97rRW8juO3C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BaFM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Bernard L. </w:t>
                        </w:r>
                      </w:p>
                    </w:txbxContent>
                  </v:textbox>
                </v:rect>
                <v:rect id="Rectangle 31953" o:spid="_x0000_s1332" style="position:absolute;left:5496;top:35599;width:939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E18gA&#10;AADeAAAADwAAAGRycy9kb3ducmV2LnhtbESPT2vCQBTE7wW/w/KE3urGSouJboLYFj3WP6DeHtln&#10;Esy+DdmtSf30bqHgcZiZ3zDzrDe1uFLrKssKxqMIBHFudcWFgv3u62UKwnlkjbVlUvBLDrJ08DTH&#10;RNuON3Td+kIECLsEFZTeN4mULi/JoBvZhjh4Z9sa9EG2hdQtdgFuavkaRe/SYMVhocSGliXll+2P&#10;UbCaNovj2t66ov48rQ7fh/hjF3ulnof9YgbCU+8f4f/2WiuYjOO3C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SQTX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MADOFF </w:t>
                        </w:r>
                      </w:p>
                    </w:txbxContent>
                  </v:textbox>
                </v:rect>
                <v:rect id="Rectangle 31954" o:spid="_x0000_s1333" style="position:absolute;left:6014;top:37351;width:80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Cco8gA&#10;AADeAAAADwAAAGRycy9kb3ducmV2LnhtbESPT2vCQBTE70K/w/IK3nRjbYtJXUXUkhz9U7C9PbKv&#10;SWj2bciuJvrpu4WCx2FmfsPMl72pxYVaV1lWMBlHIIhzqysuFHwc30czEM4ja6wtk4IrOVguHgZz&#10;TLTteE+Xgy9EgLBLUEHpfZNI6fKSDLqxbYiD921bgz7ItpC6xS7ATS2fouhVGqw4LJTY0Lqk/Odw&#10;NgrSWbP6zOytK+rtV3raneLNMfZKDR/71RsIT72/h//bmVYwncQvz/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oJyj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Investm. </w:t>
                        </w:r>
                      </w:p>
                    </w:txbxContent>
                  </v:textbox>
                </v:rect>
                <v:rect id="Rectangle 31955" o:spid="_x0000_s1334" style="position:absolute;left:3911;top:39104;width:1360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OMgA&#10;AADeAAAADwAAAGRycy9kb3ducmV2LnhtbESPW2vCQBSE3wv9D8sp+FY3tigmZiPSC/ropaC+HbLH&#10;JDR7NmRXk/rrXUHo4zAz3zDpvDe1uFDrKssKRsMIBHFudcWFgp/d9+sUhPPIGmvLpOCPHMyz56cU&#10;E2073tBl6wsRIOwSVFB63yRSurwkg25oG+LgnWxr0AfZFlK32AW4qeVbFE2kwYrDQokNfZSU/27P&#10;RsFy2iwOK3vtivrruNyv9/HnLvZKDV76xQyEp97/hx/tlVbwPorHY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7Dk4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Securities LLC </w:t>
                        </w:r>
                      </w:p>
                    </w:txbxContent>
                  </v:textbox>
                </v:rect>
                <v:rect id="Rectangle 193422" o:spid="_x0000_s1335" style="position:absolute;left:6380;top:40856;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Xdt8UA&#10;AADfAAAADwAAAGRycy9kb3ducmV2LnhtbERPy2rCQBTdC/2H4Ra600lTEZNmIlItuvRRsN1dMrdJ&#10;aOZOyExN7Nd3BMHl4byzxWAacabO1ZYVPE8iEMSF1TWXCj6O7+M5COeRNTaWScGFHCzyh1GGqbY9&#10;7+l88KUIIexSVFB536ZSuqIig25iW+LAfdvOoA+wK6XusA/hppFxFM2kwZpDQ4UtvVVU/Bx+jYLN&#10;vF1+bu1fXzbrr81pd0pWx8Qr9fQ4LF9BeBr8XXxzb3WYn7xM4xiufwIA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dd23xQAAAN8AAAAPAAAAAAAAAAAAAAAAAJgCAABkcnMv&#10;ZG93bnJldi54bWxQSwUGAAAAAAQABAD1AAAAigMAAAAA&#10;" filled="f" stroked="f">
                  <v:textbox inset="0,0,0,0">
                    <w:txbxContent>
                      <w:p w:rsidR="00BB52D7" w:rsidRDefault="00E33AE6">
                        <w:pPr>
                          <w:spacing w:after="160" w:line="259" w:lineRule="auto"/>
                          <w:ind w:left="0" w:firstLine="0"/>
                          <w:jc w:val="left"/>
                        </w:pPr>
                        <w:r>
                          <w:rPr>
                            <w:b/>
                          </w:rPr>
                          <w:t>(</w:t>
                        </w:r>
                      </w:p>
                    </w:txbxContent>
                  </v:textbox>
                </v:rect>
                <v:rect id="Rectangle 193423" o:spid="_x0000_s1336" style="position:absolute;left:6887;top:40856;width:63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4LMUA&#10;AADfAAAADwAAAGRycy9kb3ducmV2LnhtbERPTWvCQBC9F/wPywi91Y1axKSuIlpJjlULtrchO02C&#10;2dmQXU3qr3cLQo+P971Y9aYWV2pdZVnBeBSBIM6trrhQ8HncvcxBOI+ssbZMCn7JwWo5eFpgom3H&#10;e7oefCFCCLsEFZTeN4mULi/JoBvZhjhwP7Y16ANsC6lb7EK4qeUkimbSYMWhocSGNiXl58PFKEjn&#10;zfors7euqN+/09PHKd4eY6/U87Bfv4Hw1Pt/8cOd6TA/nr5OpvD3JwC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XgsxQAAAN8AAAAPAAAAAAAAAAAAAAAAAJgCAABkcnMv&#10;ZG93bnJldi54bWxQSwUGAAAAAAQABAD1AAAAigMAAAAA&#10;" filled="f" stroked="f">
                  <v:textbox inset="0,0,0,0">
                    <w:txbxContent>
                      <w:p w:rsidR="00BB52D7" w:rsidRDefault="00E33AE6">
                        <w:pPr>
                          <w:spacing w:after="160" w:line="259" w:lineRule="auto"/>
                          <w:ind w:left="0" w:firstLine="0"/>
                          <w:jc w:val="left"/>
                        </w:pPr>
                        <w:r>
                          <w:rPr>
                            <w:b/>
                          </w:rPr>
                          <w:t xml:space="preserve">BMIS) </w:t>
                        </w:r>
                      </w:p>
                    </w:txbxContent>
                  </v:textbox>
                </v:rect>
                <v:rect id="Rectangle 31957" o:spid="_x0000_s1337" style="position:absolute;left:11668;top:4085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C1MgA&#10;AADeAAAADwAAAGRycy9kb3ducmV2LnhtbESPT2vCQBTE70K/w/IK3nRjpa1JXUXUkhz9U7C9PbKv&#10;SWj2bciuJvrpu4WCx2FmfsPMl72pxYVaV1lWMBlHIIhzqysuFHwc30czEM4ja6wtk4IrOVguHgZz&#10;TLTteE+Xgy9EgLBLUEHpfZNI6fKSDLqxbYiD921bgz7ItpC6xS7ATS2fouhFGqw4LJTY0Lqk/Odw&#10;NgrSWbP6zOytK+rtV3raneLNMfZKDR/71RsIT72/h//bmVYwncTP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cgLUyAAAAN4AAAAPAAAAAAAAAAAAAAAAAJgCAABk&#10;cnMvZG93bnJldi54bWxQSwUGAAAAAAQABAD1AAAAjQM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58" o:spid="_x0000_s1338" style="position:absolute;left:8834;top:4259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WpsMA&#10;AADeAAAADwAAAGRycy9kb3ducmV2LnhtbERPTYvCMBC9C/sfwix401RFsdUosip6dHXB3dvQjG3Z&#10;ZlKaaKu/3hwEj4/3PV+2phQ3ql1hWcGgH4EgTq0uOFPwc9r2piCcR9ZYWiYFd3KwXHx05pho2/A3&#10;3Y4+EyGEXYIKcu+rREqX5mTQ9W1FHLiLrQ36AOtM6hqbEG5KOYyiiTRYcGjIsaKvnNL/49Uo2E2r&#10;1e/ePpqs3PztzodzvD7FXqnuZ7uagfDU+rf45d5rBaNBPA57w51wBe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2WpsMAAADeAAAADwAAAAAAAAAAAAAAAACYAgAAZHJzL2Rv&#10;d25yZXYueG1sUEsFBgAAAAAEAAQA9QAAAIgDAAAAAA==&#10;" filled="f" stroked="f">
                  <v:textbox inset="0,0,0,0">
                    <w:txbxContent>
                      <w:p w:rsidR="00BB52D7" w:rsidRDefault="00E33AE6">
                        <w:pPr>
                          <w:spacing w:after="160" w:line="259" w:lineRule="auto"/>
                          <w:ind w:left="0" w:firstLine="0"/>
                          <w:jc w:val="left"/>
                        </w:pPr>
                        <w:r>
                          <w:t xml:space="preserve"> </w:t>
                        </w:r>
                      </w:p>
                    </w:txbxContent>
                  </v:textbox>
                </v:rect>
                <v:rect id="Rectangle 31959" o:spid="_x0000_s1339" style="position:absolute;left:4475;top:44349;width:31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zPcgA&#10;AADeAAAADwAAAGRycy9kb3ducmV2LnhtbESPT2vCQBTE74LfYXmCN91YqSQxq0j/oEerhdTbI/ua&#10;hGbfhuzWpP30XUHocZiZ3zDZdjCNuFLnassKFvMIBHFhdc2lgvfz6ywG4TyyxsYyKfghB9vNeJRh&#10;qm3Pb3Q9+VIECLsUFVTet6mUrqjIoJvbljh4n7Yz6IPsSqk77APcNPIhilbSYM1hocKWnioqvk7f&#10;RsE+bncfB/vbl83LZZ8f8+T5nHilppNhtwbhafD/4Xv7oBUsF8ljAr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oTM9yAAAAN4AAAAPAAAAAAAAAAAAAAAAAJgCAABk&#10;cnMvZG93bnJldi54bWxQSwUGAAAAAAQABAD1AAAAjQMAAAAA&#10;" filled="f" stroked="f">
                  <v:textbox inset="0,0,0,0">
                    <w:txbxContent>
                      <w:p w:rsidR="00BB52D7" w:rsidRDefault="00E33AE6">
                        <w:pPr>
                          <w:spacing w:after="160" w:line="259" w:lineRule="auto"/>
                          <w:ind w:left="0" w:firstLine="0"/>
                          <w:jc w:val="left"/>
                        </w:pPr>
                        <w:r>
                          <w:t>Sub</w:t>
                        </w:r>
                      </w:p>
                    </w:txbxContent>
                  </v:textbox>
                </v:rect>
                <v:rect id="Rectangle 31960" o:spid="_x0000_s1340" style="position:absolute;left:6845;top:44349;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QHcQA&#10;AADeAAAADwAAAGRycy9kb3ducmV2LnhtbESPy4rCMBSG9wO+QziCuzFVQWw1inhBlzMqqLtDc2yL&#10;zUlpoq0+/WQx4PLnv/HNFq0pxZNqV1hWMOhHIIhTqwvOFJyO2+8JCOeRNZaWScGLHCzmna8ZJto2&#10;/EvPg89EGGGXoILc+yqR0qU5GXR9WxEH72Zrgz7IOpO6xiaMm1IOo2gsDRYcHnKsaJVTej88jILd&#10;pFpe9vbdZOXmujv/nOP1MfZK9brtcgrCU+s/4f/2XisYDeJxAAg4AQX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3UB3EAAAA3gAAAA8AAAAAAAAAAAAAAAAAmAIAAGRycy9k&#10;b3ducmV2LnhtbFBLBQYAAAAABAAEAPUAAACJAwAAAAA=&#10;" filled="f" stroked="f">
                  <v:textbox inset="0,0,0,0">
                    <w:txbxContent>
                      <w:p w:rsidR="00BB52D7" w:rsidRDefault="00E33AE6">
                        <w:pPr>
                          <w:spacing w:after="160" w:line="259" w:lineRule="auto"/>
                          <w:ind w:left="0" w:firstLine="0"/>
                          <w:jc w:val="left"/>
                        </w:pPr>
                        <w:r>
                          <w:t>-</w:t>
                        </w:r>
                      </w:p>
                    </w:txbxContent>
                  </v:textbox>
                </v:rect>
                <v:rect id="Rectangle 31961" o:spid="_x0000_s1341" style="position:absolute;left:7355;top:44349;width:777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1hscA&#10;AADeAAAADwAAAGRycy9kb3ducmV2LnhtbESPQWvCQBSE74X+h+UVvNVNFMSkWUVaix7VFGxvj+xr&#10;Epp9G7LbJO2vdwXB4zAz3zDZejSN6KlztWUF8TQCQVxYXXOp4CN/f16CcB5ZY2OZFPyRg/Xq8SHD&#10;VNuBj9SffCkChF2KCirv21RKV1Rk0E1tSxy8b9sZ9EF2pdQdDgFuGjmLooU0WHNYqLCl14qKn9Ov&#10;UbBbtpvPvf0fymb7tTsfzslbnnilJk/j5gWEp9Hfw7f2XiuYx8kihuudcAXk6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79YbHAAAA3gAAAA8AAAAAAAAAAAAAAAAAmAIAAGRy&#10;cy9kb3ducmV2LnhtbFBLBQYAAAAABAAEAPUAAACMAwAAAAA=&#10;" filled="f" stroked="f">
                  <v:textbox inset="0,0,0,0">
                    <w:txbxContent>
                      <w:p w:rsidR="00BB52D7" w:rsidRDefault="00E33AE6">
                        <w:pPr>
                          <w:spacing w:after="160" w:line="259" w:lineRule="auto"/>
                          <w:ind w:left="0" w:firstLine="0"/>
                          <w:jc w:val="left"/>
                        </w:pPr>
                        <w:r>
                          <w:t>custodian</w:t>
                        </w:r>
                      </w:p>
                    </w:txbxContent>
                  </v:textbox>
                </v:rect>
                <v:rect id="Rectangle 31962" o:spid="_x0000_s1342" style="position:absolute;left:13200;top:4434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r8cYA&#10;AADeAAAADwAAAGRycy9kb3ducmV2LnhtbESPT4vCMBTE7wv7HcJb8LamKoitRpFV0aN/FtTbo3m2&#10;ZZuX0kRb/fRGEPY4zMxvmMmsNaW4Ue0Kywp63QgEcWp1wZmC38PqewTCeWSNpWVScCcHs+nnxwQT&#10;bRve0W3vMxEg7BJUkHtfJVK6NCeDrmsr4uBdbG3QB1lnUtfYBLgpZT+KhtJgwWEhx4p+ckr/9lej&#10;YD2q5qeNfTRZuTyvj9tjvDjEXqnOVzsfg/DU+v/wu73RCga9eNiH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lr8cYAAADe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rect id="Rectangle 31963" o:spid="_x0000_s1343" style="position:absolute;left:4627;top:46102;width:1170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OascA&#10;AADeAAAADwAAAGRycy9kb3ducmV2LnhtbESPQWvCQBSE74L/YXlCb7qxgpjUVcS26LE1QtrbI/ua&#10;BHffhuzWpP313YLgcZiZb5j1drBGXKnzjWMF81kCgrh0uuFKwTl/na5A+ICs0TgmBT/kYbsZj9aY&#10;adfzO11PoRIRwj5DBXUIbSalL2uy6GeuJY7el+sshii7SuoO+wi3Rj4myVJabDgu1NjSvqbycvq2&#10;Cg6rdvdxdL99ZV4+D8VbkT7naVDqYTLsnkAEGsI9fGsftYLFPF0u4P9OvAJ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lzmr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Agreement of </w:t>
                        </w:r>
                      </w:p>
                    </w:txbxContent>
                  </v:textbox>
                </v:rect>
                <v:rect id="Rectangle 31964" o:spid="_x0000_s1344" style="position:absolute;left:5367;top:47854;width:924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WHsgA&#10;AADeAAAADwAAAGRycy9kb3ducmV2LnhtbESPT2vCQBTE7wW/w/KE3urGtoiJboLYFj3WP6DeHtln&#10;Esy+DdmtSfvpXaHgcZiZ3zDzrDe1uFLrKssKxqMIBHFudcWFgv3u62UKwnlkjbVlUvBLDrJ08DTH&#10;RNuON3Td+kIECLsEFZTeN4mULi/JoBvZhjh4Z9sa9EG2hdQtdgFuavkaRRNpsOKwUGJDy5Lyy/bH&#10;KFhNm8Vxbf+6ov48rQ7fh/hjF3ulnof9YgbCU+8f4f/2Wit4G8eTd7jfCVdAp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zFYeyAAAAN4AAAAPAAAAAAAAAAAAAAAAAJgCAABk&#10;cnMvZG93bnJldi54bWxQSwUGAAAAAAQABAD1AAAAjQMAAAAA&#10;" filled="f" stroked="f">
                  <v:textbox inset="0,0,0,0">
                    <w:txbxContent>
                      <w:p w:rsidR="00BB52D7" w:rsidRDefault="00E33AE6">
                        <w:pPr>
                          <w:spacing w:after="160" w:line="259" w:lineRule="auto"/>
                          <w:ind w:left="0" w:firstLine="0"/>
                          <w:jc w:val="left"/>
                        </w:pPr>
                        <w:r>
                          <w:t>02/05/2004</w:t>
                        </w:r>
                      </w:p>
                    </w:txbxContent>
                  </v:textbox>
                </v:rect>
                <v:rect id="Rectangle 31965" o:spid="_x0000_s1345" style="position:absolute;left:12308;top:4785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zhcgA&#10;AADeAAAADwAAAGRycy9kb3ducmV2LnhtbESPT2vCQBTE7wW/w/KE3urGloqJboLYFj3WP6DeHtln&#10;Esy+DdmtSfvpXaHgcZiZ3zDzrDe1uFLrKssKxqMIBHFudcWFgv3u62UKwnlkjbVlUvBLDrJ08DTH&#10;RNuON3Td+kIECLsEFZTeN4mULi/JoBvZhjh4Z9sa9EG2hdQtdgFuavkaRRNpsOKwUGJDy5Lyy/bH&#10;KFhNm8Vxbf+6ov48rQ7fh/hjF3ulnof9YgbCU+8f4f/2Wit4G8eTd7jfCVdAp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gPOFyAAAAN4AAAAPAAAAAAAAAAAAAAAAAJgCAABk&#10;cnMvZG93bnJldi54bWxQSwUGAAAAAAQABAD1AAAAjQMAAAAA&#10;" filled="f" stroked="f">
                  <v:textbox inset="0,0,0,0">
                    <w:txbxContent>
                      <w:p w:rsidR="00BB52D7" w:rsidRDefault="00E33AE6">
                        <w:pPr>
                          <w:spacing w:after="160" w:line="259" w:lineRule="auto"/>
                          <w:ind w:left="0" w:firstLine="0"/>
                          <w:jc w:val="left"/>
                        </w:pPr>
                        <w:r>
                          <w:rPr>
                            <w:i/>
                          </w:rPr>
                          <w:t xml:space="preserve"> </w:t>
                        </w:r>
                      </w:p>
                    </w:txbxContent>
                  </v:textbox>
                </v:rect>
                <v:rect id="Rectangle 31966" o:spid="_x0000_s1346" style="position:absolute;left:8834;top:4959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t8sYA&#10;AADeAAAADwAAAGRycy9kb3ducmV2LnhtbESPQWvCQBSE70L/w/IK3nSjQjDRVaS16NGqoN4e2dck&#10;NPs2ZLcm+uvdguBxmJlvmPmyM5W4UuNKywpGwwgEcWZ1ybmC4+FrMAXhPLLGyjIpuJGD5eKtN8dU&#10;25a/6br3uQgQdikqKLyvUyldVpBBN7Q1cfB+bGPQB9nkUjfYBrip5DiKYmmw5LBQYE0fBWW/+z+j&#10;YDOtV+etvbd5tb5sTrtT8nlIvFL99241A+Gp86/ws73VCiajJI7h/06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Jt8sYAAADeAAAADwAAAAAAAAAAAAAAAACYAgAAZHJz&#10;L2Rvd25yZXYueG1sUEsFBgAAAAAEAAQA9QAAAIsDAAAAAA==&#10;" filled="f" stroked="f">
                  <v:textbox inset="0,0,0,0">
                    <w:txbxContent>
                      <w:p w:rsidR="00BB52D7" w:rsidRDefault="00E33AE6">
                        <w:pPr>
                          <w:spacing w:after="160" w:line="259" w:lineRule="auto"/>
                          <w:ind w:left="0" w:firstLine="0"/>
                          <w:jc w:val="left"/>
                        </w:pPr>
                        <w:r>
                          <w:t xml:space="preserve"> </w:t>
                        </w:r>
                      </w:p>
                    </w:txbxContent>
                  </v:textbox>
                </v:rect>
                <v:shape id="Shape 31968" o:spid="_x0000_s1347" style="position:absolute;left:23183;top:16311;width:8092;height:2693;visibility:visible;mso-wrap-style:square;v-text-anchor:top" coordsize="809117,2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cIcYA&#10;AADeAAAADwAAAGRycy9kb3ducmV2LnhtbERPy2rCQBTdC/7DcAvd6YwtBk0dRSyl3RTqA8XdbeY2&#10;iWbuhMzUpH59ZyG4PJz3bNHZSlyo8aVjDaOhAkGcOVNyrmG3fRtMQPiAbLByTBr+yMNi3u/NMDWu&#10;5TVdNiEXMYR9ihqKEOpUSp8VZNEPXU0cuR/XWAwRNrk0DbYx3FbySalEWiw5NhRY06qg7Lz5tRqO&#10;1/Y6nYwPyen1rPbJ+/du/PmltH586JYvIAJ14S6+uT+MhufRNIl74514B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jcIcYAAADeAAAADwAAAAAAAAAAAAAAAACYAgAAZHJz&#10;L2Rvd25yZXYueG1sUEsFBgAAAAAEAAQA9QAAAIsDAAAAAA==&#10;" path="m800100,1016v3429,-1016,6985,889,8001,4191c809117,8636,807212,12192,803910,13208l74658,238929r9416,30311l,255398,61468,196469r9412,30297l800100,1016xe" fillcolor="black" stroked="f" strokeweight="0">
                  <v:stroke miterlimit="83231f" joinstyle="miter" endcap="round"/>
                  <v:path arrowok="t" textboxrect="0,0,809117,269240"/>
                </v:shape>
                <v:shape id="Shape 31969" o:spid="_x0000_s1348" style="position:absolute;left:7169;top:16315;width:24102;height:2851;visibility:visible;mso-wrap-style:square;v-text-anchor:top" coordsize="2410206,285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yx8QA&#10;AADeAAAADwAAAGRycy9kb3ducmV2LnhtbESPQUsDMRSE70L/Q3gFbzZpxWK3TUtbEdRbV/H82Lxu&#10;VpOXJYnb9d8bQfA4zMw3zGY3eicGiqkLrGE+UyCIm2A6bjW8vT7e3INIGdmgC0wavinBbju52mBl&#10;woVPNNS5FQXCqUINNue+kjI1ljymWeiJi3cO0WMuMrbSRLwUuHdyodRSeuy4LFjs6Wip+ay/vIaX&#10;aNXh+UMdju93D0PtnCeOXuvr6bhfg8g05v/wX/vJaLidr5Yr+L1Tr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7csfEAAAA3gAAAA8AAAAAAAAAAAAAAAAAmAIAAGRycy9k&#10;b3ducmV2LnhtbFBLBQYAAAAABAAEAPUAAACJAwAAAAA=&#10;" path="m2402840,381v3429,-381,6604,2159,6985,5715c2410206,9525,2407666,12700,2404110,13081l76467,253449r3289,31666l,255016,71882,209296r3280,31583l2402840,381xe" fillcolor="black" stroked="f" strokeweight="0">
                  <v:stroke miterlimit="83231f" joinstyle="miter" endcap="round"/>
                  <v:path arrowok="t" textboxrect="0,0,2410206,285115"/>
                </v:shape>
                <v:shape id="Shape 31970" o:spid="_x0000_s1349" style="position:absolute;left:31134;top:16313;width:8547;height:2531;visibility:visible;mso-wrap-style:square;v-text-anchor:top" coordsize="854710,253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pd7MYA&#10;AADeAAAADwAAAGRycy9kb3ducmV2LnhtbESPzWrCQBSF90LfYbiF7nSSFrRNnQRbKAYiaK3Q7SVz&#10;m4Rm7oTMaJK3dxaCy8P541tno2nFhXrXWFYQLyIQxKXVDVcKTj9f81cQziNrbC2TgokcZOnDbI2J&#10;tgN/0+XoKxFG2CWooPa+S6R0ZU0G3cJ2xMH7s71BH2RfSd3jEMZNK5+jaCkNNhweauzos6by/3g2&#10;CjbGbz/K4tQU027EXB/avf2NlXp6HDfvIDyN/h6+tXOt4CV+WwWAgBNQ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pd7MYAAADeAAAADwAAAAAAAAAAAAAAAACYAgAAZHJz&#10;L2Rvd25yZXYueG1sUEsFBgAAAAAEAAQA9QAAAIsDAAAAAA==&#10;" path="m8636,889l782785,210179r8298,-30601l854710,236220r-83566,16891l779448,222487,5334,13081c1905,12192,,8763,889,5334,1778,1905,5207,,8636,889xe" fillcolor="black" stroked="f" strokeweight="0">
                  <v:stroke miterlimit="83231f" joinstyle="miter" endcap="round"/>
                  <v:path arrowok="t" textboxrect="0,0,854710,253111"/>
                </v:shape>
                <v:shape id="Shape 31971" o:spid="_x0000_s1350" style="position:absolute;left:31136;top:16315;width:21638;height:2841;visibility:visible;mso-wrap-style:square;v-text-anchor:top" coordsize="2163826,284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nB8YA&#10;AADeAAAADwAAAGRycy9kb3ducmV2LnhtbESPT2sCMRTE70K/Q3iF3jTZCv5ZjVJaBC8Fqy3i7bF5&#10;7i7dvCxJqquf3hQEj8PM/IaZLzvbiBP5UDvWkA0UCOLCmZpLDd+7VX8CIkRkg41j0nChAMvFU2+O&#10;uXFn/qLTNpYiQTjkqKGKsc2lDEVFFsPAtcTJOzpvMSbpS2k8nhPcNvJVqZG0WHNaqLCl94qK3+2f&#10;1YCqvfz47rM4eOX2ZcDr+rD50PrluXubgYjUxUf43l4bDcNsOs7g/066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ynB8YAAADeAAAADwAAAAAAAAAAAAAAAACYAgAAZHJz&#10;L2Rvd25yZXYueG1sUEsFBgAAAAAEAAQA9QAAAIsDAAAAAA==&#10;" path="m7493,381l2088850,239975r3602,-31568l2163826,255016r-80010,29083l2087416,252544,5969,13081c2540,12700,,9525,381,5969,762,2540,3937,,7493,381xe" fillcolor="black" stroked="f" strokeweight="0">
                  <v:stroke miterlimit="83231f" joinstyle="miter" endcap="round"/>
                  <v:path arrowok="t" textboxrect="0,0,2163826,284099"/>
                </v:shape>
                <v:shape id="Shape 31972" o:spid="_x0000_s1351" style="position:absolute;left:23111;top:30312;width:5959;height:3139;visibility:visible;mso-wrap-style:square;v-text-anchor:top" coordsize="595884,313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p38gA&#10;AADeAAAADwAAAGRycy9kb3ducmV2LnhtbESPQWvCQBSE7wX/w/IKvdWNEWNNXcUKpVK8qEXw9pp9&#10;TYLZt+nu1sR/3y0UPA4z8w0zX/amERdyvrasYDRMQBAXVtdcKvg4vD4+gfABWWNjmRRcycNyMbib&#10;Y65txzu67EMpIoR9jgqqENpcSl9UZNAPbUscvS/rDIYoXSm1wy7CTSPTJMmkwZrjQoUtrSsqzvsf&#10;o+Aw6d7T7Tl7+Q5vjZuesuMk/Twq9XDfr55BBOrDLfzf3mgF49FsmsLfnXgF5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WWnfyAAAAN4AAAAPAAAAAAAAAAAAAAAAAJgCAABk&#10;cnMvZG93bnJldi54bWxQSwUGAAAAAAQABAD1AAAAjQMAAAAA&#10;" path="m10160,1651l531259,273140r14714,-28156l595884,313944r-85217,-1397l525392,284368,4318,12827c1143,11303,,7366,1651,4318,3175,1143,7112,,10160,1651xe" fillcolor="black" stroked="f" strokeweight="0">
                  <v:stroke miterlimit="83231f" joinstyle="miter" endcap="round"/>
                  <v:path arrowok="t" textboxrect="0,0,595884,313944"/>
                </v:shape>
                <v:shape id="Shape 31973" o:spid="_x0000_s1352" style="position:absolute;left:23116;top:30355;width:27341;height:3620;visibility:visible;mso-wrap-style:square;v-text-anchor:top" coordsize="2734056,36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mcsYA&#10;AADeAAAADwAAAGRycy9kb3ducmV2LnhtbESP0WrCQBRE3wv+w3KFvtVNDKiNriJSoWAfrPoB1+w1&#10;G8zejdmtxr/vCoKPw8ycYWaLztbiSq2vHCtIBwkI4sLpiksFh/36YwLCB2SNtWNScCcPi3nvbYa5&#10;djf+pesulCJC2OeowITQ5FL6wpBFP3ANcfROrrUYomxLqVu8Rbit5TBJRtJixXHBYEMrQ8V592cV&#10;/GTjr8vab8zxsC+3bpUu791kq9R7v1tOQQTqwiv8bH9rBVn6Oc7gcSde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cmcsYAAADeAAAADwAAAAAAAAAAAAAAAACYAgAAZHJz&#10;L2Rvd25yZXYueG1sUEsFBgAAAAAEAAQA9QAAAIsDAAAAAA==&#10;" path="m7493,381l2659183,317765r3753,-31507l2734056,333121r-80137,28829l2657685,330341,5969,13081c2540,12573,,9398,381,5969,889,2540,4064,,7493,381xe" fillcolor="black" stroked="f" strokeweight="0">
                  <v:stroke miterlimit="83231f" joinstyle="miter" endcap="round"/>
                  <v:path arrowok="t" textboxrect="0,0,2734056,361950"/>
                </v:shape>
                <v:shape id="Shape 31974" o:spid="_x0000_s1353" style="position:absolute;left:6791;top:30226;width:762;height:2317;visibility:visible;mso-wrap-style:square;v-text-anchor:top" coordsize="76200,23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tMYA&#10;AADeAAAADwAAAGRycy9kb3ducmV2LnhtbESP0WoCMRRE3wX/IVyhL1KztlJ1NYoVlPpY6wfcbm6z&#10;i5ubuEl169ebguDjMDNnmPmytbU4UxMqxwqGgwwEceF0xUbB4WvzPAERIrLG2jEp+KMAy0W3M8dc&#10;uwt/0nkfjUgQDjkqKGP0uZShKMliGDhPnLwf11iMSTZG6gYvCW5r+ZJlb9JixWmhRE/rkorj/tcq&#10;eN8Z/B5nJ3+d9tdmu/WbUPVrpZ567WoGIlIbH+F7+0MreB1OxyP4v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xtMYAAADeAAAADwAAAAAAAAAAAAAAAACYAgAAZHJz&#10;L2Rvd25yZXYueG1sUEsFBgAAAAAEAAQA9QAAAIsDAAAAAA==&#10;" path="m37719,v3429,,6350,2794,6350,6350l44537,155554r31663,-106l38354,231775,,155702r31837,-106l31369,6350c31369,2922,34163,,37719,xe" fillcolor="black" stroked="f" strokeweight="0">
                  <v:stroke miterlimit="83231f" joinstyle="miter" endcap="round"/>
                  <v:path arrowok="t" textboxrect="0,0,76200,231775"/>
                </v:shape>
                <v:shape id="Shape 31975" o:spid="_x0000_s1354" style="position:absolute;left:29709;top:7715;width:762;height:2076;visibility:visible;mso-wrap-style:square;v-text-anchor:top" coordsize="76200,207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wLsUA&#10;AADeAAAADwAAAGRycy9kb3ducmV2LnhtbESPQWvCQBSE70L/w/IKvekmKbUaXUUspZ5ErRdvj+wz&#10;G8y+DdnVpP++Kwgeh5n5hpkve1uLG7W+cqwgHSUgiAunKy4VHH+/hxMQPiBrrB2Tgj/ysFy8DOaY&#10;a9fxnm6HUIoIYZ+jAhNCk0vpC0MW/cg1xNE7u9ZiiLItpW6xi3BbyyxJxtJixXHBYENrQ8XlcLUK&#10;MpfSLvsq6/VPdeoM8TTbYlDq7bVfzUAE6sMz/GhvtIL3dPr5Afc78Qr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DAuxQAAAN4AAAAPAAAAAAAAAAAAAAAAAJgCAABkcnMv&#10;ZG93bnJldi54bWxQSwUGAAAAAAQABAD1AAAAigMAAAAA&#10;" path="m37719,v3429,,6350,2794,6350,6350l44415,131424r31785,-106l38354,207645,,131573r31715,-106l31369,6350c31369,2922,34163,,37719,xe" fillcolor="black" stroked="f" strokeweight="0">
                  <v:stroke miterlimit="83231f" joinstyle="miter" endcap="round"/>
                  <v:path arrowok="t" textboxrect="0,0,76200,207645"/>
                </v:shape>
                <v:shape id="Shape 31976" o:spid="_x0000_s1355" style="position:absolute;left:41078;top:12962;width:3810;height:770;visibility:visible;mso-wrap-style:square;v-text-anchor:top" coordsize="381000,7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tyMYA&#10;AADeAAAADwAAAGRycy9kb3ducmV2LnhtbESPUWvCMBSF3wf7D+EO9jbTOtDZGWUoQ9mDUN0PuDR3&#10;TbW56ZKs1n9vBoKPh3POdzjz5WBb0ZMPjWMF+SgDQVw53XCt4Pvw+fIGIkRkja1jUnChAMvF48Mc&#10;C+3OXFK/j7VIEA4FKjAxdoWUoTJkMYxcR5y8H+ctxiR9LbXHc4LbVo6zbCItNpwWDHa0MlSd9n9W&#10;wWFlqrUt+81vI7/K4y6fzlrnlXp+Gj7eQUQa4j18a2+1gtd8Np3A/510Be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ZtyMYAAADeAAAADwAAAAAAAAAAAAAAAACYAgAAZHJz&#10;L2Rvd25yZXYueG1sUEsFBgAAAAAEAAQA9QAAAIsDAAAAAA==&#10;" path="m76327,r-106,31788l304821,32474,304927,762r76073,38354l304673,76962r106,-31788l76179,44488r-106,31712l,37847,76327,xe" fillcolor="black" stroked="f" strokeweight="0">
                  <v:stroke miterlimit="83231f" joinstyle="miter" endcap="round"/>
                  <v:path arrowok="t" textboxrect="0,0,381000,76962"/>
                </v:shape>
                <v:shape id="Shape 31977" o:spid="_x0000_s1356" style="position:absolute;left:12763;top:56191;width:5537;height:19;visibility:visible;mso-wrap-style:square;v-text-anchor:top" coordsize="553720,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ZcccA&#10;AADeAAAADwAAAGRycy9kb3ducmV2LnhtbESPT2sCMRTE70K/Q3hCL6JZ/1DX1ShtoajHqhdvj81z&#10;s7h52W6ibr+9EQSPw8z8hlmsWluJKzW+dKxgOEhAEOdOl1woOOx/+ikIH5A1Vo5JwT95WC3fOgvM&#10;tLvxL113oRARwj5DBSaEOpPS54Ys+oGriaN3co3FEGVTSN3gLcJtJUdJ8iEtlhwXDNb0bSg/7y5W&#10;wbpM8y/t/sxosp216WV/7I1PW6Xeu+3nHESgNrzCz/ZGKxgPZ9MpPO7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l2XHHAAAA3gAAAA8AAAAAAAAAAAAAAAAAmAIAAGRy&#10;cy9kb3ducmV2LnhtbFBLBQYAAAAABAAEAPUAAACMAwAAAAA=&#10;" path="m,l553720,1905e" filled="f" strokeweight="3pt">
                  <v:path arrowok="t" textboxrect="0,0,553720,1905"/>
                </v:shape>
                <v:shape id="Shape 31978" o:spid="_x0000_s1357" style="position:absolute;left:13182;top:53225;width:5537;height:134;visibility:visible;mso-wrap-style:square;v-text-anchor:top" coordsize="553720,1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DyMUA&#10;AADeAAAADwAAAGRycy9kb3ducmV2LnhtbERPy2oCMRTdC/2HcAU3RTNTperUKFV8dFVRC+3yMrnO&#10;DJ3cDEnU8e+bRcHl4bxni9bU4krOV5YVpIMEBHFudcWFgq/Tpj8B4QOyxtoyKbiTh8X8qTPDTNsb&#10;H+h6DIWIIewzVFCG0GRS+rwkg35gG+LIna0zGCJ0hdQObzHc1PIlSV6lwYpjQ4kNrUrKf48Xo2CU&#10;jj6X/nu6Lhz/1Mv2ebff2p1SvW77/gYiUBse4n/3h1YwTKfjuDfeiV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PIxQAAAN4AAAAPAAAAAAAAAAAAAAAAAJgCAABkcnMv&#10;ZG93bnJldi54bWxQSwUGAAAAAAQABAD1AAAAigMAAAAA&#10;" path="m,l553720,13335e" filled="f" strokeweight="1.5pt">
                  <v:path arrowok="t" textboxrect="0,0,553720,13335"/>
                </v:shape>
                <v:rect id="Rectangle 31980" o:spid="_x0000_s1358" style="position:absolute;left:23329;top:52502;width:3539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u258YA&#10;AADeAAAADwAAAGRycy9kb3ducmV2LnhtbESPzWrCQBSF9wXfYbhCd80kFUoSHUVsRZetFqK7S+aa&#10;BDN3QmaapH36zqLQ5eH88a02k2nFQL1rLCtIohgEcWl1w5WCz/P+KQXhPLLG1jIp+CYHm/XsYYW5&#10;tiN/0HDylQgj7HJUUHvf5VK6siaDLrIdcfButjfog+wrqXscw7hp5XMcv0iDDYeHGjva1VTeT19G&#10;wSHttpej/Rmr9u16KN6L7PWceaUe59N2CcLT5P/Df+2jVrBIsjQABJyA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u258YAAADeAAAADwAAAAAAAAAAAAAAAACYAgAAZHJz&#10;L2Rvd25yZXYueG1sUEsFBgAAAAAEAAQA9QAAAIsDAAAAAA==&#10;" filled="f" stroked="f">
                  <v:textbox inset="0,0,0,0">
                    <w:txbxContent>
                      <w:p w:rsidR="00BB52D7" w:rsidRDefault="00E33AE6">
                        <w:pPr>
                          <w:spacing w:after="160" w:line="259" w:lineRule="auto"/>
                          <w:ind w:left="0" w:firstLine="0"/>
                          <w:jc w:val="left"/>
                        </w:pPr>
                        <w:r>
                          <w:t>New participant disclosed in the Prospectus</w:t>
                        </w:r>
                      </w:p>
                    </w:txbxContent>
                  </v:textbox>
                </v:rect>
                <v:rect id="Rectangle 31981" o:spid="_x0000_s1359" style="position:absolute;left:49949;top:525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TfMcA&#10;AADeAAAADwAAAGRycy9kb3ducmV2LnhtbESPT2vCQBTE74LfYXmF3nQTC5JEVxFt0aN/Cra3R/aZ&#10;hGbfhuzWpH56VxB6HGbmN8x82ZtaXKl1lWUF8TgCQZxbXXGh4PP0MUpAOI+ssbZMCv7IwXIxHMwx&#10;07bjA12PvhABwi5DBaX3TSaly0sy6Ma2IQ7exbYGfZBtIXWLXYCbWk6iaCoNVhwWSmxoXVL+c/w1&#10;CrZJs/ra2VtX1O/f2/P+nG5OqVfq9aVfzUB46v1/+NneaQVvcZrE8LgTr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3E3z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rect id="Rectangle 31982" o:spid="_x0000_s1360" style="position:absolute;left:23329;top:55779;width:2438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C8cA&#10;AADeAAAADwAAAGRycy9kb3ducmV2LnhtbESPQWvCQBSE7wX/w/KE3upGhZJEVxGt6LEaQb09ss8k&#10;mH0bsluT9td3hUKPw8x8w8yXvanFg1pXWVYwHkUgiHOrKy4UnLLtWwzCeWSNtWVS8E0OlovByxxT&#10;bTs+0OPoCxEg7FJUUHrfpFK6vCSDbmQb4uDdbGvQB9kWUrfYBbip5SSK3qXBisNCiQ2tS8rvxy+j&#10;YBc3q8ve/nRF/XHdnT/PySZLvFKvw341A+Gp9//hv/ZeK5iOk3gCzzvhCs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ljQvHAAAA3gAAAA8AAAAAAAAAAAAAAAAAmAIAAGRy&#10;cy9kb3ducmV2LnhtbFBLBQYAAAAABAAEAPUAAACMAwAAAAA=&#10;" filled="f" stroked="f">
                  <v:textbox inset="0,0,0,0">
                    <w:txbxContent>
                      <w:p w:rsidR="00BB52D7" w:rsidRDefault="00E33AE6">
                        <w:pPr>
                          <w:spacing w:after="160" w:line="259" w:lineRule="auto"/>
                          <w:ind w:left="0" w:firstLine="0"/>
                          <w:jc w:val="left"/>
                        </w:pPr>
                        <w:r>
                          <w:t>Undisclosed in the Prospectus</w:t>
                        </w:r>
                      </w:p>
                    </w:txbxContent>
                  </v:textbox>
                </v:rect>
                <v:rect id="Rectangle 31983" o:spid="_x0000_s1361" style="position:absolute;left:41666;top:5577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okMcA&#10;AADeAAAADwAAAGRycy9kb3ducmV2LnhtbESPQWvCQBSE7wX/w/KE3urGCiVJsxHRFj1WI2hvj+wz&#10;CWbfhuzWpP31XaHQ4zAz3zDZcjStuFHvGssK5rMIBHFpdcOVgmPx/hSDcB5ZY2uZFHyTg2U+ecgw&#10;1XbgPd0OvhIBwi5FBbX3XSqlK2sy6Ga2Iw7exfYGfZB9JXWPQ4CbVj5H0Ys02HBYqLGjdU3l9fBl&#10;FGzjbnXe2Z+hat8+t6ePU7IpEq/U43RcvYLwNPr/8F97pxUs5km8gPudcAV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pKJDHAAAA3gAAAA8AAAAAAAAAAAAAAAAAmAIAAGRy&#10;cy9kb3ducmV2LnhtbFBLBQYAAAAABAAEAPUAAACMAwAAAAA=&#10;" filled="f" stroked="f">
                  <v:textbox inset="0,0,0,0">
                    <w:txbxContent>
                      <w:p w:rsidR="00BB52D7" w:rsidRDefault="00E33AE6">
                        <w:pPr>
                          <w:spacing w:after="160" w:line="259" w:lineRule="auto"/>
                          <w:ind w:left="0" w:firstLine="0"/>
                          <w:jc w:val="left"/>
                        </w:pPr>
                        <w:r>
                          <w:t xml:space="preserve"> </w:t>
                        </w:r>
                      </w:p>
                    </w:txbxContent>
                  </v:textbox>
                </v:rect>
                <v:shape id="Shape 244319" o:spid="_x0000_s1362" style="position:absolute;top:18865;width:14331;height:11424;visibility:visible;mso-wrap-style:square;v-text-anchor:top" coordsize="1433195,114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ZM8gA&#10;AADfAAAADwAAAGRycy9kb3ducmV2LnhtbESPW2vCQBSE3wv+h+UIvtWNF7xEV7GlBfvoBfHxmD0m&#10;MdmzIbvV1F/vCgUfh5n5hpkvG1OKK9Uut6yg141AECdW55wq2O++3ycgnEfWWFomBX/kYLlovc0x&#10;1vbGG7pufSoChF2MCjLvq1hKl2Rk0HVtRRy8s60N+iDrVOoabwFuStmPopE0mHNYyLCiz4ySYvtr&#10;FMjJ5U5fY+M/fvKT2x9GxfEyLZTqtJvVDISnxr/C/+21VtAfDge9KTz/hC8gF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cdkzyAAAAN8AAAAPAAAAAAAAAAAAAAAAAJgCAABk&#10;cnMvZG93bnJldi54bWxQSwUGAAAAAAQABAD1AAAAjQMAAAAA&#10;" path="m,l1433195,r,1142365l,1142365,,e" stroked="f" strokeweight="0">
                  <v:path arrowok="t" textboxrect="0,0,1433195,1142365"/>
                </v:shape>
                <v:shape id="Shape 31985" o:spid="_x0000_s1363" style="position:absolute;top:18865;width:14331;height:11424;visibility:visible;mso-wrap-style:square;v-text-anchor:top" coordsize="1433195,114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E3CMYA&#10;AADeAAAADwAAAGRycy9kb3ducmV2LnhtbESPQWvCQBSE74L/YXmF3nSTaq1GV2kVqUdN1fMj+5oE&#10;s29DdtXor3cLBY/DzHzDzBatqcSFGldaVhD3IxDEmdUl5wr2P+veGITzyBory6TgRg4W825nhom2&#10;V97RJfW5CBB2CSoovK8TKV1WkEHXtzVx8H5tY9AH2eRSN3gNcFPJtygaSYMlh4UCa1oWlJ3Ss1Fw&#10;zD4G8Xm4LbfpOr+vjPHfX4eJUq8v7ecUhKfWP8P/7Y1WMIgn43f4ux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E3CMYAAADeAAAADwAAAAAAAAAAAAAAAACYAgAAZHJz&#10;L2Rvd25yZXYueG1sUEsFBgAAAAAEAAQA9QAAAIsDAAAAAA==&#10;" path="m,1142365r1433195,l1433195,,,,,1142365xe" filled="f">
                  <v:stroke miterlimit="66585f" joinstyle="miter" endcap="round"/>
                  <v:path arrowok="t" textboxrect="0,0,1433195,1142365"/>
                </v:shape>
                <v:rect id="Rectangle 31986" o:spid="_x0000_s1364" style="position:absolute;left:2410;top:19437;width:1317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6LCMcA&#10;AADeAAAADwAAAGRycy9kb3ducmV2LnhtbESPT2vCQBTE70K/w/IK3nSjgiTRVaS16LH+AfX2yL4m&#10;odm3Ibs10U/fFQSPw8z8hpkvO1OJKzWutKxgNIxAEGdWl5wrOB6+BjEI55E1VpZJwY0cLBdvvTmm&#10;2ra8o+ve5yJA2KWooPC+TqV0WUEG3dDWxMH7sY1BH2STS91gG+CmkuMomkqDJYeFAmv6KCj73f8Z&#10;BZu4Xp239t7m1fqyOX2fks9D4pXqv3erGQhPnX+Fn+2tVjAZJfEUHnfC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eiwj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Custodian and </w:t>
                        </w:r>
                      </w:p>
                    </w:txbxContent>
                  </v:textbox>
                </v:rect>
                <v:rect id="Rectangle 31987" o:spid="_x0000_s1365" style="position:absolute;left:3004;top:21189;width:1159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Iuk8cA&#10;AADeAAAADwAAAGRycy9kb3ducmV2LnhtbESPQWvCQBSE7wX/w/IEb3WjQpvEbERsix5bFdTbI/tM&#10;gtm3Ibs1aX99t1DocZiZb5hsNZhG3KlztWUFs2kEgriwuuZSwfHw9hiDcB5ZY2OZFHyRg1U+esgw&#10;1bbnD7rvfSkChF2KCirv21RKV1Rk0E1tSxy8q+0M+iC7UuoO+wA3jZxH0ZM0WHNYqLClTUXFbf9p&#10;FGzjdn3e2e++bF4v29P7KXk5JF6pyXhYL0F4Gvx/+K+90woWsyR+ht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SLpP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Main Paying </w:t>
                        </w:r>
                      </w:p>
                    </w:txbxContent>
                  </v:textbox>
                </v:rect>
                <v:rect id="Rectangle 31988" o:spid="_x0000_s1366" style="position:absolute;left:5222;top:22942;width:51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264cUA&#10;AADeAAAADwAAAGRycy9kb3ducmV2LnhtbERPTWvCQBC9F/wPywi9NZtUKEl0FbEVPbZaiN6G7JgE&#10;s7Mhu03S/vruodDj432vNpNpxUC9aywrSKIYBHFpdcOVgs/z/ikF4TyyxtYyKfgmB5v17GGFubYj&#10;f9Bw8pUIIexyVFB73+VSurImgy6yHXHgbrY36APsK6l7HEO4aeVzHL9Igw2Hhho72tVU3k9fRsEh&#10;7baXo/0Zq/bteijei+z1nHmlHufTdgnC0+T/xX/uo1awSLI07A13whW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brhxQAAAN4AAAAPAAAAAAAAAAAAAAAAAJgCAABkcnMv&#10;ZG93bnJldi54bWxQSwUGAAAAAAQABAD1AAAAigMAAAAA&#10;" filled="f" stroked="f">
                  <v:textbox inset="0,0,0,0">
                    <w:txbxContent>
                      <w:p w:rsidR="00BB52D7" w:rsidRDefault="00E33AE6">
                        <w:pPr>
                          <w:spacing w:after="160" w:line="259" w:lineRule="auto"/>
                          <w:ind w:left="0" w:firstLine="0"/>
                          <w:jc w:val="left"/>
                        </w:pPr>
                        <w:r>
                          <w:rPr>
                            <w:b/>
                          </w:rPr>
                          <w:t>Agent</w:t>
                        </w:r>
                      </w:p>
                    </w:txbxContent>
                  </v:textbox>
                </v:rect>
                <v:rect id="Rectangle 31989" o:spid="_x0000_s1367" style="position:absolute;left:9116;top:229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EfescA&#10;AADeAAAADwAAAGRycy9kb3ducmV2LnhtbESPQWvCQBSE70L/w/IKvenGCiVJsxFpFT2qKdjeHtnX&#10;JDT7NmRXk/bXu4LQ4zAz3zDZcjStuFDvGssK5rMIBHFpdcOVgo9iM41BOI+ssbVMCn7JwTJ/mGSY&#10;ajvwgS5HX4kAYZeigtr7LpXSlTUZdDPbEQfv2/YGfZB9JXWPQ4CbVj5H0Ys02HBYqLGjt5rKn+PZ&#10;KNjG3epzZ/+Gql1/bU/7U/JeJF6pp8dx9QrC0+j/w/f2TitYzJM4gdudcAVk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BH3rHAAAA3gAAAA8AAAAAAAAAAAAAAAAAmAIAAGRy&#10;cy9kb3ducmV2LnhtbFBLBQYAAAAABAAEAPUAAACMAwAAAAA=&#10;" filled="f" stroked="f">
                  <v:textbox inset="0,0,0,0">
                    <w:txbxContent>
                      <w:p w:rsidR="00BB52D7" w:rsidRDefault="00E33AE6">
                        <w:pPr>
                          <w:spacing w:after="160" w:line="259" w:lineRule="auto"/>
                          <w:ind w:left="0" w:firstLine="0"/>
                          <w:jc w:val="left"/>
                        </w:pPr>
                        <w:r>
                          <w:rPr>
                            <w:b/>
                          </w:rPr>
                          <w:t xml:space="preserve"> </w:t>
                        </w:r>
                      </w:p>
                    </w:txbxContent>
                  </v:textbox>
                </v:rect>
                <v:rect id="Rectangle 31990" o:spid="_x0000_s1368" style="position:absolute;left:1229;top:24687;width:1630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IgOsYA&#10;AADeAAAADwAAAGRycy9kb3ducmV2LnhtbESPzWrCQBSF94W+w3AFd81EhWJiRpGq6LI1hbS7S+aa&#10;BDN3QmY0sU/fWRS6PJw/vmwzmlbcqXeNZQWzKAZBXFrdcKXgMz+8LEE4j6yxtUwKHuRgs35+yjDV&#10;duAPup99JcIIuxQV1N53qZSurMmgi2xHHLyL7Q36IPtK6h6HMG5aOY/jV2mw4fBQY0dvNZXX880o&#10;OC677dfJ/gxVu/8+Fu9FsssTr9R0Mm5XIDyN/j/81z5pBYtZkgSAgBNQ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IgOsYAAADeAAAADwAAAAAAAAAAAAAAAACYAgAAZHJz&#10;L2Rvd25yZXYueG1sUEsFBgAAAAAEAAQA9QAAAIsDAAAAAA==&#10;" filled="f" stroked="f">
                  <v:textbox inset="0,0,0,0">
                    <w:txbxContent>
                      <w:p w:rsidR="00BB52D7" w:rsidRDefault="00E33AE6">
                        <w:pPr>
                          <w:spacing w:after="160" w:line="259" w:lineRule="auto"/>
                          <w:ind w:left="0" w:firstLine="0"/>
                          <w:jc w:val="left"/>
                        </w:pPr>
                        <w:r>
                          <w:rPr>
                            <w:i/>
                          </w:rPr>
                          <w:t xml:space="preserve">UBS (Luxembourg) </w:t>
                        </w:r>
                      </w:p>
                    </w:txbxContent>
                  </v:textbox>
                </v:rect>
                <v:rect id="Rectangle 31991" o:spid="_x0000_s1369" style="position:absolute;left:6327;top:26439;width:225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6FoccA&#10;AADeAAAADwAAAGRycy9kb3ducmV2LnhtbESPQWvCQBSE7wX/w/KE3uomFYqJ2YjYih5bFdTbI/tM&#10;gtm3Ibs1aX99tyB4HGbmGyZbDKYRN+pcbVlBPIlAEBdW11wqOOzXLzMQziNrbCyTgh9ysMhHTxmm&#10;2vb8RbedL0WAsEtRQeV9m0rpiooMuoltiYN3sZ1BH2RXSt1hH+Cmka9R9CYN1hwWKmxpVVFx3X0b&#10;BZtZuzxt7W9fNh/nzfHzmLzvE6/U83hYzkF4GvwjfG9vtYJpnCQx/N8JV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uhaH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SA</w:t>
                        </w:r>
                      </w:p>
                    </w:txbxContent>
                  </v:textbox>
                </v:rect>
                <v:rect id="Rectangle 31992" o:spid="_x0000_s1370" style="position:absolute;left:8018;top:264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wb1scA&#10;AADeAAAADwAAAGRycy9kb3ducmV2LnhtbESPQWvCQBSE7wX/w/KE3upGC8VE1xC0RY+tEaK3R/aZ&#10;BLNvQ3Zr0v76bqHQ4zAz3zDrdDStuFPvGssK5rMIBHFpdcOVglP+9rQE4TyyxtYyKfgiB+lm8rDG&#10;RNuBP+h+9JUIEHYJKqi97xIpXVmTQTezHXHwrrY36IPsK6l7HALctHIRRS/SYMNhocaOtjWVt+On&#10;UbBfdtn5YL+Hqn297Iv3It7lsVfqcTpmKxCeRv8f/msftILneRwv4PdOuA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8G9b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 xml:space="preserve"> </w:t>
                        </w:r>
                      </w:p>
                    </w:txbxContent>
                  </v:textbox>
                </v:rect>
                <v:rect id="Rectangle 31993" o:spid="_x0000_s1371" style="position:absolute;left:2280;top:28192;width:1300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ccA&#10;AADeAAAADwAAAGRycy9kb3ducmV2LnhtbESPT2vCQBTE74V+h+UVequbNCAmuobQP+jRqqDeHtnX&#10;JDT7NmS3JvXTuwXB4zAzv2EW+WhacabeNZYVxJMIBHFpdcOVgv3u82UGwnlkja1lUvBHDvLl48MC&#10;M20H/qLz1lciQNhlqKD2vsukdGVNBt3EdsTB+7a9QR9kX0nd4xDgppWvUTSVBhsOCzV29FZT+bP9&#10;NQpWs644ru1lqNqP0+qwOaTvu9Qr9fw0FnMQnkZ/D9/aa60gidM0gf874QrI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wvk3HAAAA3gAAAA8AAAAAAAAAAAAAAAAAmAIAAGRy&#10;cy9kb3ducmV2LnhtbFBLBQYAAAAABAAEAPUAAACMAwAAAAA=&#10;" filled="f" stroked="f">
                  <v:textbox inset="0,0,0,0">
                    <w:txbxContent>
                      <w:p w:rsidR="00BB52D7" w:rsidRDefault="00E33AE6">
                        <w:pPr>
                          <w:spacing w:after="160" w:line="259" w:lineRule="auto"/>
                          <w:ind w:left="0" w:firstLine="0"/>
                          <w:jc w:val="left"/>
                        </w:pPr>
                        <w:r>
                          <w:rPr>
                            <w:i/>
                          </w:rPr>
                          <w:t>Luxembourg SA</w:t>
                        </w:r>
                      </w:p>
                    </w:txbxContent>
                  </v:textbox>
                </v:rect>
                <v:rect id="Rectangle 31994" o:spid="_x0000_s1372" style="position:absolute;left:12057;top:2819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mOcgA&#10;AADeAAAADwAAAGRycy9kb3ducmV2LnhtbESPT2vCQBTE74LfYXmCN91YiyQxq0j/oEerhdTbI/ua&#10;hGbfhuzWpP30XUHocZiZ3zDZdjCNuFLnassKFvMIBHFhdc2lgvfz6ywG4TyyxsYyKfghB9vNeJRh&#10;qm3Pb3Q9+VIECLsUFVTet6mUrqjIoJvbljh4n7Yz6IPsSqk77APcNPIhilbSYM1hocKWnioqvk7f&#10;RsE+bncfB/vbl83LZZ8f8+T5nHilppNhtwbhafD/4Xv7oBUsF0nyCL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SY5yAAAAN4AAAAPAAAAAAAAAAAAAAAAAJgCAABk&#10;cnMvZG93bnJldi54bWxQSwUGAAAAAAQABAD1AAAAjQMAAAAA&#10;" filled="f" stroked="f">
                  <v:textbox inset="0,0,0,0">
                    <w:txbxContent>
                      <w:p w:rsidR="00BB52D7" w:rsidRDefault="00E33AE6">
                        <w:pPr>
                          <w:spacing w:after="160" w:line="259" w:lineRule="auto"/>
                          <w:ind w:left="0" w:firstLine="0"/>
                          <w:jc w:val="left"/>
                        </w:pPr>
                        <w:r>
                          <w:rPr>
                            <w:i/>
                          </w:rPr>
                          <w:t xml:space="preserve"> </w:t>
                        </w:r>
                      </w:p>
                    </w:txbxContent>
                  </v:textbox>
                </v:rect>
                <w10:anchorlock/>
              </v:group>
            </w:pict>
          </mc:Fallback>
        </mc:AlternateContent>
      </w:r>
    </w:p>
    <w:p w:rsidR="00BB52D7" w:rsidRDefault="00E33AE6">
      <w:pPr>
        <w:spacing w:after="160" w:line="259" w:lineRule="auto"/>
        <w:ind w:left="0" w:firstLine="0"/>
        <w:jc w:val="right"/>
      </w:pPr>
      <w:r>
        <w:t xml:space="preserve"> </w:t>
      </w:r>
    </w:p>
    <w:p w:rsidR="00BB52D7" w:rsidRDefault="00E33AE6">
      <w:pPr>
        <w:ind w:left="10" w:right="517"/>
      </w:pPr>
      <w:r>
        <w:t>In the aim to avoid a large scandal as Madoff, the delegated act must clarify the level 1 to ensure the depositary or the third party to which the custody has been delegated has functionally and hierarchica</w:t>
      </w:r>
      <w:r>
        <w:t>lly separated the performance of its depositary tasks from its other potentially conflicting tasks and the potential conflicts of interest are properly identified, managed and monitored and disclosed to the investors of the UCITS. In addition, the due dili</w:t>
      </w:r>
      <w:r>
        <w:t>gence duties of depositaries when it selects and appoints a third party located inside or outside the European should be specified as also the steps that the third party should put in place to verify that the applicable insolvency laws and jurisprudence re</w:t>
      </w:r>
      <w:r>
        <w:t xml:space="preserve">cognise the segregation of the UCITS’ assets from the third party’s own assets and from the assets of the depositary. </w:t>
      </w:r>
    </w:p>
    <w:p w:rsidR="00BB52D7" w:rsidRDefault="00E33AE6">
      <w:pPr>
        <w:ind w:left="10" w:right="514"/>
      </w:pPr>
      <w:r>
        <w:t>Without any specification, the requirements in the UCITS Directive, would leave discretion to UCITS management companies, depositaries, t</w:t>
      </w:r>
      <w:r>
        <w:t xml:space="preserve">hird parties and national competent authorities to determine the necessary steps that shall be taken to ensure that in the event of insolvency of a third party, assets of a UCITS held by the third party in custody are unavailable for distribution </w:t>
      </w:r>
      <w:r>
        <w:lastRenderedPageBreak/>
        <w:t xml:space="preserve">among or </w:t>
      </w:r>
      <w:r>
        <w:t xml:space="preserve">realisation for the benefit of creditors of the third party. This could clearly lead to a lack of harmonisation in the application of the provisions of the UCITS V Directive across the UCITS investment industry on a very sensitive issue. </w:t>
      </w:r>
    </w:p>
    <w:p w:rsidR="00BB52D7" w:rsidRDefault="00E33AE6">
      <w:pPr>
        <w:ind w:left="10" w:right="165"/>
      </w:pPr>
      <w:r>
        <w:t>In the same vein,</w:t>
      </w:r>
      <w:r>
        <w:t xml:space="preserve"> the same issue appears regarding the due diligence duties of depositaries in the selection of a third party.  </w:t>
      </w:r>
    </w:p>
    <w:p w:rsidR="00BB52D7" w:rsidRDefault="00E33AE6">
      <w:pPr>
        <w:ind w:left="10" w:right="516"/>
      </w:pPr>
      <w:r>
        <w:t>Undoubtedly, uncertainty on the due diligences duties in the selection of a third party and on the steps considered as being necessary and on th</w:t>
      </w:r>
      <w:r>
        <w:t>e measures to be taken by the depositary and the third party could lead to a situation where some Member States would adopt stricter rules than others on these two issues, leading to greater uncertainty for investors of UCITS in the different Member States</w:t>
      </w:r>
      <w:r>
        <w:t xml:space="preserve"> who would not know to what extent the assets of the UCITS they invest in are protected, For instance, a depositary could be considered as failing to meet the above-mentioned requirements in one Member State and therefore be allowed to safeguard the assets</w:t>
      </w:r>
      <w:r>
        <w:t xml:space="preserve"> of a UCITS. This would be particularly problematic in the context of the EU passport of the UCITS Directive but also to ensure the robustness of the UCITS model. </w:t>
      </w:r>
    </w:p>
    <w:p w:rsidR="00BB52D7" w:rsidRDefault="00E33AE6">
      <w:pPr>
        <w:ind w:left="10" w:right="843"/>
      </w:pPr>
      <w:r>
        <w:t xml:space="preserve">Consequently, without action a Madoff scenario will still remain possible.  </w:t>
      </w:r>
      <w:r>
        <w:br w:type="page"/>
      </w:r>
    </w:p>
    <w:p w:rsidR="00BB52D7" w:rsidRDefault="00E33AE6">
      <w:pPr>
        <w:pStyle w:val="Heading2"/>
        <w:spacing w:after="229"/>
        <w:ind w:left="10" w:right="0"/>
        <w:jc w:val="both"/>
      </w:pPr>
      <w:bookmarkStart w:id="32" w:name="_Toc240992"/>
      <w:r>
        <w:rPr>
          <w:i w:val="0"/>
          <w:u w:val="none"/>
        </w:rPr>
        <w:lastRenderedPageBreak/>
        <w:t xml:space="preserve">Annex 8: A practical example outlining the independence requirement between the </w:t>
      </w:r>
      <w:bookmarkEnd w:id="32"/>
    </w:p>
    <w:p w:rsidR="00BB52D7" w:rsidRDefault="00E33AE6">
      <w:pPr>
        <w:pStyle w:val="Heading3"/>
        <w:spacing w:after="229"/>
        <w:ind w:left="10" w:right="0"/>
        <w:jc w:val="both"/>
      </w:pPr>
      <w:bookmarkStart w:id="33" w:name="_Toc240993"/>
      <w:r>
        <w:rPr>
          <w:i w:val="0"/>
          <w:u w:val="none"/>
        </w:rPr>
        <w:t xml:space="preserve">depositary and the fund's management company as applicable in the UK  </w:t>
      </w:r>
      <w:bookmarkEnd w:id="33"/>
    </w:p>
    <w:p w:rsidR="00BB52D7" w:rsidRDefault="00E33AE6">
      <w:pPr>
        <w:ind w:left="10" w:right="517"/>
      </w:pPr>
      <w:r>
        <w:t>Primary legislation in the UK requires the fund's depositary and its management company to be independen</w:t>
      </w:r>
      <w:r>
        <w:t>t of each other,</w:t>
      </w:r>
      <w:r>
        <w:rPr>
          <w:vertAlign w:val="superscript"/>
        </w:rPr>
        <w:footnoteReference w:id="94"/>
      </w:r>
      <w:r>
        <w:t xml:space="preserve"> This rule applies to each type of UCITS, i.e. irrespectively of its chosen legal form. </w:t>
      </w:r>
    </w:p>
    <w:p w:rsidR="00BB52D7" w:rsidRDefault="00E33AE6">
      <w:pPr>
        <w:ind w:left="10" w:right="512"/>
      </w:pPr>
      <w:r>
        <w:t>To note: UCITS may be constituted in accordance with contract law (as common funds managed by management companies), trust law (as unit trusts), or st</w:t>
      </w:r>
      <w:r>
        <w:t>atute (as investment companies). In the UK, UCITS may be established as unit trusts (AUTs), investment companies with variable capital (ICVCs) or authorised contractual schemes (ACS). For ICVCs, the independence requirements are set out in the OEIC Regulat</w:t>
      </w:r>
      <w:r>
        <w:t>ions</w:t>
      </w:r>
      <w:r>
        <w:rPr>
          <w:vertAlign w:val="superscript"/>
        </w:rPr>
        <w:footnoteReference w:id="95"/>
      </w:r>
      <w:r>
        <w:t>, for ACS they are contained in section 261D (4) and for AUTs in section 243(4) of the Financial Services and Markets Act</w:t>
      </w:r>
      <w:r>
        <w:rPr>
          <w:vertAlign w:val="superscript"/>
        </w:rPr>
        <w:footnoteReference w:id="96"/>
      </w:r>
      <w:r>
        <w:rPr>
          <w:vertAlign w:val="superscript"/>
        </w:rPr>
        <w:footnoteReference w:id="97"/>
      </w:r>
      <w:r>
        <w:t>. To take the specifics of each legal fund structure into account, the requirements are all phrased slightly differently. Howeve</w:t>
      </w:r>
      <w:r>
        <w:t xml:space="preserve">r, in substance they all mean the same thing: the UCITS management company and its depositary have to be independent of each other. </w:t>
      </w:r>
    </w:p>
    <w:p w:rsidR="00BB52D7" w:rsidRDefault="00E33AE6">
      <w:pPr>
        <w:ind w:left="10" w:right="513"/>
      </w:pPr>
      <w:r>
        <w:t>The UK FCA is providing Guidance to further qualify their understanding of the notion of "independence". They have identifi</w:t>
      </w:r>
      <w:r>
        <w:t xml:space="preserve">ed at least three different kinds of possible links between a UCITS management company and its depositary: these relate to common directors, crossshareholdings and contractual arrangements. In detail:  </w:t>
      </w:r>
    </w:p>
    <w:p w:rsidR="00BB52D7" w:rsidRDefault="00E33AE6">
      <w:pPr>
        <w:numPr>
          <w:ilvl w:val="0"/>
          <w:numId w:val="22"/>
        </w:numPr>
        <w:spacing w:after="226"/>
        <w:ind w:right="843" w:hanging="260"/>
      </w:pPr>
      <w:r>
        <w:rPr>
          <w:u w:val="single" w:color="000000"/>
        </w:rPr>
        <w:t>Influence by directors:</w:t>
      </w:r>
      <w:r>
        <w:t xml:space="preserve"> </w:t>
      </w:r>
    </w:p>
    <w:p w:rsidR="00BB52D7" w:rsidRDefault="00E33AE6">
      <w:pPr>
        <w:ind w:left="10" w:right="517"/>
      </w:pPr>
      <w:r>
        <w:t>In the FCA's view, independence is likely to be lost if, by means of executive power, either party could control the action of the other one. This means that the board of one party should not be able to exercise effective control over the other board. Such</w:t>
      </w:r>
      <w:r>
        <w:t xml:space="preserve"> arrangements could relate to quorum provisions and reservations of decision-making capacity of certain directors.  </w:t>
      </w:r>
    </w:p>
    <w:p w:rsidR="00BB52D7" w:rsidRDefault="00E33AE6">
      <w:pPr>
        <w:ind w:left="10" w:right="514"/>
      </w:pPr>
      <w:r>
        <w:t>The concept of common directors relates to an employee holding simultaneously directorships on both boards. In addition and due to its corp</w:t>
      </w:r>
      <w:r>
        <w:t xml:space="preserve">orate structure, the director of an ICVC is deemed to be dependent if he has a direct or indirect shareholding for investment purposes of more than 0,5% of the votes at a general meeting of the ICVCs depositary. Any other relationship with the </w:t>
      </w:r>
      <w:r>
        <w:rPr>
          <w:color w:val="0000FF"/>
          <w:u w:val="single" w:color="0000FF"/>
        </w:rPr>
        <w:t>depositary</w:t>
      </w:r>
      <w:r>
        <w:t xml:space="preserve"> w</w:t>
      </w:r>
      <w:r>
        <w:t xml:space="preserve">hich exposes the director to a potential conflict of interest questions his independence even further.  </w:t>
      </w:r>
    </w:p>
    <w:p w:rsidR="00BB52D7" w:rsidRDefault="00E33AE6">
      <w:pPr>
        <w:numPr>
          <w:ilvl w:val="0"/>
          <w:numId w:val="22"/>
        </w:numPr>
        <w:ind w:right="843" w:hanging="260"/>
      </w:pPr>
      <w:r>
        <w:t xml:space="preserve">Influence by shareholdings: </w:t>
      </w:r>
    </w:p>
    <w:p w:rsidR="00BB52D7" w:rsidRDefault="00E33AE6">
      <w:pPr>
        <w:ind w:left="10" w:right="168"/>
      </w:pPr>
      <w:r>
        <w:t>Independence is likely to be lost if either of the relevant parties could control the actions of the other one by means of</w:t>
      </w:r>
      <w:r>
        <w:t xml:space="preserve"> shareholders' votes, The </w:t>
      </w:r>
      <w:r>
        <w:rPr>
          <w:color w:val="0000FF"/>
          <w:u w:val="single" w:color="0000FF"/>
        </w:rPr>
        <w:t>FCA</w:t>
      </w:r>
      <w:r>
        <w:t xml:space="preserve"> considers this would happen if any </w:t>
      </w:r>
      <w:r>
        <w:lastRenderedPageBreak/>
        <w:t xml:space="preserve">shareholding by one party and their respective </w:t>
      </w:r>
      <w:r>
        <w:rPr>
          <w:color w:val="0000FF"/>
          <w:u w:val="single" w:color="0000FF"/>
        </w:rPr>
        <w:t>associates</w:t>
      </w:r>
      <w:r>
        <w:t xml:space="preserve"> in the other exceeds 15% of the voting </w:t>
      </w:r>
      <w:r>
        <w:rPr>
          <w:color w:val="0000FF"/>
          <w:u w:val="single" w:color="0000FF"/>
        </w:rPr>
        <w:t>share</w:t>
      </w:r>
      <w:r>
        <w:t xml:space="preserve"> capital. However, the </w:t>
      </w:r>
      <w:r>
        <w:rPr>
          <w:color w:val="0000FF"/>
          <w:u w:val="single" w:color="0000FF"/>
        </w:rPr>
        <w:t>FCA</w:t>
      </w:r>
      <w:r>
        <w:t xml:space="preserve"> is willing to look at cross-shareholdings exceeding 15% on a c</w:t>
      </w:r>
      <w:r>
        <w:t xml:space="preserve">ase-by-case basis to consider if there were exceptional grounds for concluding that independence was safeguarded by other means. </w:t>
      </w:r>
    </w:p>
    <w:p w:rsidR="00BB52D7" w:rsidRDefault="00E33AE6">
      <w:pPr>
        <w:numPr>
          <w:ilvl w:val="0"/>
          <w:numId w:val="22"/>
        </w:numPr>
        <w:ind w:right="843" w:hanging="260"/>
      </w:pPr>
      <w:r>
        <w:t xml:space="preserve">Contractual commitments: </w:t>
      </w:r>
    </w:p>
    <w:p w:rsidR="00BB52D7" w:rsidRDefault="00E33AE6">
      <w:pPr>
        <w:spacing w:after="300"/>
        <w:ind w:left="10" w:right="514"/>
      </w:pPr>
      <w:r>
        <w:t xml:space="preserve">The </w:t>
      </w:r>
      <w:r>
        <w:rPr>
          <w:color w:val="0000FF"/>
          <w:u w:val="single" w:color="0000FF"/>
        </w:rPr>
        <w:t>FCA</w:t>
      </w:r>
      <w:r>
        <w:t xml:space="preserve"> encourages relevant parties to consult it in advance about its view on the consequences of a</w:t>
      </w:r>
      <w:r>
        <w:t xml:space="preserve">ny intended contractual commitment or relationship which could affect independence, whether directly or indirectly. </w:t>
      </w:r>
    </w:p>
    <w:p w:rsidR="00BB52D7" w:rsidRDefault="00E33AE6">
      <w:pPr>
        <w:pStyle w:val="Heading5"/>
        <w:spacing w:after="222" w:line="259" w:lineRule="auto"/>
        <w:ind w:left="-5" w:right="0"/>
      </w:pPr>
      <w:r>
        <w:rPr>
          <w:i w:val="0"/>
          <w:sz w:val="27"/>
          <w:u w:val="none"/>
        </w:rPr>
        <w:t xml:space="preserve">Independence of depositaries and scheme operators </w:t>
      </w:r>
    </w:p>
    <w:p w:rsidR="00BB52D7" w:rsidRDefault="00E33AE6">
      <w:pPr>
        <w:ind w:left="10" w:right="843"/>
      </w:pPr>
      <w:r>
        <w:t xml:space="preserve">COLL 6,9,2 G </w:t>
      </w:r>
    </w:p>
    <w:p w:rsidR="00BB52D7" w:rsidRDefault="00E33AE6">
      <w:pPr>
        <w:numPr>
          <w:ilvl w:val="0"/>
          <w:numId w:val="23"/>
        </w:numPr>
        <w:ind w:right="843" w:hanging="341"/>
      </w:pPr>
      <w:r>
        <w:t>Regulation 15(8)(f) of the OEIC Regulations (Requirements for authorisation) requires independence between the depositary, the ICVC and the ICVC's directors, as does section 243(4) of the Act (Authorisation orders) for the trustee and manager of an AUT, an</w:t>
      </w:r>
      <w:r>
        <w:t>d section 261D(4) of the Act (Authorisation orders) for the depositary and authorised fund manager of an ACS</w:t>
      </w:r>
      <w:r>
        <w:rPr>
          <w:color w:val="0000FF"/>
          <w:u w:val="single" w:color="0000FF"/>
        </w:rPr>
        <w:t>2</w:t>
      </w:r>
      <w:r>
        <w:t xml:space="preserve">, COLL 6,9,3 G to COLL 6,9,5 G give the FCA's view of the meaning of independence of these relationships, An ICVC, its directors and depositary or </w:t>
      </w:r>
      <w:r>
        <w:t>a manager and a trustee of an AUT or an authorised fund manager and depositary of an ACS</w:t>
      </w:r>
      <w:r>
        <w:rPr>
          <w:color w:val="0000FF"/>
          <w:u w:val="single" w:color="0000FF"/>
        </w:rPr>
        <w:t>2</w:t>
      </w:r>
      <w:r>
        <w:t xml:space="preserve"> are referred to as "relevant parties" in this guidance. </w:t>
      </w:r>
    </w:p>
    <w:p w:rsidR="00BB52D7" w:rsidRDefault="00E33AE6">
      <w:pPr>
        <w:numPr>
          <w:ilvl w:val="0"/>
          <w:numId w:val="23"/>
        </w:numPr>
        <w:ind w:right="843" w:hanging="341"/>
      </w:pPr>
      <w:r>
        <w:t xml:space="preserve">There are at least three possible kinds of links between the relevant parties:  </w:t>
      </w:r>
    </w:p>
    <w:p w:rsidR="00BB52D7" w:rsidRDefault="00E33AE6">
      <w:pPr>
        <w:spacing w:after="0" w:line="445" w:lineRule="auto"/>
        <w:ind w:left="10" w:right="6867"/>
      </w:pPr>
      <w:r>
        <w:t>(a) directors in common; (b)</w:t>
      </w:r>
      <w:r>
        <w:t xml:space="preserve"> cross-shareholdings; and </w:t>
      </w:r>
    </w:p>
    <w:p w:rsidR="00BB52D7" w:rsidRDefault="00E33AE6">
      <w:pPr>
        <w:ind w:left="10" w:right="843"/>
      </w:pPr>
      <w:r>
        <w:t xml:space="preserve">(c) contractual commitments. </w:t>
      </w:r>
    </w:p>
    <w:p w:rsidR="00BB52D7" w:rsidRDefault="00E33AE6">
      <w:pPr>
        <w:spacing w:after="300"/>
        <w:ind w:left="10"/>
      </w:pPr>
      <w:r>
        <w:t xml:space="preserve">(3) If any of these links exist between the relevant parties, the FCA will have regard to COLL 6,9,3 G to COLL 6,9,5 G in determining whether there is independence. </w:t>
      </w:r>
    </w:p>
    <w:p w:rsidR="00BB52D7" w:rsidRDefault="00E33AE6">
      <w:pPr>
        <w:pStyle w:val="Heading5"/>
        <w:spacing w:after="222" w:line="259" w:lineRule="auto"/>
        <w:ind w:left="-5" w:right="0"/>
      </w:pPr>
      <w:r>
        <w:rPr>
          <w:i w:val="0"/>
          <w:sz w:val="27"/>
          <w:u w:val="none"/>
        </w:rPr>
        <w:t>Independence: influence by direct</w:t>
      </w:r>
      <w:r>
        <w:rPr>
          <w:i w:val="0"/>
          <w:sz w:val="27"/>
          <w:u w:val="none"/>
        </w:rPr>
        <w:t xml:space="preserve">ors </w:t>
      </w:r>
    </w:p>
    <w:p w:rsidR="00BB52D7" w:rsidRDefault="00E33AE6">
      <w:pPr>
        <w:ind w:left="10" w:right="843"/>
      </w:pPr>
      <w:r>
        <w:t xml:space="preserve">COLL 6,9,3 G </w:t>
      </w:r>
    </w:p>
    <w:p w:rsidR="00BB52D7" w:rsidRDefault="00E33AE6">
      <w:pPr>
        <w:numPr>
          <w:ilvl w:val="0"/>
          <w:numId w:val="24"/>
        </w:numPr>
        <w:ind w:right="519" w:hanging="341"/>
      </w:pPr>
      <w:r>
        <w:t xml:space="preserve">Independence is likely to be lost if, by means of executive power, either relevant party could control the action of the other. </w:t>
      </w:r>
    </w:p>
    <w:p w:rsidR="00BB52D7" w:rsidRDefault="00E33AE6">
      <w:pPr>
        <w:numPr>
          <w:ilvl w:val="0"/>
          <w:numId w:val="24"/>
        </w:numPr>
        <w:ind w:right="519" w:hanging="341"/>
      </w:pPr>
      <w:r>
        <w:t>The board of one relevant party should not be able to exercise effective control of the board of another rel</w:t>
      </w:r>
      <w:r>
        <w:t xml:space="preserve">evant party. Arrangements which might indicate this situation include quorum provisions and reservations of decision-making capacity of certain directors. </w:t>
      </w:r>
    </w:p>
    <w:p w:rsidR="00BB52D7" w:rsidRDefault="00E33AE6">
      <w:pPr>
        <w:numPr>
          <w:ilvl w:val="0"/>
          <w:numId w:val="24"/>
        </w:numPr>
        <w:ind w:right="519" w:hanging="341"/>
      </w:pPr>
      <w:r>
        <w:t>For an AUT or ACS</w:t>
      </w:r>
      <w:r>
        <w:rPr>
          <w:color w:val="0000FF"/>
          <w:u w:val="single" w:color="0000FF"/>
        </w:rPr>
        <w:t>2</w:t>
      </w:r>
      <w:r>
        <w:t>, the FCA would interpret the concept of directors in common to include any direct</w:t>
      </w:r>
      <w:r>
        <w:t xml:space="preserve">ors of associates of one relevant party who are simultaneously directors of the other relevant party. </w:t>
      </w:r>
    </w:p>
    <w:p w:rsidR="00BB52D7" w:rsidRDefault="00E33AE6">
      <w:pPr>
        <w:numPr>
          <w:ilvl w:val="0"/>
          <w:numId w:val="24"/>
        </w:numPr>
        <w:ind w:right="519" w:hanging="341"/>
      </w:pPr>
      <w:r>
        <w:lastRenderedPageBreak/>
        <w:t xml:space="preserve">For an ICVC, independence would not be met if:  </w:t>
      </w:r>
    </w:p>
    <w:p w:rsidR="00BB52D7" w:rsidRDefault="00E33AE6">
      <w:pPr>
        <w:numPr>
          <w:ilvl w:val="1"/>
          <w:numId w:val="24"/>
        </w:numPr>
        <w:ind w:right="843" w:hanging="341"/>
      </w:pPr>
      <w:r>
        <w:t>a director of the ICVC or any associate of the director is a director, an employee, or both of the depos</w:t>
      </w:r>
      <w:r>
        <w:t xml:space="preserve">itary; or </w:t>
      </w:r>
    </w:p>
    <w:p w:rsidR="00BB52D7" w:rsidRDefault="00E33AE6">
      <w:pPr>
        <w:numPr>
          <w:ilvl w:val="1"/>
          <w:numId w:val="24"/>
        </w:numPr>
        <w:ind w:right="843" w:hanging="341"/>
      </w:pPr>
      <w:r>
        <w:t xml:space="preserve">a director of an ICVC:  </w:t>
      </w:r>
    </w:p>
    <w:p w:rsidR="00BB52D7" w:rsidRDefault="00E33AE6">
      <w:pPr>
        <w:numPr>
          <w:ilvl w:val="2"/>
          <w:numId w:val="24"/>
        </w:numPr>
        <w:ind w:right="519"/>
      </w:pPr>
      <w:r>
        <w:t xml:space="preserve">has a direct or indirect shareholding for investment purposes of more than 0,5% of the votes at a general meeting or a meeting of holders of the class of share concerned of the depositary of that ICVC; or </w:t>
      </w:r>
    </w:p>
    <w:p w:rsidR="00BB52D7" w:rsidRDefault="00E33AE6">
      <w:pPr>
        <w:numPr>
          <w:ilvl w:val="2"/>
          <w:numId w:val="24"/>
        </w:numPr>
        <w:spacing w:after="300"/>
        <w:ind w:right="519"/>
      </w:pPr>
      <w:r>
        <w:t xml:space="preserve">has any other </w:t>
      </w:r>
      <w:r>
        <w:t xml:space="preserve">relationship with the depositary which might reasonably be expected to give rise to a potential conflict of interest. </w:t>
      </w:r>
    </w:p>
    <w:p w:rsidR="00BB52D7" w:rsidRDefault="00E33AE6">
      <w:pPr>
        <w:pStyle w:val="Heading5"/>
        <w:spacing w:after="222" w:line="259" w:lineRule="auto"/>
        <w:ind w:left="-5" w:right="0"/>
      </w:pPr>
      <w:r>
        <w:rPr>
          <w:i w:val="0"/>
          <w:sz w:val="27"/>
          <w:u w:val="none"/>
        </w:rPr>
        <w:t xml:space="preserve">Independence: influence by shareholding </w:t>
      </w:r>
    </w:p>
    <w:p w:rsidR="00BB52D7" w:rsidRDefault="00E33AE6">
      <w:pPr>
        <w:ind w:left="10" w:right="843"/>
      </w:pPr>
      <w:r>
        <w:t xml:space="preserve">COLL 6,9,4 G </w:t>
      </w:r>
    </w:p>
    <w:p w:rsidR="00BB52D7" w:rsidRDefault="00E33AE6">
      <w:pPr>
        <w:spacing w:after="300"/>
        <w:ind w:left="10" w:right="512"/>
      </w:pPr>
      <w:r>
        <w:t xml:space="preserve">Independence is likely to be lost if either of the relevant parties could control the actions of the other by means of shareholders' votes. The FCA considers this would happen if any shareholding by one relevant party and their respective </w:t>
      </w:r>
      <w:r>
        <w:rPr>
          <w:color w:val="0000FF"/>
          <w:u w:val="single" w:color="0000FF"/>
        </w:rPr>
        <w:t>associates</w:t>
      </w:r>
      <w:r>
        <w:t xml:space="preserve"> in the</w:t>
      </w:r>
      <w:r>
        <w:t xml:space="preserve"> other exceeds 15% of the voting share capital, either in a single share class or several share classes. The FCA would be willing, however, to look at cross-shareholdings exceeding 15% on a case-by-case basis to consider if there were exceptional grounds f</w:t>
      </w:r>
      <w:r>
        <w:t xml:space="preserve">or concluding that independence was safeguarded by other means. </w:t>
      </w:r>
    </w:p>
    <w:p w:rsidR="00BB52D7" w:rsidRDefault="00E33AE6">
      <w:pPr>
        <w:pStyle w:val="Heading5"/>
        <w:spacing w:after="222" w:line="259" w:lineRule="auto"/>
        <w:ind w:left="-5" w:right="0"/>
      </w:pPr>
      <w:r>
        <w:rPr>
          <w:i w:val="0"/>
          <w:sz w:val="27"/>
          <w:u w:val="none"/>
        </w:rPr>
        <w:t xml:space="preserve">Independence: contractual commitments </w:t>
      </w:r>
    </w:p>
    <w:p w:rsidR="00BB52D7" w:rsidRDefault="00E33AE6">
      <w:pPr>
        <w:ind w:left="10" w:right="843"/>
      </w:pPr>
      <w:r>
        <w:t xml:space="preserve">COLL 6,9,5 G </w:t>
      </w:r>
    </w:p>
    <w:p w:rsidR="00BB52D7" w:rsidRDefault="00E33AE6">
      <w:pPr>
        <w:ind w:left="10" w:right="515"/>
      </w:pPr>
      <w:r>
        <w:t>The FCA would encourage relevant parties to consult it in advance about its view on the consequences of any intended contractual commitmen</w:t>
      </w:r>
      <w:r>
        <w:t xml:space="preserve">t or relationship which could affect independence, whether directly or indirectly. </w:t>
      </w:r>
    </w:p>
    <w:p w:rsidR="00BB52D7" w:rsidRDefault="00E33AE6">
      <w:pPr>
        <w:spacing w:line="259" w:lineRule="auto"/>
        <w:ind w:left="0" w:firstLine="0"/>
        <w:jc w:val="left"/>
      </w:pPr>
      <w:r>
        <w:rPr>
          <w:rFonts w:ascii="Calibri" w:eastAsia="Calibri" w:hAnsi="Calibri" w:cs="Calibri"/>
          <w:color w:val="1F497D"/>
          <w:sz w:val="22"/>
        </w:rPr>
        <w:t xml:space="preserve"> </w:t>
      </w:r>
    </w:p>
    <w:p w:rsidR="00BB52D7" w:rsidRDefault="00E33AE6">
      <w:pPr>
        <w:spacing w:after="0" w:line="259" w:lineRule="auto"/>
        <w:ind w:left="0" w:firstLine="0"/>
        <w:jc w:val="left"/>
      </w:pPr>
      <w:r>
        <w:t xml:space="preserve"> </w:t>
      </w:r>
    </w:p>
    <w:p w:rsidR="00BB52D7" w:rsidRDefault="00E33AE6">
      <w:pPr>
        <w:pStyle w:val="Heading2"/>
        <w:spacing w:after="12"/>
        <w:ind w:left="355" w:right="350"/>
        <w:jc w:val="both"/>
      </w:pPr>
      <w:bookmarkStart w:id="34" w:name="_Toc240994"/>
      <w:r>
        <w:rPr>
          <w:i w:val="0"/>
          <w:u w:val="none"/>
        </w:rPr>
        <w:t xml:space="preserve">Annex 9: Comparison of the UCITS Directive and AIFM Directive on Depositary </w:t>
      </w:r>
      <w:bookmarkEnd w:id="34"/>
    </w:p>
    <w:p w:rsidR="00BB52D7" w:rsidRDefault="00E33AE6">
      <w:pPr>
        <w:pStyle w:val="Heading3"/>
        <w:spacing w:after="12"/>
        <w:ind w:left="355" w:right="350"/>
        <w:jc w:val="both"/>
      </w:pPr>
      <w:bookmarkStart w:id="35" w:name="_Toc240995"/>
      <w:r>
        <w:rPr>
          <w:i w:val="0"/>
          <w:u w:val="none"/>
        </w:rPr>
        <w:t xml:space="preserve">rules (Eligible Entities and discharge of liabilities) </w:t>
      </w:r>
      <w:bookmarkEnd w:id="35"/>
    </w:p>
    <w:tbl>
      <w:tblPr>
        <w:tblStyle w:val="TableGrid"/>
        <w:tblW w:w="8084" w:type="dxa"/>
        <w:tblInd w:w="1096" w:type="dxa"/>
        <w:tblCellMar>
          <w:top w:w="11" w:type="dxa"/>
          <w:left w:w="106" w:type="dxa"/>
          <w:bottom w:w="7" w:type="dxa"/>
          <w:right w:w="52" w:type="dxa"/>
        </w:tblCellMar>
        <w:tblLook w:val="04A0" w:firstRow="1" w:lastRow="0" w:firstColumn="1" w:lastColumn="0" w:noHBand="0" w:noVBand="1"/>
      </w:tblPr>
      <w:tblGrid>
        <w:gridCol w:w="2630"/>
        <w:gridCol w:w="2716"/>
        <w:gridCol w:w="2738"/>
      </w:tblGrid>
      <w:tr w:rsidR="00BB52D7">
        <w:trPr>
          <w:trHeight w:val="479"/>
        </w:trPr>
        <w:tc>
          <w:tcPr>
            <w:tcW w:w="2630"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firstLine="0"/>
              <w:jc w:val="left"/>
            </w:pPr>
            <w:r>
              <w:rPr>
                <w:b/>
                <w:sz w:val="20"/>
              </w:rPr>
              <w:t xml:space="preserve"> </w:t>
            </w:r>
          </w:p>
        </w:tc>
        <w:tc>
          <w:tcPr>
            <w:tcW w:w="2716"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2" w:firstLine="0"/>
              <w:jc w:val="left"/>
            </w:pPr>
            <w:r>
              <w:rPr>
                <w:b/>
                <w:sz w:val="20"/>
              </w:rPr>
              <w:t xml:space="preserve">UCITS Directive </w:t>
            </w:r>
          </w:p>
        </w:tc>
        <w:tc>
          <w:tcPr>
            <w:tcW w:w="2738"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2" w:firstLine="0"/>
              <w:jc w:val="left"/>
            </w:pPr>
            <w:r>
              <w:rPr>
                <w:b/>
                <w:sz w:val="20"/>
              </w:rPr>
              <w:t xml:space="preserve">AIFMD </w:t>
            </w:r>
          </w:p>
        </w:tc>
      </w:tr>
      <w:tr w:rsidR="00BB52D7">
        <w:trPr>
          <w:trHeight w:val="502"/>
        </w:trPr>
        <w:tc>
          <w:tcPr>
            <w:tcW w:w="2630"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firstLine="0"/>
              <w:jc w:val="left"/>
            </w:pPr>
            <w:r>
              <w:rPr>
                <w:b/>
                <w:sz w:val="20"/>
              </w:rPr>
              <w:t xml:space="preserve">Eligible Entities </w:t>
            </w:r>
          </w:p>
        </w:tc>
        <w:tc>
          <w:tcPr>
            <w:tcW w:w="2716"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2" w:firstLine="0"/>
              <w:jc w:val="left"/>
            </w:pPr>
            <w:r>
              <w:rPr>
                <w:b/>
                <w:sz w:val="20"/>
              </w:rPr>
              <w:t xml:space="preserve">Article 23 </w:t>
            </w:r>
          </w:p>
        </w:tc>
        <w:tc>
          <w:tcPr>
            <w:tcW w:w="2738"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2" w:firstLine="0"/>
              <w:jc w:val="left"/>
            </w:pPr>
            <w:r>
              <w:rPr>
                <w:b/>
                <w:sz w:val="22"/>
              </w:rPr>
              <w:t xml:space="preserve">Article 21,3 </w:t>
            </w:r>
          </w:p>
        </w:tc>
      </w:tr>
      <w:tr w:rsidR="00BB52D7">
        <w:trPr>
          <w:trHeight w:val="12129"/>
        </w:trPr>
        <w:tc>
          <w:tcPr>
            <w:tcW w:w="263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0"/>
              </w:rPr>
              <w:lastRenderedPageBreak/>
              <w:t xml:space="preserve"> </w:t>
            </w:r>
          </w:p>
        </w:tc>
        <w:tc>
          <w:tcPr>
            <w:tcW w:w="2716" w:type="dxa"/>
            <w:tcBorders>
              <w:top w:val="single" w:sz="4" w:space="0" w:color="000000"/>
              <w:left w:val="single" w:sz="4" w:space="0" w:color="000000"/>
              <w:bottom w:val="single" w:sz="4" w:space="0" w:color="000000"/>
              <w:right w:val="single" w:sz="4" w:space="0" w:color="000000"/>
            </w:tcBorders>
          </w:tcPr>
          <w:p w:rsidR="00BB52D7" w:rsidRDefault="00E33AE6">
            <w:pPr>
              <w:spacing w:after="218" w:line="259" w:lineRule="auto"/>
              <w:ind w:left="2" w:firstLine="0"/>
              <w:jc w:val="left"/>
            </w:pPr>
            <w:r>
              <w:rPr>
                <w:sz w:val="22"/>
              </w:rPr>
              <w:t xml:space="preserve">The depositary shall be: </w:t>
            </w:r>
          </w:p>
          <w:p w:rsidR="00BB52D7" w:rsidRDefault="00E33AE6">
            <w:pPr>
              <w:numPr>
                <w:ilvl w:val="0"/>
                <w:numId w:val="37"/>
              </w:numPr>
              <w:spacing w:after="218" w:line="259" w:lineRule="auto"/>
              <w:ind w:right="57" w:firstLine="0"/>
            </w:pPr>
            <w:r>
              <w:rPr>
                <w:sz w:val="22"/>
              </w:rPr>
              <w:t xml:space="preserve">a national central bank </w:t>
            </w:r>
          </w:p>
          <w:p w:rsidR="00BB52D7" w:rsidRDefault="00E33AE6">
            <w:pPr>
              <w:numPr>
                <w:ilvl w:val="0"/>
                <w:numId w:val="37"/>
              </w:numPr>
              <w:spacing w:after="360" w:line="238" w:lineRule="auto"/>
              <w:ind w:right="57" w:firstLine="0"/>
            </w:pPr>
            <w:r>
              <w:rPr>
                <w:sz w:val="22"/>
              </w:rPr>
              <w:t xml:space="preserve">a credit institution authorised in accordance with Directive 2013/36/EU; or </w:t>
            </w:r>
          </w:p>
          <w:p w:rsidR="00BB52D7" w:rsidRDefault="00E33AE6">
            <w:pPr>
              <w:numPr>
                <w:ilvl w:val="0"/>
                <w:numId w:val="37"/>
              </w:numPr>
              <w:spacing w:after="0" w:line="239" w:lineRule="auto"/>
              <w:ind w:right="57" w:firstLine="0"/>
            </w:pPr>
            <w:r>
              <w:rPr>
                <w:sz w:val="22"/>
              </w:rPr>
              <w:t xml:space="preserve">another legal entity, authorised by the competent authority under the law of the Member State to carry out depositary activities under this Directive, which is subject to capital adequacy requirements not less than the requirements calculated depending on </w:t>
            </w:r>
            <w:r>
              <w:rPr>
                <w:sz w:val="22"/>
              </w:rPr>
              <w:t xml:space="preserve">the selected approach in accordance with Article 315 or 317 of Regulation (EU) </w:t>
            </w:r>
          </w:p>
          <w:p w:rsidR="00BB52D7" w:rsidRDefault="00E33AE6">
            <w:pPr>
              <w:tabs>
                <w:tab w:val="center" w:pos="1002"/>
                <w:tab w:val="center" w:pos="1825"/>
                <w:tab w:val="right" w:pos="2559"/>
              </w:tabs>
              <w:spacing w:after="0" w:line="259" w:lineRule="auto"/>
              <w:ind w:left="0" w:firstLine="0"/>
              <w:jc w:val="left"/>
            </w:pPr>
            <w:r>
              <w:rPr>
                <w:sz w:val="22"/>
              </w:rPr>
              <w:t xml:space="preserve">No </w:t>
            </w:r>
            <w:r>
              <w:rPr>
                <w:sz w:val="22"/>
              </w:rPr>
              <w:tab/>
              <w:t xml:space="preserve">575/2013 </w:t>
            </w:r>
            <w:r>
              <w:rPr>
                <w:sz w:val="22"/>
              </w:rPr>
              <w:tab/>
              <w:t xml:space="preserve">of </w:t>
            </w:r>
            <w:r>
              <w:rPr>
                <w:sz w:val="22"/>
              </w:rPr>
              <w:tab/>
              <w:t xml:space="preserve">the </w:t>
            </w:r>
          </w:p>
          <w:p w:rsidR="00BB52D7" w:rsidRDefault="00E33AE6">
            <w:pPr>
              <w:spacing w:after="112" w:line="245" w:lineRule="auto"/>
              <w:ind w:left="2" w:right="57" w:firstLine="0"/>
            </w:pPr>
            <w:r>
              <w:rPr>
                <w:sz w:val="22"/>
              </w:rPr>
              <w:t>European Parliament and of the Council</w:t>
            </w:r>
            <w:r>
              <w:rPr>
                <w:color w:val="0000FF"/>
                <w:sz w:val="22"/>
                <w:u w:val="single" w:color="0000FF"/>
              </w:rPr>
              <w:t xml:space="preserve"> (</w:t>
            </w:r>
            <w:r>
              <w:rPr>
                <w:color w:val="0000FF"/>
                <w:sz w:val="22"/>
                <w:vertAlign w:val="superscript"/>
              </w:rPr>
              <w:t>24</w:t>
            </w:r>
            <w:r>
              <w:rPr>
                <w:color w:val="0000FF"/>
                <w:sz w:val="22"/>
                <w:u w:val="single" w:color="0000FF"/>
              </w:rPr>
              <w:t>)</w:t>
            </w:r>
            <w:r>
              <w:rPr>
                <w:sz w:val="22"/>
              </w:rPr>
              <w:t xml:space="preserve"> and which has own funds not less than the amount of initial capital under Article 28(2) of Directive 2013/36/</w:t>
            </w:r>
            <w:r>
              <w:rPr>
                <w:sz w:val="22"/>
              </w:rPr>
              <w:t xml:space="preserve">EU. </w:t>
            </w:r>
          </w:p>
          <w:p w:rsidR="00BB52D7" w:rsidRDefault="00E33AE6">
            <w:pPr>
              <w:spacing w:after="120" w:line="239" w:lineRule="auto"/>
              <w:ind w:left="2" w:right="58" w:firstLine="0"/>
            </w:pPr>
            <w:r>
              <w:rPr>
                <w:sz w:val="22"/>
              </w:rPr>
              <w:t xml:space="preserve">A legal entity as referred to in point (c) of the first subparagraph shall be subject to prudential regulation and ongoing supervision and shall satisfy the following minimum requirements: </w:t>
            </w:r>
          </w:p>
          <w:p w:rsidR="00BB52D7" w:rsidRDefault="00E33AE6">
            <w:pPr>
              <w:numPr>
                <w:ilvl w:val="0"/>
                <w:numId w:val="38"/>
              </w:numPr>
              <w:spacing w:after="114" w:line="244" w:lineRule="auto"/>
              <w:ind w:right="57" w:hanging="257"/>
              <w:jc w:val="left"/>
            </w:pPr>
            <w:r>
              <w:rPr>
                <w:sz w:val="22"/>
              </w:rPr>
              <w:t>it shall have the infrastructure necessary to keep in custody</w:t>
            </w:r>
            <w:r>
              <w:rPr>
                <w:sz w:val="22"/>
              </w:rPr>
              <w:t xml:space="preserve"> financial instruments that can be registered in a financial instruments account opened in the depositary’s books; </w:t>
            </w:r>
          </w:p>
          <w:p w:rsidR="00BB52D7" w:rsidRDefault="00E33AE6">
            <w:pPr>
              <w:numPr>
                <w:ilvl w:val="0"/>
                <w:numId w:val="38"/>
              </w:numPr>
              <w:spacing w:after="0" w:line="259" w:lineRule="auto"/>
              <w:ind w:right="57" w:hanging="257"/>
              <w:jc w:val="left"/>
            </w:pPr>
            <w:r>
              <w:rPr>
                <w:sz w:val="22"/>
              </w:rPr>
              <w:t xml:space="preserve">it </w:t>
            </w:r>
            <w:r>
              <w:rPr>
                <w:sz w:val="22"/>
              </w:rPr>
              <w:tab/>
              <w:t xml:space="preserve">shall </w:t>
            </w:r>
            <w:r>
              <w:rPr>
                <w:sz w:val="22"/>
              </w:rPr>
              <w:tab/>
              <w:t xml:space="preserve">establish </w:t>
            </w:r>
          </w:p>
        </w:tc>
        <w:tc>
          <w:tcPr>
            <w:tcW w:w="2738" w:type="dxa"/>
            <w:tcBorders>
              <w:top w:val="single" w:sz="4" w:space="0" w:color="000000"/>
              <w:left w:val="single" w:sz="4" w:space="0" w:color="000000"/>
              <w:bottom w:val="single" w:sz="4" w:space="0" w:color="000000"/>
              <w:right w:val="single" w:sz="4" w:space="0" w:color="000000"/>
            </w:tcBorders>
            <w:vAlign w:val="bottom"/>
          </w:tcPr>
          <w:p w:rsidR="00BB52D7" w:rsidRDefault="00E33AE6">
            <w:pPr>
              <w:spacing w:after="98" w:line="259" w:lineRule="auto"/>
              <w:ind w:left="2" w:firstLine="0"/>
              <w:jc w:val="left"/>
            </w:pPr>
            <w:r>
              <w:rPr>
                <w:sz w:val="22"/>
              </w:rPr>
              <w:t xml:space="preserve">The depositary shall be: </w:t>
            </w:r>
          </w:p>
          <w:p w:rsidR="00BB52D7" w:rsidRDefault="00E33AE6">
            <w:pPr>
              <w:numPr>
                <w:ilvl w:val="0"/>
                <w:numId w:val="39"/>
              </w:numPr>
              <w:spacing w:after="0" w:line="239" w:lineRule="auto"/>
              <w:ind w:right="55" w:hanging="258"/>
            </w:pPr>
            <w:r>
              <w:rPr>
                <w:sz w:val="22"/>
              </w:rPr>
              <w:t xml:space="preserve">a credit institution having its registered office in the Union and authorised in accordance with </w:t>
            </w:r>
          </w:p>
          <w:p w:rsidR="00BB52D7" w:rsidRDefault="00E33AE6">
            <w:pPr>
              <w:spacing w:after="98" w:line="259" w:lineRule="auto"/>
              <w:ind w:left="0" w:right="63" w:firstLine="0"/>
              <w:jc w:val="center"/>
            </w:pPr>
            <w:r>
              <w:rPr>
                <w:sz w:val="22"/>
              </w:rPr>
              <w:t xml:space="preserve">Directive 2006/48/EC; </w:t>
            </w:r>
          </w:p>
          <w:p w:rsidR="00BB52D7" w:rsidRDefault="00E33AE6">
            <w:pPr>
              <w:numPr>
                <w:ilvl w:val="0"/>
                <w:numId w:val="39"/>
              </w:numPr>
              <w:spacing w:after="0" w:line="239" w:lineRule="auto"/>
              <w:ind w:right="55" w:hanging="258"/>
            </w:pPr>
            <w:r>
              <w:rPr>
                <w:sz w:val="22"/>
              </w:rPr>
              <w:t>an investment firm having its registered office in the Union, subject to capital adequacy requirements in accordance with Article 20(1)</w:t>
            </w:r>
            <w:r>
              <w:rPr>
                <w:sz w:val="22"/>
              </w:rPr>
              <w:t xml:space="preserve"> of Directive 2006/49/EC including capital requirements for operational risks and authorised in accordance with Directive </w:t>
            </w:r>
          </w:p>
          <w:p w:rsidR="00BB52D7" w:rsidRDefault="00E33AE6">
            <w:pPr>
              <w:spacing w:after="0" w:line="239" w:lineRule="auto"/>
              <w:ind w:left="260" w:firstLine="0"/>
            </w:pPr>
            <w:r>
              <w:rPr>
                <w:sz w:val="22"/>
              </w:rPr>
              <w:t xml:space="preserve">2004/39/EC and which also provides the </w:t>
            </w:r>
          </w:p>
          <w:p w:rsidR="00BB52D7" w:rsidRDefault="00E33AE6">
            <w:pPr>
              <w:spacing w:after="121" w:line="239" w:lineRule="auto"/>
              <w:ind w:left="260" w:right="55" w:firstLine="0"/>
            </w:pPr>
            <w:r>
              <w:rPr>
                <w:sz w:val="22"/>
              </w:rPr>
              <w:t xml:space="preserve">ancillary service of safekeeping </w:t>
            </w:r>
            <w:r>
              <w:rPr>
                <w:sz w:val="22"/>
              </w:rPr>
              <w:tab/>
              <w:t>and administration of financial instruments for the account</w:t>
            </w:r>
            <w:r>
              <w:rPr>
                <w:sz w:val="22"/>
              </w:rPr>
              <w:t xml:space="preserve"> of clients in accordance with point (1) of Section B of Annex I to Directive 2004/39/EC; such investment firms shall in any case have own funds not less than the amount of initial capital referred to in Article 9 of Directive 2006/49/EC; or </w:t>
            </w:r>
          </w:p>
          <w:p w:rsidR="00BB52D7" w:rsidRDefault="00E33AE6">
            <w:pPr>
              <w:numPr>
                <w:ilvl w:val="0"/>
                <w:numId w:val="39"/>
              </w:numPr>
              <w:spacing w:after="0" w:line="259" w:lineRule="auto"/>
              <w:ind w:right="55" w:hanging="258"/>
            </w:pPr>
            <w:r>
              <w:rPr>
                <w:b/>
                <w:sz w:val="22"/>
              </w:rPr>
              <w:t>another categ</w:t>
            </w:r>
            <w:r>
              <w:rPr>
                <w:b/>
                <w:sz w:val="22"/>
              </w:rPr>
              <w:t xml:space="preserve">ory of institution that is subject to prudential regulation and ongoing supervision and which, on 21 July 2011, falls within the categories of institution determined by Member States to be eligible to be a depositary under </w:t>
            </w:r>
          </w:p>
        </w:tc>
      </w:tr>
    </w:tbl>
    <w:p w:rsidR="00BB52D7" w:rsidRDefault="00BB52D7">
      <w:pPr>
        <w:spacing w:after="0" w:line="259" w:lineRule="auto"/>
        <w:ind w:left="-1417" w:right="406" w:firstLine="0"/>
        <w:jc w:val="left"/>
      </w:pPr>
    </w:p>
    <w:tbl>
      <w:tblPr>
        <w:tblStyle w:val="TableGrid"/>
        <w:tblW w:w="8086" w:type="dxa"/>
        <w:tblInd w:w="1095" w:type="dxa"/>
        <w:tblCellMar>
          <w:top w:w="12" w:type="dxa"/>
          <w:left w:w="107" w:type="dxa"/>
          <w:bottom w:w="0" w:type="dxa"/>
          <w:right w:w="54" w:type="dxa"/>
        </w:tblCellMar>
        <w:tblLook w:val="04A0" w:firstRow="1" w:lastRow="0" w:firstColumn="1" w:lastColumn="0" w:noHBand="0" w:noVBand="1"/>
      </w:tblPr>
      <w:tblGrid>
        <w:gridCol w:w="2630"/>
        <w:gridCol w:w="2717"/>
        <w:gridCol w:w="2739"/>
      </w:tblGrid>
      <w:tr w:rsidR="00BB52D7">
        <w:trPr>
          <w:trHeight w:val="13766"/>
        </w:trPr>
        <w:tc>
          <w:tcPr>
            <w:tcW w:w="2631" w:type="dxa"/>
            <w:tcBorders>
              <w:top w:val="single" w:sz="4" w:space="0" w:color="000000"/>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c>
          <w:tcPr>
            <w:tcW w:w="2717" w:type="dxa"/>
            <w:tcBorders>
              <w:top w:val="single" w:sz="4" w:space="0" w:color="000000"/>
              <w:left w:val="single" w:sz="4" w:space="0" w:color="000000"/>
              <w:bottom w:val="single" w:sz="4" w:space="0" w:color="000000"/>
              <w:right w:val="single" w:sz="4" w:space="0" w:color="000000"/>
            </w:tcBorders>
          </w:tcPr>
          <w:p w:rsidR="00BB52D7" w:rsidRDefault="00E33AE6">
            <w:pPr>
              <w:spacing w:after="120" w:line="239" w:lineRule="auto"/>
              <w:ind w:left="258" w:right="56" w:firstLine="0"/>
            </w:pPr>
            <w:r>
              <w:rPr>
                <w:sz w:val="22"/>
              </w:rPr>
              <w:t xml:space="preserve">adequate policies and procedures sufficient to ensure compliance of the entity, including its managers and employees, with its obligations under this Directive; </w:t>
            </w:r>
          </w:p>
          <w:p w:rsidR="00BB52D7" w:rsidRDefault="00E33AE6">
            <w:pPr>
              <w:numPr>
                <w:ilvl w:val="0"/>
                <w:numId w:val="40"/>
              </w:numPr>
              <w:spacing w:after="120" w:line="239" w:lineRule="auto"/>
              <w:ind w:right="56" w:hanging="257"/>
            </w:pPr>
            <w:r>
              <w:rPr>
                <w:sz w:val="22"/>
              </w:rPr>
              <w:t>it shall have sound administrative and accounting procedures, internal control mechanisms, eff</w:t>
            </w:r>
            <w:r>
              <w:rPr>
                <w:sz w:val="22"/>
              </w:rPr>
              <w:t xml:space="preserve">ective procedures for risk assessment and effective control and safeguard arrangements for information processing systems; </w:t>
            </w:r>
          </w:p>
          <w:p w:rsidR="00BB52D7" w:rsidRDefault="00E33AE6">
            <w:pPr>
              <w:numPr>
                <w:ilvl w:val="0"/>
                <w:numId w:val="40"/>
              </w:numPr>
              <w:spacing w:after="1" w:line="238" w:lineRule="auto"/>
              <w:ind w:right="56" w:hanging="257"/>
            </w:pPr>
            <w:r>
              <w:rPr>
                <w:sz w:val="22"/>
              </w:rPr>
              <w:t xml:space="preserve">it shall maintain and operate effective organisational and </w:t>
            </w:r>
          </w:p>
          <w:p w:rsidR="00BB52D7" w:rsidRDefault="00E33AE6">
            <w:pPr>
              <w:spacing w:after="0" w:line="259" w:lineRule="auto"/>
              <w:ind w:left="258" w:firstLine="0"/>
              <w:jc w:val="left"/>
            </w:pPr>
            <w:r>
              <w:rPr>
                <w:sz w:val="22"/>
              </w:rPr>
              <w:t xml:space="preserve">administrative </w:t>
            </w:r>
          </w:p>
          <w:p w:rsidR="00BB52D7" w:rsidRDefault="00E33AE6">
            <w:pPr>
              <w:spacing w:after="0" w:line="239" w:lineRule="auto"/>
              <w:ind w:left="258" w:right="56" w:firstLine="0"/>
            </w:pPr>
            <w:r>
              <w:rPr>
                <w:sz w:val="22"/>
              </w:rPr>
              <w:t xml:space="preserve">arrangements with a view to taking all reasonable steps designed to prevent </w:t>
            </w:r>
          </w:p>
          <w:p w:rsidR="00BB52D7" w:rsidRDefault="00E33AE6">
            <w:pPr>
              <w:spacing w:after="98" w:line="259" w:lineRule="auto"/>
              <w:ind w:left="258" w:firstLine="0"/>
              <w:jc w:val="left"/>
            </w:pPr>
            <w:r>
              <w:rPr>
                <w:sz w:val="22"/>
              </w:rPr>
              <w:t xml:space="preserve">conflicts of interest; </w:t>
            </w:r>
          </w:p>
          <w:p w:rsidR="00BB52D7" w:rsidRDefault="00E33AE6">
            <w:pPr>
              <w:numPr>
                <w:ilvl w:val="0"/>
                <w:numId w:val="40"/>
              </w:numPr>
              <w:spacing w:after="0" w:line="239" w:lineRule="auto"/>
              <w:ind w:right="56" w:hanging="257"/>
            </w:pPr>
            <w:r>
              <w:rPr>
                <w:sz w:val="22"/>
              </w:rPr>
              <w:t xml:space="preserve">it shall arrange for </w:t>
            </w:r>
            <w:r>
              <w:rPr>
                <w:sz w:val="22"/>
              </w:rPr>
              <w:t xml:space="preserve">records to be kept of all services, activities and transactions that it undertakes, which shall be sufficient to enable the competent authority to fulfil its supervisory tasks and to perform the enforcement actions provided for in this </w:t>
            </w:r>
          </w:p>
          <w:p w:rsidR="00BB52D7" w:rsidRDefault="00E33AE6">
            <w:pPr>
              <w:spacing w:after="98" w:line="259" w:lineRule="auto"/>
              <w:ind w:left="258" w:firstLine="0"/>
              <w:jc w:val="left"/>
            </w:pPr>
            <w:r>
              <w:rPr>
                <w:sz w:val="22"/>
              </w:rPr>
              <w:t xml:space="preserve">Directive; </w:t>
            </w:r>
          </w:p>
          <w:p w:rsidR="00BB52D7" w:rsidRDefault="00E33AE6">
            <w:pPr>
              <w:numPr>
                <w:ilvl w:val="0"/>
                <w:numId w:val="40"/>
              </w:numPr>
              <w:spacing w:after="0" w:line="239" w:lineRule="auto"/>
              <w:ind w:right="56" w:hanging="257"/>
            </w:pPr>
            <w:r>
              <w:rPr>
                <w:sz w:val="22"/>
              </w:rPr>
              <w:t>it shal</w:t>
            </w:r>
            <w:r>
              <w:rPr>
                <w:sz w:val="22"/>
              </w:rPr>
              <w:t xml:space="preserve">l take reasonable steps to ensure continuity and regularity in the performance of its depositary functions by employing appropriate and proportionate systems, resources and procedures including to perform its depositary </w:t>
            </w:r>
          </w:p>
          <w:p w:rsidR="00BB52D7" w:rsidRDefault="00E33AE6">
            <w:pPr>
              <w:spacing w:after="98" w:line="259" w:lineRule="auto"/>
              <w:ind w:left="258" w:firstLine="0"/>
              <w:jc w:val="left"/>
            </w:pPr>
            <w:r>
              <w:rPr>
                <w:sz w:val="22"/>
              </w:rPr>
              <w:t xml:space="preserve">activities; </w:t>
            </w:r>
          </w:p>
          <w:p w:rsidR="00BB52D7" w:rsidRDefault="00E33AE6">
            <w:pPr>
              <w:numPr>
                <w:ilvl w:val="0"/>
                <w:numId w:val="40"/>
              </w:numPr>
              <w:spacing w:after="0" w:line="259" w:lineRule="auto"/>
              <w:ind w:right="56" w:hanging="257"/>
            </w:pPr>
            <w:r>
              <w:rPr>
                <w:sz w:val="22"/>
              </w:rPr>
              <w:t xml:space="preserve">all </w:t>
            </w:r>
            <w:r>
              <w:rPr>
                <w:sz w:val="22"/>
              </w:rPr>
              <w:tab/>
              <w:t xml:space="preserve">members </w:t>
            </w:r>
            <w:r>
              <w:rPr>
                <w:sz w:val="22"/>
              </w:rPr>
              <w:tab/>
              <w:t xml:space="preserve">of </w:t>
            </w:r>
            <w:r>
              <w:rPr>
                <w:sz w:val="22"/>
              </w:rPr>
              <w:tab/>
              <w:t xml:space="preserve">its </w:t>
            </w:r>
          </w:p>
        </w:tc>
        <w:tc>
          <w:tcPr>
            <w:tcW w:w="2739" w:type="dxa"/>
            <w:tcBorders>
              <w:top w:val="single" w:sz="4" w:space="0" w:color="000000"/>
              <w:left w:val="single" w:sz="4" w:space="0" w:color="000000"/>
              <w:bottom w:val="single" w:sz="4" w:space="0" w:color="000000"/>
              <w:right w:val="single" w:sz="4" w:space="0" w:color="000000"/>
            </w:tcBorders>
          </w:tcPr>
          <w:p w:rsidR="00BB52D7" w:rsidRDefault="00E33AE6">
            <w:pPr>
              <w:tabs>
                <w:tab w:val="center" w:pos="581"/>
                <w:tab w:val="center" w:pos="1623"/>
                <w:tab w:val="center" w:pos="2432"/>
              </w:tabs>
              <w:spacing w:after="0" w:line="259" w:lineRule="auto"/>
              <w:ind w:left="0" w:firstLine="0"/>
              <w:jc w:val="left"/>
            </w:pPr>
            <w:r>
              <w:rPr>
                <w:rFonts w:ascii="Calibri" w:eastAsia="Calibri" w:hAnsi="Calibri" w:cs="Calibri"/>
                <w:sz w:val="22"/>
              </w:rPr>
              <w:tab/>
            </w:r>
            <w:r>
              <w:rPr>
                <w:b/>
                <w:sz w:val="22"/>
              </w:rPr>
              <w:t xml:space="preserve">Article </w:t>
            </w:r>
            <w:r>
              <w:rPr>
                <w:b/>
                <w:sz w:val="22"/>
              </w:rPr>
              <w:tab/>
              <w:t xml:space="preserve">23(3) </w:t>
            </w:r>
            <w:r>
              <w:rPr>
                <w:b/>
                <w:sz w:val="22"/>
              </w:rPr>
              <w:tab/>
              <w:t xml:space="preserve">of </w:t>
            </w:r>
          </w:p>
          <w:p w:rsidR="00BB52D7" w:rsidRDefault="00E33AE6">
            <w:pPr>
              <w:spacing w:after="97" w:line="259" w:lineRule="auto"/>
              <w:ind w:left="0" w:right="9" w:firstLine="0"/>
              <w:jc w:val="center"/>
            </w:pPr>
            <w:r>
              <w:rPr>
                <w:b/>
                <w:sz w:val="22"/>
              </w:rPr>
              <w:t xml:space="preserve">Directive 2009/65/EC, </w:t>
            </w:r>
          </w:p>
          <w:p w:rsidR="00BB52D7" w:rsidRDefault="00E33AE6">
            <w:pPr>
              <w:spacing w:after="0" w:line="239" w:lineRule="auto"/>
              <w:ind w:left="0" w:right="56" w:firstLine="0"/>
            </w:pPr>
            <w:r>
              <w:rPr>
                <w:sz w:val="22"/>
              </w:rPr>
              <w:t xml:space="preserve">For non-EU AIFs only, and without prejudice to point (b) of paragraph 5, the depositary </w:t>
            </w:r>
            <w:r>
              <w:rPr>
                <w:sz w:val="22"/>
              </w:rPr>
              <w:t xml:space="preserve">may also be a credit institution or any other entity of the same nature as the entities referred to in points (a) and (b) of the first subparagraph of this paragraph provided that the conditions in point (b) of paragraph 6 are met. </w:t>
            </w:r>
          </w:p>
          <w:p w:rsidR="00BB52D7" w:rsidRDefault="00E33AE6">
            <w:pPr>
              <w:spacing w:after="0" w:line="259" w:lineRule="auto"/>
              <w:ind w:left="0" w:firstLine="0"/>
              <w:jc w:val="left"/>
            </w:pPr>
            <w:r>
              <w:rPr>
                <w:sz w:val="22"/>
              </w:rPr>
              <w:t xml:space="preserve"> </w:t>
            </w:r>
          </w:p>
        </w:tc>
      </w:tr>
    </w:tbl>
    <w:p w:rsidR="00BB52D7" w:rsidRDefault="00BB52D7">
      <w:pPr>
        <w:spacing w:after="0" w:line="259" w:lineRule="auto"/>
        <w:ind w:left="-1417" w:right="406" w:firstLine="0"/>
        <w:jc w:val="left"/>
      </w:pPr>
    </w:p>
    <w:tbl>
      <w:tblPr>
        <w:tblStyle w:val="TableGrid"/>
        <w:tblW w:w="8086" w:type="dxa"/>
        <w:tblInd w:w="1095" w:type="dxa"/>
        <w:tblCellMar>
          <w:top w:w="12" w:type="dxa"/>
          <w:left w:w="107" w:type="dxa"/>
          <w:bottom w:w="7" w:type="dxa"/>
          <w:right w:w="54" w:type="dxa"/>
        </w:tblCellMar>
        <w:tblLook w:val="04A0" w:firstRow="1" w:lastRow="0" w:firstColumn="1" w:lastColumn="0" w:noHBand="0" w:noVBand="1"/>
      </w:tblPr>
      <w:tblGrid>
        <w:gridCol w:w="2630"/>
        <w:gridCol w:w="2717"/>
        <w:gridCol w:w="2739"/>
      </w:tblGrid>
      <w:tr w:rsidR="00BB52D7">
        <w:trPr>
          <w:trHeight w:val="10850"/>
        </w:trPr>
        <w:tc>
          <w:tcPr>
            <w:tcW w:w="2631" w:type="dxa"/>
            <w:tcBorders>
              <w:top w:val="single" w:sz="4" w:space="0" w:color="000000"/>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c>
          <w:tcPr>
            <w:tcW w:w="2717" w:type="dxa"/>
            <w:tcBorders>
              <w:top w:val="single" w:sz="4" w:space="0" w:color="000000"/>
              <w:left w:val="single" w:sz="4" w:space="0" w:color="000000"/>
              <w:bottom w:val="single" w:sz="4" w:space="0" w:color="000000"/>
              <w:right w:val="single" w:sz="4" w:space="0" w:color="000000"/>
            </w:tcBorders>
          </w:tcPr>
          <w:p w:rsidR="00BB52D7" w:rsidRDefault="00E33AE6">
            <w:pPr>
              <w:spacing w:after="120" w:line="239" w:lineRule="auto"/>
              <w:ind w:left="258" w:right="55" w:firstLine="0"/>
            </w:pPr>
            <w:r>
              <w:rPr>
                <w:sz w:val="22"/>
              </w:rPr>
              <w:t xml:space="preserve">management body and senior management, shall, at all times, be of sufficiently good repute, possess sufficient knowledge, skills and experience; </w:t>
            </w:r>
          </w:p>
          <w:p w:rsidR="00BB52D7" w:rsidRDefault="00E33AE6">
            <w:pPr>
              <w:numPr>
                <w:ilvl w:val="0"/>
                <w:numId w:val="41"/>
              </w:numPr>
              <w:spacing w:after="120" w:line="239" w:lineRule="auto"/>
              <w:ind w:right="55" w:hanging="257"/>
            </w:pPr>
            <w:r>
              <w:rPr>
                <w:sz w:val="22"/>
              </w:rPr>
              <w:t>its management body shall possess adequate collective knowledge, skills and experience to be able to understan</w:t>
            </w:r>
            <w:r>
              <w:rPr>
                <w:sz w:val="22"/>
              </w:rPr>
              <w:t xml:space="preserve">d the depositary’s activities, including the main risks; </w:t>
            </w:r>
          </w:p>
          <w:p w:rsidR="00BB52D7" w:rsidRDefault="00E33AE6">
            <w:pPr>
              <w:numPr>
                <w:ilvl w:val="0"/>
                <w:numId w:val="41"/>
              </w:numPr>
              <w:spacing w:after="120" w:line="239" w:lineRule="auto"/>
              <w:ind w:right="55" w:hanging="257"/>
            </w:pPr>
            <w:r>
              <w:rPr>
                <w:sz w:val="22"/>
              </w:rPr>
              <w:t xml:space="preserve">each member of its management body and senior management shall act with honesty and integrity, </w:t>
            </w:r>
          </w:p>
          <w:p w:rsidR="00BB52D7" w:rsidRDefault="00E33AE6">
            <w:pPr>
              <w:spacing w:after="119" w:line="239" w:lineRule="auto"/>
              <w:ind w:left="1" w:right="55" w:firstLine="0"/>
            </w:pPr>
            <w:r>
              <w:rPr>
                <w:sz w:val="22"/>
              </w:rPr>
              <w:t>3, Member States shall determine which of the categories of institutions referred to in the first subp</w:t>
            </w:r>
            <w:r>
              <w:rPr>
                <w:sz w:val="22"/>
              </w:rPr>
              <w:t xml:space="preserve">aragraph of paragraph 2 shall be eligible to be depositaries, </w:t>
            </w:r>
          </w:p>
          <w:p w:rsidR="00BB52D7" w:rsidRDefault="00E33AE6">
            <w:pPr>
              <w:spacing w:after="0" w:line="239" w:lineRule="auto"/>
              <w:ind w:left="1" w:right="55" w:firstLine="0"/>
            </w:pPr>
            <w:r>
              <w:rPr>
                <w:sz w:val="22"/>
              </w:rPr>
              <w:t>4, Investment companies or management companies acting on behalf of the UCITS that they manage, which, before 18 March 2016, appointed as a depositary an institution that does not meet the requ</w:t>
            </w:r>
            <w:r>
              <w:rPr>
                <w:sz w:val="22"/>
              </w:rPr>
              <w:t xml:space="preserve">irements laid down in paragraph 2, shall appoint a depositary that meets those requirements before 18 </w:t>
            </w:r>
          </w:p>
          <w:p w:rsidR="00BB52D7" w:rsidRDefault="00E33AE6">
            <w:pPr>
              <w:spacing w:after="0" w:line="259" w:lineRule="auto"/>
              <w:ind w:left="1" w:firstLine="0"/>
              <w:jc w:val="left"/>
            </w:pPr>
            <w:r>
              <w:rPr>
                <w:sz w:val="22"/>
              </w:rPr>
              <w:t xml:space="preserve">March 2018, </w:t>
            </w:r>
          </w:p>
          <w:p w:rsidR="00BB52D7" w:rsidRDefault="00E33AE6">
            <w:pPr>
              <w:spacing w:after="0" w:line="259" w:lineRule="auto"/>
              <w:ind w:left="1" w:firstLine="0"/>
              <w:jc w:val="left"/>
            </w:pPr>
            <w:r>
              <w:rPr>
                <w:sz w:val="22"/>
              </w:rPr>
              <w:t xml:space="preserve"> </w:t>
            </w:r>
          </w:p>
        </w:tc>
        <w:tc>
          <w:tcPr>
            <w:tcW w:w="2739" w:type="dxa"/>
            <w:tcBorders>
              <w:top w:val="single" w:sz="4" w:space="0" w:color="000000"/>
              <w:left w:val="single" w:sz="4" w:space="0" w:color="000000"/>
              <w:bottom w:val="single" w:sz="4" w:space="0" w:color="000000"/>
              <w:right w:val="single" w:sz="4" w:space="0" w:color="000000"/>
            </w:tcBorders>
          </w:tcPr>
          <w:p w:rsidR="00BB52D7" w:rsidRDefault="00BB52D7">
            <w:pPr>
              <w:spacing w:after="160" w:line="259" w:lineRule="auto"/>
              <w:ind w:left="0" w:firstLine="0"/>
              <w:jc w:val="left"/>
            </w:pPr>
          </w:p>
        </w:tc>
      </w:tr>
      <w:tr w:rsidR="00BB52D7">
        <w:trPr>
          <w:trHeight w:val="526"/>
        </w:trPr>
        <w:tc>
          <w:tcPr>
            <w:tcW w:w="263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Discharge of responsibility </w:t>
            </w:r>
          </w:p>
        </w:tc>
        <w:tc>
          <w:tcPr>
            <w:tcW w:w="271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Article 24 </w:t>
            </w:r>
          </w:p>
        </w:tc>
        <w:tc>
          <w:tcPr>
            <w:tcW w:w="273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t xml:space="preserve">Article 21,13 </w:t>
            </w:r>
          </w:p>
        </w:tc>
      </w:tr>
      <w:tr w:rsidR="00BB52D7">
        <w:trPr>
          <w:trHeight w:val="2528"/>
        </w:trPr>
        <w:tc>
          <w:tcPr>
            <w:tcW w:w="263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lastRenderedPageBreak/>
              <w:t xml:space="preserve"> </w:t>
            </w:r>
          </w:p>
        </w:tc>
        <w:tc>
          <w:tcPr>
            <w:tcW w:w="271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1" w:right="55" w:firstLine="0"/>
            </w:pPr>
            <w:r>
              <w:rPr>
                <w:sz w:val="22"/>
              </w:rPr>
              <w:t xml:space="preserve">1, Member States shall ensure that the depositary is liable to the UCITS and to the unit-holders of the UCITS for the loss by the depositary or a third party to whom the custody of financial instruments held in custody in accordance </w:t>
            </w:r>
          </w:p>
        </w:tc>
        <w:tc>
          <w:tcPr>
            <w:tcW w:w="2739" w:type="dxa"/>
            <w:tcBorders>
              <w:top w:val="single" w:sz="4" w:space="0" w:color="000000"/>
              <w:left w:val="single" w:sz="4" w:space="0" w:color="000000"/>
              <w:bottom w:val="single" w:sz="4" w:space="0" w:color="000000"/>
              <w:right w:val="single" w:sz="4" w:space="0" w:color="000000"/>
            </w:tcBorders>
            <w:vAlign w:val="bottom"/>
          </w:tcPr>
          <w:p w:rsidR="00BB52D7" w:rsidRDefault="00E33AE6">
            <w:pPr>
              <w:spacing w:after="122" w:line="239" w:lineRule="auto"/>
              <w:ind w:left="0" w:right="57" w:firstLine="0"/>
            </w:pPr>
            <w:r>
              <w:rPr>
                <w:sz w:val="22"/>
              </w:rPr>
              <w:t>The depositary’s liabi</w:t>
            </w:r>
            <w:r>
              <w:rPr>
                <w:sz w:val="22"/>
              </w:rPr>
              <w:t xml:space="preserve">lity shall not be affected by any delegation referred to in paragraph 11, </w:t>
            </w:r>
          </w:p>
          <w:p w:rsidR="00BB52D7" w:rsidRDefault="00E33AE6">
            <w:pPr>
              <w:spacing w:after="0" w:line="259" w:lineRule="auto"/>
              <w:ind w:left="0" w:right="55" w:firstLine="0"/>
            </w:pPr>
            <w:r>
              <w:rPr>
                <w:b/>
                <w:sz w:val="22"/>
              </w:rPr>
              <w:t xml:space="preserve">Notwithstanding the first subparagraph of this paragraph, in case of a loss of financial instruments held in </w:t>
            </w:r>
          </w:p>
        </w:tc>
      </w:tr>
    </w:tbl>
    <w:p w:rsidR="00BB52D7" w:rsidRDefault="00BB52D7">
      <w:pPr>
        <w:spacing w:after="0" w:line="259" w:lineRule="auto"/>
        <w:ind w:left="-1417" w:right="406" w:firstLine="0"/>
        <w:jc w:val="left"/>
      </w:pPr>
    </w:p>
    <w:tbl>
      <w:tblPr>
        <w:tblStyle w:val="TableGrid"/>
        <w:tblW w:w="8086" w:type="dxa"/>
        <w:tblInd w:w="1095" w:type="dxa"/>
        <w:tblCellMar>
          <w:top w:w="12" w:type="dxa"/>
          <w:left w:w="107" w:type="dxa"/>
          <w:bottom w:w="0" w:type="dxa"/>
          <w:right w:w="53" w:type="dxa"/>
        </w:tblCellMar>
        <w:tblLook w:val="04A0" w:firstRow="1" w:lastRow="0" w:firstColumn="1" w:lastColumn="0" w:noHBand="0" w:noVBand="1"/>
      </w:tblPr>
      <w:tblGrid>
        <w:gridCol w:w="2630"/>
        <w:gridCol w:w="2717"/>
        <w:gridCol w:w="2739"/>
      </w:tblGrid>
      <w:tr w:rsidR="00BB52D7">
        <w:trPr>
          <w:trHeight w:val="13886"/>
        </w:trPr>
        <w:tc>
          <w:tcPr>
            <w:tcW w:w="2631" w:type="dxa"/>
            <w:tcBorders>
              <w:top w:val="single" w:sz="4" w:space="0" w:color="000000"/>
              <w:left w:val="single" w:sz="4" w:space="0" w:color="000000"/>
              <w:bottom w:val="single" w:sz="4" w:space="0" w:color="000000"/>
              <w:right w:val="single" w:sz="4" w:space="0" w:color="000000"/>
            </w:tcBorders>
            <w:vAlign w:val="bottom"/>
          </w:tcPr>
          <w:p w:rsidR="00BB52D7" w:rsidRDefault="00BB52D7">
            <w:pPr>
              <w:spacing w:after="160" w:line="259" w:lineRule="auto"/>
              <w:ind w:left="0" w:firstLine="0"/>
              <w:jc w:val="left"/>
            </w:pPr>
          </w:p>
        </w:tc>
        <w:tc>
          <w:tcPr>
            <w:tcW w:w="2717" w:type="dxa"/>
            <w:tcBorders>
              <w:top w:val="single" w:sz="4" w:space="0" w:color="000000"/>
              <w:left w:val="single" w:sz="4" w:space="0" w:color="000000"/>
              <w:bottom w:val="single" w:sz="4" w:space="0" w:color="000000"/>
              <w:right w:val="single" w:sz="4" w:space="0" w:color="000000"/>
            </w:tcBorders>
          </w:tcPr>
          <w:p w:rsidR="00BB52D7" w:rsidRDefault="00E33AE6">
            <w:pPr>
              <w:spacing w:after="120" w:line="239" w:lineRule="auto"/>
              <w:ind w:left="1" w:firstLine="0"/>
            </w:pPr>
            <w:r>
              <w:rPr>
                <w:sz w:val="22"/>
              </w:rPr>
              <w:t xml:space="preserve">with point (a) of Article 22(5) has been delegated, </w:t>
            </w:r>
          </w:p>
          <w:p w:rsidR="00BB52D7" w:rsidRDefault="00E33AE6">
            <w:pPr>
              <w:spacing w:after="120" w:line="239" w:lineRule="auto"/>
              <w:ind w:left="1" w:right="56" w:firstLine="0"/>
            </w:pPr>
            <w:r>
              <w:rPr>
                <w:sz w:val="22"/>
              </w:rPr>
              <w:t>In the case of a loss of a financial instrument held in custody, Member States shall ensure that the depositary returns a financial instrument of an identical type or the corresponding amount to the UCITS or the management company acting on behalf of the U</w:t>
            </w:r>
            <w:r>
              <w:rPr>
                <w:sz w:val="22"/>
              </w:rPr>
              <w:t>CITS without undue delay, The depositary shall not be liable if it can prove that the loss has arisen as a result of an external event beyond its reasonable control, the consequences of which would have been unavoidable despite all reasonable efforts to th</w:t>
            </w:r>
            <w:r>
              <w:rPr>
                <w:sz w:val="22"/>
              </w:rPr>
              <w:t xml:space="preserve">e contrary, </w:t>
            </w:r>
          </w:p>
          <w:p w:rsidR="00BB52D7" w:rsidRDefault="00E33AE6">
            <w:pPr>
              <w:spacing w:after="118" w:line="241" w:lineRule="auto"/>
              <w:ind w:left="1" w:right="57" w:firstLine="0"/>
            </w:pPr>
            <w:r>
              <w:rPr>
                <w:sz w:val="22"/>
              </w:rPr>
              <w:t>Member States shall ensure that the depositary is also liable to the UCITS, and to the investors of the UCITS, for all other losses suffered by them as a result of the depositary’s negligent or intentional failure to properly fulfil its obligations pursuan</w:t>
            </w:r>
            <w:r>
              <w:rPr>
                <w:sz w:val="22"/>
              </w:rPr>
              <w:t xml:space="preserve">t to this Directive, </w:t>
            </w:r>
          </w:p>
          <w:p w:rsidR="00BB52D7" w:rsidRDefault="00E33AE6">
            <w:pPr>
              <w:spacing w:after="120" w:line="239" w:lineRule="auto"/>
              <w:ind w:left="1" w:right="57" w:firstLine="0"/>
            </w:pPr>
            <w:r>
              <w:rPr>
                <w:sz w:val="22"/>
              </w:rPr>
              <w:t xml:space="preserve">2, The liability of the depositary referred to in paragraph 1 shall not be affected by any delegation as referred to in Article 22a, </w:t>
            </w:r>
          </w:p>
          <w:p w:rsidR="00BB52D7" w:rsidRDefault="00E33AE6">
            <w:pPr>
              <w:spacing w:after="120" w:line="239" w:lineRule="auto"/>
              <w:ind w:left="1" w:right="57" w:firstLine="0"/>
            </w:pPr>
            <w:r>
              <w:rPr>
                <w:sz w:val="22"/>
              </w:rPr>
              <w:t>3, The liability of the depositary referred to in paragraph 1 shall not be excluded or limited by ag</w:t>
            </w:r>
            <w:r>
              <w:rPr>
                <w:sz w:val="22"/>
              </w:rPr>
              <w:t xml:space="preserve">reement, </w:t>
            </w:r>
          </w:p>
          <w:p w:rsidR="00BB52D7" w:rsidRDefault="00E33AE6">
            <w:pPr>
              <w:spacing w:after="0" w:line="239" w:lineRule="auto"/>
              <w:ind w:left="1" w:firstLine="0"/>
            </w:pPr>
            <w:r>
              <w:rPr>
                <w:sz w:val="22"/>
              </w:rPr>
              <w:t xml:space="preserve">4, Any agreement that contravenes paragraph 3 </w:t>
            </w:r>
          </w:p>
          <w:p w:rsidR="00BB52D7" w:rsidRDefault="00E33AE6">
            <w:pPr>
              <w:spacing w:after="98" w:line="259" w:lineRule="auto"/>
              <w:ind w:left="1" w:firstLine="0"/>
              <w:jc w:val="left"/>
            </w:pPr>
            <w:r>
              <w:rPr>
                <w:sz w:val="22"/>
              </w:rPr>
              <w:t xml:space="preserve">shall be void, </w:t>
            </w:r>
          </w:p>
          <w:p w:rsidR="00BB52D7" w:rsidRDefault="00E33AE6">
            <w:pPr>
              <w:spacing w:after="0" w:line="259" w:lineRule="auto"/>
              <w:ind w:left="1" w:right="57" w:firstLine="0"/>
            </w:pPr>
            <w:r>
              <w:rPr>
                <w:sz w:val="22"/>
              </w:rPr>
              <w:t xml:space="preserve">5, Unit-holders in the UCITS may invoke the liability of the depositary directly or indirectly </w:t>
            </w:r>
          </w:p>
        </w:tc>
        <w:tc>
          <w:tcPr>
            <w:tcW w:w="2739" w:type="dxa"/>
            <w:tcBorders>
              <w:top w:val="single" w:sz="4" w:space="0" w:color="000000"/>
              <w:left w:val="single" w:sz="4" w:space="0" w:color="000000"/>
              <w:bottom w:val="single" w:sz="4" w:space="0" w:color="000000"/>
              <w:right w:val="single" w:sz="4" w:space="0" w:color="000000"/>
            </w:tcBorders>
          </w:tcPr>
          <w:p w:rsidR="00BB52D7" w:rsidRDefault="00E33AE6">
            <w:pPr>
              <w:spacing w:after="121" w:line="239" w:lineRule="auto"/>
              <w:ind w:left="0" w:right="57" w:firstLine="0"/>
            </w:pPr>
            <w:r>
              <w:rPr>
                <w:b/>
                <w:sz w:val="22"/>
              </w:rPr>
              <w:t xml:space="preserve">custody by a third party pursuant to paragraph 11, the depositary may discharge itself </w:t>
            </w:r>
            <w:r>
              <w:rPr>
                <w:b/>
                <w:sz w:val="22"/>
              </w:rPr>
              <w:t xml:space="preserve">of liability if it can prove that: </w:t>
            </w:r>
          </w:p>
          <w:p w:rsidR="00BB52D7" w:rsidRDefault="00E33AE6">
            <w:pPr>
              <w:numPr>
                <w:ilvl w:val="0"/>
                <w:numId w:val="42"/>
              </w:numPr>
              <w:spacing w:after="0" w:line="240" w:lineRule="auto"/>
              <w:ind w:right="55" w:hanging="270"/>
            </w:pPr>
            <w:r>
              <w:rPr>
                <w:b/>
                <w:sz w:val="22"/>
              </w:rPr>
              <w:t xml:space="preserve">all requirements for the delegation of its custody tasks set out in the </w:t>
            </w:r>
            <w:r>
              <w:rPr>
                <w:b/>
                <w:sz w:val="22"/>
              </w:rPr>
              <w:tab/>
              <w:t xml:space="preserve">second subparagraph of </w:t>
            </w:r>
          </w:p>
          <w:p w:rsidR="00BB52D7" w:rsidRDefault="00E33AE6">
            <w:pPr>
              <w:spacing w:after="98" w:line="259" w:lineRule="auto"/>
              <w:ind w:left="80" w:firstLine="0"/>
              <w:jc w:val="center"/>
            </w:pPr>
            <w:r>
              <w:rPr>
                <w:b/>
                <w:sz w:val="22"/>
              </w:rPr>
              <w:t xml:space="preserve">paragraph 11 are met; </w:t>
            </w:r>
          </w:p>
          <w:p w:rsidR="00BB52D7" w:rsidRDefault="00E33AE6">
            <w:pPr>
              <w:numPr>
                <w:ilvl w:val="0"/>
                <w:numId w:val="42"/>
              </w:numPr>
              <w:spacing w:after="120" w:line="239" w:lineRule="auto"/>
              <w:ind w:right="55" w:hanging="270"/>
            </w:pPr>
            <w:r>
              <w:rPr>
                <w:b/>
                <w:sz w:val="22"/>
              </w:rPr>
              <w:t>a written contract between the depositary and the third party expressly transfers the liability of the depositary to that third party and makes it possible for the AIF or the AIFM acting on behalf of the AIF to make a claim against the third party in respe</w:t>
            </w:r>
            <w:r>
              <w:rPr>
                <w:b/>
                <w:sz w:val="22"/>
              </w:rPr>
              <w:t xml:space="preserve">ct of the loss of financial instruments or for the depositary to make such a claim on their behalf; and </w:t>
            </w:r>
          </w:p>
          <w:p w:rsidR="00BB52D7" w:rsidRDefault="00E33AE6">
            <w:pPr>
              <w:numPr>
                <w:ilvl w:val="0"/>
                <w:numId w:val="42"/>
              </w:numPr>
              <w:spacing w:after="0" w:line="259" w:lineRule="auto"/>
              <w:ind w:right="55" w:hanging="270"/>
            </w:pPr>
            <w:r>
              <w:rPr>
                <w:b/>
                <w:sz w:val="22"/>
              </w:rPr>
              <w:t>a written contract between the depositary and the AIF or the AIFM acting on behalf of the AIF, expressly allows a discharge of the depositary’s liabili</w:t>
            </w:r>
            <w:r>
              <w:rPr>
                <w:b/>
                <w:sz w:val="22"/>
              </w:rPr>
              <w:t xml:space="preserve">ty and establishes the objective reason to contract such a </w:t>
            </w:r>
            <w:r>
              <w:rPr>
                <w:sz w:val="1"/>
              </w:rPr>
              <w:t xml:space="preserve"> </w:t>
            </w:r>
            <w:r>
              <w:rPr>
                <w:b/>
                <w:sz w:val="22"/>
              </w:rPr>
              <w:t xml:space="preserve">discharge. </w:t>
            </w:r>
          </w:p>
        </w:tc>
      </w:tr>
    </w:tbl>
    <w:p w:rsidR="00BB52D7" w:rsidRDefault="00BB52D7">
      <w:pPr>
        <w:spacing w:after="0" w:line="259" w:lineRule="auto"/>
        <w:ind w:left="-1417" w:right="406" w:firstLine="0"/>
        <w:jc w:val="left"/>
      </w:pPr>
    </w:p>
    <w:tbl>
      <w:tblPr>
        <w:tblStyle w:val="TableGrid"/>
        <w:tblW w:w="8086" w:type="dxa"/>
        <w:tblInd w:w="1095" w:type="dxa"/>
        <w:tblCellMar>
          <w:top w:w="12" w:type="dxa"/>
          <w:left w:w="108" w:type="dxa"/>
          <w:bottom w:w="0" w:type="dxa"/>
          <w:right w:w="55" w:type="dxa"/>
        </w:tblCellMar>
        <w:tblLook w:val="04A0" w:firstRow="1" w:lastRow="0" w:firstColumn="1" w:lastColumn="0" w:noHBand="0" w:noVBand="1"/>
      </w:tblPr>
      <w:tblGrid>
        <w:gridCol w:w="2630"/>
        <w:gridCol w:w="2717"/>
        <w:gridCol w:w="2739"/>
      </w:tblGrid>
      <w:tr w:rsidR="00BB52D7">
        <w:trPr>
          <w:trHeight w:val="2274"/>
        </w:trPr>
        <w:tc>
          <w:tcPr>
            <w:tcW w:w="2631" w:type="dxa"/>
            <w:tcBorders>
              <w:top w:val="single" w:sz="4" w:space="0" w:color="000000"/>
              <w:left w:val="single" w:sz="4" w:space="0" w:color="000000"/>
              <w:bottom w:val="single" w:sz="4" w:space="0" w:color="000000"/>
              <w:right w:val="single" w:sz="4" w:space="0" w:color="000000"/>
            </w:tcBorders>
            <w:vAlign w:val="center"/>
          </w:tcPr>
          <w:p w:rsidR="00BB52D7" w:rsidRDefault="00BB52D7">
            <w:pPr>
              <w:spacing w:after="160" w:line="259" w:lineRule="auto"/>
              <w:ind w:left="0" w:firstLine="0"/>
              <w:jc w:val="left"/>
            </w:pPr>
          </w:p>
        </w:tc>
        <w:tc>
          <w:tcPr>
            <w:tcW w:w="2717"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39" w:lineRule="auto"/>
              <w:ind w:left="0" w:right="55" w:firstLine="0"/>
            </w:pPr>
            <w:r>
              <w:rPr>
                <w:sz w:val="22"/>
              </w:rPr>
              <w:t xml:space="preserve">through the management company or the investment company provided that this does not lead to a duplication of redress or to unequal treatment of the unit-holders. </w:t>
            </w:r>
          </w:p>
          <w:p w:rsidR="00BB52D7" w:rsidRDefault="00E33AE6">
            <w:pPr>
              <w:spacing w:after="0" w:line="259" w:lineRule="auto"/>
              <w:ind w:left="0" w:firstLine="0"/>
              <w:jc w:val="left"/>
            </w:pPr>
            <w:r>
              <w:rPr>
                <w:sz w:val="22"/>
              </w:rPr>
              <w:t xml:space="preserve"> </w:t>
            </w:r>
          </w:p>
        </w:tc>
        <w:tc>
          <w:tcPr>
            <w:tcW w:w="2739" w:type="dxa"/>
            <w:tcBorders>
              <w:top w:val="single" w:sz="4" w:space="0" w:color="000000"/>
              <w:left w:val="single" w:sz="4" w:space="0" w:color="000000"/>
              <w:bottom w:val="single" w:sz="4" w:space="0" w:color="000000"/>
              <w:right w:val="single" w:sz="4" w:space="0" w:color="000000"/>
            </w:tcBorders>
            <w:vAlign w:val="bottom"/>
          </w:tcPr>
          <w:p w:rsidR="00BB52D7" w:rsidRDefault="00BB52D7">
            <w:pPr>
              <w:spacing w:after="160" w:line="259" w:lineRule="auto"/>
              <w:ind w:left="0" w:firstLine="0"/>
              <w:jc w:val="left"/>
            </w:pPr>
          </w:p>
        </w:tc>
      </w:tr>
    </w:tbl>
    <w:p w:rsidR="00BB52D7" w:rsidRDefault="00BB52D7">
      <w:pPr>
        <w:sectPr w:rsidR="00BB52D7">
          <w:footerReference w:type="even" r:id="rId34"/>
          <w:footerReference w:type="default" r:id="rId35"/>
          <w:footerReference w:type="first" r:id="rId36"/>
          <w:pgSz w:w="11906" w:h="16838"/>
          <w:pgMar w:top="1422" w:right="902" w:bottom="1503" w:left="1417" w:header="708" w:footer="710" w:gutter="0"/>
          <w:cols w:space="708"/>
        </w:sectPr>
      </w:pPr>
    </w:p>
    <w:p w:rsidR="00BB52D7" w:rsidRDefault="00E33AE6">
      <w:pPr>
        <w:pStyle w:val="Heading2"/>
        <w:spacing w:after="0" w:line="259" w:lineRule="auto"/>
        <w:ind w:left="0" w:right="1000" w:firstLine="0"/>
        <w:jc w:val="right"/>
      </w:pPr>
      <w:bookmarkStart w:id="36" w:name="_Toc240996"/>
      <w:r>
        <w:rPr>
          <w:i w:val="0"/>
          <w:u w:val="none"/>
        </w:rPr>
        <w:lastRenderedPageBreak/>
        <w:t xml:space="preserve">Annex 10: Comparison of empowerments for delegated acts regarding depositaries in the UCITS V and AIFMD </w:t>
      </w:r>
      <w:bookmarkEnd w:id="36"/>
    </w:p>
    <w:tbl>
      <w:tblPr>
        <w:tblStyle w:val="TableGrid"/>
        <w:tblW w:w="14219" w:type="dxa"/>
        <w:tblInd w:w="-107" w:type="dxa"/>
        <w:tblCellMar>
          <w:top w:w="11" w:type="dxa"/>
          <w:left w:w="107" w:type="dxa"/>
          <w:bottom w:w="0" w:type="dxa"/>
          <w:right w:w="101" w:type="dxa"/>
        </w:tblCellMar>
        <w:tblLook w:val="04A0" w:firstRow="1" w:lastRow="0" w:firstColumn="1" w:lastColumn="0" w:noHBand="0" w:noVBand="1"/>
      </w:tblPr>
      <w:tblGrid>
        <w:gridCol w:w="7059"/>
        <w:gridCol w:w="7160"/>
      </w:tblGrid>
      <w:tr w:rsidR="00BB52D7">
        <w:trPr>
          <w:trHeight w:val="260"/>
        </w:trPr>
        <w:tc>
          <w:tcPr>
            <w:tcW w:w="7059"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right="8" w:firstLine="0"/>
              <w:jc w:val="center"/>
            </w:pPr>
            <w:r>
              <w:rPr>
                <w:b/>
                <w:sz w:val="22"/>
              </w:rPr>
              <w:t xml:space="preserve">UCITS V empowerments  (Article 26b) </w:t>
            </w:r>
          </w:p>
        </w:tc>
        <w:tc>
          <w:tcPr>
            <w:tcW w:w="7160" w:type="dxa"/>
            <w:tcBorders>
              <w:top w:val="single" w:sz="4" w:space="0" w:color="000000"/>
              <w:left w:val="single" w:sz="4" w:space="0" w:color="000000"/>
              <w:bottom w:val="single" w:sz="4" w:space="0" w:color="000000"/>
              <w:right w:val="single" w:sz="4" w:space="0" w:color="000000"/>
            </w:tcBorders>
            <w:shd w:val="clear" w:color="auto" w:fill="A6A6A6"/>
          </w:tcPr>
          <w:p w:rsidR="00BB52D7" w:rsidRDefault="00E33AE6">
            <w:pPr>
              <w:spacing w:after="0" w:line="259" w:lineRule="auto"/>
              <w:ind w:left="0" w:right="8" w:firstLine="0"/>
              <w:jc w:val="center"/>
            </w:pPr>
            <w:r>
              <w:rPr>
                <w:b/>
                <w:sz w:val="22"/>
              </w:rPr>
              <w:t xml:space="preserve">AIFMD empowerments (Article 21 (17)) </w:t>
            </w:r>
          </w:p>
        </w:tc>
      </w:tr>
      <w:tr w:rsidR="00BB52D7">
        <w:trPr>
          <w:trHeight w:val="518"/>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pPr>
            <w:r>
              <w:rPr>
                <w:sz w:val="22"/>
              </w:rPr>
              <w:t xml:space="preserve">1) the particulars that need to be included in the written contract (with a third party)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pPr>
            <w:r>
              <w:rPr>
                <w:sz w:val="22"/>
              </w:rPr>
              <w:t xml:space="preserve">1) the particulars that need to be included in the written contract  (with a third party) </w:t>
            </w:r>
          </w:p>
        </w:tc>
      </w:tr>
      <w:tr w:rsidR="00BB52D7">
        <w:trPr>
          <w:trHeight w:val="767"/>
        </w:trPr>
        <w:tc>
          <w:tcPr>
            <w:tcW w:w="7059"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 w:firstLine="0"/>
              <w:jc w:val="left"/>
            </w:pPr>
            <w:r>
              <w:rPr>
                <w:sz w:val="22"/>
              </w:rPr>
              <w:t xml:space="preserve">2) </w:t>
            </w:r>
            <w:r>
              <w:rPr>
                <w:b/>
                <w:sz w:val="22"/>
              </w:rPr>
              <w:t>general criteria for assessing whether the prudential regulation and supervision of third countries […] have the same effect as Union law and are effectively enforced;</w:t>
            </w:r>
            <w:r>
              <w:rPr>
                <w:sz w:val="22"/>
              </w:rPr>
              <w:t xml:space="preserve"> </w:t>
            </w:r>
          </w:p>
        </w:tc>
      </w:tr>
      <w:tr w:rsidR="00BB52D7">
        <w:trPr>
          <w:trHeight w:val="264"/>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2) the conditions for performing the depositary functions including: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 xml:space="preserve">3) the conditions for performing the depositary functions </w:t>
            </w:r>
          </w:p>
        </w:tc>
      </w:tr>
      <w:tr w:rsidR="00BB52D7">
        <w:trPr>
          <w:trHeight w:val="516"/>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-the types of financial instrument to be included in the scope of the custody duties of the depositary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 the type of financial instruments to be included in the scope of the depositary’s custody</w:t>
            </w:r>
            <w:r>
              <w:rPr>
                <w:sz w:val="22"/>
              </w:rPr>
              <w:t xml:space="preserve"> duties  </w:t>
            </w:r>
          </w:p>
        </w:tc>
      </w:tr>
      <w:tr w:rsidR="00BB52D7">
        <w:trPr>
          <w:trHeight w:val="516"/>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 the conditions subject to which the depositary is able to exercise its custody duties over financial instruments registered with a central depositary;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 xml:space="preserve">- </w:t>
            </w:r>
            <w:r>
              <w:rPr>
                <w:sz w:val="22"/>
              </w:rPr>
              <w:t xml:space="preserve">the conditions subject to which the depositary is able to exercise its custody duties over financial instruments registered with a central depositary; and </w:t>
            </w:r>
          </w:p>
        </w:tc>
      </w:tr>
      <w:tr w:rsidR="00BB52D7">
        <w:trPr>
          <w:trHeight w:val="770"/>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the conditions subject to which the depositary is to safekeep the financial instruments issued in</w:t>
            </w:r>
            <w:r>
              <w:rPr>
                <w:sz w:val="22"/>
              </w:rPr>
              <w:t xml:space="preserve"> a nominative form and registered with an issuer or a registrar,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 xml:space="preserve">- the conditions subject to which the depositary is to safekeep the financial instruments issued in a nominative form and registered with an issuer or a registrar,  </w:t>
            </w:r>
          </w:p>
        </w:tc>
      </w:tr>
      <w:tr w:rsidR="00BB52D7">
        <w:trPr>
          <w:trHeight w:val="263"/>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3) the due diligence duties of depositaries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 xml:space="preserve">4) the due diligence duties of depositaries  </w:t>
            </w:r>
          </w:p>
        </w:tc>
      </w:tr>
      <w:tr w:rsidR="00BB52D7">
        <w:trPr>
          <w:trHeight w:val="264"/>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4) the segregation obligation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 xml:space="preserve">5) the segregation obligation  </w:t>
            </w:r>
          </w:p>
        </w:tc>
      </w:tr>
      <w:tr w:rsidR="00BB52D7">
        <w:trPr>
          <w:trHeight w:val="260"/>
        </w:trPr>
        <w:tc>
          <w:tcPr>
            <w:tcW w:w="7059"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sz w:val="22"/>
              </w:rPr>
              <w:t>5</w:t>
            </w:r>
            <w:r>
              <w:rPr>
                <w:b/>
                <w:sz w:val="22"/>
              </w:rPr>
              <w:t>) the steps to be taken by the third party</w:t>
            </w: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 w:firstLine="0"/>
              <w:jc w:val="left"/>
            </w:pPr>
            <w:r>
              <w:rPr>
                <w:sz w:val="22"/>
              </w:rPr>
              <w:t xml:space="preserve"> </w:t>
            </w:r>
          </w:p>
        </w:tc>
      </w:tr>
      <w:tr w:rsidR="00BB52D7">
        <w:trPr>
          <w:trHeight w:val="517"/>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6) the conditions subject to which and circumstances in which financial instruments held in custody are to be considered to be lost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6) the conditions subject to which and circumstances in which financial instruments held in custody are to be considered a</w:t>
            </w:r>
            <w:r>
              <w:rPr>
                <w:sz w:val="22"/>
              </w:rPr>
              <w:t xml:space="preserve">s lost; </w:t>
            </w:r>
          </w:p>
        </w:tc>
      </w:tr>
      <w:tr w:rsidR="00BB52D7">
        <w:trPr>
          <w:trHeight w:val="769"/>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7) what is to be understood by external events beyond reasonable control, the consequences of which would have been unavoidable despite all reasonable efforts to the contrary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 xml:space="preserve">7) what is to be understood by external events beyond reasonable control, the consequences of which would have been unavoidable despite all reasonable efforts to the contrary  </w:t>
            </w:r>
          </w:p>
        </w:tc>
      </w:tr>
      <w:tr w:rsidR="00BB52D7">
        <w:trPr>
          <w:trHeight w:val="518"/>
        </w:trPr>
        <w:tc>
          <w:tcPr>
            <w:tcW w:w="7059"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2" w:firstLine="0"/>
              <w:jc w:val="left"/>
            </w:pPr>
            <w:r>
              <w:rPr>
                <w:sz w:val="22"/>
              </w:rPr>
              <w:t>8) the conditions subject to which and circumstances in which there is an ob</w:t>
            </w:r>
            <w:r>
              <w:rPr>
                <w:sz w:val="22"/>
              </w:rPr>
              <w:t xml:space="preserve">jective reason to contract a discharge  </w:t>
            </w:r>
          </w:p>
        </w:tc>
      </w:tr>
      <w:tr w:rsidR="00BB52D7">
        <w:trPr>
          <w:trHeight w:val="260"/>
        </w:trPr>
        <w:tc>
          <w:tcPr>
            <w:tcW w:w="7059"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0" w:firstLine="0"/>
              <w:jc w:val="left"/>
            </w:pPr>
            <w:r>
              <w:rPr>
                <w:sz w:val="22"/>
              </w:rPr>
              <w:t xml:space="preserve">8) </w:t>
            </w:r>
            <w:r>
              <w:rPr>
                <w:b/>
                <w:sz w:val="22"/>
                <w:u w:val="single" w:color="000000"/>
              </w:rPr>
              <w:t>the conditions for fulfilling the independence requirement</w:t>
            </w: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shd w:val="clear" w:color="auto" w:fill="D9D9D9"/>
          </w:tcPr>
          <w:p w:rsidR="00BB52D7" w:rsidRDefault="00E33AE6">
            <w:pPr>
              <w:spacing w:after="0" w:line="259" w:lineRule="auto"/>
              <w:ind w:left="2" w:firstLine="0"/>
              <w:jc w:val="left"/>
            </w:pPr>
            <w:r>
              <w:rPr>
                <w:sz w:val="22"/>
              </w:rPr>
              <w:t xml:space="preserve"> </w:t>
            </w:r>
          </w:p>
        </w:tc>
      </w:tr>
    </w:tbl>
    <w:p w:rsidR="00BB52D7" w:rsidRDefault="00E33AE6">
      <w:pPr>
        <w:spacing w:after="219" w:line="259" w:lineRule="auto"/>
        <w:ind w:left="0" w:firstLine="0"/>
        <w:jc w:val="left"/>
      </w:pPr>
      <w:r>
        <w:rPr>
          <w:rFonts w:ascii="Calibri" w:eastAsia="Calibri" w:hAnsi="Calibri" w:cs="Calibri"/>
          <w:sz w:val="22"/>
        </w:rPr>
        <w:t xml:space="preserve"> </w:t>
      </w:r>
    </w:p>
    <w:p w:rsidR="00BB52D7" w:rsidRDefault="00E33AE6">
      <w:pPr>
        <w:spacing w:after="219" w:line="259" w:lineRule="auto"/>
        <w:ind w:left="0" w:firstLine="0"/>
        <w:jc w:val="left"/>
      </w:pPr>
      <w:r>
        <w:rPr>
          <w:rFonts w:ascii="Calibri" w:eastAsia="Calibri" w:hAnsi="Calibri" w:cs="Calibri"/>
          <w:sz w:val="22"/>
        </w:rPr>
        <w:t xml:space="preserve"> </w:t>
      </w:r>
    </w:p>
    <w:p w:rsidR="00BB52D7" w:rsidRDefault="00E33AE6">
      <w:pPr>
        <w:spacing w:after="0" w:line="259" w:lineRule="auto"/>
        <w:ind w:left="0" w:firstLine="0"/>
        <w:jc w:val="left"/>
      </w:pPr>
      <w:r>
        <w:rPr>
          <w:rFonts w:ascii="Calibri" w:eastAsia="Calibri" w:hAnsi="Calibri" w:cs="Calibri"/>
          <w:sz w:val="22"/>
        </w:rPr>
        <w:t xml:space="preserve"> </w:t>
      </w:r>
    </w:p>
    <w:p w:rsidR="00BB52D7" w:rsidRDefault="00E33AE6">
      <w:pPr>
        <w:pStyle w:val="Heading1"/>
        <w:spacing w:after="425" w:line="248" w:lineRule="auto"/>
        <w:ind w:left="355"/>
        <w:jc w:val="both"/>
      </w:pPr>
      <w:bookmarkStart w:id="37" w:name="_Toc240997"/>
      <w:r>
        <w:rPr>
          <w:sz w:val="24"/>
        </w:rPr>
        <w:lastRenderedPageBreak/>
        <w:t xml:space="preserve">Annex 11: Comments and Discrepancies between the provision, the AIFMD and the ESMA advice, </w:t>
      </w:r>
      <w:bookmarkEnd w:id="37"/>
    </w:p>
    <w:tbl>
      <w:tblPr>
        <w:tblStyle w:val="TableGrid"/>
        <w:tblW w:w="12722" w:type="dxa"/>
        <w:tblInd w:w="-107" w:type="dxa"/>
        <w:tblCellMar>
          <w:top w:w="12" w:type="dxa"/>
          <w:left w:w="107" w:type="dxa"/>
          <w:bottom w:w="0" w:type="dxa"/>
          <w:right w:w="53" w:type="dxa"/>
        </w:tblCellMar>
        <w:tblLook w:val="04A0" w:firstRow="1" w:lastRow="0" w:firstColumn="1" w:lastColumn="0" w:noHBand="0" w:noVBand="1"/>
      </w:tblPr>
      <w:tblGrid>
        <w:gridCol w:w="1667"/>
        <w:gridCol w:w="3260"/>
        <w:gridCol w:w="7795"/>
      </w:tblGrid>
      <w:tr w:rsidR="00BB52D7">
        <w:trPr>
          <w:trHeight w:val="498"/>
        </w:trPr>
        <w:tc>
          <w:tcPr>
            <w:tcW w:w="12722" w:type="dxa"/>
            <w:gridSpan w:val="3"/>
            <w:tcBorders>
              <w:top w:val="single" w:sz="4" w:space="0" w:color="000000"/>
              <w:left w:val="single" w:sz="4" w:space="0" w:color="000000"/>
              <w:bottom w:val="single" w:sz="4" w:space="0" w:color="000000"/>
              <w:right w:val="single" w:sz="4" w:space="0" w:color="000000"/>
            </w:tcBorders>
            <w:shd w:val="clear" w:color="auto" w:fill="F2F2F2"/>
          </w:tcPr>
          <w:p w:rsidR="00BB52D7" w:rsidRDefault="00E33AE6">
            <w:pPr>
              <w:spacing w:after="0" w:line="259" w:lineRule="auto"/>
              <w:ind w:left="0" w:right="57" w:firstLine="0"/>
              <w:jc w:val="center"/>
            </w:pPr>
            <w:r>
              <w:rPr>
                <w:b/>
                <w:sz w:val="22"/>
                <w:u w:val="single" w:color="000000"/>
              </w:rPr>
              <w:t>Empowerments which are both in AIFMD and UCITS Directive</w:t>
            </w:r>
            <w:r>
              <w:rPr>
                <w:rFonts w:ascii="Calibri" w:eastAsia="Calibri" w:hAnsi="Calibri" w:cs="Calibri"/>
                <w:b/>
                <w:sz w:val="22"/>
              </w:rPr>
              <w:t xml:space="preserve"> </w:t>
            </w:r>
          </w:p>
        </w:tc>
      </w:tr>
      <w:tr w:rsidR="00BB52D7">
        <w:trPr>
          <w:trHeight w:val="1085"/>
        </w:trPr>
        <w:tc>
          <w:tcPr>
            <w:tcW w:w="1667" w:type="dxa"/>
            <w:tcBorders>
              <w:top w:val="single" w:sz="4" w:space="0" w:color="000000"/>
              <w:left w:val="single" w:sz="4" w:space="0" w:color="000000"/>
              <w:bottom w:val="single" w:sz="4" w:space="0" w:color="000000"/>
              <w:right w:val="single" w:sz="4" w:space="0" w:color="000000"/>
            </w:tcBorders>
          </w:tcPr>
          <w:p w:rsidR="00BB52D7" w:rsidRDefault="00E33AE6">
            <w:pPr>
              <w:spacing w:after="16" w:line="259" w:lineRule="auto"/>
              <w:ind w:left="0" w:right="56" w:firstLine="0"/>
              <w:jc w:val="center"/>
            </w:pPr>
            <w:r>
              <w:rPr>
                <w:b/>
                <w:sz w:val="22"/>
              </w:rPr>
              <w:t xml:space="preserve">Article in the </w:t>
            </w:r>
          </w:p>
          <w:p w:rsidR="00BB52D7" w:rsidRDefault="00E33AE6">
            <w:pPr>
              <w:spacing w:after="17" w:line="259" w:lineRule="auto"/>
              <w:ind w:left="0" w:right="56" w:firstLine="0"/>
              <w:jc w:val="center"/>
            </w:pPr>
            <w:r>
              <w:rPr>
                <w:b/>
                <w:sz w:val="22"/>
              </w:rPr>
              <w:t xml:space="preserve">UCITS </w:t>
            </w:r>
          </w:p>
          <w:p w:rsidR="00BB52D7" w:rsidRDefault="00E33AE6">
            <w:pPr>
              <w:spacing w:after="0" w:line="259" w:lineRule="auto"/>
              <w:ind w:left="0" w:right="57" w:firstLine="0"/>
              <w:jc w:val="center"/>
            </w:pPr>
            <w:r>
              <w:rPr>
                <w:b/>
                <w:sz w:val="22"/>
              </w:rPr>
              <w:t xml:space="preserve">Directive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6" w:firstLine="0"/>
              <w:jc w:val="center"/>
            </w:pPr>
            <w:r>
              <w:rPr>
                <w:b/>
                <w:sz w:val="22"/>
              </w:rPr>
              <w:t xml:space="preserve">Description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center"/>
            </w:pPr>
            <w:r>
              <w:rPr>
                <w:b/>
                <w:sz w:val="22"/>
              </w:rPr>
              <w:t xml:space="preserve">Comments on substantive discrepancies between the provision and the AIFMD level 2 </w:t>
            </w:r>
          </w:p>
        </w:tc>
      </w:tr>
      <w:tr w:rsidR="00BB52D7">
        <w:trPr>
          <w:trHeight w:val="1528"/>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22(2) </w:t>
            </w:r>
          </w:p>
        </w:tc>
        <w:tc>
          <w:tcPr>
            <w:tcW w:w="32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1" w:firstLine="0"/>
            </w:pPr>
            <w:r>
              <w:rPr>
                <w:sz w:val="22"/>
              </w:rPr>
              <w:t xml:space="preserve">The particulars that need to be included in the written contract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56" w:firstLine="0"/>
            </w:pPr>
            <w:r>
              <w:rPr>
                <w:sz w:val="22"/>
              </w:rPr>
              <w:t>Changes, in comparison to the AIFMD have been introduced to ensure consistency between the UCITS level 1 and the level 2. For example, the reference of the discharge of liability has been de</w:t>
            </w:r>
            <w:r>
              <w:rPr>
                <w:sz w:val="22"/>
              </w:rPr>
              <w:t xml:space="preserve">leted in this Article, as under UCITS V depositary is not allowed to discharge its liability by means of a contractual arrangement with a third party, by the same token, the reuse of assets by the sub-custodian is prohibited by level 1. </w:t>
            </w:r>
          </w:p>
        </w:tc>
      </w:tr>
      <w:tr w:rsidR="00BB52D7">
        <w:trPr>
          <w:trHeight w:val="592"/>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22(3)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Oversight </w:t>
            </w:r>
            <w:r>
              <w:rPr>
                <w:sz w:val="22"/>
              </w:rPr>
              <w:tab/>
              <w:t xml:space="preserve">duties </w:t>
            </w:r>
            <w:r>
              <w:rPr>
                <w:sz w:val="22"/>
              </w:rPr>
              <w:tab/>
              <w:t xml:space="preserve">- </w:t>
            </w:r>
            <w:r>
              <w:rPr>
                <w:sz w:val="22"/>
              </w:rPr>
              <w:tab/>
              <w:t xml:space="preserve">general requirements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No changes </w:t>
            </w:r>
          </w:p>
        </w:tc>
      </w:tr>
      <w:tr w:rsidR="00BB52D7">
        <w:trPr>
          <w:trHeight w:val="592"/>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22(3)(a)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Duties regarding subscription and redemptions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No changes </w:t>
            </w:r>
          </w:p>
        </w:tc>
      </w:tr>
      <w:tr w:rsidR="00BB52D7">
        <w:trPr>
          <w:trHeight w:val="1374"/>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22(3)(b) </w:t>
            </w:r>
          </w:p>
        </w:tc>
        <w:tc>
          <w:tcPr>
            <w:tcW w:w="32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1" w:firstLine="0"/>
              <w:jc w:val="left"/>
            </w:pPr>
            <w:r>
              <w:rPr>
                <w:sz w:val="22"/>
              </w:rPr>
              <w:t xml:space="preserve">Duties regarding the valuation of units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59" w:firstLine="0"/>
            </w:pPr>
            <w:r>
              <w:rPr>
                <w:sz w:val="22"/>
              </w:rPr>
              <w:t>Changes, in comparison to the AIFMD level 2 have been introduced to ensure consistency between the UCITS level 1 and the level 2. For example, the reference of the valuator has been deleted in this Article as the rules regarding valuation of assets and cal</w:t>
            </w:r>
            <w:r>
              <w:rPr>
                <w:sz w:val="22"/>
              </w:rPr>
              <w:t xml:space="preserve">culation of units’ price of UCITS are regulated at the national level. </w:t>
            </w:r>
          </w:p>
        </w:tc>
      </w:tr>
      <w:tr w:rsidR="00BB52D7">
        <w:trPr>
          <w:trHeight w:val="592"/>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22(3)(c)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pPr>
            <w:r>
              <w:rPr>
                <w:sz w:val="22"/>
              </w:rPr>
              <w:t xml:space="preserve">Duties regarding the carrying out of the UCITS’s instructions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No changes </w:t>
            </w:r>
          </w:p>
        </w:tc>
      </w:tr>
      <w:tr w:rsidR="00BB52D7">
        <w:trPr>
          <w:trHeight w:val="593"/>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22(3)(d)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tabs>
                <w:tab w:val="center" w:pos="1261"/>
                <w:tab w:val="center" w:pos="2083"/>
                <w:tab w:val="right" w:pos="3101"/>
              </w:tabs>
              <w:spacing w:after="22" w:line="259" w:lineRule="auto"/>
              <w:ind w:left="0" w:firstLine="0"/>
              <w:jc w:val="left"/>
            </w:pPr>
            <w:r>
              <w:rPr>
                <w:sz w:val="22"/>
              </w:rPr>
              <w:t xml:space="preserve">Duties </w:t>
            </w:r>
            <w:r>
              <w:rPr>
                <w:sz w:val="22"/>
              </w:rPr>
              <w:tab/>
              <w:t xml:space="preserve">regarding </w:t>
            </w:r>
            <w:r>
              <w:rPr>
                <w:sz w:val="22"/>
              </w:rPr>
              <w:tab/>
              <w:t xml:space="preserve">the </w:t>
            </w:r>
            <w:r>
              <w:rPr>
                <w:sz w:val="22"/>
              </w:rPr>
              <w:tab/>
              <w:t xml:space="preserve">timely </w:t>
            </w:r>
          </w:p>
          <w:p w:rsidR="00BB52D7" w:rsidRDefault="00E33AE6">
            <w:pPr>
              <w:spacing w:after="0" w:line="259" w:lineRule="auto"/>
              <w:ind w:left="1" w:firstLine="0"/>
              <w:jc w:val="left"/>
            </w:pPr>
            <w:r>
              <w:rPr>
                <w:sz w:val="22"/>
              </w:rPr>
              <w:t xml:space="preserve">settlement of transactions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No changes </w:t>
            </w:r>
          </w:p>
        </w:tc>
      </w:tr>
      <w:tr w:rsidR="00BB52D7">
        <w:trPr>
          <w:trHeight w:val="592"/>
        </w:trPr>
        <w:tc>
          <w:tcPr>
            <w:tcW w:w="1667" w:type="dxa"/>
            <w:tcBorders>
              <w:top w:val="single" w:sz="4" w:space="0" w:color="000000"/>
              <w:left w:val="single" w:sz="4" w:space="0" w:color="000000"/>
              <w:bottom w:val="single" w:sz="4" w:space="0" w:color="000000"/>
              <w:right w:val="single" w:sz="4" w:space="0" w:color="000000"/>
            </w:tcBorders>
          </w:tcPr>
          <w:p w:rsidR="00BB52D7" w:rsidRDefault="00E33AE6">
            <w:pPr>
              <w:spacing w:after="16" w:line="259" w:lineRule="auto"/>
              <w:ind w:left="0" w:firstLine="0"/>
              <w:jc w:val="left"/>
            </w:pPr>
            <w:r>
              <w:rPr>
                <w:sz w:val="22"/>
              </w:rPr>
              <w:t xml:space="preserve">Article 22(3)(e)  </w:t>
            </w:r>
          </w:p>
          <w:p w:rsidR="00BB52D7" w:rsidRDefault="00E33AE6">
            <w:pPr>
              <w:spacing w:after="0" w:line="259" w:lineRule="auto"/>
              <w:ind w:left="0" w:firstLine="0"/>
              <w:jc w:val="left"/>
            </w:pPr>
            <w:r>
              <w:rPr>
                <w:sz w:val="22"/>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pPr>
            <w:r>
              <w:rPr>
                <w:sz w:val="22"/>
              </w:rPr>
              <w:t xml:space="preserve">Duties related to the UCITS’s income distribution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Alignment with UCITS level 1 with respect to the specific elements of remuneration </w:t>
            </w:r>
          </w:p>
        </w:tc>
      </w:tr>
      <w:tr w:rsidR="00BB52D7">
        <w:trPr>
          <w:trHeight w:val="502"/>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22(4) </w:t>
            </w:r>
          </w:p>
        </w:tc>
        <w:tc>
          <w:tcPr>
            <w:tcW w:w="32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1" w:firstLine="0"/>
              <w:jc w:val="left"/>
            </w:pPr>
            <w:r>
              <w:rPr>
                <w:sz w:val="22"/>
              </w:rPr>
              <w:t xml:space="preserve">Cash monitoring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22"/>
              </w:rPr>
              <w:t xml:space="preserve">Minor legal redrafting to align with UCITS level 1. </w:t>
            </w:r>
          </w:p>
        </w:tc>
      </w:tr>
    </w:tbl>
    <w:p w:rsidR="00BB52D7" w:rsidRDefault="00BB52D7">
      <w:pPr>
        <w:spacing w:after="0" w:line="259" w:lineRule="auto"/>
        <w:ind w:left="-1417" w:right="196" w:firstLine="0"/>
        <w:jc w:val="left"/>
      </w:pPr>
    </w:p>
    <w:tbl>
      <w:tblPr>
        <w:tblStyle w:val="TableGrid"/>
        <w:tblW w:w="12725" w:type="dxa"/>
        <w:tblInd w:w="-108" w:type="dxa"/>
        <w:tblCellMar>
          <w:top w:w="12" w:type="dxa"/>
          <w:left w:w="108" w:type="dxa"/>
          <w:bottom w:w="0" w:type="dxa"/>
          <w:right w:w="55" w:type="dxa"/>
        </w:tblCellMar>
        <w:tblLook w:val="04A0" w:firstRow="1" w:lastRow="0" w:firstColumn="1" w:lastColumn="0" w:noHBand="0" w:noVBand="1"/>
      </w:tblPr>
      <w:tblGrid>
        <w:gridCol w:w="1668"/>
        <w:gridCol w:w="3260"/>
        <w:gridCol w:w="7797"/>
      </w:tblGrid>
      <w:tr w:rsidR="00BB52D7">
        <w:trPr>
          <w:trHeight w:val="2920"/>
        </w:trPr>
        <w:tc>
          <w:tcPr>
            <w:tcW w:w="1668"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22(5)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75" w:lineRule="auto"/>
              <w:ind w:left="0" w:firstLine="0"/>
            </w:pPr>
            <w:r>
              <w:rPr>
                <w:sz w:val="22"/>
              </w:rPr>
              <w:t xml:space="preserve">The conditions for performing the depositary functions </w:t>
            </w:r>
          </w:p>
          <w:p w:rsidR="00BB52D7" w:rsidRDefault="00E33AE6">
            <w:pPr>
              <w:numPr>
                <w:ilvl w:val="0"/>
                <w:numId w:val="43"/>
              </w:numPr>
              <w:spacing w:after="1" w:line="274" w:lineRule="auto"/>
              <w:ind w:firstLine="0"/>
            </w:pPr>
            <w:r>
              <w:rPr>
                <w:sz w:val="22"/>
              </w:rPr>
              <w:t xml:space="preserve">financial instruments to be held in custody </w:t>
            </w:r>
          </w:p>
          <w:p w:rsidR="00BB52D7" w:rsidRDefault="00E33AE6">
            <w:pPr>
              <w:numPr>
                <w:ilvl w:val="0"/>
                <w:numId w:val="43"/>
              </w:numPr>
              <w:spacing w:after="1" w:line="274" w:lineRule="auto"/>
              <w:ind w:firstLine="0"/>
            </w:pPr>
            <w:r>
              <w:rPr>
                <w:sz w:val="22"/>
              </w:rPr>
              <w:t xml:space="preserve">safekeeping duties with regard to assets held in custody </w:t>
            </w:r>
          </w:p>
          <w:p w:rsidR="00BB52D7" w:rsidRDefault="00E33AE6">
            <w:pPr>
              <w:numPr>
                <w:ilvl w:val="0"/>
                <w:numId w:val="43"/>
              </w:numPr>
              <w:spacing w:after="0" w:line="274" w:lineRule="auto"/>
              <w:ind w:firstLine="0"/>
            </w:pPr>
            <w:r>
              <w:rPr>
                <w:sz w:val="22"/>
              </w:rPr>
              <w:t xml:space="preserve">safekeeping duties regarding ownership verification and record keeping </w:t>
            </w:r>
          </w:p>
          <w:p w:rsidR="00BB52D7" w:rsidRDefault="00E33AE6">
            <w:pPr>
              <w:spacing w:after="0" w:line="259" w:lineRule="auto"/>
              <w:ind w:left="0" w:firstLine="0"/>
              <w:jc w:val="left"/>
            </w:pPr>
            <w:r>
              <w:rPr>
                <w:sz w:val="22"/>
              </w:rPr>
              <w:t xml:space="preserve"> </w:t>
            </w:r>
          </w:p>
        </w:tc>
        <w:tc>
          <w:tcPr>
            <w:tcW w:w="779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pPr>
            <w:r>
              <w:rPr>
                <w:sz w:val="22"/>
              </w:rPr>
              <w:t xml:space="preserve">Minor legal redrafting to improve the clarity of the text and alignment with UCITS level 1. </w:t>
            </w:r>
          </w:p>
        </w:tc>
      </w:tr>
      <w:tr w:rsidR="00BB52D7">
        <w:trPr>
          <w:trHeight w:val="2466"/>
        </w:trPr>
        <w:tc>
          <w:tcPr>
            <w:tcW w:w="1668"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right="23" w:firstLine="0"/>
              <w:jc w:val="left"/>
            </w:pPr>
            <w:r>
              <w:rPr>
                <w:sz w:val="22"/>
              </w:rPr>
              <w:t xml:space="preserve">Article 22a(2)(c) </w:t>
            </w:r>
          </w:p>
        </w:tc>
        <w:tc>
          <w:tcPr>
            <w:tcW w:w="32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17" w:line="259" w:lineRule="auto"/>
              <w:ind w:left="0" w:firstLine="0"/>
              <w:jc w:val="left"/>
            </w:pPr>
            <w:r>
              <w:rPr>
                <w:sz w:val="22"/>
              </w:rPr>
              <w:t xml:space="preserve">The due diligence duties of </w:t>
            </w:r>
          </w:p>
          <w:p w:rsidR="00BB52D7" w:rsidRDefault="00E33AE6">
            <w:pPr>
              <w:spacing w:after="0" w:line="259" w:lineRule="auto"/>
              <w:ind w:left="0" w:firstLine="0"/>
              <w:jc w:val="left"/>
            </w:pPr>
            <w:r>
              <w:rPr>
                <w:sz w:val="22"/>
              </w:rPr>
              <w:t xml:space="preserve">depositaries </w:t>
            </w:r>
          </w:p>
        </w:tc>
        <w:tc>
          <w:tcPr>
            <w:tcW w:w="7796" w:type="dxa"/>
            <w:tcBorders>
              <w:top w:val="single" w:sz="4" w:space="0" w:color="000000"/>
              <w:left w:val="single" w:sz="4" w:space="0" w:color="000000"/>
              <w:bottom w:val="single" w:sz="4" w:space="0" w:color="000000"/>
              <w:right w:val="single" w:sz="4" w:space="0" w:color="000000"/>
            </w:tcBorders>
          </w:tcPr>
          <w:p w:rsidR="00BB52D7" w:rsidRDefault="00E33AE6">
            <w:pPr>
              <w:spacing w:after="200" w:line="274" w:lineRule="auto"/>
              <w:ind w:left="0" w:right="55" w:firstLine="0"/>
            </w:pPr>
            <w:r>
              <w:rPr>
                <w:sz w:val="22"/>
              </w:rPr>
              <w:t>No substantive changes in comparison to AIFMD, however following ESMA advice insolvency protection of assets will be reinforced by the requirement to seek an independent legal advice on the enforceability of the contract and notification obligations of the</w:t>
            </w:r>
            <w:r>
              <w:rPr>
                <w:sz w:val="22"/>
              </w:rPr>
              <w:t xml:space="preserve"> depositary and management/investment company. </w:t>
            </w:r>
          </w:p>
          <w:p w:rsidR="00BB52D7" w:rsidRDefault="00E33AE6">
            <w:pPr>
              <w:spacing w:after="0" w:line="259" w:lineRule="auto"/>
              <w:ind w:left="0" w:firstLine="0"/>
            </w:pPr>
            <w:r>
              <w:rPr>
                <w:sz w:val="22"/>
              </w:rPr>
              <w:t xml:space="preserve">Minor legal redrafting to improve the clarity of the text and alignment with UCITS level 1. </w:t>
            </w:r>
          </w:p>
        </w:tc>
      </w:tr>
      <w:tr w:rsidR="00BB52D7">
        <w:trPr>
          <w:trHeight w:val="1774"/>
        </w:trPr>
        <w:tc>
          <w:tcPr>
            <w:tcW w:w="1668"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17" w:line="259" w:lineRule="auto"/>
              <w:ind w:left="0" w:firstLine="0"/>
              <w:jc w:val="left"/>
            </w:pPr>
            <w:r>
              <w:rPr>
                <w:sz w:val="22"/>
              </w:rPr>
              <w:t xml:space="preserve">Article 22a </w:t>
            </w:r>
          </w:p>
          <w:p w:rsidR="00BB52D7" w:rsidRDefault="00E33AE6">
            <w:pPr>
              <w:spacing w:after="0" w:line="259" w:lineRule="auto"/>
              <w:ind w:left="0" w:firstLine="0"/>
              <w:jc w:val="left"/>
            </w:pPr>
            <w:r>
              <w:rPr>
                <w:sz w:val="22"/>
              </w:rPr>
              <w:t xml:space="preserve">(3)(c) </w:t>
            </w:r>
          </w:p>
        </w:tc>
        <w:tc>
          <w:tcPr>
            <w:tcW w:w="32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The segregation obligation </w:t>
            </w:r>
          </w:p>
        </w:tc>
        <w:tc>
          <w:tcPr>
            <w:tcW w:w="7796" w:type="dxa"/>
            <w:tcBorders>
              <w:top w:val="single" w:sz="4" w:space="0" w:color="000000"/>
              <w:left w:val="single" w:sz="4" w:space="0" w:color="000000"/>
              <w:bottom w:val="single" w:sz="4" w:space="0" w:color="000000"/>
              <w:right w:val="single" w:sz="4" w:space="0" w:color="000000"/>
            </w:tcBorders>
          </w:tcPr>
          <w:p w:rsidR="00BB52D7" w:rsidRDefault="00E33AE6">
            <w:pPr>
              <w:spacing w:after="200" w:line="274" w:lineRule="auto"/>
              <w:ind w:left="0" w:firstLine="0"/>
            </w:pPr>
            <w:r>
              <w:rPr>
                <w:sz w:val="22"/>
              </w:rPr>
              <w:t xml:space="preserve">Minor legal redrafting to improve the clarity of the text and alignment with UCITS level 1. </w:t>
            </w:r>
          </w:p>
          <w:p w:rsidR="00BB52D7" w:rsidRDefault="00E33AE6">
            <w:pPr>
              <w:spacing w:after="216" w:line="259" w:lineRule="auto"/>
              <w:ind w:left="0" w:firstLine="0"/>
              <w:jc w:val="left"/>
            </w:pPr>
            <w:r>
              <w:rPr>
                <w:sz w:val="22"/>
              </w:rPr>
              <w:t xml:space="preserve"> </w:t>
            </w:r>
          </w:p>
          <w:p w:rsidR="00BB52D7" w:rsidRDefault="00E33AE6">
            <w:pPr>
              <w:spacing w:after="0" w:line="259" w:lineRule="auto"/>
              <w:ind w:left="0" w:firstLine="0"/>
              <w:jc w:val="left"/>
            </w:pPr>
            <w:r>
              <w:rPr>
                <w:sz w:val="22"/>
              </w:rPr>
              <w:t xml:space="preserve"> </w:t>
            </w:r>
          </w:p>
        </w:tc>
      </w:tr>
      <w:tr w:rsidR="00BB52D7">
        <w:trPr>
          <w:trHeight w:val="1465"/>
        </w:trPr>
        <w:tc>
          <w:tcPr>
            <w:tcW w:w="1668"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lastRenderedPageBreak/>
              <w:t xml:space="preserve">Article 24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6" w:firstLine="0"/>
            </w:pPr>
            <w:r>
              <w:rPr>
                <w:sz w:val="22"/>
              </w:rPr>
              <w:t xml:space="preserve">The conditions subject to which and circumstances in which financial instruments held in custody are to be considered to be lost </w:t>
            </w:r>
          </w:p>
        </w:tc>
        <w:tc>
          <w:tcPr>
            <w:tcW w:w="779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No changes </w:t>
            </w:r>
          </w:p>
        </w:tc>
      </w:tr>
      <w:tr w:rsidR="00BB52D7">
        <w:trPr>
          <w:trHeight w:val="1756"/>
        </w:trPr>
        <w:tc>
          <w:tcPr>
            <w:tcW w:w="1668"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24(1)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5" w:firstLine="0"/>
            </w:pPr>
            <w:r>
              <w:rPr>
                <w:sz w:val="22"/>
              </w:rPr>
              <w:t xml:space="preserve">What is to be understood by external events beyond reasonable control, the consequences of which would have been unavoidable despite all reasonable efforts to the contrary </w:t>
            </w:r>
          </w:p>
        </w:tc>
        <w:tc>
          <w:tcPr>
            <w:tcW w:w="7796"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firstLine="0"/>
              <w:jc w:val="left"/>
            </w:pPr>
            <w:r>
              <w:rPr>
                <w:sz w:val="22"/>
              </w:rPr>
              <w:t xml:space="preserve">No changes </w:t>
            </w:r>
          </w:p>
        </w:tc>
      </w:tr>
    </w:tbl>
    <w:p w:rsidR="00BB52D7" w:rsidRDefault="00E33AE6">
      <w:pPr>
        <w:spacing w:after="214" w:line="259" w:lineRule="auto"/>
        <w:ind w:left="0" w:firstLine="0"/>
        <w:jc w:val="left"/>
      </w:pPr>
      <w:r>
        <w:rPr>
          <w:b/>
          <w:sz w:val="20"/>
        </w:rPr>
        <w:t xml:space="preserve"> </w:t>
      </w:r>
    </w:p>
    <w:p w:rsidR="00BB52D7" w:rsidRDefault="00E33AE6">
      <w:pPr>
        <w:spacing w:after="0" w:line="259" w:lineRule="auto"/>
        <w:ind w:left="0" w:firstLine="0"/>
        <w:jc w:val="left"/>
      </w:pPr>
      <w:r>
        <w:rPr>
          <w:b/>
          <w:sz w:val="20"/>
        </w:rPr>
        <w:t xml:space="preserve"> </w:t>
      </w:r>
      <w:r>
        <w:br w:type="page"/>
      </w:r>
    </w:p>
    <w:p w:rsidR="00BB52D7" w:rsidRDefault="00E33AE6">
      <w:pPr>
        <w:spacing w:after="0" w:line="259" w:lineRule="auto"/>
        <w:ind w:left="0" w:firstLine="0"/>
      </w:pPr>
      <w:r>
        <w:lastRenderedPageBreak/>
        <w:t xml:space="preserve"> </w:t>
      </w:r>
    </w:p>
    <w:tbl>
      <w:tblPr>
        <w:tblStyle w:val="TableGrid"/>
        <w:tblW w:w="12722" w:type="dxa"/>
        <w:tblInd w:w="-107" w:type="dxa"/>
        <w:tblCellMar>
          <w:top w:w="12" w:type="dxa"/>
          <w:left w:w="107" w:type="dxa"/>
          <w:bottom w:w="0" w:type="dxa"/>
          <w:right w:w="51" w:type="dxa"/>
        </w:tblCellMar>
        <w:tblLook w:val="04A0" w:firstRow="1" w:lastRow="0" w:firstColumn="1" w:lastColumn="0" w:noHBand="0" w:noVBand="1"/>
      </w:tblPr>
      <w:tblGrid>
        <w:gridCol w:w="1667"/>
        <w:gridCol w:w="3260"/>
        <w:gridCol w:w="7795"/>
      </w:tblGrid>
      <w:tr w:rsidR="00BB52D7">
        <w:trPr>
          <w:trHeight w:val="498"/>
        </w:trPr>
        <w:tc>
          <w:tcPr>
            <w:tcW w:w="1667" w:type="dxa"/>
            <w:tcBorders>
              <w:top w:val="single" w:sz="4" w:space="0" w:color="000000"/>
              <w:left w:val="single" w:sz="4" w:space="0" w:color="000000"/>
              <w:bottom w:val="single" w:sz="4" w:space="0" w:color="000000"/>
              <w:right w:val="nil"/>
            </w:tcBorders>
            <w:shd w:val="clear" w:color="auto" w:fill="F2F2F2"/>
          </w:tcPr>
          <w:p w:rsidR="00BB52D7" w:rsidRDefault="00BB52D7">
            <w:pPr>
              <w:spacing w:after="160" w:line="259" w:lineRule="auto"/>
              <w:ind w:left="0" w:firstLine="0"/>
              <w:jc w:val="left"/>
            </w:pPr>
          </w:p>
        </w:tc>
        <w:tc>
          <w:tcPr>
            <w:tcW w:w="11055" w:type="dxa"/>
            <w:gridSpan w:val="2"/>
            <w:tcBorders>
              <w:top w:val="single" w:sz="4" w:space="0" w:color="000000"/>
              <w:left w:val="nil"/>
              <w:bottom w:val="single" w:sz="4" w:space="0" w:color="000000"/>
              <w:right w:val="single" w:sz="4" w:space="0" w:color="000000"/>
            </w:tcBorders>
            <w:shd w:val="clear" w:color="auto" w:fill="F2F2F2"/>
          </w:tcPr>
          <w:p w:rsidR="00BB52D7" w:rsidRDefault="00E33AE6">
            <w:pPr>
              <w:spacing w:after="0" w:line="259" w:lineRule="auto"/>
              <w:ind w:left="2227" w:firstLine="0"/>
              <w:jc w:val="left"/>
            </w:pPr>
            <w:r>
              <w:rPr>
                <w:b/>
                <w:sz w:val="22"/>
                <w:u w:val="single" w:color="000000"/>
              </w:rPr>
              <w:t>Empowerments which are not included in AIFMD</w:t>
            </w:r>
            <w:r>
              <w:rPr>
                <w:rFonts w:ascii="Calibri" w:eastAsia="Calibri" w:hAnsi="Calibri" w:cs="Calibri"/>
                <w:sz w:val="22"/>
              </w:rPr>
              <w:t xml:space="preserve"> </w:t>
            </w:r>
          </w:p>
        </w:tc>
      </w:tr>
      <w:tr w:rsidR="00BB52D7">
        <w:trPr>
          <w:trHeight w:val="1085"/>
        </w:trPr>
        <w:tc>
          <w:tcPr>
            <w:tcW w:w="1667" w:type="dxa"/>
            <w:tcBorders>
              <w:top w:val="single" w:sz="4" w:space="0" w:color="000000"/>
              <w:left w:val="single" w:sz="4" w:space="0" w:color="000000"/>
              <w:bottom w:val="single" w:sz="4" w:space="0" w:color="000000"/>
              <w:right w:val="single" w:sz="4" w:space="0" w:color="000000"/>
            </w:tcBorders>
          </w:tcPr>
          <w:p w:rsidR="00BB52D7" w:rsidRDefault="00E33AE6">
            <w:pPr>
              <w:spacing w:after="16" w:line="259" w:lineRule="auto"/>
              <w:ind w:left="0" w:right="57" w:firstLine="0"/>
              <w:jc w:val="center"/>
            </w:pPr>
            <w:r>
              <w:rPr>
                <w:b/>
                <w:sz w:val="22"/>
              </w:rPr>
              <w:t xml:space="preserve">Article in the </w:t>
            </w:r>
          </w:p>
          <w:p w:rsidR="00BB52D7" w:rsidRDefault="00E33AE6">
            <w:pPr>
              <w:spacing w:after="16" w:line="259" w:lineRule="auto"/>
              <w:ind w:left="0" w:right="58" w:firstLine="0"/>
              <w:jc w:val="center"/>
            </w:pPr>
            <w:r>
              <w:rPr>
                <w:b/>
                <w:sz w:val="22"/>
              </w:rPr>
              <w:t xml:space="preserve">UCITS </w:t>
            </w:r>
          </w:p>
          <w:p w:rsidR="00BB52D7" w:rsidRDefault="00E33AE6">
            <w:pPr>
              <w:spacing w:after="0" w:line="259" w:lineRule="auto"/>
              <w:ind w:left="0" w:right="58" w:firstLine="0"/>
              <w:jc w:val="center"/>
            </w:pPr>
            <w:r>
              <w:rPr>
                <w:b/>
                <w:sz w:val="22"/>
              </w:rPr>
              <w:t xml:space="preserve">Directive </w:t>
            </w:r>
          </w:p>
        </w:tc>
        <w:tc>
          <w:tcPr>
            <w:tcW w:w="3260"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8" w:firstLine="0"/>
              <w:jc w:val="center"/>
            </w:pPr>
            <w:r>
              <w:rPr>
                <w:b/>
                <w:sz w:val="22"/>
              </w:rPr>
              <w:t xml:space="preserve">Description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57" w:firstLine="0"/>
              <w:jc w:val="center"/>
            </w:pPr>
            <w:r>
              <w:rPr>
                <w:b/>
                <w:sz w:val="22"/>
              </w:rPr>
              <w:t xml:space="preserve">Comments and discrepancies between the provision and ESMA advice </w:t>
            </w:r>
          </w:p>
        </w:tc>
      </w:tr>
      <w:tr w:rsidR="00BB52D7">
        <w:trPr>
          <w:trHeight w:val="3551"/>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17" w:line="259" w:lineRule="auto"/>
              <w:ind w:left="0" w:firstLine="0"/>
              <w:jc w:val="left"/>
            </w:pPr>
            <w:r>
              <w:rPr>
                <w:sz w:val="22"/>
              </w:rPr>
              <w:t xml:space="preserve">Article </w:t>
            </w:r>
          </w:p>
          <w:p w:rsidR="00BB52D7" w:rsidRDefault="00E33AE6">
            <w:pPr>
              <w:spacing w:after="0" w:line="259" w:lineRule="auto"/>
              <w:ind w:left="0" w:firstLine="0"/>
              <w:jc w:val="left"/>
            </w:pPr>
            <w:r>
              <w:rPr>
                <w:sz w:val="22"/>
              </w:rPr>
              <w:t xml:space="preserve">22a(3)(d) </w:t>
            </w:r>
          </w:p>
        </w:tc>
        <w:tc>
          <w:tcPr>
            <w:tcW w:w="32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1" w:firstLine="0"/>
              <w:jc w:val="left"/>
            </w:pPr>
            <w:r>
              <w:rPr>
                <w:sz w:val="22"/>
              </w:rPr>
              <w:t xml:space="preserve">The steps to be taken by the third party in the event of an insolvency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39" w:lineRule="auto"/>
              <w:ind w:left="1" w:right="57" w:firstLine="0"/>
            </w:pPr>
            <w:r>
              <w:rPr>
                <w:sz w:val="22"/>
              </w:rPr>
              <w:t xml:space="preserve">Some legal drafting changes to align the legal text with UCITS level 1. For example, the obligation to receive </w:t>
            </w:r>
            <w:r>
              <w:rPr>
                <w:i/>
                <w:sz w:val="22"/>
              </w:rPr>
              <w:t>ex ante</w:t>
            </w:r>
            <w:r>
              <w:rPr>
                <w:sz w:val="22"/>
              </w:rPr>
              <w:t xml:space="preserve"> </w:t>
            </w:r>
            <w:r>
              <w:rPr>
                <w:sz w:val="22"/>
              </w:rPr>
              <w:t xml:space="preserve">legal advice on the insolvency law and the legal and custodian risk in case of the insolvency of a third party is placed on the depositary who, in turn, will have to require it from a third party prior to entry into contractual relation. The reformulation </w:t>
            </w:r>
            <w:r>
              <w:rPr>
                <w:sz w:val="22"/>
              </w:rPr>
              <w:t xml:space="preserve">of the ESMA advice was necessary to the extent the obligations imposed by the EU law can only be imposed directly on the entities located in the EU. </w:t>
            </w:r>
          </w:p>
          <w:p w:rsidR="00BB52D7" w:rsidRDefault="00E33AE6">
            <w:pPr>
              <w:spacing w:after="0" w:line="259" w:lineRule="auto"/>
              <w:ind w:left="1" w:firstLine="0"/>
              <w:jc w:val="left"/>
            </w:pPr>
            <w:r>
              <w:rPr>
                <w:sz w:val="22"/>
              </w:rPr>
              <w:t xml:space="preserve"> </w:t>
            </w:r>
          </w:p>
          <w:p w:rsidR="00BB52D7" w:rsidRDefault="00E33AE6">
            <w:pPr>
              <w:spacing w:after="0" w:line="239" w:lineRule="auto"/>
              <w:ind w:left="1" w:right="57" w:firstLine="0"/>
            </w:pPr>
            <w:r>
              <w:rPr>
                <w:sz w:val="22"/>
              </w:rPr>
              <w:t>Parts of the advice which were going beyond the empowerment for Article 22a(3) (d), in particular referr</w:t>
            </w:r>
            <w:r>
              <w:rPr>
                <w:sz w:val="22"/>
              </w:rPr>
              <w:t xml:space="preserve">ing to the depositary’s tasks or issues not related to the insolvency protection of assets, were not taken on board for this provision. Most of them are already included in the provision on due diligence obligations </w:t>
            </w:r>
          </w:p>
          <w:p w:rsidR="00BB52D7" w:rsidRDefault="00E33AE6">
            <w:pPr>
              <w:spacing w:after="0" w:line="259" w:lineRule="auto"/>
              <w:ind w:left="1" w:firstLine="0"/>
              <w:jc w:val="left"/>
            </w:pPr>
            <w:r>
              <w:rPr>
                <w:sz w:val="22"/>
              </w:rPr>
              <w:t xml:space="preserve"> </w:t>
            </w:r>
          </w:p>
          <w:p w:rsidR="00BB52D7" w:rsidRDefault="00E33AE6">
            <w:pPr>
              <w:spacing w:after="0" w:line="259" w:lineRule="auto"/>
              <w:ind w:left="1" w:firstLine="0"/>
              <w:jc w:val="left"/>
            </w:pPr>
            <w:r>
              <w:rPr>
                <w:sz w:val="22"/>
              </w:rPr>
              <w:t xml:space="preserve"> </w:t>
            </w:r>
          </w:p>
        </w:tc>
      </w:tr>
      <w:tr w:rsidR="00BB52D7">
        <w:trPr>
          <w:trHeight w:val="793"/>
        </w:trPr>
        <w:tc>
          <w:tcPr>
            <w:tcW w:w="1667"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0" w:firstLine="0"/>
              <w:jc w:val="left"/>
            </w:pPr>
            <w:r>
              <w:rPr>
                <w:sz w:val="22"/>
              </w:rPr>
              <w:t xml:space="preserve">Article 25(2) </w:t>
            </w:r>
          </w:p>
        </w:tc>
        <w:tc>
          <w:tcPr>
            <w:tcW w:w="3260" w:type="dxa"/>
            <w:tcBorders>
              <w:top w:val="single" w:sz="4" w:space="0" w:color="000000"/>
              <w:left w:val="single" w:sz="4" w:space="0" w:color="000000"/>
              <w:bottom w:val="single" w:sz="4" w:space="0" w:color="000000"/>
              <w:right w:val="single" w:sz="4" w:space="0" w:color="000000"/>
            </w:tcBorders>
            <w:vAlign w:val="center"/>
          </w:tcPr>
          <w:p w:rsidR="00BB52D7" w:rsidRDefault="00E33AE6">
            <w:pPr>
              <w:spacing w:after="0" w:line="259" w:lineRule="auto"/>
              <w:ind w:left="1" w:firstLine="0"/>
              <w:jc w:val="left"/>
            </w:pPr>
            <w:r>
              <w:rPr>
                <w:sz w:val="22"/>
              </w:rPr>
              <w:t>Conditions for fulf</w:t>
            </w:r>
            <w:r>
              <w:rPr>
                <w:sz w:val="22"/>
              </w:rPr>
              <w:t xml:space="preserve">illing the independence requirement </w:t>
            </w:r>
          </w:p>
        </w:tc>
        <w:tc>
          <w:tcPr>
            <w:tcW w:w="7795"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pPr>
            <w:r>
              <w:rPr>
                <w:sz w:val="22"/>
              </w:rPr>
              <w:t xml:space="preserve">No discrepancy between the provision and ESMA advice, This point is impact-assess in this impact assessment.  </w:t>
            </w:r>
          </w:p>
        </w:tc>
      </w:tr>
    </w:tbl>
    <w:p w:rsidR="00BB52D7" w:rsidRDefault="00BB52D7">
      <w:pPr>
        <w:sectPr w:rsidR="00BB52D7">
          <w:footerReference w:type="even" r:id="rId37"/>
          <w:footerReference w:type="default" r:id="rId38"/>
          <w:footerReference w:type="first" r:id="rId39"/>
          <w:pgSz w:w="16838" w:h="11906" w:orient="landscape"/>
          <w:pgMar w:top="1422" w:right="2608" w:bottom="1554" w:left="1417" w:header="708" w:footer="710" w:gutter="0"/>
          <w:cols w:space="708"/>
        </w:sectPr>
      </w:pPr>
    </w:p>
    <w:p w:rsidR="00BB52D7" w:rsidRDefault="00E33AE6">
      <w:pPr>
        <w:pStyle w:val="Heading1"/>
        <w:spacing w:after="229" w:line="248" w:lineRule="auto"/>
        <w:ind w:left="355"/>
        <w:jc w:val="both"/>
      </w:pPr>
      <w:bookmarkStart w:id="38" w:name="_Toc240998"/>
      <w:r>
        <w:rPr>
          <w:sz w:val="24"/>
        </w:rPr>
        <w:lastRenderedPageBreak/>
        <w:t xml:space="preserve">Annex 12: Summary of ESMA public consultation on UCITS advice </w:t>
      </w:r>
      <w:bookmarkEnd w:id="38"/>
    </w:p>
    <w:p w:rsidR="00BB52D7" w:rsidRDefault="00E33AE6">
      <w:pPr>
        <w:spacing w:after="49"/>
        <w:ind w:left="10"/>
      </w:pPr>
      <w:r>
        <w:t xml:space="preserve">This Annex presents relevant excerpts from a longer summary that had been prepared by ESMA staff.  </w:t>
      </w:r>
    </w:p>
    <w:p w:rsidR="00BB52D7" w:rsidRDefault="00E33AE6">
      <w:pPr>
        <w:spacing w:after="36" w:line="259" w:lineRule="auto"/>
        <w:ind w:left="0" w:firstLine="0"/>
        <w:jc w:val="left"/>
      </w:pPr>
      <w:r>
        <w:t xml:space="preserve"> </w:t>
      </w:r>
    </w:p>
    <w:p w:rsidR="00BB52D7" w:rsidRDefault="00E33AE6">
      <w:pPr>
        <w:spacing w:after="46"/>
        <w:ind w:left="10" w:right="843"/>
      </w:pPr>
      <w:r>
        <w:t xml:space="preserve">ESMA received 60 responses to the consultation by the deadline.  </w:t>
      </w:r>
    </w:p>
    <w:p w:rsidR="00BB52D7" w:rsidRDefault="00E33AE6">
      <w:pPr>
        <w:spacing w:after="58" w:line="259" w:lineRule="auto"/>
        <w:ind w:left="0" w:firstLine="0"/>
        <w:jc w:val="left"/>
      </w:pPr>
      <w:r>
        <w:t xml:space="preserve"> </w:t>
      </w:r>
    </w:p>
    <w:p w:rsidR="00BB52D7" w:rsidRDefault="00E33AE6">
      <w:pPr>
        <w:numPr>
          <w:ilvl w:val="0"/>
          <w:numId w:val="25"/>
        </w:numPr>
        <w:spacing w:after="10"/>
        <w:ind w:hanging="360"/>
        <w:jc w:val="left"/>
      </w:pPr>
      <w:r>
        <w:rPr>
          <w:u w:val="single" w:color="000000"/>
        </w:rPr>
        <w:t>Insolvency protection of UCITS assets when delegating safekeeping</w:t>
      </w:r>
      <w:r>
        <w:t xml:space="preserve">: </w:t>
      </w:r>
    </w:p>
    <w:p w:rsidR="00BB52D7" w:rsidRDefault="00E33AE6">
      <w:pPr>
        <w:spacing w:after="36" w:line="259" w:lineRule="auto"/>
        <w:ind w:left="0" w:firstLine="0"/>
        <w:jc w:val="left"/>
      </w:pPr>
      <w:r>
        <w:t xml:space="preserve"> </w:t>
      </w:r>
    </w:p>
    <w:p w:rsidR="00BB52D7" w:rsidRDefault="00E33AE6">
      <w:pPr>
        <w:spacing w:after="49"/>
        <w:ind w:left="10" w:right="2"/>
      </w:pPr>
      <w:r>
        <w:t>The most prominent concern relates to the task of the third party set out in paragraph 1(a)(i) of the draft final advice to make all reasonable efforts, including the receipt of legal ad</w:t>
      </w:r>
      <w:r>
        <w:t>vice from a natural or legal person non-affiliated to the third party, to verify the applicable insolvency laws and jurisprudence. However, a number of stakeholders objected to the requirement for independent legal advice, arguing that it would generate ad</w:t>
      </w:r>
      <w:r>
        <w:t>ditional costs and noting the difficulties involved in assessing the applicable regimes in third countries. These stakeholders suggested that it should be possible to rely on internal advice from within the group, or to leverage on advice that might be ava</w:t>
      </w:r>
      <w:r>
        <w:t xml:space="preserve">ilable from other sources (e.g. industry associations). </w:t>
      </w:r>
    </w:p>
    <w:p w:rsidR="00BB52D7" w:rsidRDefault="00E33AE6">
      <w:pPr>
        <w:spacing w:after="104" w:line="259" w:lineRule="auto"/>
        <w:ind w:left="0" w:firstLine="0"/>
        <w:jc w:val="left"/>
      </w:pPr>
      <w:r>
        <w:t xml:space="preserve"> </w:t>
      </w:r>
    </w:p>
    <w:p w:rsidR="00BB52D7" w:rsidRDefault="00E33AE6">
      <w:pPr>
        <w:numPr>
          <w:ilvl w:val="0"/>
          <w:numId w:val="25"/>
        </w:numPr>
        <w:spacing w:after="10"/>
        <w:ind w:hanging="360"/>
        <w:jc w:val="left"/>
      </w:pPr>
      <w:r>
        <w:rPr>
          <w:u w:val="single" w:color="000000"/>
        </w:rPr>
        <w:t>Requirement that the management company and depository would ‘act independently’</w:t>
      </w:r>
      <w:r>
        <w:t xml:space="preserve"> </w:t>
      </w:r>
    </w:p>
    <w:p w:rsidR="00BB52D7" w:rsidRDefault="00E33AE6">
      <w:pPr>
        <w:spacing w:after="41" w:line="259" w:lineRule="auto"/>
        <w:ind w:left="0" w:firstLine="0"/>
        <w:jc w:val="left"/>
      </w:pPr>
      <w:r>
        <w:t xml:space="preserve"> </w:t>
      </w:r>
    </w:p>
    <w:p w:rsidR="00BB52D7" w:rsidRDefault="00E33AE6">
      <w:pPr>
        <w:pStyle w:val="Heading7"/>
        <w:spacing w:after="35" w:line="259" w:lineRule="auto"/>
        <w:ind w:left="355" w:right="0"/>
        <w:jc w:val="left"/>
      </w:pPr>
      <w:r>
        <w:rPr>
          <w:b w:val="0"/>
        </w:rPr>
        <w:t>a)</w:t>
      </w:r>
      <w:r>
        <w:rPr>
          <w:rFonts w:ascii="Arial" w:eastAsia="Arial" w:hAnsi="Arial" w:cs="Arial"/>
          <w:b w:val="0"/>
        </w:rPr>
        <w:t xml:space="preserve"> </w:t>
      </w:r>
      <w:r>
        <w:rPr>
          <w:i/>
        </w:rPr>
        <w:t>Common management / supervision</w:t>
      </w:r>
      <w:r>
        <w:rPr>
          <w:b w:val="0"/>
        </w:rPr>
        <w:t xml:space="preserve"> </w:t>
      </w:r>
    </w:p>
    <w:p w:rsidR="00BB52D7" w:rsidRDefault="00E33AE6">
      <w:pPr>
        <w:spacing w:after="49"/>
        <w:ind w:left="10" w:right="4"/>
      </w:pPr>
      <w:r>
        <w:t>Most respondents to the consultation agreed with the prohibition on common me</w:t>
      </w:r>
      <w:r>
        <w:t>mbership of the management bodies of the management company /investment company and depositary and with a tailored approach foreseen for situations in which the management body of the management company/investment company and depositary is not in charge of</w:t>
      </w:r>
      <w:r>
        <w:t xml:space="preserve"> the supervisory functions. </w:t>
      </w:r>
    </w:p>
    <w:p w:rsidR="00BB52D7" w:rsidRDefault="00E33AE6">
      <w:pPr>
        <w:spacing w:after="41" w:line="259" w:lineRule="auto"/>
        <w:ind w:left="0" w:firstLine="0"/>
        <w:jc w:val="left"/>
      </w:pPr>
      <w:r>
        <w:t xml:space="preserve"> </w:t>
      </w:r>
    </w:p>
    <w:p w:rsidR="00BB52D7" w:rsidRDefault="00E33AE6">
      <w:pPr>
        <w:pStyle w:val="Heading7"/>
        <w:spacing w:after="35" w:line="259" w:lineRule="auto"/>
        <w:ind w:left="355" w:right="0"/>
        <w:jc w:val="left"/>
      </w:pPr>
      <w:r>
        <w:rPr>
          <w:i/>
        </w:rPr>
        <w:t>b)</w:t>
      </w:r>
      <w:r>
        <w:rPr>
          <w:rFonts w:ascii="Arial" w:eastAsia="Arial" w:hAnsi="Arial" w:cs="Arial"/>
          <w:i/>
        </w:rPr>
        <w:t xml:space="preserve"> </w:t>
      </w:r>
      <w:r>
        <w:rPr>
          <w:i/>
        </w:rPr>
        <w:t xml:space="preserve">cross-shareholding / group inclusion </w:t>
      </w:r>
    </w:p>
    <w:p w:rsidR="00BB52D7" w:rsidRDefault="00E33AE6">
      <w:pPr>
        <w:spacing w:after="33" w:line="259" w:lineRule="auto"/>
        <w:ind w:left="0" w:firstLine="0"/>
        <w:jc w:val="left"/>
      </w:pPr>
      <w:r>
        <w:rPr>
          <w:b/>
          <w:i/>
        </w:rPr>
        <w:t xml:space="preserve"> </w:t>
      </w:r>
    </w:p>
    <w:p w:rsidR="00BB52D7" w:rsidRDefault="00E33AE6">
      <w:pPr>
        <w:spacing w:after="49"/>
        <w:ind w:left="10"/>
      </w:pPr>
      <w:r>
        <w:t>A large majority of respondents agreed that common management/supervision may jeopardise the independence of the two entities, a number of them objected to the idea that cross</w:t>
      </w:r>
      <w:r>
        <w:t xml:space="preserve">shareholdings may as such trigger the same consequence. In contrast, several respondents (including consumer representatives) were of the view that any of the links (common management/ supervision or cross-shareholdings) may affect the independence. </w:t>
      </w:r>
    </w:p>
    <w:p w:rsidR="00BB52D7" w:rsidRDefault="00E33AE6">
      <w:pPr>
        <w:spacing w:after="48"/>
        <w:ind w:left="10" w:right="3"/>
      </w:pPr>
      <w:r>
        <w:t>The m</w:t>
      </w:r>
      <w:r>
        <w:t xml:space="preserve">ajority of respondents objected to the proposed prohibition on cross-shareholdings for a number of reason including (i) that it would be disproportionate, (ii) that it went beyond the Level 1 provisions which refer to the obligation to ‘act independently’ </w:t>
      </w:r>
      <w:r>
        <w:t xml:space="preserve">thus implying functional, not structural independence, (iii) it was likely to increase systemic risk as it would lead to a concentration of depositary activities and (iv) that it would lead to substantial costs.  </w:t>
      </w:r>
    </w:p>
    <w:p w:rsidR="00BB52D7" w:rsidRDefault="00E33AE6">
      <w:pPr>
        <w:spacing w:after="1650"/>
        <w:ind w:left="10" w:right="7"/>
      </w:pPr>
      <w:r>
        <w:t>On other hand, a number of respondents (in</w:t>
      </w:r>
      <w:r>
        <w:t xml:space="preserve">cluding consumer representatives) favoured this option on the basis that it would ensure the highest standard of investor protection and is the most straightforward way to address the issue of conflicts of interest. </w:t>
      </w:r>
    </w:p>
    <w:p w:rsidR="00BB52D7" w:rsidRDefault="00E33AE6">
      <w:pPr>
        <w:spacing w:after="0" w:line="259" w:lineRule="auto"/>
        <w:ind w:left="565" w:firstLine="0"/>
        <w:jc w:val="center"/>
      </w:pPr>
      <w:r>
        <w:rPr>
          <w:rFonts w:ascii="Arial" w:eastAsia="Arial" w:hAnsi="Arial" w:cs="Arial"/>
          <w:sz w:val="16"/>
        </w:rPr>
        <w:lastRenderedPageBreak/>
        <w:t xml:space="preserve">106 </w:t>
      </w:r>
    </w:p>
    <w:p w:rsidR="00BB52D7" w:rsidRDefault="00E33AE6">
      <w:pPr>
        <w:pStyle w:val="Heading1"/>
        <w:spacing w:after="240" w:line="238" w:lineRule="auto"/>
        <w:ind w:left="358" w:firstLine="0"/>
      </w:pPr>
      <w:bookmarkStart w:id="39" w:name="_Toc240999"/>
      <w:r>
        <w:rPr>
          <w:sz w:val="24"/>
        </w:rPr>
        <w:t xml:space="preserve">Annex 13: Summary of the US rules </w:t>
      </w:r>
      <w:r>
        <w:rPr>
          <w:sz w:val="24"/>
        </w:rPr>
        <w:t xml:space="preserve">that would apply if asset managers and custodians belong to a corporate group or have cross-shareholdings between each other.  </w:t>
      </w:r>
      <w:bookmarkEnd w:id="39"/>
    </w:p>
    <w:p w:rsidR="00BB52D7" w:rsidRDefault="00E33AE6">
      <w:pPr>
        <w:pStyle w:val="Heading6"/>
        <w:spacing w:after="229"/>
        <w:ind w:left="10" w:right="0"/>
        <w:jc w:val="both"/>
      </w:pPr>
      <w:r>
        <w:rPr>
          <w:i w:val="0"/>
          <w:u w:val="none"/>
        </w:rPr>
        <w:t xml:space="preserve">The related person rule </w:t>
      </w:r>
    </w:p>
    <w:p w:rsidR="00BB52D7" w:rsidRDefault="00E33AE6">
      <w:pPr>
        <w:spacing w:after="262"/>
        <w:ind w:left="10" w:right="1"/>
      </w:pPr>
      <w:r>
        <w:t xml:space="preserve">The applicable rule is Rule 206(4)-2 of the </w:t>
      </w:r>
      <w:r>
        <w:rPr>
          <w:u w:val="single" w:color="000000"/>
        </w:rPr>
        <w:t>1940 Investment Advisers Act</w:t>
      </w:r>
      <w:r>
        <w:t>. Rule 206(4)-2 does not requir</w:t>
      </w:r>
      <w:r>
        <w:t>e use of independent custodians. Rather, the rule imposes additional requirements when client assets are maintained by the adviser itself or by a “related person” instead of an independent qualified custodian.  A “related person” is defined in rule 206(4)-</w:t>
      </w:r>
      <w:r>
        <w:t xml:space="preserve">2 as any person, directly or indirectly controlling the adviser, controlled by the adviser or under common control with the adviser (group scenario). </w:t>
      </w:r>
    </w:p>
    <w:p w:rsidR="00BB52D7" w:rsidRDefault="00E33AE6">
      <w:pPr>
        <w:ind w:left="10" w:right="4"/>
      </w:pPr>
      <w:r>
        <w:t>The related person must be a “qualified custodian.” This would resemble the EU approach whereby the depos</w:t>
      </w:r>
      <w:r>
        <w:t>itary (who also provides the custody function) has to be a credit institution authorised in accordance with Directive 2013/36/EU or a another legal entity, authorised by the competent authority under the law of the Member State to carry out depositary acti</w:t>
      </w:r>
      <w:r>
        <w:t xml:space="preserve">vities under the UCITS Directive.  </w:t>
      </w:r>
    </w:p>
    <w:p w:rsidR="00BB52D7" w:rsidRDefault="00E33AE6">
      <w:pPr>
        <w:ind w:left="10" w:right="1"/>
      </w:pPr>
      <w:r>
        <w:t>Rule 206(4)-2 considers an investment adviser that is also registered as a broker-dealer whose clients maintain assets in brokerage accounts as a qualified custodian. The rule also applies when client assets are maintain</w:t>
      </w:r>
      <w:r>
        <w:t xml:space="preserve">ed with a related person that is a broker-dealer, bank, or futures commission merchant. The list of eligible custodians is therefore roughly comparable with the UCITS rules.  </w:t>
      </w:r>
    </w:p>
    <w:p w:rsidR="00BB52D7" w:rsidRDefault="00E33AE6">
      <w:pPr>
        <w:ind w:left="10" w:right="5"/>
      </w:pPr>
      <w:r>
        <w:t>Rule 206(4)-2 differentiated between related persons that are "operationally ind</w:t>
      </w:r>
      <w:r>
        <w:t>ependent" and those that are not. Firms under common ownership can be operationally independent of each other. According to the SEC, operational independence presents substantially lower client custodial risk because misuse of client assets would tend to r</w:t>
      </w:r>
      <w:r>
        <w:t xml:space="preserve">equire collusion among employees. Employee collusion is less likely when both units do not have common employees or joint management. According to rule 206(4)-2 an adviser and a related person are presumed </w:t>
      </w:r>
      <w:r>
        <w:rPr>
          <w:u w:val="single" w:color="000000"/>
        </w:rPr>
        <w:t>not</w:t>
      </w:r>
      <w:r>
        <w:t xml:space="preserve"> to be operationally independent unless each of</w:t>
      </w:r>
      <w:r>
        <w:t xml:space="preserve"> the following conditions is met: </w:t>
      </w:r>
    </w:p>
    <w:p w:rsidR="00BB52D7" w:rsidRDefault="00E33AE6">
      <w:pPr>
        <w:numPr>
          <w:ilvl w:val="0"/>
          <w:numId w:val="26"/>
        </w:numPr>
        <w:ind w:hanging="229"/>
      </w:pPr>
      <w:r>
        <w:t xml:space="preserve">Client assets in the custody of the related person are </w:t>
      </w:r>
      <w:r>
        <w:rPr>
          <w:u w:val="single" w:color="000000"/>
        </w:rPr>
        <w:t>not subject to claims</w:t>
      </w:r>
      <w:r>
        <w:t xml:space="preserve"> of the adviser’s creditors; </w:t>
      </w:r>
    </w:p>
    <w:p w:rsidR="00BB52D7" w:rsidRDefault="00E33AE6">
      <w:pPr>
        <w:numPr>
          <w:ilvl w:val="0"/>
          <w:numId w:val="26"/>
        </w:numPr>
        <w:ind w:hanging="229"/>
      </w:pPr>
      <w:r>
        <w:t xml:space="preserve">Advisory personnel do not have any </w:t>
      </w:r>
      <w:r>
        <w:rPr>
          <w:u w:val="single" w:color="000000"/>
        </w:rPr>
        <w:t>access to or possession of client assets</w:t>
      </w:r>
      <w:r>
        <w:t xml:space="preserve">, </w:t>
      </w:r>
      <w:r>
        <w:t xml:space="preserve">or power to control dispositions of client assets for the benefit of the adviser or its related person, or otherwise have the opportunity to misappropriate such client assets; </w:t>
      </w:r>
    </w:p>
    <w:p w:rsidR="00BB52D7" w:rsidRDefault="00E33AE6">
      <w:pPr>
        <w:numPr>
          <w:ilvl w:val="0"/>
          <w:numId w:val="26"/>
        </w:numPr>
        <w:ind w:hanging="229"/>
      </w:pPr>
      <w:r>
        <w:t>Advisory personnel and personnel of the related person who have access to advis</w:t>
      </w:r>
      <w:r>
        <w:t xml:space="preserve">ory client assets are not under </w:t>
      </w:r>
      <w:r>
        <w:rPr>
          <w:u w:val="single" w:color="000000"/>
        </w:rPr>
        <w:t>common supervision</w:t>
      </w:r>
      <w:r>
        <w:t xml:space="preserve">; and </w:t>
      </w:r>
    </w:p>
    <w:p w:rsidR="00BB52D7" w:rsidRDefault="00E33AE6">
      <w:pPr>
        <w:numPr>
          <w:ilvl w:val="0"/>
          <w:numId w:val="26"/>
        </w:numPr>
        <w:spacing w:after="229"/>
        <w:ind w:hanging="229"/>
      </w:pPr>
      <w:r>
        <w:t xml:space="preserve">Advisory personnel do not </w:t>
      </w:r>
      <w:r>
        <w:rPr>
          <w:u w:val="single" w:color="000000"/>
        </w:rPr>
        <w:t>hold any position with the related person</w:t>
      </w:r>
      <w:r>
        <w:t xml:space="preserve"> or </w:t>
      </w:r>
      <w:r>
        <w:rPr>
          <w:u w:val="single" w:color="000000"/>
        </w:rPr>
        <w:t>share premises</w:t>
      </w:r>
      <w:r>
        <w:t xml:space="preserve"> </w:t>
      </w:r>
      <w:r>
        <w:rPr>
          <w:u w:val="single" w:color="000000"/>
        </w:rPr>
        <w:t>with the related person</w:t>
      </w:r>
      <w:r>
        <w:t xml:space="preserve">. </w:t>
      </w:r>
    </w:p>
    <w:p w:rsidR="00BB52D7" w:rsidRDefault="00E33AE6">
      <w:pPr>
        <w:ind w:left="10" w:right="2"/>
      </w:pPr>
      <w:r>
        <w:t xml:space="preserve">Most relevant for our case: The SEC has stated that it would </w:t>
      </w:r>
      <w:r>
        <w:rPr>
          <w:u w:val="single" w:color="000000"/>
        </w:rPr>
        <w:t>not</w:t>
      </w:r>
      <w:r>
        <w:t xml:space="preserve"> consider a related per</w:t>
      </w:r>
      <w:r>
        <w:t xml:space="preserve">son operationally independent of the adviser if that person </w:t>
      </w:r>
      <w:r>
        <w:rPr>
          <w:u w:val="single" w:color="000000"/>
        </w:rPr>
        <w:t>shares any managers</w:t>
      </w:r>
      <w:r>
        <w:t xml:space="preserve"> with the adviser, or if the related person has an owner that is actively engaged in the management of the two firms (2009 Adopting Release at n. 111). The SEC also verifies whe</w:t>
      </w:r>
      <w:r>
        <w:t xml:space="preserve">ther no other circumstances exist </w:t>
      </w:r>
      <w:r>
        <w:lastRenderedPageBreak/>
        <w:t>that can reasonably be expected to compromise the operational independence of the related person, such as whether the management of the adviser and the related person could be controlled by persons with close familial rela</w:t>
      </w:r>
      <w:r>
        <w:t xml:space="preserve">tionships such as spouses, siblings, or parents and adult children (2009 Adopting Release at n.112).  </w:t>
      </w:r>
    </w:p>
    <w:p w:rsidR="00BB52D7" w:rsidRDefault="00E33AE6">
      <w:pPr>
        <w:pStyle w:val="Heading6"/>
        <w:spacing w:after="229"/>
        <w:ind w:left="10" w:right="0"/>
        <w:jc w:val="both"/>
      </w:pPr>
      <w:r>
        <w:rPr>
          <w:i w:val="0"/>
          <w:u w:val="none"/>
        </w:rPr>
        <w:t xml:space="preserve">Safeguards on how to deal with related persons that are not operationally independent </w:t>
      </w:r>
    </w:p>
    <w:p w:rsidR="00BB52D7" w:rsidRDefault="00E33AE6">
      <w:pPr>
        <w:ind w:left="10" w:right="3"/>
      </w:pPr>
      <w:r>
        <w:t>If the related person acting as qualified custodian is not “operat</w:t>
      </w:r>
      <w:r>
        <w:t xml:space="preserve">ionally independent” of the adviser, Rule 206(4)-2 requires that an adviser whose client assets are maintained with a related person be subject to (1) a surprise examination and (2) obtain an internal control report from the independent public accountant. </w:t>
      </w:r>
      <w:r>
        <w:t xml:space="preserve">The surprise examination must be performed by an independent public accountant registered with, and subject to regular inspection by, the PCAOB.  </w:t>
      </w:r>
    </w:p>
    <w:p w:rsidR="00BB52D7" w:rsidRDefault="00E33AE6">
      <w:pPr>
        <w:ind w:left="10" w:right="3"/>
      </w:pPr>
      <w:r>
        <w:t>The adviser must obtain or receive, from the related person acting as the qualified custodian, an annual repo</w:t>
      </w:r>
      <w:r>
        <w:t xml:space="preserve">rt of the internal controls relating to the custody of client assets prepared by an independent public accountant registered with, and subject to regular inspection by, the PCAOB. The report must contain an opinion of the accountant as to whether controls </w:t>
      </w:r>
      <w:r>
        <w:t xml:space="preserve">that meet the control objectives relating to custodial services, including the safeguarding of funds and securities held by either the adviser or the related person, are suitably designed, placed in operation, and are operating effectively. The accountant </w:t>
      </w:r>
      <w:r>
        <w:t xml:space="preserve">must also verify that the funds and securities are reconciled to a custodian other than the adviser or the related person (such as the Depository Trust Corporation). </w:t>
      </w:r>
    </w:p>
    <w:p w:rsidR="00BB52D7" w:rsidRDefault="00E33AE6">
      <w:pPr>
        <w:ind w:left="10" w:right="1"/>
      </w:pPr>
      <w:r>
        <w:t xml:space="preserve">If a related person acts as custodian, additional reporting obligations under Form ADV – </w:t>
      </w:r>
      <w:r>
        <w:t>to be filled in by financial advisers - apply.  When the adviser acts as, or has a related person act as, the qualified custodian, Form ADV requires the adviser to report its approach in complying with the custody rule, as well as to identify any custodian</w:t>
      </w:r>
      <w:r>
        <w:t xml:space="preserve"> that is a related person</w:t>
      </w:r>
      <w:r>
        <w:rPr>
          <w:rFonts w:ascii="Arial" w:eastAsia="Arial" w:hAnsi="Arial" w:cs="Arial"/>
          <w:sz w:val="20"/>
        </w:rPr>
        <w:t xml:space="preserve"> (</w:t>
      </w:r>
      <w:r>
        <w:t xml:space="preserve">Form ADV Item 9(C) and (D)). </w:t>
      </w:r>
    </w:p>
    <w:p w:rsidR="00BB52D7" w:rsidRDefault="00E33AE6">
      <w:pPr>
        <w:ind w:left="10" w:right="6"/>
      </w:pPr>
      <w:r>
        <w:t>Form ADV also requires advisers that were subject to the surprise examination requirement during the previous fiscal year or had a pooled investment audited for the previous fiscal year to identify t</w:t>
      </w:r>
      <w:r>
        <w:t xml:space="preserve">he independent public accountant that performed the surprise examination or audited the pool. </w:t>
      </w:r>
    </w:p>
    <w:p w:rsidR="00BB52D7" w:rsidRDefault="00E33AE6">
      <w:pPr>
        <w:ind w:left="10" w:right="4"/>
      </w:pPr>
      <w:r>
        <w:t>In addition, the SEC has defined the notion of " operationally independent" in their SEC Adopting Release at No 111: Amended rule 206(4)-</w:t>
      </w:r>
      <w:r>
        <w:t>2(d)(5) (defining “operationally independent”). The conditions set out in the rule are: (i) client assets in the custody of the related person are not subject to claims of the adviser’s creditors; (ii) advisory personnel do not have custody or possession o</w:t>
      </w:r>
      <w:r>
        <w:t>f, or direct or indirect access to client assets of which the related person has custody, or the power to control the disposition of such client assets to third parties for the benefit of the adviser or its related persons, or otherwise have the opportunit</w:t>
      </w:r>
      <w:r>
        <w:t>y to misappropriate such client assets; (iii) advisory personnel and personnel of the related person who have access to advisory client assets are not under common supervision; and (iv) advisory personnel do not hold any position with the related person or</w:t>
      </w:r>
      <w:r>
        <w:t xml:space="preserve"> share premises with the related person. </w:t>
      </w:r>
    </w:p>
    <w:p w:rsidR="00BB52D7" w:rsidRDefault="00E33AE6">
      <w:pPr>
        <w:pStyle w:val="Heading1"/>
        <w:spacing w:after="262" w:line="248" w:lineRule="auto"/>
        <w:ind w:left="355"/>
        <w:jc w:val="both"/>
      </w:pPr>
      <w:bookmarkStart w:id="40" w:name="_Toc241000"/>
      <w:r>
        <w:rPr>
          <w:sz w:val="24"/>
        </w:rPr>
        <w:lastRenderedPageBreak/>
        <w:t xml:space="preserve">Annex 14 – Examples of supervision and sanctions powers of national competent authorities </w:t>
      </w:r>
      <w:bookmarkEnd w:id="40"/>
    </w:p>
    <w:p w:rsidR="00BB52D7" w:rsidRDefault="00E33AE6">
      <w:pPr>
        <w:pStyle w:val="Heading6"/>
        <w:pBdr>
          <w:top w:val="single" w:sz="4" w:space="0" w:color="000000"/>
          <w:left w:val="single" w:sz="4" w:space="0" w:color="000000"/>
          <w:bottom w:val="single" w:sz="4" w:space="0" w:color="000000"/>
          <w:right w:val="single" w:sz="4" w:space="0" w:color="000000"/>
        </w:pBdr>
        <w:shd w:val="clear" w:color="auto" w:fill="D9D9D9"/>
        <w:spacing w:after="63" w:line="259" w:lineRule="auto"/>
        <w:ind w:left="10" w:right="2"/>
        <w:jc w:val="center"/>
      </w:pPr>
      <w:r>
        <w:rPr>
          <w:u w:val="none"/>
        </w:rPr>
        <w:t xml:space="preserve">United Kingdom </w:t>
      </w:r>
    </w:p>
    <w:p w:rsidR="00BB52D7" w:rsidRDefault="00E33AE6">
      <w:pPr>
        <w:spacing w:after="39" w:line="259" w:lineRule="auto"/>
        <w:ind w:left="0" w:firstLine="0"/>
        <w:jc w:val="left"/>
      </w:pPr>
      <w:r>
        <w:t xml:space="preserve"> </w:t>
      </w:r>
    </w:p>
    <w:p w:rsidR="00BB52D7" w:rsidRDefault="00E33AE6">
      <w:pPr>
        <w:pStyle w:val="Heading7"/>
        <w:spacing w:after="84"/>
        <w:ind w:left="355" w:right="0"/>
      </w:pPr>
      <w:r>
        <w:t xml:space="preserve">Financial Services and Markets Act 2000 (FSMA 2000) and FCA Handbook </w:t>
      </w:r>
    </w:p>
    <w:p w:rsidR="00BB52D7" w:rsidRDefault="00E33AE6">
      <w:pPr>
        <w:spacing w:after="49"/>
        <w:ind w:left="370"/>
      </w:pPr>
      <w:r>
        <w:t xml:space="preserve">FSMA 2000 requires individuals performing controlled functions for a regulated firm to be approved by the FCA (or, depending on the type of firm, the PRA). </w:t>
      </w:r>
    </w:p>
    <w:p w:rsidR="00BB52D7" w:rsidRDefault="00E33AE6">
      <w:pPr>
        <w:spacing w:after="50"/>
        <w:ind w:left="370" w:right="1"/>
      </w:pPr>
      <w:r>
        <w:t>The members of the Board of a regulated firm will have to be approved to carry out controlled funct</w:t>
      </w:r>
      <w:r>
        <w:t>ions and will be subject to the FCA’s Statements of Principle and Code of Practice for Approved Persons (</w:t>
      </w:r>
      <w:r>
        <w:rPr>
          <w:color w:val="0000FF"/>
          <w:u w:val="single" w:color="0000FF"/>
        </w:rPr>
        <w:t>APER</w:t>
      </w:r>
      <w:r>
        <w:t>). APER sets out the fundamental obligations of approved persons and outlines a number of principles applicable to approved persons. The most relev</w:t>
      </w:r>
      <w:r>
        <w:t xml:space="preserve">ant appear to be: </w:t>
      </w:r>
    </w:p>
    <w:p w:rsidR="00BB52D7" w:rsidRDefault="00E33AE6">
      <w:pPr>
        <w:spacing w:after="45" w:line="248" w:lineRule="auto"/>
        <w:ind w:left="355"/>
      </w:pPr>
      <w:r>
        <w:rPr>
          <w:b/>
        </w:rPr>
        <w:t xml:space="preserve">Statement of Principle 1 </w:t>
      </w:r>
    </w:p>
    <w:p w:rsidR="00BB52D7" w:rsidRDefault="00E33AE6">
      <w:pPr>
        <w:spacing w:after="48"/>
        <w:ind w:left="370"/>
      </w:pPr>
      <w:r>
        <w:t xml:space="preserve">An </w:t>
      </w:r>
      <w:r>
        <w:rPr>
          <w:i/>
          <w:color w:val="0000FF"/>
          <w:u w:val="single" w:color="0000FF"/>
        </w:rPr>
        <w:t>approved person</w:t>
      </w:r>
      <w:r>
        <w:t xml:space="preserve"> must act with integrity in carrying out his </w:t>
      </w:r>
      <w:r>
        <w:rPr>
          <w:i/>
          <w:color w:val="0000FF"/>
          <w:u w:val="single" w:color="0000FF"/>
        </w:rPr>
        <w:t>accountable functions</w:t>
      </w:r>
      <w:r>
        <w:t xml:space="preserve">. </w:t>
      </w:r>
    </w:p>
    <w:p w:rsidR="00BB52D7" w:rsidRDefault="00E33AE6">
      <w:pPr>
        <w:pStyle w:val="Heading7"/>
        <w:spacing w:after="45"/>
        <w:ind w:left="355" w:right="0"/>
      </w:pPr>
      <w:r>
        <w:t xml:space="preserve">Statement of Principle 4 </w:t>
      </w:r>
    </w:p>
    <w:p w:rsidR="00BB52D7" w:rsidRDefault="00E33AE6">
      <w:pPr>
        <w:spacing w:after="49"/>
        <w:ind w:left="370" w:right="2"/>
      </w:pPr>
      <w:r>
        <w:t xml:space="preserve">An </w:t>
      </w:r>
      <w:r>
        <w:rPr>
          <w:i/>
          <w:color w:val="0000FF"/>
          <w:u w:val="single" w:color="0000FF"/>
        </w:rPr>
        <w:t>approved person</w:t>
      </w:r>
      <w:r>
        <w:t xml:space="preserve"> must deal with the </w:t>
      </w:r>
      <w:r>
        <w:rPr>
          <w:i/>
          <w:color w:val="0000FF"/>
          <w:u w:val="single" w:color="0000FF"/>
        </w:rPr>
        <w:t>FCA</w:t>
      </w:r>
      <w:r>
        <w:t xml:space="preserve">, the </w:t>
      </w:r>
      <w:r>
        <w:rPr>
          <w:i/>
          <w:color w:val="0000FF"/>
          <w:u w:val="single" w:color="0000FF"/>
        </w:rPr>
        <w:t>PRA</w:t>
      </w:r>
      <w:r>
        <w:t xml:space="preserve"> and other regulators in an open and cooperative</w:t>
      </w:r>
      <w:r>
        <w:t xml:space="preserve"> way and must disclose appropriately any information of which the </w:t>
      </w:r>
      <w:r>
        <w:rPr>
          <w:i/>
          <w:color w:val="0000FF"/>
          <w:u w:val="single" w:color="0000FF"/>
        </w:rPr>
        <w:t>FCA</w:t>
      </w:r>
      <w:r>
        <w:t xml:space="preserve"> or the </w:t>
      </w:r>
      <w:r>
        <w:rPr>
          <w:i/>
          <w:color w:val="0000FF"/>
          <w:u w:val="single" w:color="0000FF"/>
        </w:rPr>
        <w:t>PRA</w:t>
      </w:r>
      <w:r>
        <w:t xml:space="preserve"> would reasonably expect notice. </w:t>
      </w:r>
    </w:p>
    <w:p w:rsidR="00BB52D7" w:rsidRDefault="00E33AE6">
      <w:pPr>
        <w:spacing w:after="52"/>
        <w:ind w:left="370" w:right="1"/>
      </w:pPr>
      <w:r>
        <w:t>FSMA 2000 attributes powers to the FCA to take Enforcement action against individuals performing controlled functions and firms: these are out</w:t>
      </w:r>
      <w:r>
        <w:t xml:space="preserve">lined, where relevant, in the responses to the questions below.  </w:t>
      </w:r>
    </w:p>
    <w:p w:rsidR="00BB52D7" w:rsidRDefault="00E33AE6">
      <w:pPr>
        <w:spacing w:after="45" w:line="248" w:lineRule="auto"/>
        <w:ind w:left="355"/>
      </w:pPr>
      <w:r>
        <w:rPr>
          <w:b/>
        </w:rPr>
        <w:t xml:space="preserve">What happens if the views of an independent board member are ignored?  </w:t>
      </w:r>
    </w:p>
    <w:p w:rsidR="00BB52D7" w:rsidRDefault="00E33AE6">
      <w:pPr>
        <w:spacing w:after="51"/>
        <w:ind w:left="370" w:right="3"/>
      </w:pPr>
      <w:r>
        <w:t>When the views of an independent board member are ignored these should be recorded in the minutes of the board meeting. The dissenting board member would generally require that his/her dissenting views are documented. Depending on the gravity of the situat</w:t>
      </w:r>
      <w:r>
        <w:t>ion, the FCA would expect the member of the Board whose views are being ignored to consider informing the FCA of any concerns in compliance with the APER Statement of Principle 4 which requires approved persons to “</w:t>
      </w:r>
      <w:r>
        <w:rPr>
          <w:i/>
        </w:rPr>
        <w:t>disclose appropriately any information of</w:t>
      </w:r>
      <w:r>
        <w:rPr>
          <w:i/>
        </w:rPr>
        <w:t xml:space="preserve"> which the FCA or the PRA would reasonably expect notice</w:t>
      </w:r>
      <w:r>
        <w:t xml:space="preserve">”. </w:t>
      </w:r>
    </w:p>
    <w:p w:rsidR="00BB52D7" w:rsidRDefault="00E33AE6">
      <w:pPr>
        <w:spacing w:after="45" w:line="248" w:lineRule="auto"/>
        <w:ind w:left="355"/>
      </w:pPr>
      <w:r>
        <w:rPr>
          <w:b/>
        </w:rPr>
        <w:t xml:space="preserve">Are these views documented?   </w:t>
      </w:r>
    </w:p>
    <w:p w:rsidR="00BB52D7" w:rsidRDefault="00E33AE6">
      <w:pPr>
        <w:spacing w:after="48"/>
        <w:ind w:left="370"/>
      </w:pPr>
      <w:r>
        <w:t>Yes these views should be documented and the records should be kept by the firm in accordance with the FCA’s general record-keeping requirements (</w:t>
      </w:r>
      <w:r>
        <w:rPr>
          <w:color w:val="0000FF"/>
          <w:u w:val="single" w:color="0000FF"/>
        </w:rPr>
        <w:t>SYSC 9</w:t>
      </w:r>
      <w:r>
        <w:t xml:space="preserve">).  </w:t>
      </w:r>
    </w:p>
    <w:p w:rsidR="00BB52D7" w:rsidRDefault="00E33AE6">
      <w:pPr>
        <w:spacing w:after="48" w:line="248" w:lineRule="auto"/>
        <w:ind w:left="355"/>
      </w:pPr>
      <w:r>
        <w:rPr>
          <w:b/>
        </w:rPr>
        <w:t>If so, c</w:t>
      </w:r>
      <w:r>
        <w:rPr>
          <w:b/>
        </w:rPr>
        <w:t xml:space="preserve">an the FCA demand the board to produce these dissenting opinions issued by independent members?  </w:t>
      </w:r>
    </w:p>
    <w:p w:rsidR="00BB52D7" w:rsidRDefault="00E33AE6">
      <w:pPr>
        <w:spacing w:after="21"/>
        <w:ind w:left="370" w:right="2"/>
      </w:pPr>
      <w:r>
        <w:t>The FCA has general information gathering and investigation powers under Part XI of FSMA 2000. This includes the power to require the provision of information</w:t>
      </w:r>
      <w:r>
        <w:t xml:space="preserve"> (s.165) or to require reports from skilled persons (s.166). Under the FCA Principles for Businesses </w:t>
      </w:r>
    </w:p>
    <w:p w:rsidR="00BB52D7" w:rsidRDefault="00E33AE6">
      <w:pPr>
        <w:spacing w:after="56"/>
        <w:ind w:left="370" w:right="1"/>
      </w:pPr>
      <w:r>
        <w:t>(</w:t>
      </w:r>
      <w:r>
        <w:rPr>
          <w:color w:val="0000FF"/>
          <w:u w:val="single" w:color="0000FF"/>
        </w:rPr>
        <w:t>PRIN</w:t>
      </w:r>
      <w:r>
        <w:t xml:space="preserve">) a firm is required to </w:t>
      </w:r>
      <w:r>
        <w:rPr>
          <w:i/>
        </w:rPr>
        <w:t>“deal with its regulators in an open and cooperative way, and to disclose to the appropriate regulator (i.e., the FCA) approp</w:t>
      </w:r>
      <w:r>
        <w:rPr>
          <w:i/>
        </w:rPr>
        <w:t>riately anything relating to the firm of which that regulator would reasonably expect notice”</w:t>
      </w:r>
      <w:r>
        <w:t xml:space="preserve"> (Principle 11). To comply with this Principle, firms are expected to: give representatives or appointees of the appropriate regulator reasonable access to any rec</w:t>
      </w:r>
      <w:r>
        <w:t xml:space="preserve">ords, files, tapes or computer systems, which are within the firm's possession or control, and provide any facilities which the representatives or appointees may reasonably request; and produce to representatives or appointees of the appropriate regulator </w:t>
      </w:r>
      <w:r>
        <w:t xml:space="preserve">specified documents, files, tapes, computer data or </w:t>
      </w:r>
      <w:r>
        <w:lastRenderedPageBreak/>
        <w:t xml:space="preserve">other material in the firm's possession or control as reasonably requested (see SUP 2.3.3G (2) and (3)). </w:t>
      </w:r>
    </w:p>
    <w:p w:rsidR="00BB52D7" w:rsidRDefault="00E33AE6">
      <w:pPr>
        <w:spacing w:after="45" w:line="248" w:lineRule="auto"/>
        <w:ind w:left="355"/>
      </w:pPr>
      <w:r>
        <w:rPr>
          <w:b/>
        </w:rPr>
        <w:t xml:space="preserve">If so, under what circumstances can the FCA request such documents?  </w:t>
      </w:r>
    </w:p>
    <w:p w:rsidR="00BB52D7" w:rsidRDefault="00E33AE6">
      <w:pPr>
        <w:spacing w:after="52"/>
        <w:ind w:left="370" w:right="2"/>
      </w:pPr>
      <w:r>
        <w:t>The FCA has the power to req</w:t>
      </w:r>
      <w:r>
        <w:t xml:space="preserve">uest such information and documents as long as they are required in connection with the performance of its ordinary supervisory function (see s.165 of FSMA 2000). </w:t>
      </w:r>
    </w:p>
    <w:p w:rsidR="00BB52D7" w:rsidRDefault="00E33AE6">
      <w:pPr>
        <w:spacing w:after="48" w:line="248" w:lineRule="auto"/>
        <w:ind w:left="355"/>
      </w:pPr>
      <w:r>
        <w:rPr>
          <w:b/>
        </w:rPr>
        <w:t>What regulatory action can the FCA take once it discovers that the views of an independent b</w:t>
      </w:r>
      <w:r>
        <w:rPr>
          <w:b/>
        </w:rPr>
        <w:t xml:space="preserve">oard member, e.g., a member of the depositary's/custodian's board on the inaccurate valuation of funds by the manager, are ignored? </w:t>
      </w:r>
    </w:p>
    <w:p w:rsidR="00BB52D7" w:rsidRDefault="00E33AE6">
      <w:pPr>
        <w:spacing w:after="49"/>
        <w:ind w:left="370" w:right="1"/>
      </w:pPr>
      <w:r>
        <w:t>This will depend on the specific circumstances and gravity of the situation. Firms must comply at all times with the FCA th</w:t>
      </w:r>
      <w:r>
        <w:t>reshold conditions which are minimum standards that firms need to satisfy to retain their regulatory permissions (</w:t>
      </w:r>
      <w:r>
        <w:rPr>
          <w:color w:val="0000FF"/>
          <w:u w:val="single" w:color="0000FF"/>
        </w:rPr>
        <w:t>COND</w:t>
      </w:r>
      <w:r>
        <w:t xml:space="preserve">).  </w:t>
      </w:r>
    </w:p>
    <w:p w:rsidR="00BB52D7" w:rsidRDefault="00E33AE6">
      <w:pPr>
        <w:spacing w:after="50"/>
        <w:ind w:left="370" w:right="7"/>
      </w:pPr>
      <w:r>
        <w:t xml:space="preserve">Under the ‘Suitability’ condition the firm’s business must be managed in such a way as to ensure that its affairs are conducted in a </w:t>
      </w:r>
      <w:r>
        <w:t>sound and prudent manner and that those managing the firm’s business act with probity. If in the specific circumstances the firm, in the FCA’s view, no longer meets these conditions then action could be taken under s.55J and s.55L FSMA 2000 to vary or canc</w:t>
      </w:r>
      <w:r>
        <w:t xml:space="preserve">el the firm’s permissions (in the most serious cases) or to impose a requirement on the firm to take, or refrain from taking, a specified action. If appropriate, the requirement could also be published on the FCA’s register. </w:t>
      </w:r>
    </w:p>
    <w:p w:rsidR="00BB52D7" w:rsidRDefault="00E33AE6">
      <w:pPr>
        <w:spacing w:after="51" w:line="248" w:lineRule="auto"/>
        <w:ind w:left="355"/>
      </w:pPr>
      <w:r>
        <w:rPr>
          <w:b/>
        </w:rPr>
        <w:t xml:space="preserve">What consequence would it have for the entity involved if the FCA discovers that persistent objections, which prima facie appeared legitimate, were brushed off by the majority of the board? </w:t>
      </w:r>
    </w:p>
    <w:p w:rsidR="00BB52D7" w:rsidRDefault="00E33AE6">
      <w:pPr>
        <w:numPr>
          <w:ilvl w:val="0"/>
          <w:numId w:val="27"/>
        </w:numPr>
        <w:spacing w:after="53"/>
        <w:ind w:right="3" w:hanging="360"/>
      </w:pPr>
      <w:r>
        <w:t>This will also depend on the gravity of the specific circumstance</w:t>
      </w:r>
      <w:r>
        <w:t xml:space="preserve">s. If the fact is considered to be a contravention of a relevant FCA requirement (e.g. one of the FCA’s Principles for Businesses) the FCA can exercise one or more of the following powers against the firm: </w:t>
      </w:r>
    </w:p>
    <w:p w:rsidR="00BB52D7" w:rsidRDefault="00E33AE6">
      <w:pPr>
        <w:numPr>
          <w:ilvl w:val="0"/>
          <w:numId w:val="27"/>
        </w:numPr>
        <w:spacing w:after="53"/>
        <w:ind w:right="3" w:hanging="360"/>
      </w:pPr>
      <w:r>
        <w:t xml:space="preserve">Public censure (publication of a statement to inform the public of such contravention) (s.205 FSMA 2000) </w:t>
      </w:r>
    </w:p>
    <w:p w:rsidR="00BB52D7" w:rsidRDefault="00E33AE6">
      <w:pPr>
        <w:numPr>
          <w:ilvl w:val="0"/>
          <w:numId w:val="27"/>
        </w:numPr>
        <w:spacing w:after="49"/>
        <w:ind w:right="3" w:hanging="360"/>
      </w:pPr>
      <w:r>
        <w:t xml:space="preserve">Financial penalties (s.206 FSMA 2000) </w:t>
      </w:r>
    </w:p>
    <w:p w:rsidR="00BB52D7" w:rsidRDefault="00E33AE6">
      <w:pPr>
        <w:numPr>
          <w:ilvl w:val="0"/>
          <w:numId w:val="27"/>
        </w:numPr>
        <w:spacing w:after="52"/>
        <w:ind w:right="3" w:hanging="360"/>
      </w:pPr>
      <w:r>
        <w:t xml:space="preserve">Suspension or limitations of the permissions to carry out regulated activities (s.206A FSMA 2000) </w:t>
      </w:r>
    </w:p>
    <w:p w:rsidR="00BB52D7" w:rsidRDefault="00E33AE6">
      <w:pPr>
        <w:spacing w:after="48" w:line="248" w:lineRule="auto"/>
        <w:ind w:left="355"/>
      </w:pPr>
      <w:r>
        <w:rPr>
          <w:b/>
        </w:rPr>
        <w:t>Action could</w:t>
      </w:r>
      <w:r>
        <w:rPr>
          <w:b/>
        </w:rPr>
        <w:t xml:space="preserve"> also be taken against the directors concerned and in particular: </w:t>
      </w:r>
    </w:p>
    <w:p w:rsidR="00BB52D7" w:rsidRDefault="00E33AE6">
      <w:pPr>
        <w:numPr>
          <w:ilvl w:val="0"/>
          <w:numId w:val="28"/>
        </w:numPr>
        <w:spacing w:after="53"/>
        <w:ind w:right="8" w:hanging="360"/>
      </w:pPr>
      <w:r>
        <w:t xml:space="preserve">The FCA can withdraw its approval in relation to the performance by the individual of a controlled function if the individual is no longer considered to be fit and proper (s.63 FSMA 2000) </w:t>
      </w:r>
    </w:p>
    <w:p w:rsidR="00BB52D7" w:rsidRDefault="00E33AE6">
      <w:pPr>
        <w:numPr>
          <w:ilvl w:val="0"/>
          <w:numId w:val="28"/>
        </w:numPr>
        <w:spacing w:after="112"/>
        <w:ind w:right="8" w:hanging="360"/>
      </w:pPr>
      <w:r>
        <w:t xml:space="preserve">The FCA can exercise disciplinary powers under the individual if (s.66 FSMA 2000): </w:t>
      </w:r>
      <w:r>
        <w:rPr>
          <w:rFonts w:ascii="Segoe UI Symbol" w:eastAsia="Segoe UI Symbol" w:hAnsi="Segoe UI Symbol" w:cs="Segoe UI Symbol"/>
        </w:rPr>
        <w:t></w:t>
      </w:r>
      <w:r>
        <w:rPr>
          <w:rFonts w:ascii="Arial" w:eastAsia="Arial" w:hAnsi="Arial" w:cs="Arial"/>
        </w:rPr>
        <w:t xml:space="preserve"> </w:t>
      </w:r>
      <w:r>
        <w:t xml:space="preserve">The individual has failed to comply with one of the FCA’s Statements of Principle in APER </w:t>
      </w:r>
    </w:p>
    <w:p w:rsidR="00BB52D7" w:rsidRDefault="00E33AE6">
      <w:pPr>
        <w:numPr>
          <w:ilvl w:val="1"/>
          <w:numId w:val="28"/>
        </w:numPr>
        <w:spacing w:after="52"/>
        <w:ind w:right="843" w:hanging="360"/>
      </w:pPr>
      <w:r>
        <w:t>The individual was ‘knowingly concerned’ in the firm’s contravention of an FCA r</w:t>
      </w:r>
      <w:r>
        <w:t xml:space="preserve">equirement </w:t>
      </w:r>
    </w:p>
    <w:p w:rsidR="00BB52D7" w:rsidRDefault="00E33AE6">
      <w:pPr>
        <w:numPr>
          <w:ilvl w:val="0"/>
          <w:numId w:val="28"/>
        </w:numPr>
        <w:spacing w:after="69"/>
        <w:ind w:right="8" w:hanging="360"/>
      </w:pPr>
      <w:r>
        <w:t xml:space="preserve">In the cases above the FCA can take the following actions: </w:t>
      </w:r>
    </w:p>
    <w:p w:rsidR="00BB52D7" w:rsidRDefault="00E33AE6">
      <w:pPr>
        <w:numPr>
          <w:ilvl w:val="1"/>
          <w:numId w:val="28"/>
        </w:numPr>
        <w:spacing w:after="23"/>
        <w:ind w:right="843" w:hanging="360"/>
      </w:pPr>
      <w:r>
        <w:t xml:space="preserve">Impose a financial penalty on the individual  </w:t>
      </w:r>
    </w:p>
    <w:p w:rsidR="00BB52D7" w:rsidRDefault="00E33AE6">
      <w:pPr>
        <w:numPr>
          <w:ilvl w:val="1"/>
          <w:numId w:val="28"/>
        </w:numPr>
        <w:spacing w:after="23"/>
        <w:ind w:right="843" w:hanging="360"/>
      </w:pPr>
      <w:r>
        <w:t xml:space="preserve">Suspend the individual from the performance of a controlled function </w:t>
      </w:r>
    </w:p>
    <w:p w:rsidR="00BB52D7" w:rsidRDefault="00E33AE6">
      <w:pPr>
        <w:numPr>
          <w:ilvl w:val="1"/>
          <w:numId w:val="28"/>
        </w:numPr>
        <w:spacing w:after="25"/>
        <w:ind w:right="843" w:hanging="360"/>
      </w:pPr>
      <w:r>
        <w:t>Impose a limitation on the functions that the individual can perfor</w:t>
      </w:r>
      <w:r>
        <w:t xml:space="preserve">m </w:t>
      </w:r>
    </w:p>
    <w:p w:rsidR="00BB52D7" w:rsidRDefault="00E33AE6">
      <w:pPr>
        <w:numPr>
          <w:ilvl w:val="1"/>
          <w:numId w:val="28"/>
        </w:numPr>
        <w:spacing w:after="10"/>
        <w:ind w:right="843" w:hanging="360"/>
      </w:pPr>
      <w:r>
        <w:t xml:space="preserve">Publish a statement of misconduct </w:t>
      </w:r>
    </w:p>
    <w:p w:rsidR="00BB52D7" w:rsidRDefault="00E33AE6">
      <w:pPr>
        <w:pStyle w:val="Heading6"/>
        <w:pBdr>
          <w:top w:val="single" w:sz="4" w:space="0" w:color="000000"/>
          <w:left w:val="single" w:sz="4" w:space="0" w:color="000000"/>
          <w:bottom w:val="single" w:sz="4" w:space="0" w:color="000000"/>
          <w:right w:val="single" w:sz="4" w:space="0" w:color="000000"/>
        </w:pBdr>
        <w:shd w:val="clear" w:color="auto" w:fill="D9D9D9"/>
        <w:spacing w:after="63" w:line="259" w:lineRule="auto"/>
        <w:ind w:left="10" w:right="2"/>
        <w:jc w:val="center"/>
      </w:pPr>
      <w:r>
        <w:rPr>
          <w:u w:val="none"/>
        </w:rPr>
        <w:lastRenderedPageBreak/>
        <w:t xml:space="preserve">France </w:t>
      </w:r>
    </w:p>
    <w:p w:rsidR="00BB52D7" w:rsidRDefault="00E33AE6">
      <w:pPr>
        <w:spacing w:after="34" w:line="259" w:lineRule="auto"/>
        <w:ind w:left="0" w:firstLine="0"/>
        <w:jc w:val="left"/>
      </w:pPr>
      <w:r>
        <w:rPr>
          <w:i/>
        </w:rPr>
        <w:t xml:space="preserve"> </w:t>
      </w:r>
    </w:p>
    <w:p w:rsidR="00BB52D7" w:rsidRDefault="00E33AE6">
      <w:pPr>
        <w:spacing w:after="49"/>
        <w:ind w:left="10" w:right="7"/>
      </w:pPr>
      <w:r>
        <w:t>AMF can obtain information from the detailed mission statement ("cahiers des charges") which the depositary needs to submit upon request. This statement includes information on the control of the activities and resources that the entity has to put into pla</w:t>
      </w:r>
      <w:r>
        <w:t xml:space="preserve">ce. AMF can request further documents and insights, e.g. in the framework on on-site inspections. </w:t>
      </w:r>
    </w:p>
    <w:p w:rsidR="00BB52D7" w:rsidRDefault="00E33AE6">
      <w:pPr>
        <w:spacing w:after="36" w:line="259" w:lineRule="auto"/>
        <w:ind w:left="0" w:firstLine="0"/>
        <w:jc w:val="left"/>
      </w:pPr>
      <w:r>
        <w:t xml:space="preserve"> </w:t>
      </w:r>
    </w:p>
    <w:p w:rsidR="00BB52D7" w:rsidRDefault="00E33AE6">
      <w:pPr>
        <w:spacing w:after="49"/>
        <w:ind w:left="10" w:right="6"/>
      </w:pPr>
      <w:r>
        <w:t>AMF has also the power to control the relevant entity on its own initiative. AMF continuously monitors the orderly functioning of the companies concerned a</w:t>
      </w:r>
      <w:r>
        <w:t xml:space="preserve">nd controls and sanctions should this not be the case.  </w:t>
      </w:r>
    </w:p>
    <w:p w:rsidR="00BB52D7" w:rsidRDefault="00E33AE6">
      <w:pPr>
        <w:spacing w:after="36" w:line="259" w:lineRule="auto"/>
        <w:ind w:left="0" w:firstLine="0"/>
        <w:jc w:val="left"/>
      </w:pPr>
      <w:r>
        <w:t xml:space="preserve"> </w:t>
      </w:r>
    </w:p>
    <w:p w:rsidR="00BB52D7" w:rsidRDefault="00E33AE6">
      <w:pPr>
        <w:spacing w:after="270"/>
        <w:ind w:left="10" w:right="3"/>
      </w:pPr>
      <w:r>
        <w:t xml:space="preserve">The information received by the AMF can originate from different channels, including board members availing themselves of the whistleblowing procedure that will be introduced in the French </w:t>
      </w:r>
      <w:r>
        <w:rPr>
          <w:i/>
        </w:rPr>
        <w:t>code mon</w:t>
      </w:r>
      <w:r>
        <w:rPr>
          <w:i/>
        </w:rPr>
        <w:t>étaire et financier</w:t>
      </w:r>
      <w:r>
        <w:t xml:space="preserve"> or/and the General Regulation with the transposition of UCITS V. As a reaction to this information, the AMF can launch a strengthened monitoring process and, if there is any risk posed for investors organise on-site inspections on an em</w:t>
      </w:r>
      <w:r>
        <w:t xml:space="preserve">ergency basis and pronounce sanctions. </w:t>
      </w:r>
    </w:p>
    <w:p w:rsidR="00BB52D7" w:rsidRDefault="00E33AE6">
      <w:pPr>
        <w:spacing w:after="265"/>
        <w:ind w:left="10" w:right="843"/>
      </w:pPr>
      <w:r>
        <w:t xml:space="preserve">The Enforcement Committee may issue sanctions against: </w:t>
      </w:r>
    </w:p>
    <w:p w:rsidR="00BB52D7" w:rsidRDefault="00E33AE6">
      <w:pPr>
        <w:numPr>
          <w:ilvl w:val="0"/>
          <w:numId w:val="29"/>
        </w:numPr>
        <w:spacing w:after="0"/>
        <w:ind w:hanging="360"/>
      </w:pPr>
      <w:r>
        <w:t xml:space="preserve">professionals under AMF supervision if they breach their professional obligations under the law, regulations and professional rules approved by the AMF </w:t>
      </w:r>
    </w:p>
    <w:p w:rsidR="00BB52D7" w:rsidRDefault="00E33AE6">
      <w:pPr>
        <w:numPr>
          <w:ilvl w:val="0"/>
          <w:numId w:val="29"/>
        </w:numPr>
        <w:spacing w:after="10"/>
        <w:ind w:hanging="360"/>
      </w:pPr>
      <w:r>
        <w:t xml:space="preserve">individuals acting under the authority or on behalf of these professionals </w:t>
      </w:r>
    </w:p>
    <w:p w:rsidR="00BB52D7" w:rsidRDefault="00E33AE6">
      <w:pPr>
        <w:numPr>
          <w:ilvl w:val="0"/>
          <w:numId w:val="29"/>
        </w:numPr>
        <w:spacing w:after="272" w:line="245" w:lineRule="auto"/>
        <w:ind w:hanging="360"/>
      </w:pPr>
      <w:r>
        <w:t>any person that commits market abuse, including insider dealing, price manipulation or dissemination of false information, or any other breach that could impair investor protection</w:t>
      </w:r>
      <w:r>
        <w:t xml:space="preserve"> or interfere with orderly markets. </w:t>
      </w:r>
    </w:p>
    <w:p w:rsidR="00BB52D7" w:rsidRDefault="00E33AE6">
      <w:pPr>
        <w:spacing w:after="46"/>
        <w:ind w:left="10" w:right="843"/>
      </w:pPr>
      <w:r>
        <w:t xml:space="preserve">The applicable sanctions vary depending on the type of respondent and offence: </w:t>
      </w:r>
    </w:p>
    <w:p w:rsidR="00BB52D7" w:rsidRDefault="00E33AE6">
      <w:pPr>
        <w:spacing w:after="0" w:line="259" w:lineRule="auto"/>
        <w:ind w:left="0" w:firstLine="0"/>
        <w:jc w:val="left"/>
      </w:pPr>
      <w:r>
        <w:t xml:space="preserve"> </w:t>
      </w:r>
    </w:p>
    <w:tbl>
      <w:tblPr>
        <w:tblStyle w:val="TableGrid"/>
        <w:tblW w:w="9287" w:type="dxa"/>
        <w:tblInd w:w="-107" w:type="dxa"/>
        <w:tblCellMar>
          <w:top w:w="8" w:type="dxa"/>
          <w:left w:w="107" w:type="dxa"/>
          <w:bottom w:w="0" w:type="dxa"/>
          <w:right w:w="63" w:type="dxa"/>
        </w:tblCellMar>
        <w:tblLook w:val="04A0" w:firstRow="1" w:lastRow="0" w:firstColumn="1" w:lastColumn="0" w:noHBand="0" w:noVBand="1"/>
      </w:tblPr>
      <w:tblGrid>
        <w:gridCol w:w="2322"/>
        <w:gridCol w:w="2322"/>
        <w:gridCol w:w="2322"/>
        <w:gridCol w:w="2321"/>
      </w:tblGrid>
      <w:tr w:rsidR="00BB52D7">
        <w:trPr>
          <w:trHeight w:val="274"/>
        </w:trPr>
        <w:tc>
          <w:tcPr>
            <w:tcW w:w="2321"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0" w:firstLine="0"/>
              <w:jc w:val="left"/>
            </w:pPr>
            <w:r>
              <w:rPr>
                <w:b/>
                <w:sz w:val="18"/>
              </w:rPr>
              <w:t xml:space="preserve">Person sanctioned </w:t>
            </w:r>
          </w:p>
        </w:tc>
        <w:tc>
          <w:tcPr>
            <w:tcW w:w="2322"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1" w:firstLine="0"/>
              <w:jc w:val="left"/>
            </w:pPr>
            <w:r>
              <w:rPr>
                <w:b/>
                <w:sz w:val="18"/>
              </w:rPr>
              <w:t xml:space="preserve">Type of breach </w:t>
            </w:r>
          </w:p>
        </w:tc>
        <w:tc>
          <w:tcPr>
            <w:tcW w:w="2322"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1" w:firstLine="0"/>
              <w:jc w:val="left"/>
            </w:pPr>
            <w:r>
              <w:rPr>
                <w:b/>
                <w:sz w:val="18"/>
              </w:rPr>
              <w:t xml:space="preserve">Disciplinary sanction </w:t>
            </w:r>
          </w:p>
        </w:tc>
        <w:tc>
          <w:tcPr>
            <w:tcW w:w="2321" w:type="dxa"/>
            <w:tcBorders>
              <w:top w:val="single" w:sz="4" w:space="0" w:color="000000"/>
              <w:left w:val="single" w:sz="4" w:space="0" w:color="000000"/>
              <w:bottom w:val="single" w:sz="4" w:space="0" w:color="000000"/>
              <w:right w:val="single" w:sz="4" w:space="0" w:color="000000"/>
            </w:tcBorders>
            <w:shd w:val="clear" w:color="auto" w:fill="BFBFBF"/>
          </w:tcPr>
          <w:p w:rsidR="00BB52D7" w:rsidRDefault="00E33AE6">
            <w:pPr>
              <w:spacing w:after="0" w:line="259" w:lineRule="auto"/>
              <w:ind w:left="1" w:firstLine="0"/>
              <w:jc w:val="left"/>
            </w:pPr>
            <w:r>
              <w:rPr>
                <w:b/>
                <w:sz w:val="18"/>
              </w:rPr>
              <w:t xml:space="preserve">Fine (*) </w:t>
            </w:r>
          </w:p>
        </w:tc>
      </w:tr>
      <w:tr w:rsidR="00BB52D7">
        <w:trPr>
          <w:trHeight w:val="899"/>
        </w:trPr>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6" w:firstLine="0"/>
            </w:pPr>
            <w:r>
              <w:rPr>
                <w:sz w:val="18"/>
              </w:rPr>
              <w:t xml:space="preserve">Professional under AMF supervision, such as an investment services provider or management company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6" w:firstLine="0"/>
            </w:pPr>
            <w:r>
              <w:rPr>
                <w:sz w:val="18"/>
              </w:rPr>
              <w:t xml:space="preserve">Individual acting under the authority or on behalf of a professional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18"/>
              </w:rPr>
              <w:t xml:space="preserve">Warning, </w:t>
            </w:r>
            <w:r>
              <w:rPr>
                <w:sz w:val="18"/>
              </w:rPr>
              <w:tab/>
              <w:t xml:space="preserve">reprimand, temporary or permanent ban on providing some or all services </w:t>
            </w:r>
          </w:p>
        </w:tc>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pPr>
            <w:r>
              <w:rPr>
                <w:sz w:val="18"/>
              </w:rPr>
              <w:t xml:space="preserve">Up to €100 million or ten times any profit earned </w:t>
            </w:r>
          </w:p>
        </w:tc>
      </w:tr>
      <w:tr w:rsidR="00BB52D7">
        <w:trPr>
          <w:trHeight w:val="1519"/>
        </w:trPr>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8" w:firstLine="0"/>
            </w:pPr>
            <w:r>
              <w:rPr>
                <w:sz w:val="18"/>
              </w:rPr>
              <w:t xml:space="preserve">Individual acting under the authority or on behalf of a professional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18"/>
              </w:rPr>
              <w:t xml:space="preserve">Failure to meet professional obligations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5" w:firstLine="0"/>
            </w:pPr>
            <w:r>
              <w:rPr>
                <w:sz w:val="18"/>
              </w:rPr>
              <w:t xml:space="preserve">Warning, reprimand, temporary, suspension or withdrawal of professional licence, temporary or permanent ban on conducting some or all businesses. </w:t>
            </w:r>
          </w:p>
        </w:tc>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pPr>
            <w:r>
              <w:rPr>
                <w:sz w:val="18"/>
              </w:rPr>
              <w:t xml:space="preserve">Up to €300,000 or five times any profit earned </w:t>
            </w:r>
          </w:p>
        </w:tc>
      </w:tr>
      <w:tr w:rsidR="00BB52D7">
        <w:trPr>
          <w:trHeight w:val="1520"/>
        </w:trPr>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7" w:firstLine="0"/>
            </w:pPr>
            <w:r>
              <w:rPr>
                <w:sz w:val="18"/>
              </w:rPr>
              <w:t xml:space="preserve">Individual acting under the authority or on behalf of a professional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18"/>
              </w:rPr>
              <w:t xml:space="preserve">Market abuse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right="45" w:firstLine="0"/>
            </w:pPr>
            <w:r>
              <w:rPr>
                <w:sz w:val="18"/>
              </w:rPr>
              <w:t xml:space="preserve">Warning, reprimand, temporary, suspension or withdrawal of professional licence, temporary or permanent ban on conducting some or all businesses. </w:t>
            </w:r>
          </w:p>
        </w:tc>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pPr>
            <w:r>
              <w:rPr>
                <w:sz w:val="18"/>
              </w:rPr>
              <w:t xml:space="preserve">Up to €15 million or ten </w:t>
            </w:r>
            <w:r>
              <w:rPr>
                <w:sz w:val="18"/>
              </w:rPr>
              <w:t xml:space="preserve">times any profit earned </w:t>
            </w:r>
          </w:p>
        </w:tc>
      </w:tr>
      <w:tr w:rsidR="00BB52D7">
        <w:trPr>
          <w:trHeight w:val="691"/>
        </w:trPr>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0" w:right="46" w:firstLine="0"/>
            </w:pPr>
            <w:r>
              <w:rPr>
                <w:sz w:val="18"/>
              </w:rPr>
              <w:t xml:space="preserve">Other persons (issuers and their executives, auditors, others)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18"/>
              </w:rPr>
              <w:t xml:space="preserve">Market abuse </w:t>
            </w:r>
          </w:p>
        </w:tc>
        <w:tc>
          <w:tcPr>
            <w:tcW w:w="2322"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jc w:val="left"/>
            </w:pPr>
            <w:r>
              <w:rPr>
                <w:sz w:val="18"/>
              </w:rPr>
              <w:t xml:space="preserve">N/A </w:t>
            </w:r>
          </w:p>
        </w:tc>
        <w:tc>
          <w:tcPr>
            <w:tcW w:w="2321" w:type="dxa"/>
            <w:tcBorders>
              <w:top w:val="single" w:sz="4" w:space="0" w:color="000000"/>
              <w:left w:val="single" w:sz="4" w:space="0" w:color="000000"/>
              <w:bottom w:val="single" w:sz="4" w:space="0" w:color="000000"/>
              <w:right w:val="single" w:sz="4" w:space="0" w:color="000000"/>
            </w:tcBorders>
          </w:tcPr>
          <w:p w:rsidR="00BB52D7" w:rsidRDefault="00E33AE6">
            <w:pPr>
              <w:spacing w:after="0" w:line="259" w:lineRule="auto"/>
              <w:ind w:left="1" w:firstLine="0"/>
            </w:pPr>
            <w:r>
              <w:rPr>
                <w:sz w:val="18"/>
              </w:rPr>
              <w:t xml:space="preserve">Up to €100 million or ten times any profit earned </w:t>
            </w:r>
          </w:p>
        </w:tc>
      </w:tr>
    </w:tbl>
    <w:p w:rsidR="00BB52D7" w:rsidRDefault="00E33AE6">
      <w:pPr>
        <w:spacing w:after="64" w:line="259" w:lineRule="auto"/>
        <w:ind w:left="10"/>
        <w:jc w:val="left"/>
      </w:pPr>
      <w:r>
        <w:rPr>
          <w:sz w:val="18"/>
        </w:rPr>
        <w:t xml:space="preserve">(*) </w:t>
      </w:r>
      <w:r>
        <w:rPr>
          <w:i/>
          <w:sz w:val="18"/>
        </w:rPr>
        <w:t xml:space="preserve">For breaches committed on or after 24/10/2010 (cf. Act 2010-1249 of 22 October 2011) </w:t>
      </w:r>
    </w:p>
    <w:p w:rsidR="00BB52D7" w:rsidRDefault="00E33AE6">
      <w:pPr>
        <w:spacing w:after="68" w:line="259" w:lineRule="auto"/>
        <w:ind w:left="0" w:firstLine="0"/>
        <w:jc w:val="left"/>
      </w:pPr>
      <w:r>
        <w:rPr>
          <w:i/>
        </w:rPr>
        <w:lastRenderedPageBreak/>
        <w:t xml:space="preserve"> </w:t>
      </w:r>
    </w:p>
    <w:p w:rsidR="00BB52D7" w:rsidRDefault="00E33AE6">
      <w:pPr>
        <w:pStyle w:val="Heading6"/>
        <w:pBdr>
          <w:top w:val="single" w:sz="4" w:space="0" w:color="000000"/>
          <w:left w:val="single" w:sz="4" w:space="0" w:color="000000"/>
          <w:bottom w:val="single" w:sz="4" w:space="0" w:color="000000"/>
          <w:right w:val="single" w:sz="4" w:space="0" w:color="000000"/>
        </w:pBdr>
        <w:shd w:val="clear" w:color="auto" w:fill="D9D9D9"/>
        <w:spacing w:after="63" w:line="259" w:lineRule="auto"/>
        <w:ind w:left="10" w:right="3"/>
        <w:jc w:val="center"/>
      </w:pPr>
      <w:r>
        <w:rPr>
          <w:u w:val="none"/>
        </w:rPr>
        <w:t xml:space="preserve">Luxembourg </w:t>
      </w:r>
    </w:p>
    <w:p w:rsidR="00BB52D7" w:rsidRDefault="00E33AE6">
      <w:pPr>
        <w:spacing w:after="34" w:line="259" w:lineRule="auto"/>
        <w:ind w:left="0" w:firstLine="0"/>
        <w:jc w:val="left"/>
      </w:pPr>
      <w:r>
        <w:rPr>
          <w:i/>
        </w:rPr>
        <w:t xml:space="preserve"> </w:t>
      </w:r>
    </w:p>
    <w:p w:rsidR="00BB52D7" w:rsidRDefault="00E33AE6">
      <w:pPr>
        <w:spacing w:after="49"/>
        <w:ind w:left="10"/>
      </w:pPr>
      <w:r>
        <w:t xml:space="preserve">Article 147 of the law of 17 December 2010 on undertakings for collective investment, provides for the following:  </w:t>
      </w:r>
    </w:p>
    <w:p w:rsidR="00BB52D7" w:rsidRDefault="00E33AE6">
      <w:pPr>
        <w:spacing w:after="50"/>
        <w:ind w:left="10"/>
      </w:pPr>
      <w:r>
        <w:t xml:space="preserve">"(1) For the purposes of application of this Law, the CSSF is granted all supervisory and investigative powers that are necessary for the exercise of their functions. </w:t>
      </w:r>
      <w:r>
        <w:rPr>
          <w:i/>
        </w:rPr>
        <w:t xml:space="preserve"> </w:t>
      </w:r>
    </w:p>
    <w:p w:rsidR="00BB52D7" w:rsidRDefault="00E33AE6">
      <w:pPr>
        <w:spacing w:after="34" w:line="259" w:lineRule="auto"/>
        <w:ind w:left="0" w:firstLine="0"/>
        <w:jc w:val="left"/>
      </w:pPr>
      <w:r>
        <w:rPr>
          <w:i/>
        </w:rPr>
        <w:t xml:space="preserve"> </w:t>
      </w:r>
    </w:p>
    <w:p w:rsidR="00BB52D7" w:rsidRDefault="00E33AE6">
      <w:pPr>
        <w:spacing w:after="49"/>
        <w:ind w:left="10" w:right="843"/>
      </w:pPr>
      <w:r>
        <w:t xml:space="preserve">(2) The powers of the CSSF shall include the right to:  </w:t>
      </w:r>
    </w:p>
    <w:p w:rsidR="00BB52D7" w:rsidRDefault="00E33AE6">
      <w:pPr>
        <w:numPr>
          <w:ilvl w:val="0"/>
          <w:numId w:val="30"/>
        </w:numPr>
        <w:spacing w:after="49"/>
        <w:ind w:hanging="360"/>
      </w:pPr>
      <w:r>
        <w:t>access any document in any f</w:t>
      </w:r>
      <w:r>
        <w:t xml:space="preserve">orm and receive a copy thereof;    </w:t>
      </w:r>
    </w:p>
    <w:p w:rsidR="00BB52D7" w:rsidRDefault="00E33AE6">
      <w:pPr>
        <w:numPr>
          <w:ilvl w:val="0"/>
          <w:numId w:val="30"/>
        </w:numPr>
        <w:spacing w:after="53"/>
        <w:ind w:hanging="360"/>
      </w:pPr>
      <w:r>
        <w:t xml:space="preserve">require any person to provide information and, if necessary, to summon and question any person with a view to obtaining information;  </w:t>
      </w:r>
    </w:p>
    <w:p w:rsidR="00BB52D7" w:rsidRDefault="00E33AE6">
      <w:pPr>
        <w:numPr>
          <w:ilvl w:val="0"/>
          <w:numId w:val="30"/>
        </w:numPr>
        <w:spacing w:after="53"/>
        <w:ind w:hanging="360"/>
      </w:pPr>
      <w:r>
        <w:t>carry out on-site inspections or investigations, by itself or by its delegates, of pe</w:t>
      </w:r>
      <w:r>
        <w:t xml:space="preserve">rsons subject to its supervision under this Law;  </w:t>
      </w:r>
    </w:p>
    <w:p w:rsidR="00BB52D7" w:rsidRDefault="00E33AE6">
      <w:pPr>
        <w:numPr>
          <w:ilvl w:val="0"/>
          <w:numId w:val="30"/>
        </w:numPr>
        <w:spacing w:after="49"/>
        <w:ind w:hanging="360"/>
      </w:pPr>
      <w:r>
        <w:t xml:space="preserve">require communication of the telephone exchanges and existing data;  </w:t>
      </w:r>
    </w:p>
    <w:p w:rsidR="00BB52D7" w:rsidRDefault="00E33AE6">
      <w:pPr>
        <w:numPr>
          <w:ilvl w:val="0"/>
          <w:numId w:val="30"/>
        </w:numPr>
        <w:spacing w:after="53"/>
        <w:ind w:hanging="360"/>
      </w:pPr>
      <w:r>
        <w:t xml:space="preserve">require the cessation of any practice that is contrary to the provisions adopted in implementation of this Law;  </w:t>
      </w:r>
    </w:p>
    <w:p w:rsidR="00BB52D7" w:rsidRDefault="00E33AE6">
      <w:pPr>
        <w:numPr>
          <w:ilvl w:val="0"/>
          <w:numId w:val="30"/>
        </w:numPr>
        <w:spacing w:after="53"/>
        <w:ind w:hanging="360"/>
      </w:pPr>
      <w:r>
        <w:t xml:space="preserve">request the freezing </w:t>
      </w:r>
      <w:r>
        <w:t xml:space="preserve">or the sequestration of assets by the president of the District Court of and in Luxembourg acting on request;  </w:t>
      </w:r>
    </w:p>
    <w:p w:rsidR="00BB52D7" w:rsidRDefault="00E33AE6">
      <w:pPr>
        <w:numPr>
          <w:ilvl w:val="0"/>
          <w:numId w:val="30"/>
        </w:numPr>
        <w:spacing w:after="53"/>
        <w:ind w:hanging="360"/>
      </w:pPr>
      <w:r>
        <w:t xml:space="preserve">pronounce the temporary prohibition of exercising professional activities against the persons subject to its prudential supervision, as well as </w:t>
      </w:r>
      <w:r>
        <w:t xml:space="preserve">the members of administrative, governing and management bodies, employees and agents linked to these persons;  </w:t>
      </w:r>
    </w:p>
    <w:p w:rsidR="00BB52D7" w:rsidRDefault="00E33AE6">
      <w:pPr>
        <w:numPr>
          <w:ilvl w:val="0"/>
          <w:numId w:val="30"/>
        </w:numPr>
        <w:spacing w:after="53"/>
        <w:ind w:hanging="360"/>
      </w:pPr>
      <w:r>
        <w:t xml:space="preserve">require authorised investment companies, management companies or depositaries to provide information;  </w:t>
      </w:r>
    </w:p>
    <w:p w:rsidR="00BB52D7" w:rsidRDefault="00E33AE6">
      <w:pPr>
        <w:numPr>
          <w:ilvl w:val="0"/>
          <w:numId w:val="30"/>
        </w:numPr>
        <w:spacing w:after="53"/>
        <w:ind w:hanging="360"/>
      </w:pPr>
      <w:r>
        <w:t>adopt any type of measure to ensure that</w:t>
      </w:r>
      <w:r>
        <w:t xml:space="preserve"> investment companies, management companies or depositaries continue to comply with the requirements of this Law;  </w:t>
      </w:r>
    </w:p>
    <w:p w:rsidR="00BB52D7" w:rsidRDefault="00E33AE6">
      <w:pPr>
        <w:numPr>
          <w:ilvl w:val="0"/>
          <w:numId w:val="30"/>
        </w:numPr>
        <w:spacing w:after="53"/>
        <w:ind w:hanging="360"/>
      </w:pPr>
      <w:r>
        <w:t xml:space="preserve">require the suspension of the issue, repurchase or redemption of units in the interest of the unitholders or of the public;  </w:t>
      </w:r>
    </w:p>
    <w:p w:rsidR="00BB52D7" w:rsidRDefault="00E33AE6">
      <w:pPr>
        <w:numPr>
          <w:ilvl w:val="0"/>
          <w:numId w:val="30"/>
        </w:numPr>
        <w:spacing w:after="10"/>
        <w:ind w:hanging="360"/>
      </w:pPr>
      <w:r>
        <w:t>withdraw the a</w:t>
      </w:r>
      <w:r>
        <w:t xml:space="preserve">uthorisation granted to an undertaking for collective investment (" </w:t>
      </w:r>
    </w:p>
    <w:p w:rsidR="00BB52D7" w:rsidRDefault="00E33AE6">
      <w:pPr>
        <w:spacing w:after="49"/>
        <w:ind w:left="730" w:right="843"/>
      </w:pPr>
      <w:r>
        <w:t xml:space="preserve">UCI"), a management company or a depositary;  </w:t>
      </w:r>
    </w:p>
    <w:p w:rsidR="00BB52D7" w:rsidRDefault="00E33AE6">
      <w:pPr>
        <w:numPr>
          <w:ilvl w:val="0"/>
          <w:numId w:val="30"/>
        </w:numPr>
        <w:spacing w:after="80"/>
        <w:ind w:hanging="360"/>
      </w:pPr>
      <w:r>
        <w:t xml:space="preserve">transmit information to the Public Prosecutor for criminal proceedings; and  </w:t>
      </w:r>
    </w:p>
    <w:p w:rsidR="00BB52D7" w:rsidRDefault="00E33AE6">
      <w:pPr>
        <w:numPr>
          <w:ilvl w:val="0"/>
          <w:numId w:val="30"/>
        </w:numPr>
        <w:spacing w:after="49"/>
        <w:ind w:hanging="360"/>
      </w:pPr>
      <w:r>
        <w:t xml:space="preserve">instruct </w:t>
      </w:r>
      <w:r>
        <w:rPr>
          <w:i/>
        </w:rPr>
        <w:t>réviseur d’entreprises agréé (approved statutory audi</w:t>
      </w:r>
      <w:r>
        <w:rPr>
          <w:i/>
        </w:rPr>
        <w:t>tor)</w:t>
      </w:r>
      <w:r>
        <w:t xml:space="preserve">s or experts to carry out verifications or investigations."  </w:t>
      </w:r>
    </w:p>
    <w:p w:rsidR="00BB52D7" w:rsidRDefault="00E33AE6">
      <w:pPr>
        <w:spacing w:after="69" w:line="259" w:lineRule="auto"/>
        <w:ind w:left="0" w:firstLine="0"/>
        <w:jc w:val="left"/>
      </w:pPr>
      <w:r>
        <w:t xml:space="preserve"> </w:t>
      </w:r>
    </w:p>
    <w:p w:rsidR="00BB52D7" w:rsidRDefault="00E33AE6">
      <w:pPr>
        <w:pStyle w:val="Heading6"/>
        <w:pBdr>
          <w:top w:val="single" w:sz="4" w:space="0" w:color="000000"/>
          <w:left w:val="single" w:sz="4" w:space="0" w:color="000000"/>
          <w:bottom w:val="single" w:sz="4" w:space="0" w:color="000000"/>
          <w:right w:val="single" w:sz="4" w:space="0" w:color="000000"/>
        </w:pBdr>
        <w:shd w:val="clear" w:color="auto" w:fill="D9D9D9"/>
        <w:spacing w:after="63" w:line="259" w:lineRule="auto"/>
        <w:ind w:left="10" w:right="3"/>
        <w:jc w:val="center"/>
      </w:pPr>
      <w:r>
        <w:rPr>
          <w:u w:val="none"/>
        </w:rPr>
        <w:t xml:space="preserve">Germany </w:t>
      </w:r>
    </w:p>
    <w:p w:rsidR="00BB52D7" w:rsidRDefault="00E33AE6">
      <w:pPr>
        <w:spacing w:after="36" w:line="259" w:lineRule="auto"/>
        <w:ind w:left="0" w:firstLine="0"/>
        <w:jc w:val="left"/>
      </w:pPr>
      <w:r>
        <w:t xml:space="preserve"> </w:t>
      </w:r>
    </w:p>
    <w:p w:rsidR="00BB52D7" w:rsidRDefault="00E33AE6">
      <w:pPr>
        <w:spacing w:after="49"/>
        <w:ind w:left="10" w:right="1"/>
      </w:pPr>
      <w:r>
        <w:t xml:space="preserve">According to § 5 par. 6 of the German Capital Investment Act (Kapitalanlagegesetzbuch - </w:t>
      </w:r>
      <w:r>
        <w:t xml:space="preserve">KAGB), the supervisory authority (BaFin) has comprehensive investigation and intervention powers: </w:t>
      </w:r>
    </w:p>
    <w:p w:rsidR="00BB52D7" w:rsidRDefault="00E33AE6">
      <w:pPr>
        <w:spacing w:after="53"/>
        <w:ind w:left="10" w:right="1"/>
      </w:pPr>
      <w:r>
        <w:t>"The Bundesanstalt shall carry out the supervision of compliance with the prohibitions and requirements stipulated by this Act and by regulation based on thi</w:t>
      </w:r>
      <w:r>
        <w:t>s Act and is empowered to issue all orders which are necessary and appropriate to enforce them. Furthermore, the Bundesanstalt shall have the power to issue all orders in the course of supervision which are necessary and appropriate to ensure compliance wi</w:t>
      </w:r>
      <w:r>
        <w:t xml:space="preserve">th the fund rules or the funds' articles of </w:t>
      </w:r>
      <w:r>
        <w:lastRenderedPageBreak/>
        <w:t xml:space="preserve">association. To the extent that evidence exists that this is necessary for the supervision of a prohibition or requirement pursuant to this Act, the BaFin may in particular: </w:t>
      </w:r>
    </w:p>
    <w:p w:rsidR="00BB52D7" w:rsidRDefault="00E33AE6">
      <w:pPr>
        <w:numPr>
          <w:ilvl w:val="0"/>
          <w:numId w:val="31"/>
        </w:numPr>
        <w:spacing w:after="53"/>
        <w:ind w:right="843" w:hanging="360"/>
      </w:pPr>
      <w:r>
        <w:t xml:space="preserve">obtain information and request the submission of documents and the surrender of copies from any person, summon and question any person and </w:t>
      </w:r>
    </w:p>
    <w:p w:rsidR="00BB52D7" w:rsidRDefault="00E33AE6">
      <w:pPr>
        <w:numPr>
          <w:ilvl w:val="0"/>
          <w:numId w:val="31"/>
        </w:numPr>
        <w:spacing w:after="46"/>
        <w:ind w:right="843" w:hanging="360"/>
      </w:pPr>
      <w:r>
        <w:t xml:space="preserve">request existing telephone and data traffic records..."   </w:t>
      </w:r>
    </w:p>
    <w:p w:rsidR="00BB52D7" w:rsidRDefault="00E33AE6">
      <w:pPr>
        <w:spacing w:after="49"/>
        <w:ind w:left="10" w:right="4"/>
      </w:pPr>
      <w:r>
        <w:t xml:space="preserve">Based on this empowerment, BaFin may request the minutes </w:t>
      </w:r>
      <w:r>
        <w:t xml:space="preserve">of meetings of the supervisory board from a fund management company or a fund depository if there is any hint of a breach of law or non-compliance with the fund rules. If a member of the supervisory board expresses concerns in this regard, BaFin will have </w:t>
      </w:r>
      <w:r>
        <w:t xml:space="preserve">to further investigate whether these concerns are based on facts. If it comes to the conclusion that there is any breach of law or non-compliance with the fund rules, it will issue the orders necessary to remove the breach and avoid further breaches. </w:t>
      </w:r>
    </w:p>
    <w:p w:rsidR="00BB52D7" w:rsidRDefault="00E33AE6">
      <w:pPr>
        <w:spacing w:after="49"/>
        <w:ind w:left="10" w:right="3"/>
      </w:pPr>
      <w:r>
        <w:t>In t</w:t>
      </w:r>
      <w:r>
        <w:t xml:space="preserve">his context, please also note § 18 par. 4 KAGB which stipulates that "The personality and expertise of the members of the supervisory board or of an advisory board shall be such as to guarantee the protection of the investors' interests.   </w:t>
      </w:r>
    </w:p>
    <w:p w:rsidR="00BB52D7" w:rsidRDefault="00E33AE6">
      <w:pPr>
        <w:spacing w:after="49"/>
        <w:ind w:left="10" w:right="1"/>
      </w:pPr>
      <w:r>
        <w:t>If BaFin discovers that a majority of board members constantly ignore legitimate concerns of one or two members, it may take the view that all or some of the majority members of the board are no longer suitable for their position, and an order their dismis</w:t>
      </w:r>
      <w:r>
        <w:t xml:space="preserve">sal. If repeatedly ignored concerns are based on facts that are also known to the company's executive board or some of its employees, BaFin may consider the company's risk control system to be inefficient, and issue orders to improve it.  </w:t>
      </w:r>
    </w:p>
    <w:p w:rsidR="00BB52D7" w:rsidRDefault="00E33AE6">
      <w:pPr>
        <w:spacing w:after="69" w:line="259" w:lineRule="auto"/>
        <w:ind w:left="0" w:firstLine="0"/>
        <w:jc w:val="left"/>
      </w:pPr>
      <w:r>
        <w:t xml:space="preserve"> </w:t>
      </w:r>
    </w:p>
    <w:p w:rsidR="00BB52D7" w:rsidRDefault="00E33AE6">
      <w:pPr>
        <w:pStyle w:val="Heading6"/>
        <w:pBdr>
          <w:top w:val="single" w:sz="4" w:space="0" w:color="000000"/>
          <w:left w:val="single" w:sz="4" w:space="0" w:color="000000"/>
          <w:bottom w:val="single" w:sz="4" w:space="0" w:color="000000"/>
          <w:right w:val="single" w:sz="4" w:space="0" w:color="000000"/>
        </w:pBdr>
        <w:shd w:val="clear" w:color="auto" w:fill="D9D9D9"/>
        <w:spacing w:after="63" w:line="259" w:lineRule="auto"/>
        <w:ind w:left="10" w:right="1"/>
        <w:jc w:val="center"/>
      </w:pPr>
      <w:r>
        <w:rPr>
          <w:u w:val="none"/>
        </w:rPr>
        <w:t xml:space="preserve">Italy </w:t>
      </w:r>
    </w:p>
    <w:p w:rsidR="00BB52D7" w:rsidRDefault="00E33AE6">
      <w:pPr>
        <w:spacing w:after="83" w:line="259" w:lineRule="auto"/>
        <w:ind w:left="0" w:firstLine="0"/>
        <w:jc w:val="left"/>
      </w:pPr>
      <w:r>
        <w:t xml:space="preserve"> </w:t>
      </w:r>
    </w:p>
    <w:p w:rsidR="00BB52D7" w:rsidRDefault="00E33AE6">
      <w:pPr>
        <w:spacing w:after="49"/>
        <w:ind w:left="10" w:right="9"/>
      </w:pPr>
      <w:r>
        <w:t>The C</w:t>
      </w:r>
      <w:r>
        <w:t xml:space="preserve">ONSOB and the Banca d’Italia, pursuant to the powers attributed to them, whenever deem it necessary for carrying out the investigations, require the transmission of documents, such as the bylaws on how the board operates and board minutes.  </w:t>
      </w:r>
    </w:p>
    <w:p w:rsidR="00BB52D7" w:rsidRDefault="00E33AE6">
      <w:pPr>
        <w:spacing w:after="49"/>
        <w:ind w:left="10" w:right="6"/>
      </w:pPr>
      <w:r>
        <w:t>Then, CONSOB a</w:t>
      </w:r>
      <w:r>
        <w:t>nd Banca d’Italia can activate further powers (among other: sanctions, convening the governing body, members, directors and auditors for interviews and enquiries). The intervention powers depend on the seriousness of the potential infringement or irregular</w:t>
      </w:r>
      <w:r>
        <w:t xml:space="preserve">ity.  </w:t>
      </w:r>
    </w:p>
    <w:p w:rsidR="00BB52D7" w:rsidRDefault="00E33AE6">
      <w:pPr>
        <w:spacing w:after="48"/>
        <w:ind w:left="10" w:right="843"/>
      </w:pPr>
      <w:r>
        <w:t xml:space="preserve">Article 13 of Legislative Decree no. 58 of 24 February 1998 </w:t>
      </w:r>
    </w:p>
    <w:p w:rsidR="00BB52D7" w:rsidRDefault="00E33AE6">
      <w:pPr>
        <w:pStyle w:val="Heading7"/>
        <w:spacing w:after="48"/>
        <w:ind w:right="0"/>
      </w:pPr>
      <w:r>
        <w:t xml:space="preserve">Experience, integrity and independence requirements for corporate officers138 </w:t>
      </w:r>
    </w:p>
    <w:p w:rsidR="00BB52D7" w:rsidRDefault="00E33AE6">
      <w:pPr>
        <w:numPr>
          <w:ilvl w:val="0"/>
          <w:numId w:val="32"/>
        </w:numPr>
        <w:spacing w:after="49"/>
        <w:ind w:right="6" w:hanging="360"/>
      </w:pPr>
      <w:r>
        <w:t>Persons performing administrative, management and supervisory functions in Italian investment companies, asse</w:t>
      </w:r>
      <w:r>
        <w:t xml:space="preserve">t management companies or SICAVs and SICAFs shall fulfil the experience, integrity and independence requirements established by the Minister of the Economy and Finance in a regulation adopted after consulting the Bank of Italy and Consob139. </w:t>
      </w:r>
    </w:p>
    <w:p w:rsidR="00BB52D7" w:rsidRDefault="00E33AE6">
      <w:pPr>
        <w:spacing w:after="39" w:line="259" w:lineRule="auto"/>
        <w:ind w:left="436" w:firstLine="0"/>
        <w:jc w:val="left"/>
      </w:pPr>
      <w:r>
        <w:t xml:space="preserve"> </w:t>
      </w:r>
    </w:p>
    <w:p w:rsidR="00BB52D7" w:rsidRDefault="00E33AE6">
      <w:pPr>
        <w:numPr>
          <w:ilvl w:val="0"/>
          <w:numId w:val="32"/>
        </w:numPr>
        <w:spacing w:after="49"/>
        <w:ind w:right="6" w:hanging="360"/>
      </w:pPr>
      <w:r>
        <w:t>Failure to fulfil the requirements shall result in disqualification from office. The disqualification shall be declared by the board of directors, the supervisory board or the management board within thirty days of the appointment or of it becoming aware o</w:t>
      </w:r>
      <w:r>
        <w:t xml:space="preserve">f the failure. </w:t>
      </w:r>
    </w:p>
    <w:p w:rsidR="00BB52D7" w:rsidRDefault="00E33AE6">
      <w:pPr>
        <w:spacing w:after="39" w:line="259" w:lineRule="auto"/>
        <w:ind w:left="436" w:firstLine="0"/>
        <w:jc w:val="left"/>
      </w:pPr>
      <w:r>
        <w:t xml:space="preserve"> </w:t>
      </w:r>
    </w:p>
    <w:p w:rsidR="00BB52D7" w:rsidRDefault="00E33AE6">
      <w:pPr>
        <w:numPr>
          <w:ilvl w:val="0"/>
          <w:numId w:val="32"/>
        </w:numPr>
        <w:spacing w:after="0"/>
        <w:ind w:right="6" w:hanging="360"/>
      </w:pPr>
      <w:r>
        <w:t xml:space="preserve">In the event of inaction by the board of directors the disqualification shall be declared by the Bank of Italy or Consob.  </w:t>
      </w:r>
    </w:p>
    <w:p w:rsidR="00BB52D7" w:rsidRDefault="00E33AE6">
      <w:pPr>
        <w:spacing w:after="36" w:line="259" w:lineRule="auto"/>
        <w:ind w:left="436" w:firstLine="0"/>
        <w:jc w:val="left"/>
      </w:pPr>
      <w:r>
        <w:t xml:space="preserve"> </w:t>
      </w:r>
    </w:p>
    <w:p w:rsidR="00BB52D7" w:rsidRDefault="00E33AE6">
      <w:pPr>
        <w:spacing w:after="49"/>
        <w:ind w:left="730"/>
      </w:pPr>
      <w:r>
        <w:lastRenderedPageBreak/>
        <w:t>3bis. In the event of failure to fulfil the independence requirements established by the Civil Code or the Artic</w:t>
      </w:r>
      <w:r>
        <w:t xml:space="preserve">les of Association, subsections 2 and 3 shall apply.141 </w:t>
      </w:r>
    </w:p>
    <w:p w:rsidR="00BB52D7" w:rsidRDefault="00E33AE6">
      <w:pPr>
        <w:spacing w:after="39" w:line="259" w:lineRule="auto"/>
        <w:ind w:left="436" w:firstLine="0"/>
        <w:jc w:val="left"/>
      </w:pPr>
      <w:r>
        <w:t xml:space="preserve"> </w:t>
      </w:r>
    </w:p>
    <w:p w:rsidR="00BB52D7" w:rsidRDefault="00E33AE6">
      <w:pPr>
        <w:numPr>
          <w:ilvl w:val="0"/>
          <w:numId w:val="32"/>
        </w:numPr>
        <w:spacing w:after="50"/>
        <w:ind w:right="6" w:hanging="360"/>
      </w:pPr>
      <w:r>
        <w:t>The regulation referred to in subsection 1 shall establish the grounds for temporary suspension from office and its duration. The suspension shall be declared in the manner established in subsectio</w:t>
      </w:r>
      <w:r>
        <w:t xml:space="preserve">ns 2 and 3. </w:t>
      </w:r>
    </w:p>
    <w:p w:rsidR="00BB52D7" w:rsidRDefault="00E33AE6">
      <w:pPr>
        <w:spacing w:after="37" w:line="259" w:lineRule="auto"/>
        <w:ind w:left="0" w:firstLine="0"/>
        <w:jc w:val="left"/>
      </w:pPr>
      <w:r>
        <w:t xml:space="preserve"> </w:t>
      </w:r>
    </w:p>
    <w:p w:rsidR="00BB52D7" w:rsidRDefault="00E33AE6">
      <w:pPr>
        <w:spacing w:after="71" w:line="259" w:lineRule="auto"/>
        <w:ind w:left="0" w:firstLine="0"/>
        <w:jc w:val="left"/>
      </w:pPr>
      <w:r>
        <w:rPr>
          <w:rFonts w:ascii="Georgia" w:eastAsia="Georgia" w:hAnsi="Georgia" w:cs="Georgia"/>
          <w:sz w:val="20"/>
        </w:rPr>
        <w:t xml:space="preserve"> </w:t>
      </w:r>
    </w:p>
    <w:p w:rsidR="00BB52D7" w:rsidRDefault="00E33AE6">
      <w:pPr>
        <w:pBdr>
          <w:top w:val="single" w:sz="4" w:space="0" w:color="000000"/>
          <w:left w:val="single" w:sz="4" w:space="0" w:color="000000"/>
          <w:bottom w:val="single" w:sz="4" w:space="0" w:color="000000"/>
          <w:right w:val="single" w:sz="4" w:space="0" w:color="000000"/>
        </w:pBdr>
        <w:shd w:val="clear" w:color="auto" w:fill="D9D9D9"/>
        <w:spacing w:after="67" w:line="259" w:lineRule="auto"/>
        <w:ind w:left="0" w:right="2" w:firstLine="0"/>
        <w:jc w:val="center"/>
      </w:pPr>
      <w:r>
        <w:rPr>
          <w:rFonts w:ascii="Georgia" w:eastAsia="Georgia" w:hAnsi="Georgia" w:cs="Georgia"/>
          <w:b/>
          <w:i/>
          <w:sz w:val="20"/>
        </w:rPr>
        <w:t xml:space="preserve">Ireland </w:t>
      </w:r>
    </w:p>
    <w:p w:rsidR="00BB52D7" w:rsidRDefault="00E33AE6">
      <w:pPr>
        <w:spacing w:after="77" w:line="259" w:lineRule="auto"/>
        <w:ind w:left="0" w:firstLine="0"/>
        <w:jc w:val="left"/>
      </w:pPr>
      <w:r>
        <w:rPr>
          <w:rFonts w:ascii="Georgia" w:eastAsia="Georgia" w:hAnsi="Georgia" w:cs="Georgia"/>
          <w:sz w:val="20"/>
        </w:rPr>
        <w:t xml:space="preserve"> </w:t>
      </w:r>
    </w:p>
    <w:p w:rsidR="00BB52D7" w:rsidRDefault="00E33AE6">
      <w:pPr>
        <w:spacing w:after="49"/>
        <w:ind w:left="10" w:right="2"/>
      </w:pPr>
      <w:r>
        <w:t>The Central Bank operates an intrusive and directive risk-</w:t>
      </w:r>
      <w:r>
        <w:t>based supervisory regime (called PRISM) which focusses resources on regulated entities based on their 'impact' which is a concept calibrated to the damage firms can do when they fail.  For the Market Supervision Directorate, depositories constitute the pop</w:t>
      </w:r>
      <w:r>
        <w:t xml:space="preserve">ulation of firms with the highest impact ratings.    </w:t>
      </w:r>
    </w:p>
    <w:p w:rsidR="00BB52D7" w:rsidRDefault="00E33AE6">
      <w:pPr>
        <w:spacing w:after="49"/>
        <w:ind w:left="10" w:right="7"/>
      </w:pPr>
      <w:r>
        <w:t>Under PRISM, there are predetermined engagement cycles where firms with certain impact ratings (medium-low, medium-high and high) are subject to full risk assessments on a periodic basis where the frequ</w:t>
      </w:r>
      <w:r>
        <w:t xml:space="preserve">ency is based on their impact.   </w:t>
      </w:r>
    </w:p>
    <w:p w:rsidR="00BB52D7" w:rsidRDefault="00E33AE6">
      <w:pPr>
        <w:spacing w:after="49"/>
        <w:ind w:left="10" w:right="2"/>
      </w:pPr>
      <w:r>
        <w:t>Governance is a risk area which the Central Bank has focussed a lot of attention.  Under PRISM, the Central Bank has instructed fund service providers to have independent directors.  This is done by issuing Risk Mitigation</w:t>
      </w:r>
      <w:r>
        <w:t xml:space="preserve">s Plans to depositories that do not have independent directors on their board.   </w:t>
      </w:r>
    </w:p>
    <w:p w:rsidR="00BB52D7" w:rsidRDefault="00E33AE6">
      <w:pPr>
        <w:spacing w:after="49"/>
        <w:ind w:left="10" w:right="5"/>
      </w:pPr>
      <w:r>
        <w:t>Also, as part of our Governance assessments, board minutes are requested as part of full risk assessments and reviewed to ensure that there is a sufficient level of challenge</w:t>
      </w:r>
      <w:r>
        <w:t xml:space="preserve"> demonstrated.   These changes have taken place without the need for our UCITS regime to require that at least one-third of a board or two members be independent.  That said, there is, in fact, an industry corporate governance code covering both depositari</w:t>
      </w:r>
      <w:r>
        <w:t xml:space="preserve">es and UCITS management companies which requires that they have one independent board member.    </w:t>
      </w:r>
    </w:p>
    <w:p w:rsidR="00BB52D7" w:rsidRDefault="00E33AE6">
      <w:pPr>
        <w:spacing w:after="10"/>
        <w:ind w:left="10"/>
      </w:pPr>
      <w:r>
        <w:t xml:space="preserve">As a matter of course independent board members will bring matters of concern to the Central </w:t>
      </w:r>
    </w:p>
    <w:p w:rsidR="00BB52D7" w:rsidRDefault="00E33AE6">
      <w:pPr>
        <w:spacing w:after="49"/>
        <w:ind w:left="10" w:right="1"/>
      </w:pPr>
      <w:r>
        <w:t xml:space="preserve">Bank’s attention.   Directors require approval from the Central </w:t>
      </w:r>
      <w:r>
        <w:t xml:space="preserve">Bank before being appointed on a new board and independent directors are very aware of the importance of protecting their professional reputation. </w:t>
      </w:r>
    </w:p>
    <w:p w:rsidR="00BB52D7" w:rsidRDefault="00E33AE6">
      <w:pPr>
        <w:spacing w:after="0"/>
        <w:ind w:left="10" w:right="2"/>
      </w:pPr>
      <w:r>
        <w:t>It is also worth noting that our key concern and focus when assessing depositaries and their related managem</w:t>
      </w:r>
      <w:r>
        <w:t>ent companies is the reporting lines which are in place for both entities and these must be sufficiently robust to ensure independence.  And we have issued Risk Mitigation Plans in some instances where we consider that independence between the two firms co</w:t>
      </w:r>
      <w:r>
        <w:t xml:space="preserve">uld be compromised. </w:t>
      </w:r>
    </w:p>
    <w:p w:rsidR="00BB52D7" w:rsidRDefault="00E33AE6">
      <w:pPr>
        <w:pStyle w:val="Heading1"/>
        <w:spacing w:after="229" w:line="248" w:lineRule="auto"/>
        <w:ind w:left="355"/>
        <w:jc w:val="both"/>
      </w:pPr>
      <w:bookmarkStart w:id="41" w:name="_Toc241001"/>
      <w:r>
        <w:rPr>
          <w:sz w:val="24"/>
        </w:rPr>
        <w:t xml:space="preserve">Annex 15 – Other impacts of Options 2.2 and 2.3  </w:t>
      </w:r>
      <w:bookmarkEnd w:id="41"/>
    </w:p>
    <w:p w:rsidR="00BB52D7" w:rsidRDefault="00E33AE6">
      <w:pPr>
        <w:spacing w:after="229" w:line="248" w:lineRule="auto"/>
        <w:ind w:left="355"/>
      </w:pPr>
      <w:r>
        <w:rPr>
          <w:b/>
        </w:rPr>
        <w:t xml:space="preserve">Others impacts (competition, market structure, financial stability) </w:t>
      </w:r>
    </w:p>
    <w:p w:rsidR="00BB52D7" w:rsidRDefault="00E33AE6">
      <w:pPr>
        <w:pStyle w:val="Heading7"/>
        <w:spacing w:after="225"/>
        <w:ind w:right="488"/>
        <w:jc w:val="left"/>
      </w:pPr>
      <w:r>
        <w:rPr>
          <w:i/>
          <w:u w:val="single" w:color="000000"/>
        </w:rPr>
        <w:t>Impact on international competitiveness</w:t>
      </w:r>
      <w:r>
        <w:rPr>
          <w:i/>
        </w:rPr>
        <w:t xml:space="preserve"> </w:t>
      </w:r>
    </w:p>
    <w:p w:rsidR="00BB52D7" w:rsidRDefault="00E33AE6">
      <w:pPr>
        <w:spacing w:after="10"/>
        <w:ind w:left="10"/>
      </w:pPr>
      <w:r>
        <w:rPr>
          <w:b/>
        </w:rPr>
        <w:t>Option 2.3</w:t>
      </w:r>
      <w:r>
        <w:t xml:space="preserve"> </w:t>
      </w:r>
      <w:r>
        <w:t xml:space="preserve">is in line with IOSCO principles on the custody of collective investment schemes. </w:t>
      </w:r>
    </w:p>
    <w:p w:rsidR="00BB52D7" w:rsidRDefault="00E33AE6">
      <w:pPr>
        <w:spacing w:after="188"/>
        <w:ind w:left="10" w:right="2"/>
      </w:pPr>
      <w:r>
        <w:t>Principle 4 of IOSCO principles requires that “the custodian should be functionally independent from the responsible entity”. IOSCO does not require the absence of crossshar</w:t>
      </w:r>
      <w:r>
        <w:t xml:space="preserve">eholdings or excluding membership of a single group. Therefore, </w:t>
      </w:r>
      <w:r>
        <w:rPr>
          <w:b/>
        </w:rPr>
        <w:t>Option 2.3</w:t>
      </w:r>
      <w:r>
        <w:t xml:space="preserve"> is aligned to prevailing </w:t>
      </w:r>
      <w:r>
        <w:lastRenderedPageBreak/>
        <w:t xml:space="preserve">international standards; a fact which avoids making the EU asset management or depositary sectors less competitive on an international plane.  </w:t>
      </w:r>
    </w:p>
    <w:p w:rsidR="00BB52D7" w:rsidRDefault="00E33AE6">
      <w:pPr>
        <w:spacing w:after="188"/>
        <w:ind w:left="10" w:right="1"/>
      </w:pPr>
      <w:r>
        <w:t>Europe's mai</w:t>
      </w:r>
      <w:r>
        <w:t>n competitor in the area of asset management, the United States, also does not require structural separation between an asset management company and a depositary. The US notion of a "related person" that is not operationally independent of the adviser in t</w:t>
      </w:r>
      <w:r>
        <w:t xml:space="preserve">he US rules mirrors </w:t>
      </w:r>
      <w:r>
        <w:rPr>
          <w:b/>
        </w:rPr>
        <w:t>Option 2.3</w:t>
      </w:r>
      <w:r>
        <w:t xml:space="preserve"> approach considering that the decisive criteria that puts into doubt independent behaviour is not "common ownership" but "operational independence". This independence is lost once the advisor and the custodian have the above </w:t>
      </w:r>
      <w:r>
        <w:t xml:space="preserve">links and, in particular, share common management. </w:t>
      </w:r>
    </w:p>
    <w:p w:rsidR="00BB52D7" w:rsidRDefault="00E33AE6">
      <w:pPr>
        <w:spacing w:after="190"/>
        <w:ind w:left="10" w:right="2"/>
      </w:pPr>
      <w:r>
        <w:t>In addition, once a "related person" is not operationally independent, a series of safeguards and independent verifications have to be put in place. It is difficult to assess whether being subject to surp</w:t>
      </w:r>
      <w:r>
        <w:t xml:space="preserve">rise visits and internal control reports is more or less onerous than the proposed approach in </w:t>
      </w:r>
      <w:r>
        <w:rPr>
          <w:b/>
        </w:rPr>
        <w:t>Option 2.3</w:t>
      </w:r>
      <w:r>
        <w:t xml:space="preserve"> to institute a quorum of independent board members. The additional controls required by Rule 206(4)-2 do seem rather strict, so a case could be made t</w:t>
      </w:r>
      <w:r>
        <w:t xml:space="preserve">hat </w:t>
      </w:r>
      <w:r>
        <w:rPr>
          <w:b/>
        </w:rPr>
        <w:t xml:space="preserve">Option 2.3 </w:t>
      </w:r>
      <w:r>
        <w:t xml:space="preserve">approach might prove less onerous and/or costly. </w:t>
      </w:r>
    </w:p>
    <w:p w:rsidR="00BB52D7" w:rsidRDefault="00E33AE6">
      <w:pPr>
        <w:spacing w:after="191"/>
        <w:ind w:left="10" w:right="7"/>
      </w:pPr>
      <w:r>
        <w:t xml:space="preserve">On the contrary, </w:t>
      </w:r>
      <w:r>
        <w:rPr>
          <w:b/>
        </w:rPr>
        <w:t>Option 2.2</w:t>
      </w:r>
      <w:r>
        <w:t xml:space="preserve"> will diminish the competitiveness of the European Union compare to the United States, as the United States does not have such strict rule on the structural separat</w:t>
      </w:r>
      <w:r>
        <w:t xml:space="preserve">ion. </w:t>
      </w:r>
    </w:p>
    <w:p w:rsidR="00BB52D7" w:rsidRDefault="00E33AE6">
      <w:pPr>
        <w:spacing w:after="214" w:line="259" w:lineRule="auto"/>
        <w:ind w:left="-5"/>
        <w:jc w:val="left"/>
      </w:pPr>
      <w:r>
        <w:rPr>
          <w:i/>
          <w:u w:val="single" w:color="000000"/>
        </w:rPr>
        <w:t>Impact on competition and market structure</w:t>
      </w:r>
      <w:r>
        <w:rPr>
          <w:i/>
        </w:rPr>
        <w:t xml:space="preserve"> </w:t>
      </w:r>
    </w:p>
    <w:p w:rsidR="00BB52D7" w:rsidRDefault="00E33AE6">
      <w:pPr>
        <w:spacing w:after="188"/>
        <w:ind w:left="10" w:right="1"/>
      </w:pPr>
      <w:r>
        <w:rPr>
          <w:b/>
        </w:rPr>
        <w:t xml:space="preserve">Option 2.2 </w:t>
      </w:r>
      <w:r>
        <w:t>will entail a large scale restructuring of custodial assets in most Members States (at least € 2.5 trillion or 32% of EU domiciled UCITS assets may be affected</w:t>
      </w:r>
      <w:r>
        <w:rPr>
          <w:vertAlign w:val="superscript"/>
        </w:rPr>
        <w:footnoteReference w:id="98"/>
      </w:r>
      <w:r>
        <w:t>) without, however, entailing an im</w:t>
      </w:r>
      <w:r>
        <w:t xml:space="preserve">mediate improvement of competition in the European depositary markets and without ensuring sufficient proportionality. This is because a reshuffling of assets, due to the above mentioned economies of scale and scope required in operating custody networks, </w:t>
      </w:r>
      <w:r>
        <w:t xml:space="preserve">would most likely involve existing suppliers; it is unlikely that the reshuffling will lead to significant new entry. </w:t>
      </w:r>
    </w:p>
    <w:p w:rsidR="00BB52D7" w:rsidRDefault="00E33AE6">
      <w:pPr>
        <w:ind w:left="10" w:right="4"/>
      </w:pPr>
      <w:r>
        <w:t xml:space="preserve">More widely, this option will entail a large scale restructuring of depositary business as in average 56% of EU based asset managers use </w:t>
      </w:r>
      <w:r>
        <w:t xml:space="preserve">“group” depositary. This percentage is close to 100% for small asset managers that have a banking company as an affiliate company or part of the group. </w:t>
      </w:r>
    </w:p>
    <w:p w:rsidR="00BB52D7" w:rsidRDefault="00E33AE6">
      <w:pPr>
        <w:spacing w:after="187"/>
        <w:ind w:left="10" w:right="5"/>
      </w:pPr>
      <w:r>
        <w:t>This conclusion is borne out by the fact that asset managers that do not belong to a banking group tend</w:t>
      </w:r>
      <w:r>
        <w:t xml:space="preserve"> to place their assets in custody with the biggest providers, such as JP Morgan, Bank of New York Mellon, Sate Street, CACEIS or BNP Paribas Securities Services. As mentioned in section 1.4, BlackRock manages approximately € 220 bn of UCITS assets in Europ</w:t>
      </w:r>
      <w:r>
        <w:t xml:space="preserve">e and custody is spread across three of the major providers: JP Morgan (€ 62 bn), Bank of New-York Mellon (€ 146 bn) and State Street (€ 12 bn). Aberdeen entrusts custody to either BNP Paribas or State Street.  </w:t>
      </w:r>
    </w:p>
    <w:p w:rsidR="00BB52D7" w:rsidRDefault="00E33AE6">
      <w:pPr>
        <w:spacing w:after="190"/>
        <w:ind w:left="10" w:right="6"/>
      </w:pPr>
      <w:r>
        <w:t>As evidenced by the sheer size of the big fi</w:t>
      </w:r>
      <w:r>
        <w:t xml:space="preserve">ve depositaries, it is reasonable to expect that most of the custody flows would be directed to the larger suppliers in this market which can offer attractive price and a global network. This movement already triggered 10 years ago.  </w:t>
      </w:r>
    </w:p>
    <w:p w:rsidR="00BB52D7" w:rsidRDefault="00E33AE6">
      <w:pPr>
        <w:spacing w:after="188"/>
        <w:ind w:left="10" w:right="2"/>
      </w:pPr>
      <w:r>
        <w:lastRenderedPageBreak/>
        <w:t>In addition, as menti</w:t>
      </w:r>
      <w:r>
        <w:t>oned above, economies of scale are a hallmark of the modern (mostly electronic) depositary business. Indeed, most management/investment company have, already in the past, favored the biggest depository service providers, essentially because they offer econ</w:t>
      </w:r>
      <w:r>
        <w:t>omies of scale and a global network of custodians. For example, it is significant to note that only the "top nine" depositaries listed in Annex 5 have a territorial coverage ranging from 3 to 9 Member States all other operators are confined to the territor</w:t>
      </w:r>
      <w:r>
        <w:t xml:space="preserve">y of one, at maximum, two Member States. It can thus be anticipated with a reasonable level of confidence that the restructuring of custodial assets that will be required under </w:t>
      </w:r>
      <w:r>
        <w:rPr>
          <w:b/>
        </w:rPr>
        <w:t>Option 2.2</w:t>
      </w:r>
      <w:r>
        <w:t xml:space="preserve"> will result in net inflows toward the biggest custodians with the wi</w:t>
      </w:r>
      <w:r>
        <w:t xml:space="preserve">dest geographic coverage. This analysis mirrors the conclusions in the ECB's Occasional Paper No 68 which states:  </w:t>
      </w:r>
    </w:p>
    <w:p w:rsidR="00BB52D7" w:rsidRDefault="00E33AE6">
      <w:pPr>
        <w:ind w:left="10"/>
      </w:pPr>
      <w:r>
        <w:t>"Single-market custodians (custodians that are only active in a single jurisdiction) share the specific challenge of competing with multi-di</w:t>
      </w:r>
      <w:r>
        <w:t>rect custodians on both service and cost, but with significantly less economies of scale or scope. Banking mergers may help some singlemarket custodians acquire scale."</w:t>
      </w:r>
      <w:r>
        <w:rPr>
          <w:vertAlign w:val="superscript"/>
        </w:rPr>
        <w:footnoteReference w:id="99"/>
      </w:r>
      <w:r>
        <w:t xml:space="preserve"> </w:t>
      </w:r>
    </w:p>
    <w:p w:rsidR="00BB52D7" w:rsidRDefault="00E33AE6">
      <w:pPr>
        <w:spacing w:after="190"/>
        <w:ind w:left="10" w:right="2"/>
      </w:pPr>
      <w:r>
        <w:t>In addition, on account of the economies of scale that result from their larger scale of operations and global network, bigger suppliers are in a position to offer more attractive custody rates. It is therefore not unreasonable to expect that smaller depos</w:t>
      </w:r>
      <w:r>
        <w:t xml:space="preserve">itories, that currently generate economies of scale by means of a high percentage of in-group assets, would lose some or all of these economies of scale and would be unable to represent a viable alternative to the bigger custody providers.  </w:t>
      </w:r>
    </w:p>
    <w:p w:rsidR="00BB52D7" w:rsidRDefault="00E33AE6">
      <w:pPr>
        <w:spacing w:after="187"/>
        <w:ind w:left="10" w:right="4"/>
      </w:pPr>
      <w:r>
        <w:t>While it might</w:t>
      </w:r>
      <w:r>
        <w:t xml:space="preserve"> be conceivable that smaller players (with currently large percentages of inhouse assets) would set up independent entities to provide depositary services, however, these new entities are expected to have a slim chance of staying on the market because it c</w:t>
      </w:r>
      <w:r>
        <w:t>ould be difficult for them to respect high strict quality standard</w:t>
      </w:r>
      <w:r>
        <w:rPr>
          <w:vertAlign w:val="superscript"/>
        </w:rPr>
        <w:footnoteReference w:id="100"/>
      </w:r>
      <w:r>
        <w:t xml:space="preserve"> of the service and facing in the same time to the price pressure initiate by the big players.  </w:t>
      </w:r>
    </w:p>
    <w:p w:rsidR="00BB52D7" w:rsidRDefault="00E33AE6">
      <w:pPr>
        <w:ind w:left="10" w:right="8"/>
      </w:pPr>
      <w:r>
        <w:t>In addition, the current tendency of large depositaries to delegate custody (in other group)</w:t>
      </w:r>
      <w:r>
        <w:t xml:space="preserve"> among themselves is expected to change because of the stricter rules on delegation and on reuse of assets imposed by UCITS V. </w:t>
      </w:r>
    </w:p>
    <w:p w:rsidR="00BB52D7" w:rsidRDefault="00E33AE6">
      <w:pPr>
        <w:ind w:left="10" w:right="1"/>
      </w:pPr>
      <w:r>
        <w:t>Table 6 in Annex 5 demonstrates that only some depositaries with assets from the “group” management/investment company could rea</w:t>
      </w:r>
      <w:r>
        <w:t xml:space="preserve">sonably expect to maintain economies of scale subsequent to the reallocation of assets required under </w:t>
      </w:r>
      <w:r>
        <w:rPr>
          <w:b/>
        </w:rPr>
        <w:t xml:space="preserve">Option 2.2 </w:t>
      </w:r>
      <w:r>
        <w:t>as their in-house business is in average less than 32% of their overall custody</w:t>
      </w:r>
      <w:r>
        <w:rPr>
          <w:b/>
        </w:rPr>
        <w:t>.</w:t>
      </w:r>
      <w:r>
        <w:t xml:space="preserve"> </w:t>
      </w:r>
    </w:p>
    <w:p w:rsidR="00BB52D7" w:rsidRDefault="00E33AE6">
      <w:pPr>
        <w:spacing w:after="185"/>
        <w:ind w:left="10" w:right="2"/>
      </w:pPr>
      <w:r>
        <w:t>This demonstrates that, without the possibility of using syne</w:t>
      </w:r>
      <w:r>
        <w:t>rgies from an in-group business model the smaller depositories might not be able to have a chance to face the competition in the UCITS’ depositary business</w:t>
      </w:r>
      <w:r>
        <w:rPr>
          <w:vertAlign w:val="superscript"/>
        </w:rPr>
        <w:footnoteReference w:id="101"/>
      </w:r>
      <w:r>
        <w:t xml:space="preserve"> and could be forced to shut down. For these reasons a reshuffling of assets is likely to foster the</w:t>
      </w:r>
      <w:r>
        <w:t xml:space="preserve"> above stated concentration of assets among the existing "top five" depositaries (State Street, JP Morgan, Bank of New-York Mellon, CACEIS </w:t>
      </w:r>
      <w:r>
        <w:lastRenderedPageBreak/>
        <w:t>and BNP Paribas Securities Services) thus increasing the level of concentration in the depositary markets and leading</w:t>
      </w:r>
      <w:r>
        <w:t xml:space="preserve"> to further concentration. </w:t>
      </w:r>
      <w:r>
        <w:rPr>
          <w:rFonts w:ascii="Calibri" w:eastAsia="Calibri" w:hAnsi="Calibri" w:cs="Calibri"/>
          <w:i/>
        </w:rPr>
        <w:t xml:space="preserve"> </w:t>
      </w:r>
    </w:p>
    <w:p w:rsidR="00BB52D7" w:rsidRDefault="00E33AE6">
      <w:pPr>
        <w:spacing w:after="188"/>
        <w:ind w:left="10" w:right="4"/>
      </w:pPr>
      <w:r>
        <w:rPr>
          <w:b/>
        </w:rPr>
        <w:t>Option 2.3</w:t>
      </w:r>
      <w:r>
        <w:t xml:space="preserve"> poses less risk of an increased asset flow to the big providers. On the contrary, the fact that at least 32%</w:t>
      </w:r>
      <w:r>
        <w:rPr>
          <w:vertAlign w:val="superscript"/>
        </w:rPr>
        <w:footnoteReference w:id="102"/>
      </w:r>
      <w:r>
        <w:t xml:space="preserve"> of UCITS assets could remain in custody within a single group appears as a safeguard that also smaller in-</w:t>
      </w:r>
      <w:r>
        <w:t xml:space="preserve">house custodians will remain in the custody business even if that is predominantly safekeeping assets on behalf of their group companies.  </w:t>
      </w:r>
    </w:p>
    <w:p w:rsidR="00BB52D7" w:rsidRDefault="00E33AE6">
      <w:pPr>
        <w:ind w:left="10" w:right="5"/>
      </w:pPr>
      <w:r>
        <w:rPr>
          <w:b/>
        </w:rPr>
        <w:t>Option 2.3</w:t>
      </w:r>
      <w:r>
        <w:t xml:space="preserve"> has less cost consequences on the market structure while it still ensures the robustness of the independe</w:t>
      </w:r>
      <w:r>
        <w:t>nce requirement established in the UCITS Directive by providing a set of behavioural criteria to ensure that a depositary and the management/investment company preserve the interest of UCITS and investors of the UCITS and acting independently while carryin</w:t>
      </w:r>
      <w:r>
        <w:t xml:space="preserve">g out their respective functions is only one of those criteria.  </w:t>
      </w:r>
    </w:p>
    <w:p w:rsidR="00BB52D7" w:rsidRDefault="00E33AE6">
      <w:pPr>
        <w:ind w:left="10" w:right="4"/>
      </w:pPr>
      <w:r>
        <w:rPr>
          <w:b/>
        </w:rPr>
        <w:t>Option 2.3</w:t>
      </w:r>
      <w:r>
        <w:t xml:space="preserve"> will not entail the need for a large-scale reallocation of assets or significant costs for asset managers or depositories. Costs associated with this option are essentially linked</w:t>
      </w:r>
      <w:r>
        <w:t xml:space="preserve"> to annual cost of salaries that have to be paid to the required quorum of independent board members.  </w:t>
      </w:r>
    </w:p>
    <w:p w:rsidR="00BB52D7" w:rsidRDefault="00E33AE6">
      <w:pPr>
        <w:ind w:left="10" w:right="2"/>
      </w:pPr>
      <w:r>
        <w:t>In addition, members of the management body may be faced to a situation of conflict of interests without having a cross shareholding link or be part of the same group. This situation may arise when the members of the management body have a contractual or a</w:t>
      </w:r>
      <w:r>
        <w:t xml:space="preserve">ffiliate link. </w:t>
      </w:r>
      <w:r>
        <w:rPr>
          <w:b/>
        </w:rPr>
        <w:t>Option 2.3</w:t>
      </w:r>
      <w:r>
        <w:t xml:space="preserve"> has the merit to cover also these situations by providing a set of behavioral criteria but also by requiring independent members that have no material or personal affiliation with the other entity; this will ensures the robustness</w:t>
      </w:r>
      <w:r>
        <w:t xml:space="preserve"> of the independence.  </w:t>
      </w:r>
    </w:p>
    <w:p w:rsidR="00BB52D7" w:rsidRDefault="00E33AE6">
      <w:pPr>
        <w:spacing w:after="214" w:line="259" w:lineRule="auto"/>
        <w:ind w:left="-5"/>
        <w:jc w:val="left"/>
      </w:pPr>
      <w:r>
        <w:rPr>
          <w:i/>
          <w:u w:val="single" w:color="000000"/>
        </w:rPr>
        <w:t>Systemic impacts</w:t>
      </w:r>
      <w:r>
        <w:rPr>
          <w:i/>
        </w:rPr>
        <w:t xml:space="preserve"> </w:t>
      </w:r>
    </w:p>
    <w:p w:rsidR="00BB52D7" w:rsidRDefault="00E33AE6">
      <w:pPr>
        <w:spacing w:after="188"/>
        <w:ind w:left="10" w:right="3"/>
      </w:pPr>
      <w:r>
        <w:t xml:space="preserve">Another relevant consideration is the avoidance of exposure to a single financial counterparty. </w:t>
      </w:r>
      <w:r>
        <w:rPr>
          <w:b/>
        </w:rPr>
        <w:t>Option 2.2</w:t>
      </w:r>
      <w:r>
        <w:t xml:space="preserve"> would indeed offer one potential way to limit the exposure to a financial counterparty because the custody </w:t>
      </w:r>
      <w:r>
        <w:t xml:space="preserve">operations would be "ring-fenced" and therefore separated from the asset management operations.  </w:t>
      </w:r>
    </w:p>
    <w:p w:rsidR="00BB52D7" w:rsidRDefault="00E33AE6">
      <w:pPr>
        <w:spacing w:after="188"/>
        <w:ind w:left="10"/>
      </w:pPr>
      <w:r>
        <w:t>On the other hand, diversification of services can also contribute to a financial counterparty's stability and liquidity. It might be safer for investors to h</w:t>
      </w:r>
      <w:r>
        <w:t xml:space="preserve">ave exposure to a larger and diversified financial counterparty than to a specialist operation that only provides custody. In addition, the overall tendency is that specialist custodians need increasing scale to operate profitably.  </w:t>
      </w:r>
    </w:p>
    <w:p w:rsidR="00BB52D7" w:rsidRDefault="00E33AE6">
      <w:pPr>
        <w:spacing w:after="190"/>
        <w:ind w:left="10" w:right="4"/>
      </w:pPr>
      <w:r>
        <w:t xml:space="preserve">However, the operational failure or bankruptcy of a large depositary/custodian could negatively impact the functioning of financial markets as a whole, especially if the failing entity impedes the ability of other institutions to meet their obligations.  </w:t>
      </w:r>
    </w:p>
    <w:p w:rsidR="00BB52D7" w:rsidRDefault="00E33AE6">
      <w:pPr>
        <w:ind w:left="10" w:right="5"/>
      </w:pPr>
      <w:r>
        <w:t>Systemic impacts may arise when one institution’s inability to meet its obligation makes other institutions unable to meet their obligations, resulting in significant liquidity and credit bottlenecks that are prone to undermine confidence in the markets. S</w:t>
      </w:r>
      <w:r>
        <w:t xml:space="preserve">uch scenarios, usually referred to as contagion, knock-on or domino effect, could arise if a custodian that exceeds a certain size were to fail.  </w:t>
      </w:r>
    </w:p>
    <w:p w:rsidR="00BB52D7" w:rsidRDefault="00E33AE6">
      <w:pPr>
        <w:ind w:left="10"/>
      </w:pPr>
      <w:r>
        <w:lastRenderedPageBreak/>
        <w:t>The risks that could result from the failure for a systemically relevant custodian fall into three general ca</w:t>
      </w:r>
      <w:r>
        <w:t xml:space="preserve">tegories: operational, financial and legal.  </w:t>
      </w:r>
    </w:p>
    <w:p w:rsidR="00BB52D7" w:rsidRDefault="00E33AE6">
      <w:pPr>
        <w:ind w:left="10" w:right="1"/>
      </w:pPr>
      <w:r>
        <w:t>For example, the operational failure of a large custodian could lead to failures in data processing and could stop a depositary from processing a UCITS’ instructions to, say, make cash payments and receive or d</w:t>
      </w:r>
      <w:r>
        <w:t>eliver investment securities.  Should a depositary be unable to pay cash due to operational problems, UCITS could experience liquidity bottlenecks. The inability of a UCITS custodian to execute deliveries and receipts of securities could likewise impact th</w:t>
      </w:r>
      <w:r>
        <w:t xml:space="preserve">e liquidity of a UCITS fund.  </w:t>
      </w:r>
    </w:p>
    <w:p w:rsidR="00BB52D7" w:rsidRDefault="00E33AE6">
      <w:pPr>
        <w:ind w:left="10" w:right="3"/>
      </w:pPr>
      <w:r>
        <w:t xml:space="preserve">Likewise, an inability to make payments for securities transactions due to a depositary's financial failure or instability could, like operational problems that prevent the processing of payments, cause liquidity bottlenecks </w:t>
      </w:r>
      <w:r>
        <w:t xml:space="preserve">for a UCITS fund. The systemic impact of the financial failure of a depositary or custodian depends on its size and the overall value of its payment obligations.  </w:t>
      </w:r>
    </w:p>
    <w:p w:rsidR="00BB52D7" w:rsidRDefault="00E33AE6">
      <w:pPr>
        <w:ind w:left="10" w:right="4"/>
      </w:pPr>
      <w:r>
        <w:t>In light of the above, a further consolidation of the depositary and, in particular, custody</w:t>
      </w:r>
      <w:r>
        <w:t xml:space="preserve"> markets that might result from </w:t>
      </w:r>
      <w:r>
        <w:rPr>
          <w:b/>
        </w:rPr>
        <w:t>Option 2.2</w:t>
      </w:r>
      <w:r>
        <w:t xml:space="preserve"> is prone to increase risks to financial market stability, in particular systemic risk linked to a potential operational or financial failure of one of the emerging top 5 custodians.  </w:t>
      </w:r>
    </w:p>
    <w:p w:rsidR="00BB52D7" w:rsidRDefault="00E33AE6">
      <w:pPr>
        <w:spacing w:after="191"/>
        <w:ind w:left="10" w:right="2"/>
      </w:pPr>
      <w:r>
        <w:t>The more heterogeneous and di</w:t>
      </w:r>
      <w:r>
        <w:t xml:space="preserve">versified depositary market that might result from </w:t>
      </w:r>
      <w:r>
        <w:rPr>
          <w:b/>
        </w:rPr>
        <w:t>Option 2.3</w:t>
      </w:r>
      <w:r>
        <w:t xml:space="preserve"> would contribute to the avoidance of some of the above described negative repercussions associated with the failure of a systemically relevant custodian.  </w:t>
      </w:r>
    </w:p>
    <w:p w:rsidR="00BB52D7" w:rsidRDefault="00E33AE6">
      <w:pPr>
        <w:spacing w:after="0" w:line="259" w:lineRule="auto"/>
        <w:ind w:left="339" w:firstLine="0"/>
        <w:jc w:val="left"/>
      </w:pPr>
      <w:r>
        <w:rPr>
          <w:rFonts w:ascii="Georgia" w:eastAsia="Georgia" w:hAnsi="Georgia" w:cs="Georgia"/>
          <w:sz w:val="20"/>
        </w:rPr>
        <w:t xml:space="preserve"> </w:t>
      </w:r>
    </w:p>
    <w:sectPr w:rsidR="00BB52D7">
      <w:footerReference w:type="even" r:id="rId40"/>
      <w:footerReference w:type="default" r:id="rId41"/>
      <w:footerReference w:type="first" r:id="rId42"/>
      <w:pgSz w:w="11906" w:h="16838"/>
      <w:pgMar w:top="1424" w:right="1414" w:bottom="895" w:left="1417"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33AE6">
      <w:pPr>
        <w:spacing w:after="0" w:line="240" w:lineRule="auto"/>
      </w:pPr>
      <w:r>
        <w:separator/>
      </w:r>
    </w:p>
  </w:endnote>
  <w:endnote w:type="continuationSeparator" w:id="0">
    <w:p w:rsidR="00000000" w:rsidRDefault="00E3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567"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p w:rsidR="00BB52D7" w:rsidRDefault="00E33AE6">
    <w:pPr>
      <w:spacing w:after="0" w:line="259" w:lineRule="auto"/>
      <w:ind w:left="851" w:firstLine="0"/>
      <w:jc w:val="left"/>
    </w:pPr>
    <w:r>
      <w:rPr>
        <w:rFonts w:ascii="Arial" w:eastAsia="Arial" w:hAnsi="Arial" w:cs="Arial"/>
        <w:sz w:val="16"/>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53"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53"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53"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1759"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1759"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1759"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tabs>
        <w:tab w:val="right" w:pos="9075"/>
      </w:tabs>
      <w:spacing w:after="0" w:line="259" w:lineRule="auto"/>
      <w:ind w:left="-170" w:right="-168" w:firstLine="0"/>
      <w:jc w:val="left"/>
    </w:pPr>
    <w:r>
      <w:rPr>
        <w:rFonts w:ascii="Georgia" w:eastAsia="Georgia" w:hAnsi="Georgia" w:cs="Georgia"/>
        <w:sz w:val="20"/>
        <w:vertAlign w:val="superscript"/>
      </w:rPr>
      <w:t xml:space="preserve"> </w:t>
    </w:r>
    <w:r>
      <w:rPr>
        <w:rFonts w:ascii="Georgia" w:eastAsia="Georgia" w:hAnsi="Georgia" w:cs="Georgia"/>
        <w:sz w:val="20"/>
        <w:vertAlign w:val="superscript"/>
      </w:rPr>
      <w:tab/>
    </w:r>
    <w:r>
      <w:fldChar w:fldCharType="begin"/>
    </w:r>
    <w:r>
      <w:instrText xml:space="preserve"> PAGE   \* MERGEFORMAT </w:instrText>
    </w:r>
    <w:r>
      <w:fldChar w:fldCharType="separate"/>
    </w:r>
    <w:r w:rsidR="000D24C6" w:rsidRPr="000D24C6">
      <w:rPr>
        <w:rFonts w:ascii="Georgia" w:eastAsia="Georgia" w:hAnsi="Georgia" w:cs="Georgia"/>
        <w:noProof/>
        <w:sz w:val="20"/>
      </w:rPr>
      <w:t>121</w:t>
    </w:r>
    <w:r>
      <w:rPr>
        <w:rFonts w:ascii="Georgia" w:eastAsia="Georgia" w:hAnsi="Georgia" w:cs="Georgia"/>
        <w:sz w:val="20"/>
      </w:rPr>
      <w:fldChar w:fldCharType="end"/>
    </w:r>
    <w:r>
      <w:rPr>
        <w:rFonts w:ascii="Georgia" w:eastAsia="Georgia" w:hAnsi="Georgia" w:cs="Georgia"/>
        <w:sz w:val="20"/>
      </w:rPr>
      <w:t xml:space="preserve"> </w:t>
    </w:r>
  </w:p>
  <w:p w:rsidR="00BB52D7" w:rsidRDefault="00E33AE6">
    <w:pPr>
      <w:spacing w:after="0" w:line="259" w:lineRule="auto"/>
      <w:ind w:left="0" w:firstLine="0"/>
      <w:jc w:val="left"/>
    </w:pPr>
    <w:r>
      <w:rPr>
        <w:rFonts w:ascii="Arial" w:eastAsia="Arial" w:hAnsi="Arial" w:cs="Arial"/>
        <w:sz w:val="16"/>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tabs>
        <w:tab w:val="right" w:pos="9075"/>
      </w:tabs>
      <w:spacing w:after="0" w:line="259" w:lineRule="auto"/>
      <w:ind w:left="-170" w:right="-168" w:firstLine="0"/>
      <w:jc w:val="left"/>
    </w:pPr>
    <w:r>
      <w:rPr>
        <w:rFonts w:ascii="Georgia" w:eastAsia="Georgia" w:hAnsi="Georgia" w:cs="Georgia"/>
        <w:sz w:val="20"/>
        <w:vertAlign w:val="superscript"/>
      </w:rPr>
      <w:t xml:space="preserve"> </w:t>
    </w:r>
    <w:r>
      <w:rPr>
        <w:rFonts w:ascii="Georgia" w:eastAsia="Georgia" w:hAnsi="Georgia" w:cs="Georgia"/>
        <w:sz w:val="20"/>
        <w:vertAlign w:val="superscript"/>
      </w:rPr>
      <w:tab/>
    </w:r>
    <w:r>
      <w:fldChar w:fldCharType="begin"/>
    </w:r>
    <w:r>
      <w:instrText xml:space="preserve"> PAGE   \* MERGEFORMAT </w:instrText>
    </w:r>
    <w:r>
      <w:fldChar w:fldCharType="separate"/>
    </w:r>
    <w:r w:rsidR="000D24C6" w:rsidRPr="000D24C6">
      <w:rPr>
        <w:rFonts w:ascii="Georgia" w:eastAsia="Georgia" w:hAnsi="Georgia" w:cs="Georgia"/>
        <w:noProof/>
        <w:sz w:val="20"/>
      </w:rPr>
      <w:t>121</w:t>
    </w:r>
    <w:r>
      <w:rPr>
        <w:rFonts w:ascii="Georgia" w:eastAsia="Georgia" w:hAnsi="Georgia" w:cs="Georgia"/>
        <w:sz w:val="20"/>
      </w:rPr>
      <w:fldChar w:fldCharType="end"/>
    </w:r>
    <w:r>
      <w:rPr>
        <w:rFonts w:ascii="Georgia" w:eastAsia="Georgia" w:hAnsi="Georgia" w:cs="Georgia"/>
        <w:sz w:val="20"/>
      </w:rPr>
      <w:t xml:space="preserve"> </w:t>
    </w:r>
  </w:p>
  <w:p w:rsidR="00BB52D7" w:rsidRDefault="00E33AE6">
    <w:pPr>
      <w:spacing w:after="0" w:line="259" w:lineRule="auto"/>
      <w:ind w:left="0" w:firstLine="0"/>
      <w:jc w:val="left"/>
    </w:pPr>
    <w:r>
      <w:rPr>
        <w:rFonts w:ascii="Arial" w:eastAsia="Arial" w:hAnsi="Arial" w:cs="Arial"/>
        <w:sz w:val="16"/>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BB52D7">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567" w:firstLine="0"/>
      <w:jc w:val="center"/>
    </w:pPr>
    <w:r>
      <w:fldChar w:fldCharType="begin"/>
    </w:r>
    <w:r>
      <w:instrText xml:space="preserve"> PAGE   \* MERGEFORMAT </w:instrText>
    </w:r>
    <w:r>
      <w:fldChar w:fldCharType="separate"/>
    </w:r>
    <w:r w:rsidRPr="00E33AE6">
      <w:rPr>
        <w:rFonts w:ascii="Arial" w:eastAsia="Arial" w:hAnsi="Arial" w:cs="Arial"/>
        <w:noProof/>
        <w:sz w:val="16"/>
      </w:rPr>
      <w:t>10</w:t>
    </w:r>
    <w:r>
      <w:rPr>
        <w:rFonts w:ascii="Arial" w:eastAsia="Arial" w:hAnsi="Arial" w:cs="Arial"/>
        <w:sz w:val="16"/>
      </w:rPr>
      <w:fldChar w:fldCharType="end"/>
    </w:r>
    <w:r>
      <w:rPr>
        <w:rFonts w:ascii="Arial" w:eastAsia="Arial" w:hAnsi="Arial" w:cs="Arial"/>
        <w:sz w:val="16"/>
      </w:rPr>
      <w:t xml:space="preserve"> </w:t>
    </w:r>
  </w:p>
  <w:p w:rsidR="00BB52D7" w:rsidRDefault="00E33AE6">
    <w:pPr>
      <w:spacing w:after="0" w:line="259" w:lineRule="auto"/>
      <w:ind w:left="851" w:firstLine="0"/>
      <w:jc w:val="left"/>
    </w:pPr>
    <w:r>
      <w:rPr>
        <w:rFonts w:ascii="Arial" w:eastAsia="Arial" w:hAnsi="Arial" w:cs="Arial"/>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BB52D7">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0"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p w:rsidR="00BB52D7" w:rsidRDefault="00E33AE6">
    <w:pPr>
      <w:spacing w:after="0" w:line="259" w:lineRule="auto"/>
      <w:ind w:left="0" w:firstLine="0"/>
      <w:jc w:val="left"/>
    </w:pPr>
    <w:r>
      <w:rPr>
        <w:rFonts w:ascii="Arial" w:eastAsia="Arial" w:hAnsi="Arial" w:cs="Arial"/>
        <w:sz w:val="16"/>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0"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p w:rsidR="00BB52D7" w:rsidRDefault="00E33AE6">
    <w:pPr>
      <w:spacing w:after="0" w:line="259" w:lineRule="auto"/>
      <w:ind w:left="0" w:firstLine="0"/>
      <w:jc w:val="left"/>
    </w:pPr>
    <w:r>
      <w:rPr>
        <w:rFonts w:ascii="Arial" w:eastAsia="Arial" w:hAnsi="Arial" w:cs="Arial"/>
        <w:sz w:val="16"/>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BB52D7">
    <w:pPr>
      <w:spacing w:after="160" w:line="259" w:lineRule="auto"/>
      <w:ind w:lef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0" w:right="1"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p w:rsidR="00BB52D7" w:rsidRDefault="00E33AE6">
    <w:pPr>
      <w:spacing w:after="0" w:line="259" w:lineRule="auto"/>
      <w:ind w:left="0" w:firstLine="0"/>
      <w:jc w:val="left"/>
    </w:pPr>
    <w:r>
      <w:rPr>
        <w:rFonts w:ascii="Arial" w:eastAsia="Arial" w:hAnsi="Arial" w:cs="Arial"/>
        <w:sz w:val="16"/>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E33AE6">
    <w:pPr>
      <w:spacing w:after="0" w:line="259" w:lineRule="auto"/>
      <w:ind w:left="0" w:right="1" w:firstLine="0"/>
      <w:jc w:val="center"/>
    </w:pPr>
    <w:r>
      <w:fldChar w:fldCharType="begin"/>
    </w:r>
    <w:r>
      <w:instrText xml:space="preserve"> PAGE   \* MERGEFORMAT </w:instrText>
    </w:r>
    <w:r>
      <w:fldChar w:fldCharType="separate"/>
    </w:r>
    <w:r w:rsidR="000D24C6" w:rsidRPr="000D24C6">
      <w:rPr>
        <w:rFonts w:ascii="Arial" w:eastAsia="Arial" w:hAnsi="Arial" w:cs="Arial"/>
        <w:noProof/>
        <w:sz w:val="16"/>
      </w:rPr>
      <w:t>121</w:t>
    </w:r>
    <w:r>
      <w:rPr>
        <w:rFonts w:ascii="Arial" w:eastAsia="Arial" w:hAnsi="Arial" w:cs="Arial"/>
        <w:sz w:val="16"/>
      </w:rPr>
      <w:fldChar w:fldCharType="end"/>
    </w:r>
    <w:r>
      <w:rPr>
        <w:rFonts w:ascii="Arial" w:eastAsia="Arial" w:hAnsi="Arial" w:cs="Arial"/>
        <w:sz w:val="16"/>
      </w:rPr>
      <w:t xml:space="preserve"> </w:t>
    </w:r>
  </w:p>
  <w:p w:rsidR="00BB52D7" w:rsidRDefault="00E33AE6">
    <w:pPr>
      <w:spacing w:after="0" w:line="259" w:lineRule="auto"/>
      <w:ind w:left="0" w:firstLine="0"/>
      <w:jc w:val="left"/>
    </w:pPr>
    <w:r>
      <w:rPr>
        <w:rFonts w:ascii="Arial" w:eastAsia="Arial" w:hAnsi="Arial" w:cs="Arial"/>
        <w:sz w:val="16"/>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D7" w:rsidRDefault="00BB52D7">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2D7" w:rsidRDefault="00E33AE6">
      <w:pPr>
        <w:spacing w:after="212" w:line="270" w:lineRule="auto"/>
        <w:ind w:left="851" w:firstLine="0"/>
      </w:pPr>
      <w:r>
        <w:separator/>
      </w:r>
    </w:p>
  </w:footnote>
  <w:footnote w:type="continuationSeparator" w:id="0">
    <w:p w:rsidR="00BB52D7" w:rsidRDefault="00E33AE6">
      <w:pPr>
        <w:spacing w:after="212" w:line="270" w:lineRule="auto"/>
        <w:ind w:left="851" w:firstLine="0"/>
      </w:pPr>
      <w:r>
        <w:continuationSeparator/>
      </w:r>
    </w:p>
  </w:footnote>
  <w:footnote w:id="1">
    <w:p w:rsidR="00BB52D7" w:rsidRDefault="00E33AE6">
      <w:pPr>
        <w:pStyle w:val="footnotedescription"/>
        <w:spacing w:after="212" w:line="270" w:lineRule="auto"/>
        <w:jc w:val="both"/>
      </w:pPr>
      <w:r>
        <w:rPr>
          <w:rStyle w:val="footnotemark"/>
        </w:rPr>
        <w:footnoteRef/>
      </w:r>
      <w:r>
        <w:t xml:space="preserve"> In producing this impact assessment, data has been collected from a variety of different sources. Therefore all conclusions drawn should be treated with an appropriate degree of caution. </w:t>
      </w:r>
    </w:p>
  </w:footnote>
  <w:footnote w:id="2">
    <w:p w:rsidR="00BB52D7" w:rsidRDefault="00E33AE6">
      <w:pPr>
        <w:pStyle w:val="footnotedescription"/>
        <w:spacing w:after="249"/>
      </w:pPr>
      <w:r>
        <w:rPr>
          <w:rStyle w:val="footnotemark"/>
        </w:rPr>
        <w:footnoteRef/>
      </w:r>
      <w:r>
        <w:t xml:space="preserve"> Directive 2014/91/EU  </w:t>
      </w:r>
    </w:p>
  </w:footnote>
  <w:footnote w:id="3">
    <w:p w:rsidR="00BB52D7" w:rsidRDefault="00E33AE6">
      <w:pPr>
        <w:pStyle w:val="footnotedescription"/>
        <w:spacing w:after="254"/>
      </w:pPr>
      <w:r>
        <w:rPr>
          <w:rStyle w:val="footnotemark"/>
        </w:rPr>
        <w:footnoteRef/>
      </w:r>
      <w:r>
        <w:t xml:space="preserve"> </w:t>
      </w:r>
      <w:r>
        <w:t xml:space="preserve">Directive 2009/65/EC </w:t>
      </w:r>
    </w:p>
  </w:footnote>
  <w:footnote w:id="4">
    <w:p w:rsidR="00BB52D7" w:rsidRDefault="00E33AE6">
      <w:pPr>
        <w:pStyle w:val="footnotedescription"/>
        <w:spacing w:after="244"/>
      </w:pPr>
      <w:r>
        <w:rPr>
          <w:rStyle w:val="footnotemark"/>
        </w:rPr>
        <w:footnoteRef/>
      </w:r>
      <w:r>
        <w:t xml:space="preserve"> Directive 2011/61/EU </w:t>
      </w:r>
    </w:p>
  </w:footnote>
  <w:footnote w:id="5">
    <w:p w:rsidR="00BB52D7" w:rsidRDefault="00E33AE6">
      <w:pPr>
        <w:pStyle w:val="footnotedescription"/>
        <w:spacing w:after="248"/>
      </w:pPr>
      <w:r>
        <w:rPr>
          <w:rStyle w:val="footnotemark"/>
        </w:rPr>
        <w:footnoteRef/>
      </w:r>
      <w:r>
        <w:t xml:space="preserve"> Commission Delegated Regulation (EU) No 231/2013 </w:t>
      </w:r>
    </w:p>
  </w:footnote>
  <w:footnote w:id="6">
    <w:p w:rsidR="00BB52D7" w:rsidRDefault="00E33AE6">
      <w:pPr>
        <w:pStyle w:val="footnotedescription"/>
        <w:spacing w:after="0"/>
      </w:pPr>
      <w:r>
        <w:rPr>
          <w:rStyle w:val="footnotemark"/>
        </w:rPr>
        <w:footnoteRef/>
      </w:r>
      <w:r>
        <w:t xml:space="preserve"> </w:t>
      </w:r>
      <w:r>
        <w:rPr>
          <w:color w:val="0000FF"/>
          <w:u w:val="single" w:color="0000FF"/>
        </w:rPr>
        <w:t>http://www.esma.europa.eu/system/files/2011_379.pdf</w:t>
      </w:r>
      <w:r>
        <w:t xml:space="preserve"> </w:t>
      </w:r>
    </w:p>
  </w:footnote>
  <w:footnote w:id="7">
    <w:p w:rsidR="00BB52D7" w:rsidRDefault="00E33AE6">
      <w:pPr>
        <w:pStyle w:val="footnotedescription"/>
        <w:spacing w:after="225"/>
      </w:pPr>
      <w:r>
        <w:rPr>
          <w:rStyle w:val="footnotemark"/>
        </w:rPr>
        <w:footnoteRef/>
      </w:r>
      <w:r>
        <w:t xml:space="preserve"> EFAMA: Asset Management in Europe, Facts and Figures, December 2014 </w:t>
      </w:r>
    </w:p>
  </w:footnote>
  <w:footnote w:id="8">
    <w:p w:rsidR="00BB52D7" w:rsidRDefault="00E33AE6">
      <w:pPr>
        <w:pStyle w:val="footnotedescription"/>
        <w:spacing w:after="254" w:line="261" w:lineRule="auto"/>
      </w:pPr>
      <w:r>
        <w:rPr>
          <w:rStyle w:val="footnotemark"/>
        </w:rPr>
        <w:footnoteRef/>
      </w:r>
      <w:r>
        <w:t xml:space="preserve"> </w:t>
      </w:r>
      <w:r>
        <w:t xml:space="preserve">Source (without taking into account AuM in Lichtenstein, Norway, Switzerland and Turkey): </w:t>
      </w:r>
      <w:r>
        <w:rPr>
          <w:color w:val="0000FF"/>
          <w:u w:val="single" w:color="0000FF"/>
        </w:rPr>
        <w:t>http://www.efama.org/Publications/Statistics/Quarterly/Quarterly%20Statistical%20Reports/Quarterly%20Statist ical%20Report%20Q4%202011.pdf</w:t>
      </w:r>
      <w:r>
        <w:t xml:space="preserve"> </w:t>
      </w:r>
    </w:p>
  </w:footnote>
  <w:footnote w:id="9">
    <w:p w:rsidR="00BB52D7" w:rsidRDefault="00E33AE6">
      <w:pPr>
        <w:pStyle w:val="footnotedescription"/>
        <w:spacing w:after="229" w:line="253" w:lineRule="auto"/>
        <w:ind w:right="850"/>
        <w:jc w:val="both"/>
      </w:pPr>
      <w:r>
        <w:rPr>
          <w:rStyle w:val="footnotemark"/>
        </w:rPr>
        <w:footnoteRef/>
      </w:r>
      <w:r>
        <w:t xml:space="preserve"> Net sales of UCITS reach</w:t>
      </w:r>
      <w:r>
        <w:t xml:space="preserve">ed €437 billion in 2014 and €221 billion in 2013. Demand for UCITS reached its highest level since 2006 and surpassed the net sales of € 191 billion registered in 2012 (source EFAMA- </w:t>
      </w:r>
      <w:r>
        <w:rPr>
          <w:color w:val="0000FF"/>
          <w:u w:val="single" w:color="0000FF"/>
        </w:rPr>
        <w:t>http://www.efama.org/Publications/Statistics/Quarterly/Quarterly%20Statis</w:t>
      </w:r>
      <w:r>
        <w:rPr>
          <w:color w:val="0000FF"/>
          <w:u w:val="single" w:color="0000FF"/>
        </w:rPr>
        <w:t>tical%20Reports/150311_Quarterly% 20Statistical%20Release%20Q4%202014.pdf</w:t>
      </w:r>
      <w:r>
        <w:t xml:space="preserve"> (without taking into account AuM in Lichtenstein, Norway, Switzerland and Turkey). </w:t>
      </w:r>
    </w:p>
  </w:footnote>
  <w:footnote w:id="10">
    <w:p w:rsidR="00BB52D7" w:rsidRDefault="00E33AE6">
      <w:pPr>
        <w:pStyle w:val="footnotedescription"/>
        <w:spacing w:after="4"/>
        <w:jc w:val="both"/>
      </w:pPr>
      <w:r>
        <w:rPr>
          <w:rStyle w:val="footnotemark"/>
        </w:rPr>
        <w:footnoteRef/>
      </w:r>
      <w:r>
        <w:t xml:space="preserve"> Source: EFAMA INVESTMENT FUND INDUSTRY FACT SHEET, December 2013 and December 2014 </w:t>
      </w:r>
    </w:p>
    <w:p w:rsidR="00BB52D7" w:rsidRDefault="00E33AE6">
      <w:pPr>
        <w:pStyle w:val="footnotedescription"/>
        <w:spacing w:after="215"/>
      </w:pPr>
      <w:r>
        <w:t>Data (withou</w:t>
      </w:r>
      <w:r>
        <w:t xml:space="preserve">t taking into account AuM in Lichtenstein, Norway, Switzerland and Turkey). </w:t>
      </w:r>
    </w:p>
  </w:footnote>
  <w:footnote w:id="11">
    <w:p w:rsidR="00BB52D7" w:rsidRDefault="00E33AE6">
      <w:pPr>
        <w:pStyle w:val="footnotedescription"/>
        <w:spacing w:after="212" w:line="271" w:lineRule="auto"/>
        <w:ind w:right="385"/>
        <w:jc w:val="both"/>
      </w:pPr>
      <w:r>
        <w:rPr>
          <w:rStyle w:val="footnotemark"/>
        </w:rPr>
        <w:footnoteRef/>
      </w:r>
      <w:r>
        <w:t xml:space="preserve"> While the largest depositaries are typically banks, other types of institutions (e.g. Mifid firms) also exist in some Member States. </w:t>
      </w:r>
    </w:p>
  </w:footnote>
  <w:footnote w:id="12">
    <w:p w:rsidR="00BB52D7" w:rsidRDefault="00E33AE6">
      <w:pPr>
        <w:pStyle w:val="footnotedescription"/>
        <w:spacing w:after="0"/>
      </w:pPr>
      <w:r>
        <w:rPr>
          <w:rStyle w:val="footnotemark"/>
        </w:rPr>
        <w:footnoteRef/>
      </w:r>
      <w:r>
        <w:t xml:space="preserve"> The custody service would also include ad</w:t>
      </w:r>
      <w:r>
        <w:t xml:space="preserve">ditional services such as clearing and settlement. </w:t>
      </w:r>
    </w:p>
  </w:footnote>
  <w:footnote w:id="13">
    <w:p w:rsidR="00BB52D7" w:rsidRDefault="00E33AE6">
      <w:pPr>
        <w:pStyle w:val="footnotedescription"/>
        <w:spacing w:after="271" w:line="243" w:lineRule="auto"/>
        <w:ind w:right="850"/>
        <w:jc w:val="both"/>
      </w:pPr>
      <w:r>
        <w:rPr>
          <w:rStyle w:val="footnotemark"/>
        </w:rPr>
        <w:footnoteRef/>
      </w:r>
      <w:r>
        <w:t xml:space="preserve"> </w:t>
      </w:r>
      <w:r>
        <w:t>Custody has its roots in physical safekeeping. In the era when securities existed only in paper form, investors needed a safe place to store the certificates that represented their ownership of a security. The immobilisation or dematerialisation of physica</w:t>
      </w:r>
      <w:r>
        <w:t>l securities resulted in development of central securities depositaries (CSDs). CSDs maintain accounts for the participating banks or intermediaries (custodians), to whose accounts the relevant number of securities is credited. These intermediaries maintai</w:t>
      </w:r>
      <w:r>
        <w:t xml:space="preserve">n accounts for the client- investors and for the client-intermediaries. The actual length of such a holding chain of intermediaries depends on the circumstances that prevail in the relevant jurisdictions.  </w:t>
      </w:r>
    </w:p>
  </w:footnote>
  <w:footnote w:id="14">
    <w:p w:rsidR="00BB52D7" w:rsidRDefault="00E33AE6">
      <w:pPr>
        <w:pStyle w:val="footnotedescription"/>
        <w:spacing w:after="0"/>
      </w:pPr>
      <w:r>
        <w:rPr>
          <w:rStyle w:val="footnotemark"/>
        </w:rPr>
        <w:footnoteRef/>
      </w:r>
      <w:r>
        <w:t xml:space="preserve"> See Annex 4 – Depositary’s function. </w:t>
      </w:r>
    </w:p>
  </w:footnote>
  <w:footnote w:id="15">
    <w:p w:rsidR="00BB52D7" w:rsidRDefault="00E33AE6">
      <w:pPr>
        <w:pStyle w:val="footnotedescription"/>
        <w:spacing w:after="0"/>
      </w:pPr>
      <w:r>
        <w:rPr>
          <w:rStyle w:val="footnotemark"/>
        </w:rPr>
        <w:footnoteRef/>
      </w:r>
      <w:r>
        <w:t xml:space="preserve"> Source </w:t>
      </w:r>
      <w:r>
        <w:t xml:space="preserve">Morningstar as of 31 December 2014. </w:t>
      </w:r>
    </w:p>
  </w:footnote>
  <w:footnote w:id="16">
    <w:p w:rsidR="00BB52D7" w:rsidRDefault="00E33AE6">
      <w:pPr>
        <w:pStyle w:val="footnotedescription"/>
        <w:spacing w:after="0"/>
      </w:pPr>
      <w:r>
        <w:rPr>
          <w:rStyle w:val="footnotemark"/>
        </w:rPr>
        <w:footnoteRef/>
      </w:r>
      <w:r>
        <w:t xml:space="preserve"> See Annex 5 </w:t>
      </w:r>
    </w:p>
  </w:footnote>
  <w:footnote w:id="17">
    <w:p w:rsidR="00BB52D7" w:rsidRDefault="00E33AE6">
      <w:pPr>
        <w:pStyle w:val="footnotedescription"/>
        <w:spacing w:after="0"/>
      </w:pPr>
      <w:r>
        <w:rPr>
          <w:rStyle w:val="footnotemark"/>
        </w:rPr>
        <w:footnoteRef/>
      </w:r>
      <w:r>
        <w:t xml:space="preserve"> See Annex 5 for more details figures.  </w:t>
      </w:r>
    </w:p>
  </w:footnote>
  <w:footnote w:id="18">
    <w:p w:rsidR="00BB52D7" w:rsidRDefault="00E33AE6">
      <w:pPr>
        <w:pStyle w:val="footnotedescription"/>
        <w:spacing w:after="0"/>
      </w:pPr>
      <w:r>
        <w:rPr>
          <w:rStyle w:val="footnotemark"/>
        </w:rPr>
        <w:footnoteRef/>
      </w:r>
      <w:r>
        <w:t xml:space="preserve"> </w:t>
      </w:r>
      <w:r>
        <w:rPr>
          <w:color w:val="0000FF"/>
          <w:u w:val="single" w:color="0000FF"/>
        </w:rPr>
        <w:t>http://www.esma.europa.eu/system/files/2014-1417.pdf</w:t>
      </w:r>
      <w:r>
        <w:t xml:space="preserve"> </w:t>
      </w:r>
    </w:p>
    <w:p w:rsidR="00BB52D7" w:rsidRDefault="00E33AE6">
      <w:pPr>
        <w:pStyle w:val="footnotedescription"/>
        <w:spacing w:after="0"/>
      </w:pPr>
      <w:r>
        <w:t xml:space="preserve"> </w:t>
      </w:r>
    </w:p>
  </w:footnote>
  <w:footnote w:id="19">
    <w:p w:rsidR="00BB52D7" w:rsidRDefault="00E33AE6">
      <w:pPr>
        <w:pStyle w:val="footnotedescription"/>
        <w:spacing w:after="0" w:line="251" w:lineRule="auto"/>
        <w:ind w:left="1021" w:right="852" w:hanging="170"/>
        <w:jc w:val="both"/>
      </w:pPr>
      <w:r>
        <w:rPr>
          <w:rStyle w:val="footnotemark"/>
        </w:rPr>
        <w:footnoteRef/>
      </w:r>
      <w:r>
        <w:t xml:space="preserve"> As it was the case in earlier consultations and hearings on asset management organised by the European</w:t>
      </w:r>
      <w:r>
        <w:t xml:space="preserve"> Commission or ESMA in previous years, it was primarily the ‘supply side’, i.e. fund managers and, in parts, depositaries, that participated. The few responses from the ‘buy side’, i.e. investors, came from big players in the market like pension funds. Sma</w:t>
      </w:r>
      <w:r>
        <w:t>ller and mid-size investors were represented through the Stakeholder Groups of ESMA which responded to the consultations or hearings. These representatives took also potential adverse impacts on retail investors into account but did not voice any major con</w:t>
      </w:r>
      <w:r>
        <w:t xml:space="preserve">cerns. </w:t>
      </w:r>
    </w:p>
    <w:p w:rsidR="00BB52D7" w:rsidRDefault="00E33AE6">
      <w:pPr>
        <w:pStyle w:val="footnotedescription"/>
        <w:spacing w:after="0"/>
      </w:pPr>
      <w:r>
        <w:t xml:space="preserve"> </w:t>
      </w:r>
    </w:p>
  </w:footnote>
  <w:footnote w:id="20">
    <w:p w:rsidR="00BB52D7" w:rsidRDefault="00E33AE6">
      <w:pPr>
        <w:pStyle w:val="footnotedescription"/>
        <w:spacing w:after="0"/>
      </w:pPr>
      <w:r>
        <w:rPr>
          <w:rStyle w:val="footnotemark"/>
        </w:rPr>
        <w:footnoteRef/>
      </w:r>
      <w:r>
        <w:t xml:space="preserve"> The summary consultation is provided in Annex 12 </w:t>
      </w:r>
    </w:p>
  </w:footnote>
  <w:footnote w:id="21">
    <w:p w:rsidR="00BB52D7" w:rsidRDefault="00E33AE6">
      <w:pPr>
        <w:pStyle w:val="footnotedescription"/>
        <w:spacing w:after="242" w:line="249" w:lineRule="auto"/>
        <w:ind w:left="993" w:right="854" w:hanging="142"/>
        <w:jc w:val="both"/>
      </w:pPr>
      <w:r>
        <w:rPr>
          <w:rStyle w:val="footnotemark"/>
        </w:rPr>
        <w:footnoteRef/>
      </w:r>
      <w:r>
        <w:t xml:space="preserve"> The consultation documents and the responses that were cleared for publication can be found at the ESMA website: </w:t>
      </w:r>
      <w:r>
        <w:rPr>
          <w:color w:val="0000FF"/>
          <w:u w:val="single" w:color="0000FF"/>
        </w:rPr>
        <w:t>http://www.esma.europa.eu/page/AIFMD</w:t>
      </w:r>
      <w:r>
        <w:t>; summaries prepared by ESMA can be found i</w:t>
      </w:r>
      <w:r>
        <w:t xml:space="preserve">n Annex 14 of the impact assessment report accompanying AIFMD Level 2 measures: </w:t>
      </w:r>
      <w:r>
        <w:rPr>
          <w:color w:val="0000FF"/>
          <w:u w:val="single" w:color="0000FF"/>
        </w:rPr>
        <w:t>http://ec.europa.eu/internal_market/investment/docs/20121219-directive/ia_en.pdf</w:t>
      </w:r>
      <w:r>
        <w:t xml:space="preserve">. </w:t>
      </w:r>
    </w:p>
  </w:footnote>
  <w:footnote w:id="22">
    <w:p w:rsidR="00BB52D7" w:rsidRDefault="00E33AE6">
      <w:pPr>
        <w:pStyle w:val="footnotedescription"/>
        <w:spacing w:after="0" w:line="254" w:lineRule="auto"/>
      </w:pPr>
      <w:r>
        <w:rPr>
          <w:rStyle w:val="footnotemark"/>
        </w:rPr>
        <w:footnoteRef/>
      </w:r>
      <w:r>
        <w:t xml:space="preserve"> The consultation documents and the responses that were cleared for publication can be found</w:t>
      </w:r>
      <w:r>
        <w:t xml:space="preserve"> at the ESMA website:</w:t>
      </w:r>
      <w:r>
        <w:rPr>
          <w:color w:val="0000FF"/>
          <w:u w:val="single" w:color="0000FF"/>
        </w:rPr>
        <w:t>http://www.esma.europa.eu/consultation/Consultation-delegated-acts-required-UCITS-V-Directive</w:t>
      </w:r>
      <w:r>
        <w:t xml:space="preserve"> </w:t>
      </w:r>
      <w:r>
        <w:tab/>
        <w:t xml:space="preserve">; summaries can be found in Annex 12 of this impact </w:t>
      </w:r>
      <w:r>
        <w:rPr>
          <w:vertAlign w:val="subscript"/>
        </w:rPr>
        <w:t>Ельф</w:t>
      </w:r>
      <w:r>
        <w:t xml:space="preserve"> assessment </w:t>
      </w:r>
      <w:r>
        <w:rPr>
          <w:sz w:val="24"/>
        </w:rPr>
        <w:t xml:space="preserve"> </w:t>
      </w:r>
    </w:p>
  </w:footnote>
  <w:footnote w:id="23">
    <w:p w:rsidR="00BB52D7" w:rsidRDefault="00E33AE6">
      <w:pPr>
        <w:pStyle w:val="footnotedescription"/>
        <w:spacing w:after="0"/>
      </w:pPr>
      <w:r>
        <w:rPr>
          <w:rStyle w:val="footnotemark"/>
        </w:rPr>
        <w:footnoteRef/>
      </w:r>
      <w:r>
        <w:t xml:space="preserve"> </w:t>
      </w:r>
      <w:r>
        <w:rPr>
          <w:color w:val="0000FF"/>
          <w:sz w:val="18"/>
          <w:u w:val="single" w:color="0000FF"/>
        </w:rPr>
        <w:t>http://ec.europa.eu/smart-regulation/impact/ia_carried_out/cia_2015_</w:t>
      </w:r>
      <w:r>
        <w:rPr>
          <w:color w:val="0000FF"/>
          <w:sz w:val="18"/>
          <w:u w:val="single" w:color="0000FF"/>
        </w:rPr>
        <w:t>en.htm</w:t>
      </w:r>
      <w:r>
        <w:t xml:space="preserve"> </w:t>
      </w:r>
    </w:p>
  </w:footnote>
  <w:footnote w:id="24">
    <w:p w:rsidR="00BB52D7" w:rsidRDefault="00E33AE6">
      <w:pPr>
        <w:pStyle w:val="footnotedescription"/>
        <w:spacing w:after="226" w:line="269" w:lineRule="auto"/>
        <w:ind w:right="407"/>
        <w:jc w:val="both"/>
      </w:pPr>
      <w:r>
        <w:rPr>
          <w:rStyle w:val="footnotemark"/>
        </w:rPr>
        <w:footnoteRef/>
      </w:r>
      <w:r>
        <w:t xml:space="preserve"> Problems identified in the area of remuneration policies and sanctions are not discussed in this document as there are no level 2 measures directly addressed to these issues. </w:t>
      </w:r>
    </w:p>
  </w:footnote>
  <w:footnote w:id="25">
    <w:p w:rsidR="00BB52D7" w:rsidRDefault="00E33AE6">
      <w:pPr>
        <w:pStyle w:val="footnotedescription"/>
        <w:spacing w:after="0"/>
      </w:pPr>
      <w:r>
        <w:rPr>
          <w:rStyle w:val="footnotemark"/>
        </w:rPr>
        <w:footnoteRef/>
      </w:r>
      <w:r>
        <w:t xml:space="preserve"> </w:t>
      </w:r>
      <w:r>
        <w:rPr>
          <w:color w:val="0000FF"/>
          <w:u w:val="single" w:color="0000FF"/>
        </w:rPr>
        <w:t>http://eur-lex.europa.eu/legal-content/EN/TXT/?uri=CELEX:52012SC0186</w:t>
      </w:r>
      <w:r>
        <w:t xml:space="preserve">. </w:t>
      </w:r>
    </w:p>
  </w:footnote>
  <w:footnote w:id="26">
    <w:p w:rsidR="00BB52D7" w:rsidRDefault="00E33AE6">
      <w:pPr>
        <w:pStyle w:val="footnotedescription"/>
        <w:spacing w:after="221" w:line="262" w:lineRule="auto"/>
        <w:ind w:right="296"/>
        <w:jc w:val="both"/>
      </w:pPr>
      <w:r>
        <w:rPr>
          <w:rStyle w:val="footnotemark"/>
        </w:rPr>
        <w:footnoteRef/>
      </w:r>
      <w:r>
        <w:t xml:space="preserve"> For example, UCITS Directive sets the requirements for eligible assets, diversification ratios, counterparty limits, etc.  </w:t>
      </w:r>
    </w:p>
  </w:footnote>
  <w:footnote w:id="27">
    <w:p w:rsidR="00BB52D7" w:rsidRDefault="00E33AE6">
      <w:pPr>
        <w:pStyle w:val="footnotedescription"/>
        <w:spacing w:after="0"/>
      </w:pPr>
      <w:r>
        <w:rPr>
          <w:rStyle w:val="footnotemark"/>
        </w:rPr>
        <w:footnoteRef/>
      </w:r>
      <w:r>
        <w:t xml:space="preserve"> See Annex 6 for a description of the problem drivers and problem.  </w:t>
      </w:r>
    </w:p>
  </w:footnote>
  <w:footnote w:id="28">
    <w:p w:rsidR="00BB52D7" w:rsidRDefault="00E33AE6">
      <w:pPr>
        <w:pStyle w:val="footnotedescription"/>
        <w:spacing w:after="213" w:line="269" w:lineRule="auto"/>
        <w:ind w:left="1209" w:hanging="358"/>
      </w:pPr>
      <w:r>
        <w:rPr>
          <w:rStyle w:val="footnotemark"/>
        </w:rPr>
        <w:footnoteRef/>
      </w:r>
      <w:r>
        <w:t xml:space="preserve"> </w:t>
      </w:r>
      <w:r>
        <w:t xml:space="preserve">See IOSCO Recommendations Regarding the Protection of Client Assets of January 2014 </w:t>
      </w:r>
      <w:r>
        <w:rPr>
          <w:color w:val="0000FF"/>
          <w:u w:val="single" w:color="0000FF"/>
        </w:rPr>
        <w:t>http://www.iosco.org/library/pubdocs/pdf/IOSCOPD436.pdf</w:t>
      </w:r>
      <w:r>
        <w:t xml:space="preserve"> </w:t>
      </w:r>
    </w:p>
  </w:footnote>
  <w:footnote w:id="29">
    <w:p w:rsidR="00BB52D7" w:rsidRDefault="00E33AE6">
      <w:pPr>
        <w:pStyle w:val="footnotedescription"/>
        <w:spacing w:after="0"/>
      </w:pPr>
      <w:r>
        <w:rPr>
          <w:rStyle w:val="footnotemark"/>
        </w:rPr>
        <w:footnoteRef/>
      </w:r>
      <w:r>
        <w:t xml:space="preserve"> Annex 7 provides a background to the Madoff fraud. </w:t>
      </w:r>
    </w:p>
  </w:footnote>
  <w:footnote w:id="30">
    <w:p w:rsidR="00BB52D7" w:rsidRDefault="00E33AE6">
      <w:pPr>
        <w:pStyle w:val="footnotedescription"/>
        <w:spacing w:after="252"/>
      </w:pPr>
      <w:r>
        <w:rPr>
          <w:rStyle w:val="footnotemark"/>
        </w:rPr>
        <w:footnoteRef/>
      </w:r>
      <w:r>
        <w:t xml:space="preserve"> For example, prime brokerage, treasury and securities lendi</w:t>
      </w:r>
      <w:r>
        <w:t xml:space="preserve">ng, collateral management, etc. </w:t>
      </w:r>
    </w:p>
  </w:footnote>
  <w:footnote w:id="31">
    <w:p w:rsidR="00BB52D7" w:rsidRDefault="00E33AE6">
      <w:pPr>
        <w:pStyle w:val="footnotedescription"/>
        <w:spacing w:after="0"/>
      </w:pPr>
      <w:r>
        <w:rPr>
          <w:rStyle w:val="footnotemark"/>
        </w:rPr>
        <w:footnoteRef/>
      </w:r>
      <w:r>
        <w:t xml:space="preserve"> Annex 4 describes the list of all the services done by a depositary. </w:t>
      </w:r>
    </w:p>
  </w:footnote>
  <w:footnote w:id="32">
    <w:p w:rsidR="00BB52D7" w:rsidRDefault="00E33AE6">
      <w:pPr>
        <w:pStyle w:val="footnotedescription"/>
        <w:spacing w:after="0" w:line="271" w:lineRule="auto"/>
        <w:ind w:right="73"/>
        <w:jc w:val="both"/>
      </w:pPr>
      <w:r>
        <w:rPr>
          <w:rStyle w:val="footnotemark"/>
        </w:rPr>
        <w:footnoteRef/>
      </w:r>
      <w:r>
        <w:t xml:space="preserve"> To simplify the exposition, the problem description focuses on the independence of the UCITS management company and the UCITS depositary but is appli</w:t>
      </w:r>
      <w:r>
        <w:t xml:space="preserve">cable also with respect to their delegates. </w:t>
      </w:r>
    </w:p>
  </w:footnote>
  <w:footnote w:id="33">
    <w:p w:rsidR="00BB52D7" w:rsidRDefault="00E33AE6">
      <w:pPr>
        <w:pStyle w:val="footnotedescription"/>
        <w:spacing w:after="241"/>
      </w:pPr>
      <w:r>
        <w:rPr>
          <w:rStyle w:val="footnotemark"/>
        </w:rPr>
        <w:footnoteRef/>
      </w:r>
      <w:r>
        <w:t xml:space="preserve"> </w:t>
      </w:r>
      <w:r>
        <w:rPr>
          <w:color w:val="0000FF"/>
          <w:u w:val="single" w:color="0000FF"/>
        </w:rPr>
        <w:t>http://www.iosco.org/library/pubdocs/pdf/IOSCOPD454.pdf</w:t>
      </w:r>
      <w:r>
        <w:t xml:space="preserve"> </w:t>
      </w:r>
    </w:p>
  </w:footnote>
  <w:footnote w:id="34">
    <w:p w:rsidR="00BB52D7" w:rsidRDefault="00E33AE6">
      <w:pPr>
        <w:pStyle w:val="footnotedescription"/>
        <w:spacing w:line="271" w:lineRule="auto"/>
        <w:ind w:right="230"/>
        <w:jc w:val="both"/>
      </w:pPr>
      <w:r>
        <w:rPr>
          <w:rStyle w:val="footnotemark"/>
        </w:rPr>
        <w:footnoteRef/>
      </w:r>
      <w:r>
        <w:t xml:space="preserve"> As opposed to common directors, affiliated directors are individuals that are not employed by one of the entities involved but that are bound to one o</w:t>
      </w:r>
      <w:r>
        <w:t xml:space="preserve">r both of the entities by other links than employment. </w:t>
      </w:r>
    </w:p>
  </w:footnote>
  <w:footnote w:id="35">
    <w:p w:rsidR="00BB52D7" w:rsidRDefault="00E33AE6">
      <w:pPr>
        <w:pStyle w:val="footnotedescription"/>
        <w:spacing w:after="219" w:line="255" w:lineRule="auto"/>
        <w:ind w:right="854"/>
        <w:jc w:val="both"/>
      </w:pPr>
      <w:r>
        <w:rPr>
          <w:rStyle w:val="footnotemark"/>
        </w:rPr>
        <w:footnoteRef/>
      </w:r>
      <w:r>
        <w:t xml:space="preserve"> In addition to common directors, this might include provisions on quorum, simple majority or super majority votes, and restrictions on decision-making capacity of certain directors, and directors ha</w:t>
      </w:r>
      <w:r>
        <w:t xml:space="preserve">ving shareholdings in the relevant party. Directors' remuneration will also have impact on their independence. </w:t>
      </w:r>
    </w:p>
  </w:footnote>
  <w:footnote w:id="36">
    <w:p w:rsidR="00BB52D7" w:rsidRDefault="00E33AE6">
      <w:pPr>
        <w:pStyle w:val="footnotedescription"/>
        <w:spacing w:after="0" w:line="271" w:lineRule="auto"/>
        <w:jc w:val="both"/>
      </w:pPr>
      <w:r>
        <w:rPr>
          <w:rStyle w:val="footnotemark"/>
        </w:rPr>
        <w:footnoteRef/>
      </w:r>
      <w:r>
        <w:t xml:space="preserve"> Initial mapping of national implementing measures of independence principle is describe in the ESMA consultation document: </w:t>
      </w:r>
      <w:r>
        <w:rPr>
          <w:color w:val="0000FF"/>
          <w:u w:val="single" w:color="0000FF"/>
        </w:rPr>
        <w:t>http://www.esma.eur</w:t>
      </w:r>
      <w:r>
        <w:rPr>
          <w:color w:val="0000FF"/>
          <w:u w:val="single" w:color="0000FF"/>
        </w:rPr>
        <w:t>opa.eu/system/files/2014-1183.pdf</w:t>
      </w:r>
      <w:r>
        <w:t xml:space="preserve"> </w:t>
      </w:r>
    </w:p>
  </w:footnote>
  <w:footnote w:id="37">
    <w:p w:rsidR="00BB52D7" w:rsidRDefault="00E33AE6">
      <w:pPr>
        <w:pStyle w:val="footnotedescription"/>
        <w:spacing w:after="207" w:line="275" w:lineRule="auto"/>
        <w:ind w:right="557"/>
        <w:jc w:val="both"/>
      </w:pPr>
      <w:r>
        <w:rPr>
          <w:rStyle w:val="footnotemark"/>
        </w:rPr>
        <w:footnoteRef/>
      </w:r>
      <w:r>
        <w:t xml:space="preserve"> The United-Kingdom does not allow the depositary to be in-house but allow on case-by-case the delegation of the asset’s safekeeping to the custodian who is part of the same group as the asset management company. </w:t>
      </w:r>
    </w:p>
  </w:footnote>
  <w:footnote w:id="38">
    <w:p w:rsidR="00BB52D7" w:rsidRDefault="00E33AE6">
      <w:pPr>
        <w:pStyle w:val="footnotedescription"/>
        <w:spacing w:after="243"/>
      </w:pPr>
      <w:r>
        <w:rPr>
          <w:rStyle w:val="footnotemark"/>
        </w:rPr>
        <w:footnoteRef/>
      </w:r>
      <w:r>
        <w:t xml:space="preserve"> This</w:t>
      </w:r>
      <w:r>
        <w:t xml:space="preserve"> risk materialised in the Madoff case. </w:t>
      </w:r>
    </w:p>
  </w:footnote>
  <w:footnote w:id="39">
    <w:p w:rsidR="00BB52D7" w:rsidRDefault="00E33AE6">
      <w:pPr>
        <w:pStyle w:val="footnotedescription"/>
        <w:spacing w:after="211" w:line="271" w:lineRule="auto"/>
        <w:ind w:left="993" w:right="116" w:hanging="142"/>
        <w:jc w:val="both"/>
      </w:pPr>
      <w:r>
        <w:rPr>
          <w:rStyle w:val="footnotemark"/>
        </w:rPr>
        <w:footnoteRef/>
      </w:r>
      <w:r>
        <w:t xml:space="preserve"> Section 1.4 shows where the management company is part of banking (depositary) group, it will appoint the in-house depositary for its UCITS. </w:t>
      </w:r>
    </w:p>
  </w:footnote>
  <w:footnote w:id="40">
    <w:p w:rsidR="00BB52D7" w:rsidRDefault="00E33AE6">
      <w:pPr>
        <w:pStyle w:val="footnotedescription"/>
        <w:spacing w:after="0" w:line="263" w:lineRule="auto"/>
        <w:ind w:left="993" w:right="159" w:hanging="142"/>
        <w:jc w:val="both"/>
      </w:pPr>
      <w:r>
        <w:rPr>
          <w:rStyle w:val="footnotemark"/>
        </w:rPr>
        <w:footnoteRef/>
      </w:r>
      <w:r>
        <w:t xml:space="preserve"> Instances where the management company invests predominantly into fina</w:t>
      </w:r>
      <w:r>
        <w:t xml:space="preserve">ncial instruments issued by the own banking (depositary) group include MMF and derivative based ETFs ("total return swaps"). </w:t>
      </w:r>
    </w:p>
  </w:footnote>
  <w:footnote w:id="41">
    <w:p w:rsidR="00BB52D7" w:rsidRDefault="00E33AE6">
      <w:pPr>
        <w:pStyle w:val="footnotedescription"/>
        <w:spacing w:after="0"/>
      </w:pPr>
      <w:r>
        <w:rPr>
          <w:rStyle w:val="footnotemark"/>
        </w:rPr>
        <w:footnoteRef/>
      </w:r>
      <w:r>
        <w:t xml:space="preserve"> A large fraud might even lead to the insolvency of the depositary. </w:t>
      </w:r>
    </w:p>
  </w:footnote>
  <w:footnote w:id="42">
    <w:p w:rsidR="00BB52D7" w:rsidRDefault="00E33AE6">
      <w:pPr>
        <w:pStyle w:val="footnotedescription"/>
        <w:spacing w:after="0" w:line="271" w:lineRule="auto"/>
        <w:jc w:val="both"/>
      </w:pPr>
      <w:r>
        <w:rPr>
          <w:rStyle w:val="footnotemark"/>
        </w:rPr>
        <w:footnoteRef/>
      </w:r>
      <w:r>
        <w:t xml:space="preserve"> </w:t>
      </w:r>
      <w:r>
        <w:t xml:space="preserve">The cross reference in Article 22a paragraph 3(e) to Article 25 UCITS imposes the independence of action requirement also on a  third party to whom the depositary has delegated  all or part of its safekeeping functions.  </w:t>
      </w:r>
    </w:p>
  </w:footnote>
  <w:footnote w:id="43">
    <w:p w:rsidR="00BB52D7" w:rsidRDefault="00E33AE6">
      <w:pPr>
        <w:pStyle w:val="footnotedescription"/>
        <w:spacing w:after="239" w:line="243" w:lineRule="auto"/>
        <w:ind w:right="851"/>
        <w:jc w:val="both"/>
      </w:pPr>
      <w:r>
        <w:rPr>
          <w:rStyle w:val="footnotemark"/>
        </w:rPr>
        <w:footnoteRef/>
      </w:r>
      <w:r>
        <w:t xml:space="preserve"> For the purpose of Option 2.3, c</w:t>
      </w:r>
      <w:r>
        <w:t>ross-shareholdings are relevant once the direct or indirect holding of one entity (asset manager/depositary/third party) in another entity (asset manager/depositary/third party) represents 10% or more of the capital or of the voting rights or if the shareh</w:t>
      </w:r>
      <w:r>
        <w:t xml:space="preserve">olding makes it possible to exercise a significant influence over the other entity </w:t>
      </w:r>
    </w:p>
  </w:footnote>
  <w:footnote w:id="44">
    <w:p w:rsidR="00BB52D7" w:rsidRDefault="00E33AE6">
      <w:pPr>
        <w:pStyle w:val="footnotedescription"/>
        <w:spacing w:after="248"/>
      </w:pPr>
      <w:r>
        <w:rPr>
          <w:rStyle w:val="footnotemark"/>
        </w:rPr>
        <w:footnoteRef/>
      </w:r>
      <w:r>
        <w:t xml:space="preserve"> As defined in Directive 2013/34/EU or in accordance with international accounting rules </w:t>
      </w:r>
    </w:p>
  </w:footnote>
  <w:footnote w:id="45">
    <w:p w:rsidR="00BB52D7" w:rsidRDefault="00E33AE6">
      <w:pPr>
        <w:pStyle w:val="footnotedescription"/>
        <w:spacing w:after="214" w:line="262" w:lineRule="auto"/>
        <w:ind w:right="347"/>
        <w:jc w:val="both"/>
      </w:pPr>
      <w:r>
        <w:rPr>
          <w:rStyle w:val="footnotemark"/>
        </w:rPr>
        <w:footnoteRef/>
      </w:r>
      <w:r>
        <w:t xml:space="preserve"> An appropriate justification requires putting in place a robust and transparent</w:t>
      </w:r>
      <w:r>
        <w:t xml:space="preserve"> selection process, which shall be based on objective pre-defined criteria and meet the sole interest of the UCITS and the investors of the UCITS. </w:t>
      </w:r>
    </w:p>
  </w:footnote>
  <w:footnote w:id="46">
    <w:p w:rsidR="00BB52D7" w:rsidRDefault="00E33AE6">
      <w:pPr>
        <w:pStyle w:val="footnotedescription"/>
        <w:spacing w:after="0" w:line="249" w:lineRule="auto"/>
        <w:ind w:right="857"/>
        <w:jc w:val="both"/>
      </w:pPr>
      <w:r>
        <w:rPr>
          <w:rStyle w:val="footnotemark"/>
        </w:rPr>
        <w:footnoteRef/>
      </w:r>
      <w:r>
        <w:t xml:space="preserve"> According to ESMA, only members of an entity's board will be deemed independent if they have no business (</w:t>
      </w:r>
      <w:r>
        <w:t xml:space="preserve">including shareholding links), family or other relationship with the members of the board of: (1) a management company/investment company, (2) a depositary or (3) any of the other undertakings within the group that would create a conflict of interest. </w:t>
      </w:r>
    </w:p>
  </w:footnote>
  <w:footnote w:id="47">
    <w:p w:rsidR="00BB52D7" w:rsidRDefault="00E33AE6">
      <w:pPr>
        <w:pStyle w:val="footnotedescription"/>
        <w:spacing w:after="239"/>
        <w:ind w:left="0"/>
        <w:jc w:val="both"/>
      </w:pPr>
      <w:r>
        <w:rPr>
          <w:rStyle w:val="footnotemark"/>
        </w:rPr>
        <w:footnoteRef/>
      </w:r>
      <w:r>
        <w:t xml:space="preserve"> D</w:t>
      </w:r>
      <w:r>
        <w:t xml:space="preserve">ata supplied by the competent national regulators in Luxembourg, Ireland, the United-Kingdom and France. </w:t>
      </w:r>
    </w:p>
  </w:footnote>
  <w:footnote w:id="48">
    <w:p w:rsidR="00BB52D7" w:rsidRDefault="00E33AE6">
      <w:pPr>
        <w:pStyle w:val="footnotedescription"/>
        <w:spacing w:after="0"/>
        <w:ind w:left="0"/>
      </w:pPr>
      <w:r>
        <w:rPr>
          <w:rStyle w:val="footnotemark"/>
        </w:rPr>
        <w:footnoteRef/>
      </w:r>
      <w:r>
        <w:t xml:space="preserve"> See Table 6 in Annex 5. </w:t>
      </w:r>
    </w:p>
  </w:footnote>
  <w:footnote w:id="49">
    <w:p w:rsidR="00BB52D7" w:rsidRDefault="00E33AE6">
      <w:pPr>
        <w:pStyle w:val="footnotedescription"/>
        <w:spacing w:after="249"/>
        <w:ind w:left="0"/>
      </w:pPr>
      <w:r>
        <w:rPr>
          <w:rStyle w:val="footnotemark"/>
        </w:rPr>
        <w:footnoteRef/>
      </w:r>
      <w:r>
        <w:t xml:space="preserve"> See Annexes 13 and 15. </w:t>
      </w:r>
    </w:p>
  </w:footnote>
  <w:footnote w:id="50">
    <w:p w:rsidR="00BB52D7" w:rsidRDefault="00E33AE6">
      <w:pPr>
        <w:pStyle w:val="footnotedescription"/>
        <w:spacing w:after="254"/>
        <w:ind w:left="0"/>
      </w:pPr>
      <w:r>
        <w:rPr>
          <w:rStyle w:val="footnotemark"/>
        </w:rPr>
        <w:footnoteRef/>
      </w:r>
      <w:r>
        <w:t xml:space="preserve"> See Annex 15 </w:t>
      </w:r>
    </w:p>
  </w:footnote>
  <w:footnote w:id="51">
    <w:p w:rsidR="00BB52D7" w:rsidRDefault="00E33AE6">
      <w:pPr>
        <w:pStyle w:val="footnotedescription"/>
        <w:spacing w:after="0"/>
        <w:ind w:left="0"/>
      </w:pPr>
      <w:r>
        <w:rPr>
          <w:rStyle w:val="footnotemark"/>
        </w:rPr>
        <w:footnoteRef/>
      </w:r>
      <w:r>
        <w:t xml:space="preserve"> See Annex 15 </w:t>
      </w:r>
    </w:p>
  </w:footnote>
  <w:footnote w:id="52">
    <w:p w:rsidR="00BB52D7" w:rsidRDefault="00E33AE6">
      <w:pPr>
        <w:pStyle w:val="footnotedescription"/>
        <w:spacing w:after="0" w:line="248" w:lineRule="auto"/>
        <w:ind w:right="852"/>
        <w:jc w:val="both"/>
      </w:pPr>
      <w:r>
        <w:rPr>
          <w:rStyle w:val="footnotemark"/>
        </w:rPr>
        <w:footnoteRef/>
      </w:r>
      <w:r>
        <w:t xml:space="preserve"> The two tier system is mainly found in Germany. The functioning</w:t>
      </w:r>
      <w:r>
        <w:t xml:space="preserve"> of the two tier system is defined in Corporate Governance law and Corporate Governance Codes (German Aktiengesetz and the German Corporate Governance Kodex). </w:t>
      </w:r>
    </w:p>
  </w:footnote>
  <w:footnote w:id="53">
    <w:p w:rsidR="00BB52D7" w:rsidRDefault="00E33AE6">
      <w:pPr>
        <w:pStyle w:val="footnotedescription"/>
        <w:spacing w:after="0" w:line="253" w:lineRule="auto"/>
        <w:ind w:right="851"/>
        <w:jc w:val="both"/>
      </w:pPr>
      <w:r>
        <w:rPr>
          <w:rStyle w:val="footnotemark"/>
        </w:rPr>
        <w:footnoteRef/>
      </w:r>
      <w:r>
        <w:t xml:space="preserve"> </w:t>
      </w:r>
      <w:r>
        <w:rPr>
          <w:sz w:val="18"/>
        </w:rPr>
        <w:t>Affiliated members are defined as members of the other entity's management body, the other ent</w:t>
      </w:r>
      <w:r>
        <w:rPr>
          <w:sz w:val="18"/>
        </w:rPr>
        <w:t xml:space="preserve">ity's employees as well as members of the group management body or as employees of the group or as having a contractual agreement with the group or an entity of the group. </w:t>
      </w:r>
    </w:p>
  </w:footnote>
  <w:footnote w:id="54">
    <w:p w:rsidR="00BB52D7" w:rsidRDefault="00E33AE6">
      <w:pPr>
        <w:pStyle w:val="footnotedescription"/>
        <w:spacing w:after="251" w:line="245" w:lineRule="auto"/>
        <w:ind w:right="849"/>
        <w:jc w:val="both"/>
      </w:pPr>
      <w:r>
        <w:rPr>
          <w:rStyle w:val="footnotemark"/>
        </w:rPr>
        <w:footnoteRef/>
      </w:r>
      <w:r>
        <w:t xml:space="preserve"> </w:t>
      </w:r>
      <w:r>
        <w:rPr>
          <w:sz w:val="18"/>
        </w:rPr>
        <w:t>See, for example, Section 18 par. 4 (</w:t>
      </w:r>
      <w:r>
        <w:rPr>
          <w:b/>
          <w:sz w:val="18"/>
        </w:rPr>
        <w:t>Kapitalanlagegesetzbuch - KAGB</w:t>
      </w:r>
      <w:r>
        <w:rPr>
          <w:sz w:val="18"/>
        </w:rPr>
        <w:t>) which requires that "The personality and expertise of the members of the supervisory board or of an advisory board shall be such as to guarantee the protection of the investors' interests. ..." In practice, this implies that, should the competent regulat</w:t>
      </w:r>
      <w:r>
        <w:rPr>
          <w:sz w:val="18"/>
        </w:rPr>
        <w:t>or (BaFin) discover that a majority of board members persistently ignore legitimate concerns of one or two members, it may take the view that all or some of the majority members are no longer suitable for their board position and request their dismissal. I</w:t>
      </w:r>
      <w:r>
        <w:rPr>
          <w:sz w:val="18"/>
        </w:rPr>
        <w:t xml:space="preserve">n Ireland, acting as a director is a “preapproval controlled function” which requires approval by the Irish Central Bank under the </w:t>
      </w:r>
      <w:r>
        <w:rPr>
          <w:b/>
          <w:sz w:val="18"/>
        </w:rPr>
        <w:t>Fitness and Probity</w:t>
      </w:r>
      <w:r>
        <w:rPr>
          <w:sz w:val="18"/>
        </w:rPr>
        <w:t xml:space="preserve"> regime.  The Irish Central Bank has a range of powers available to it to investigate, suspend, remove or </w:t>
      </w:r>
      <w:r>
        <w:rPr>
          <w:sz w:val="18"/>
        </w:rPr>
        <w:t xml:space="preserve">prohibit individuals from controlled functions where concerns arise about their fitness and probity.  </w:t>
      </w:r>
    </w:p>
  </w:footnote>
  <w:footnote w:id="55">
    <w:p w:rsidR="00BB52D7" w:rsidRDefault="00E33AE6">
      <w:pPr>
        <w:pStyle w:val="footnotedescription"/>
        <w:spacing w:after="255" w:line="239" w:lineRule="auto"/>
        <w:ind w:right="851"/>
        <w:jc w:val="both"/>
      </w:pPr>
      <w:r>
        <w:rPr>
          <w:rStyle w:val="footnotemark"/>
        </w:rPr>
        <w:footnoteRef/>
      </w:r>
      <w:r>
        <w:t xml:space="preserve"> </w:t>
      </w:r>
      <w:r>
        <w:rPr>
          <w:sz w:val="18"/>
        </w:rPr>
        <w:t>See, for example Section 5 par. 6 of the German Capital Investment Act (</w:t>
      </w:r>
      <w:r>
        <w:rPr>
          <w:b/>
          <w:sz w:val="18"/>
        </w:rPr>
        <w:t>Kapitalanlagegesetzbuch - KAGB</w:t>
      </w:r>
      <w:r>
        <w:rPr>
          <w:sz w:val="18"/>
        </w:rPr>
        <w:t xml:space="preserve">) which equips the supervisory authority, BaFin, </w:t>
      </w:r>
      <w:r>
        <w:rPr>
          <w:sz w:val="18"/>
        </w:rPr>
        <w:t>with comprehensive investigation and intervention powers. Based on this empowerment, BaFin may, e.g., request the minutes of meetings of the supervisory board from a fund management company or a fund depository should there be any indication of a breach of</w:t>
      </w:r>
      <w:r>
        <w:rPr>
          <w:sz w:val="18"/>
        </w:rPr>
        <w:t xml:space="preserve"> law or non-compliance with the fund rules. If a member of the supervisory board expresses concerns in this regard, BaFin will have to further investigate whether these concerns are based on facts. If BaFIN concludes that there is any breach of law or non-</w:t>
      </w:r>
      <w:r>
        <w:rPr>
          <w:sz w:val="18"/>
        </w:rPr>
        <w:t>compliance with the fund rules, it will issue the orders necessary to remove the breach and avoid further breaches.</w:t>
      </w:r>
      <w:r>
        <w:t xml:space="preserve"> </w:t>
      </w:r>
    </w:p>
  </w:footnote>
  <w:footnote w:id="56">
    <w:p w:rsidR="00BB52D7" w:rsidRDefault="00E33AE6">
      <w:pPr>
        <w:pStyle w:val="footnotedescription"/>
        <w:spacing w:after="0" w:line="251" w:lineRule="auto"/>
        <w:ind w:right="850"/>
        <w:jc w:val="both"/>
      </w:pPr>
      <w:r>
        <w:rPr>
          <w:rStyle w:val="footnotemark"/>
        </w:rPr>
        <w:footnoteRef/>
      </w:r>
      <w:r>
        <w:t xml:space="preserve"> </w:t>
      </w:r>
      <w:r>
        <w:rPr>
          <w:sz w:val="18"/>
        </w:rPr>
        <w:t>All members of the Board of an FCA regulated firm in the UK will have to be approved to carry out controlled functions and will be subjec</w:t>
      </w:r>
      <w:r>
        <w:rPr>
          <w:sz w:val="18"/>
        </w:rPr>
        <w:t xml:space="preserve">t to the </w:t>
      </w:r>
      <w:r>
        <w:rPr>
          <w:b/>
          <w:sz w:val="18"/>
        </w:rPr>
        <w:t>FCA’s Statements of Principle and Code of Practice for Approved Persons</w:t>
      </w:r>
      <w:r>
        <w:rPr>
          <w:sz w:val="18"/>
        </w:rPr>
        <w:t xml:space="preserve"> (</w:t>
      </w:r>
      <w:r>
        <w:rPr>
          <w:color w:val="0000FF"/>
          <w:sz w:val="18"/>
          <w:u w:val="single" w:color="0000FF"/>
        </w:rPr>
        <w:t>APER</w:t>
      </w:r>
      <w:r>
        <w:rPr>
          <w:sz w:val="18"/>
        </w:rPr>
        <w:t>). APER Statement of Principle 4 requires approved persons to “</w:t>
      </w:r>
      <w:r>
        <w:rPr>
          <w:i/>
          <w:sz w:val="18"/>
        </w:rPr>
        <w:t>disclose appropriately any information of which the FCA or the PRA would reasonably expect notice</w:t>
      </w:r>
      <w:r>
        <w:rPr>
          <w:sz w:val="18"/>
        </w:rPr>
        <w:t>”.  A rece</w:t>
      </w:r>
      <w:r>
        <w:rPr>
          <w:sz w:val="18"/>
        </w:rPr>
        <w:t>nt French law regarding the fight against tax fraud and financial and economic delinquency (dated of December 6, 2013</w:t>
      </w:r>
      <w:r>
        <w:rPr>
          <w:b/>
          <w:sz w:val="18"/>
        </w:rPr>
        <w:t>)</w:t>
      </w:r>
      <w:r>
        <w:rPr>
          <w:sz w:val="18"/>
        </w:rPr>
        <w:t>, grants the whistleblowers’ status to any employee or civil servant who “</w:t>
      </w:r>
      <w:r>
        <w:rPr>
          <w:i/>
          <w:sz w:val="18"/>
        </w:rPr>
        <w:t>reported or testified in good faith, facts constituting an offen</w:t>
      </w:r>
      <w:r>
        <w:rPr>
          <w:i/>
          <w:sz w:val="18"/>
        </w:rPr>
        <w:t>se or a crime of which he was aware in the exercise of its functions</w:t>
      </w:r>
      <w:r>
        <w:rPr>
          <w:sz w:val="18"/>
        </w:rPr>
        <w:t xml:space="preserve">”.  In implementing UCITS V (Recital 40 and Art. 99d) France intends to provide for an additional and specific framework adapted to the UCITS context. </w:t>
      </w:r>
      <w:r>
        <w:t xml:space="preserve"> </w:t>
      </w:r>
    </w:p>
  </w:footnote>
  <w:footnote w:id="57">
    <w:p w:rsidR="00BB52D7" w:rsidRDefault="00E33AE6">
      <w:pPr>
        <w:pStyle w:val="footnotedescription"/>
        <w:spacing w:after="269" w:line="246" w:lineRule="auto"/>
        <w:ind w:right="850"/>
        <w:jc w:val="both"/>
      </w:pPr>
      <w:r>
        <w:rPr>
          <w:rStyle w:val="footnotemark"/>
        </w:rPr>
        <w:footnoteRef/>
      </w:r>
      <w:r>
        <w:t xml:space="preserve"> </w:t>
      </w:r>
      <w:r>
        <w:rPr>
          <w:sz w:val="18"/>
        </w:rPr>
        <w:t>See, for example, Section 5.2.1.2</w:t>
      </w:r>
      <w:r>
        <w:rPr>
          <w:sz w:val="18"/>
        </w:rPr>
        <w:t xml:space="preserve"> of the Luxembourg CSSF's circular 12/546 (regarding the internal organisation of UCITS management companies and self-managed SICAVs) obliging every management company to maintain in an orderly manner records of its activities and its internal organisation</w:t>
      </w:r>
      <w:r>
        <w:rPr>
          <w:sz w:val="18"/>
        </w:rPr>
        <w:t>. To this end, every management company must put in place "management information" permitting the follow-up of its activity and that of its delegates. This management information must, amongst others, cover risk management, incidents linked to the activity</w:t>
      </w:r>
      <w:r>
        <w:rPr>
          <w:sz w:val="18"/>
        </w:rPr>
        <w:t xml:space="preserve"> of portfolio management (significant and non-significant NAV errors, breaches of limits, valuation problems, problems of reconciliation, situations giving rise to conflicts of interest and to other problems), execution policy, complaints, minutes of meeti</w:t>
      </w:r>
      <w:r>
        <w:rPr>
          <w:sz w:val="18"/>
        </w:rPr>
        <w:t xml:space="preserve">ngs, etc.  </w:t>
      </w:r>
    </w:p>
  </w:footnote>
  <w:footnote w:id="58">
    <w:p w:rsidR="00BB52D7" w:rsidRDefault="00E33AE6">
      <w:pPr>
        <w:pStyle w:val="footnotedescription"/>
        <w:spacing w:after="276" w:line="247" w:lineRule="auto"/>
        <w:ind w:right="852"/>
        <w:jc w:val="both"/>
      </w:pPr>
      <w:r>
        <w:rPr>
          <w:rStyle w:val="footnotemark"/>
        </w:rPr>
        <w:footnoteRef/>
      </w:r>
      <w:r>
        <w:t xml:space="preserve"> </w:t>
      </w:r>
      <w:r>
        <w:rPr>
          <w:sz w:val="18"/>
        </w:rPr>
        <w:t>See, for example, the UK FCA's general information gathering and investigation powers under Part XI of FSMA 2000 which include the power to require the provision of information (s.165) or to require reports from skilled persons (s.166). Under</w:t>
      </w:r>
      <w:r>
        <w:rPr>
          <w:sz w:val="18"/>
        </w:rPr>
        <w:t xml:space="preserve"> the FCA Principles for Businesses (</w:t>
      </w:r>
      <w:r>
        <w:rPr>
          <w:color w:val="0000FF"/>
          <w:sz w:val="18"/>
          <w:u w:val="single" w:color="0000FF"/>
        </w:rPr>
        <w:t>PRIN</w:t>
      </w:r>
      <w:r>
        <w:rPr>
          <w:sz w:val="18"/>
        </w:rPr>
        <w:t xml:space="preserve">) a firm is required to </w:t>
      </w:r>
      <w:r>
        <w:rPr>
          <w:i/>
          <w:sz w:val="18"/>
        </w:rPr>
        <w:t>“deal with its regulators in an open and cooperative way, and to disclose to the appropriate regulator (ie. the FCA) appropriately anything relating to the firm of which that regulator would r</w:t>
      </w:r>
      <w:r>
        <w:rPr>
          <w:i/>
          <w:sz w:val="18"/>
        </w:rPr>
        <w:t>easonably expect notice”</w:t>
      </w:r>
      <w:r>
        <w:rPr>
          <w:sz w:val="18"/>
        </w:rPr>
        <w:t xml:space="preserve"> (Principle 11). To comply with this Principle, firms are expected to: give representatives or appointees of the appropriate regulator reasonable access to any records, files, tapes or computer systems, which are within the firm's p</w:t>
      </w:r>
      <w:r>
        <w:rPr>
          <w:sz w:val="18"/>
        </w:rPr>
        <w:t>ossession or control, and provide any facilities which the representatives or appointees may reasonably request; and produce to representatives or appointees of the appropriate regulator specified documents, files, tapes, computer data or other material in</w:t>
      </w:r>
      <w:r>
        <w:rPr>
          <w:sz w:val="18"/>
        </w:rPr>
        <w:t xml:space="preserve"> the firm's possession or control as reasonably requested (see SUP 2.3.3G (2) and (3)). </w:t>
      </w:r>
    </w:p>
  </w:footnote>
  <w:footnote w:id="59">
    <w:p w:rsidR="00BB52D7" w:rsidRDefault="00E33AE6">
      <w:pPr>
        <w:pStyle w:val="footnotedescription"/>
        <w:spacing w:after="0" w:line="273" w:lineRule="auto"/>
        <w:ind w:right="199"/>
        <w:jc w:val="both"/>
      </w:pPr>
      <w:r>
        <w:rPr>
          <w:rStyle w:val="footnotemark"/>
        </w:rPr>
        <w:footnoteRef/>
      </w:r>
      <w:r>
        <w:t xml:space="preserve"> </w:t>
      </w:r>
      <w:r>
        <w:rPr>
          <w:sz w:val="18"/>
        </w:rPr>
        <w:t xml:space="preserve">Avoiding that UCITS managers are compelled to invest in financial instruments issued by its parent group, e.g., the example of "in-house" total return swaps.  </w:t>
      </w:r>
    </w:p>
  </w:footnote>
  <w:footnote w:id="60">
    <w:p w:rsidR="00BB52D7" w:rsidRDefault="00E33AE6">
      <w:pPr>
        <w:pStyle w:val="footnotedescription"/>
        <w:spacing w:after="218" w:line="270" w:lineRule="auto"/>
        <w:ind w:right="154"/>
        <w:jc w:val="both"/>
      </w:pPr>
      <w:r>
        <w:rPr>
          <w:rStyle w:val="footnotemark"/>
        </w:rPr>
        <w:footnoteRef/>
      </w:r>
      <w:r>
        <w:t xml:space="preserve"> </w:t>
      </w:r>
      <w:r>
        <w:rPr>
          <w:sz w:val="18"/>
        </w:rPr>
        <w:t>Aff</w:t>
      </w:r>
      <w:r>
        <w:rPr>
          <w:sz w:val="18"/>
        </w:rPr>
        <w:t xml:space="preserve">iliated members are defined as members of the other entity's management body, the other entity's employees as well as members of the group management body or as employees of the group. </w:t>
      </w:r>
    </w:p>
  </w:footnote>
  <w:footnote w:id="61">
    <w:p w:rsidR="00BB52D7" w:rsidRDefault="00E33AE6">
      <w:pPr>
        <w:pStyle w:val="footnotedescription"/>
        <w:spacing w:after="252"/>
      </w:pPr>
      <w:r>
        <w:rPr>
          <w:rStyle w:val="footnotemark"/>
        </w:rPr>
        <w:footnoteRef/>
      </w:r>
      <w:r>
        <w:t xml:space="preserve"> </w:t>
      </w:r>
      <w:r>
        <w:rPr>
          <w:sz w:val="18"/>
        </w:rPr>
        <w:t xml:space="preserve">Directive 2009/65/EU </w:t>
      </w:r>
    </w:p>
  </w:footnote>
  <w:footnote w:id="62">
    <w:p w:rsidR="00BB52D7" w:rsidRDefault="00E33AE6">
      <w:pPr>
        <w:pStyle w:val="footnotedescription"/>
        <w:spacing w:after="262"/>
      </w:pPr>
      <w:r>
        <w:rPr>
          <w:rStyle w:val="footnotemark"/>
        </w:rPr>
        <w:footnoteRef/>
      </w:r>
      <w:r>
        <w:t xml:space="preserve"> </w:t>
      </w:r>
      <w:r>
        <w:rPr>
          <w:sz w:val="18"/>
        </w:rPr>
        <w:t>Directive 2010/43/EU</w:t>
      </w:r>
      <w:r>
        <w:t xml:space="preserve"> </w:t>
      </w:r>
    </w:p>
  </w:footnote>
  <w:footnote w:id="63">
    <w:p w:rsidR="00BB52D7" w:rsidRDefault="00E33AE6">
      <w:pPr>
        <w:pStyle w:val="footnotedescription"/>
        <w:spacing w:after="226" w:line="260" w:lineRule="auto"/>
        <w:ind w:right="853"/>
        <w:jc w:val="both"/>
      </w:pPr>
      <w:r>
        <w:rPr>
          <w:rStyle w:val="footnotemark"/>
        </w:rPr>
        <w:footnoteRef/>
      </w:r>
      <w:r>
        <w:t xml:space="preserve"> </w:t>
      </w:r>
      <w:r>
        <w:rPr>
          <w:sz w:val="18"/>
        </w:rPr>
        <w:t xml:space="preserve">This article covers </w:t>
      </w:r>
      <w:r>
        <w:rPr>
          <w:sz w:val="18"/>
        </w:rPr>
        <w:t xml:space="preserve">also the specific case where the management company is a member of a group. In that case, the policy shall also take into account any circumstances of which the company is or should be aware which may give rise to a conflict of interest resulting from the </w:t>
      </w:r>
      <w:r>
        <w:rPr>
          <w:sz w:val="18"/>
        </w:rPr>
        <w:t xml:space="preserve">structure and business activities of other members of the group. </w:t>
      </w:r>
    </w:p>
  </w:footnote>
  <w:footnote w:id="64">
    <w:p w:rsidR="00BB52D7" w:rsidRDefault="00E33AE6">
      <w:pPr>
        <w:pStyle w:val="footnotedescription"/>
        <w:spacing w:after="254"/>
      </w:pPr>
      <w:r>
        <w:rPr>
          <w:rStyle w:val="footnotemark"/>
        </w:rPr>
        <w:footnoteRef/>
      </w:r>
      <w:r>
        <w:t xml:space="preserve"> </w:t>
      </w:r>
      <w:r>
        <w:rPr>
          <w:sz w:val="18"/>
        </w:rPr>
        <w:t xml:space="preserve">Directive 2014/91/EU </w:t>
      </w:r>
    </w:p>
  </w:footnote>
  <w:footnote w:id="65">
    <w:p w:rsidR="00BB52D7" w:rsidRDefault="00E33AE6">
      <w:pPr>
        <w:pStyle w:val="footnotedescription"/>
        <w:spacing w:after="253"/>
      </w:pPr>
      <w:r>
        <w:rPr>
          <w:rStyle w:val="footnotemark"/>
        </w:rPr>
        <w:footnoteRef/>
      </w:r>
      <w:r>
        <w:t xml:space="preserve"> </w:t>
      </w:r>
      <w:r>
        <w:rPr>
          <w:sz w:val="18"/>
        </w:rPr>
        <w:t xml:space="preserve">Directive 2014/91/EU </w:t>
      </w:r>
    </w:p>
  </w:footnote>
  <w:footnote w:id="66">
    <w:p w:rsidR="00BB52D7" w:rsidRDefault="00E33AE6">
      <w:pPr>
        <w:pStyle w:val="footnotedescription"/>
        <w:spacing w:after="0"/>
      </w:pPr>
      <w:r>
        <w:rPr>
          <w:rStyle w:val="footnotemark"/>
        </w:rPr>
        <w:footnoteRef/>
      </w:r>
      <w:r>
        <w:t xml:space="preserve"> </w:t>
      </w:r>
      <w:r>
        <w:rPr>
          <w:sz w:val="18"/>
        </w:rPr>
        <w:t xml:space="preserve">Directive 2014/91/EU </w:t>
      </w:r>
    </w:p>
  </w:footnote>
  <w:footnote w:id="67">
    <w:p w:rsidR="00BB52D7" w:rsidRDefault="00E33AE6">
      <w:pPr>
        <w:pStyle w:val="footnotedescription"/>
        <w:spacing w:after="0"/>
      </w:pPr>
      <w:r>
        <w:rPr>
          <w:rStyle w:val="footnotemark"/>
        </w:rPr>
        <w:footnoteRef/>
      </w:r>
      <w:r>
        <w:t xml:space="preserve"> </w:t>
      </w:r>
      <w:r>
        <w:rPr>
          <w:sz w:val="18"/>
        </w:rPr>
        <w:t>See table 6 in Annex 5.</w:t>
      </w:r>
      <w:r>
        <w:t xml:space="preserve"> </w:t>
      </w:r>
    </w:p>
  </w:footnote>
  <w:footnote w:id="68">
    <w:p w:rsidR="00BB52D7" w:rsidRDefault="00E33AE6">
      <w:pPr>
        <w:pStyle w:val="footnotedescription"/>
        <w:spacing w:after="0"/>
      </w:pPr>
      <w:r>
        <w:rPr>
          <w:rStyle w:val="footnotemark"/>
        </w:rPr>
        <w:footnoteRef/>
      </w:r>
      <w:r>
        <w:t xml:space="preserve"> This figure is based on conservative estimate </w:t>
      </w:r>
    </w:p>
  </w:footnote>
  <w:footnote w:id="69">
    <w:p w:rsidR="00BB52D7" w:rsidRDefault="00E33AE6">
      <w:pPr>
        <w:pStyle w:val="footnotedescription"/>
        <w:spacing w:after="257" w:line="248" w:lineRule="auto"/>
        <w:ind w:right="850"/>
        <w:jc w:val="both"/>
      </w:pPr>
      <w:r>
        <w:rPr>
          <w:rStyle w:val="footnotemark"/>
        </w:rPr>
        <w:footnoteRef/>
      </w:r>
      <w:r>
        <w:t xml:space="preserve"> </w:t>
      </w:r>
      <w:r>
        <w:rPr>
          <w:sz w:val="18"/>
        </w:rPr>
        <w:t>As mentioned above, Blackrock places its UCITS assets in custody with JP Morgan in Ireland (EUR 62 bn), with Bank of New-York Mellon in the United Kingdom and Luxembourg (EUR 146 bn) as well as with State Street (EUR 12bn). Aberdeen, which is managing UCIT</w:t>
      </w:r>
      <w:r>
        <w:rPr>
          <w:sz w:val="18"/>
        </w:rPr>
        <w:t>S assets in France, Luxembourg, the UK and Ireland has custody relations with BNP Paribas Securities Services and State Street to safe-keep EUR 53 bn and EUR 36 bn of assets respectively.</w:t>
      </w:r>
      <w:r>
        <w:t xml:space="preserve">  </w:t>
      </w:r>
    </w:p>
  </w:footnote>
  <w:footnote w:id="70">
    <w:p w:rsidR="00BB52D7" w:rsidRDefault="00E33AE6">
      <w:pPr>
        <w:pStyle w:val="footnotedescription"/>
        <w:spacing w:after="0" w:line="269" w:lineRule="auto"/>
        <w:jc w:val="both"/>
      </w:pPr>
      <w:r>
        <w:rPr>
          <w:rStyle w:val="footnotemark"/>
        </w:rPr>
        <w:footnoteRef/>
      </w:r>
      <w:r>
        <w:t xml:space="preserve"> </w:t>
      </w:r>
      <w:r>
        <w:rPr>
          <w:sz w:val="18"/>
        </w:rPr>
        <w:t>See Table 7.Commission service's own calculations on the basis o</w:t>
      </w:r>
      <w:r>
        <w:rPr>
          <w:sz w:val="18"/>
        </w:rPr>
        <w:t xml:space="preserve">f data submitted by the regulatory authorities of Luxembourg, France, Ireland and the United-Kingdom. </w:t>
      </w:r>
    </w:p>
  </w:footnote>
  <w:footnote w:id="71">
    <w:p w:rsidR="00BB52D7" w:rsidRDefault="00E33AE6">
      <w:pPr>
        <w:pStyle w:val="footnotedescription"/>
        <w:spacing w:after="230" w:line="254" w:lineRule="auto"/>
        <w:jc w:val="both"/>
      </w:pPr>
      <w:r>
        <w:rPr>
          <w:rStyle w:val="footnotemark"/>
        </w:rPr>
        <w:footnoteRef/>
      </w:r>
      <w:r>
        <w:t xml:space="preserve"> </w:t>
      </w:r>
      <w:r>
        <w:rPr>
          <w:sz w:val="18"/>
        </w:rPr>
        <w:t xml:space="preserve">See Table 7, Commission service's own calculations on the basis of data submitted by the regulatory authorities of Luxembourg, France, Ireland and the </w:t>
      </w:r>
      <w:r>
        <w:rPr>
          <w:sz w:val="18"/>
        </w:rPr>
        <w:t xml:space="preserve">United-Kingdom which represents more than 80% of the UCITS markets </w:t>
      </w:r>
    </w:p>
  </w:footnote>
  <w:footnote w:id="72">
    <w:p w:rsidR="00BB52D7" w:rsidRDefault="00E33AE6">
      <w:pPr>
        <w:pStyle w:val="footnotedescription"/>
        <w:spacing w:after="279"/>
      </w:pPr>
      <w:r>
        <w:rPr>
          <w:rStyle w:val="footnotemark"/>
        </w:rPr>
        <w:footnoteRef/>
      </w:r>
      <w:r>
        <w:t xml:space="preserve"> </w:t>
      </w:r>
      <w:r>
        <w:rPr>
          <w:sz w:val="18"/>
        </w:rPr>
        <w:t>See Annex 14.</w:t>
      </w:r>
      <w:r>
        <w:t xml:space="preserve"> </w:t>
      </w:r>
    </w:p>
  </w:footnote>
  <w:footnote w:id="73">
    <w:p w:rsidR="00BB52D7" w:rsidRDefault="00E33AE6">
      <w:pPr>
        <w:pStyle w:val="footnotedescription"/>
        <w:spacing w:after="242" w:line="247" w:lineRule="auto"/>
        <w:ind w:right="851"/>
        <w:jc w:val="both"/>
      </w:pPr>
      <w:r>
        <w:rPr>
          <w:rStyle w:val="footnotemark"/>
        </w:rPr>
        <w:footnoteRef/>
      </w:r>
      <w:r>
        <w:t xml:space="preserve"> </w:t>
      </w:r>
      <w:r>
        <w:rPr>
          <w:sz w:val="18"/>
        </w:rPr>
        <w:t xml:space="preserve">See, for example, </w:t>
      </w:r>
      <w:r>
        <w:rPr>
          <w:b/>
          <w:sz w:val="18"/>
        </w:rPr>
        <w:t>Article 147 of the Luxembourg law of 17 December 2010</w:t>
      </w:r>
      <w:r>
        <w:rPr>
          <w:sz w:val="18"/>
        </w:rPr>
        <w:t xml:space="preserve"> on undertakings for collective investment which allows the competent regulator (the CSSF) to acce</w:t>
      </w:r>
      <w:r>
        <w:rPr>
          <w:sz w:val="18"/>
        </w:rPr>
        <w:t xml:space="preserve">ss documents, require any person to provide information and, if necessary, to summon and question any person with a view to obtaining information; carry out on-site inspections or investigations, require communication of the telephone exchanges.  </w:t>
      </w:r>
    </w:p>
  </w:footnote>
  <w:footnote w:id="74">
    <w:p w:rsidR="00BB52D7" w:rsidRDefault="00E33AE6">
      <w:pPr>
        <w:pStyle w:val="footnotedescription"/>
        <w:spacing w:after="0" w:line="251" w:lineRule="auto"/>
        <w:ind w:right="849"/>
        <w:jc w:val="both"/>
      </w:pPr>
      <w:r>
        <w:rPr>
          <w:rStyle w:val="footnotemark"/>
        </w:rPr>
        <w:footnoteRef/>
      </w:r>
      <w:r>
        <w:t xml:space="preserve"> </w:t>
      </w:r>
      <w:r>
        <w:rPr>
          <w:sz w:val="18"/>
        </w:rPr>
        <w:t>See, f</w:t>
      </w:r>
      <w:r>
        <w:rPr>
          <w:sz w:val="18"/>
        </w:rPr>
        <w:t xml:space="preserve">or example, </w:t>
      </w:r>
      <w:r>
        <w:rPr>
          <w:b/>
          <w:sz w:val="18"/>
        </w:rPr>
        <w:t xml:space="preserve">Sections 55J and 55L of the UK Financial Services and Markets Act 2000 (FSMA 2000) </w:t>
      </w:r>
      <w:r>
        <w:rPr>
          <w:sz w:val="18"/>
        </w:rPr>
        <w:t xml:space="preserve">according to which the FCA can vary or cancel the firm’s permissions (in the most serious cases) or to impose a requirement on the firm to take, or refrain from </w:t>
      </w:r>
      <w:r>
        <w:rPr>
          <w:sz w:val="18"/>
        </w:rPr>
        <w:t>taking, a specified action. If appropriate, the requirement could also be published on the FCA’s register. Other remedies include: (1) public censure (publication of a statement to inform the public of such contravention) (s.205 FSMA 2000); (2) Financial p</w:t>
      </w:r>
      <w:r>
        <w:rPr>
          <w:sz w:val="18"/>
        </w:rPr>
        <w:t xml:space="preserve">enalties (s.206 FSMA 2000); (3)  Suspension/limitations of the permissions to carry out regulated activities (s.206A FSMA 2000). </w:t>
      </w:r>
      <w:r>
        <w:rPr>
          <w:b/>
          <w:sz w:val="18"/>
        </w:rPr>
        <w:t>Article 147 of the Luxembourg law of 17 December 2010 on undertakings for collective investment</w:t>
      </w:r>
      <w:r>
        <w:rPr>
          <w:sz w:val="18"/>
        </w:rPr>
        <w:t xml:space="preserve"> vests the CSSF with powers to w</w:t>
      </w:r>
      <w:r>
        <w:rPr>
          <w:sz w:val="18"/>
        </w:rPr>
        <w:t xml:space="preserve">ithdraw the authorisation granted to an undertaking for collective investment, a management company or a depositary and to transmit information to the Public Prosecutor for criminal proceedings </w:t>
      </w:r>
    </w:p>
  </w:footnote>
  <w:footnote w:id="75">
    <w:p w:rsidR="00BB52D7" w:rsidRDefault="00E33AE6">
      <w:pPr>
        <w:pStyle w:val="footnotedescription"/>
        <w:spacing w:after="0"/>
      </w:pPr>
      <w:r>
        <w:rPr>
          <w:rStyle w:val="footnotemark"/>
        </w:rPr>
        <w:footnoteRef/>
      </w:r>
      <w:r>
        <w:t xml:space="preserve"> This is a conservative estimate. </w:t>
      </w:r>
    </w:p>
  </w:footnote>
  <w:footnote w:id="76">
    <w:p w:rsidR="00BB52D7" w:rsidRDefault="00E33AE6">
      <w:pPr>
        <w:pStyle w:val="footnotedescription"/>
        <w:spacing w:after="0" w:line="270" w:lineRule="auto"/>
        <w:ind w:right="183"/>
        <w:jc w:val="both"/>
      </w:pPr>
      <w:r>
        <w:rPr>
          <w:rStyle w:val="footnotemark"/>
        </w:rPr>
        <w:footnoteRef/>
      </w:r>
      <w:r>
        <w:t xml:space="preserve"> </w:t>
      </w:r>
      <w:r>
        <w:rPr>
          <w:sz w:val="18"/>
        </w:rPr>
        <w:t>The Irish UCITS regulat</w:t>
      </w:r>
      <w:r>
        <w:rPr>
          <w:sz w:val="18"/>
        </w:rPr>
        <w:t xml:space="preserve">ory regime currently prohibits UCITS management companies from having any directors in common with their depositaries </w:t>
      </w:r>
    </w:p>
  </w:footnote>
  <w:footnote w:id="77">
    <w:p w:rsidR="00BB52D7" w:rsidRDefault="00E33AE6">
      <w:pPr>
        <w:pStyle w:val="footnotedescription"/>
        <w:spacing w:after="0" w:line="247" w:lineRule="auto"/>
        <w:ind w:right="851"/>
        <w:jc w:val="both"/>
      </w:pPr>
      <w:r>
        <w:rPr>
          <w:rStyle w:val="footnotemark"/>
        </w:rPr>
        <w:footnoteRef/>
      </w:r>
      <w:r>
        <w:t xml:space="preserve"> </w:t>
      </w:r>
      <w:r>
        <w:rPr>
          <w:sz w:val="18"/>
        </w:rPr>
        <w:t xml:space="preserve">An exception is the situation mentioned in </w:t>
      </w:r>
      <w:r>
        <w:rPr>
          <w:b/>
          <w:sz w:val="18"/>
        </w:rPr>
        <w:t>Option 1.2</w:t>
      </w:r>
      <w:r>
        <w:rPr>
          <w:sz w:val="18"/>
        </w:rPr>
        <w:t xml:space="preserve"> above (e.g. where the management body is not in charge of the supervisory functio</w:t>
      </w:r>
      <w:r>
        <w:rPr>
          <w:sz w:val="18"/>
        </w:rPr>
        <w:t>ns). In that case no more than one third of the members of the body in charge of the supervision shall be a member of the management body or supervisory or an employee of the other entity.</w:t>
      </w:r>
      <w:r>
        <w:t xml:space="preserve">  </w:t>
      </w:r>
    </w:p>
  </w:footnote>
  <w:footnote w:id="78">
    <w:p w:rsidR="00BB52D7" w:rsidRDefault="00E33AE6">
      <w:pPr>
        <w:pStyle w:val="footnotedescription"/>
        <w:spacing w:after="0"/>
      </w:pPr>
      <w:r>
        <w:rPr>
          <w:rStyle w:val="footnotemark"/>
        </w:rPr>
        <w:footnoteRef/>
      </w:r>
      <w:r>
        <w:t xml:space="preserve"> </w:t>
      </w:r>
      <w:r>
        <w:rPr>
          <w:sz w:val="18"/>
        </w:rPr>
        <w:t>See Annex 13</w:t>
      </w:r>
      <w:r>
        <w:t xml:space="preserve"> </w:t>
      </w:r>
    </w:p>
  </w:footnote>
  <w:footnote w:id="79">
    <w:p w:rsidR="00BB52D7" w:rsidRDefault="00E33AE6">
      <w:pPr>
        <w:pStyle w:val="footnotedescription"/>
        <w:tabs>
          <w:tab w:val="center" w:pos="1219"/>
          <w:tab w:val="center" w:pos="2254"/>
          <w:tab w:val="center" w:pos="3303"/>
          <w:tab w:val="center" w:pos="4396"/>
          <w:tab w:val="center" w:pos="5418"/>
          <w:tab w:val="center" w:pos="6169"/>
          <w:tab w:val="center" w:pos="6708"/>
          <w:tab w:val="center" w:pos="7425"/>
          <w:tab w:val="center" w:pos="8347"/>
          <w:tab w:val="center" w:pos="9052"/>
          <w:tab w:val="center" w:pos="9685"/>
        </w:tabs>
        <w:spacing w:after="0"/>
        <w:ind w:left="0"/>
      </w:pPr>
      <w:r>
        <w:rPr>
          <w:rStyle w:val="footnotemark"/>
        </w:rPr>
        <w:footnoteRef/>
      </w:r>
      <w:r>
        <w:t xml:space="preserve"> 9Source </w:t>
      </w:r>
      <w:r>
        <w:tab/>
        <w:t xml:space="preserve">EFAMA </w:t>
      </w:r>
      <w:r>
        <w:tab/>
        <w:t xml:space="preserve">Quarterly </w:t>
      </w:r>
      <w:r>
        <w:tab/>
        <w:t xml:space="preserve">Statistical </w:t>
      </w:r>
      <w:r>
        <w:tab/>
        <w:t>Release</w:t>
      </w:r>
      <w:r>
        <w:t xml:space="preserve"> </w:t>
      </w:r>
      <w:r>
        <w:tab/>
        <w:t xml:space="preserve">No </w:t>
      </w:r>
      <w:r>
        <w:tab/>
        <w:t xml:space="preserve">60 </w:t>
      </w:r>
      <w:r>
        <w:tab/>
        <w:t xml:space="preserve">(Fourth </w:t>
      </w:r>
      <w:r>
        <w:tab/>
        <w:t xml:space="preserve">Quarter </w:t>
      </w:r>
      <w:r>
        <w:tab/>
        <w:t xml:space="preserve">of </w:t>
      </w:r>
      <w:r>
        <w:tab/>
        <w:t xml:space="preserve">2014) </w:t>
      </w:r>
    </w:p>
    <w:p w:rsidR="00BB52D7" w:rsidRDefault="00E33AE6">
      <w:pPr>
        <w:pStyle w:val="footnotedescription"/>
        <w:spacing w:after="248" w:line="238" w:lineRule="auto"/>
      </w:pPr>
      <w:r>
        <w:rPr>
          <w:color w:val="0000FF"/>
          <w:u w:val="single" w:color="0000FF"/>
        </w:rPr>
        <w:t>http://www.efama.org/Publications/Statistics/Quarterly/Quarterly%20Statistical%20Reports/150311_Quarterly% 20Statistical%20Release%20Q4%202014.pdf</w:t>
      </w:r>
      <w:r>
        <w:t xml:space="preserve">  </w:t>
      </w:r>
    </w:p>
  </w:footnote>
  <w:footnote w:id="80">
    <w:p w:rsidR="00BB52D7" w:rsidRDefault="00E33AE6">
      <w:pPr>
        <w:pStyle w:val="footnotedescription"/>
        <w:spacing w:after="250"/>
      </w:pPr>
      <w:r>
        <w:rPr>
          <w:rStyle w:val="footnotemark"/>
        </w:rPr>
        <w:footnoteRef/>
      </w:r>
      <w:r>
        <w:t xml:space="preserve"> </w:t>
      </w:r>
      <w:r>
        <w:t xml:space="preserve">Source: EFAMA: Asset Management in Europe, Facts and Figures, June 2014.  </w:t>
      </w:r>
    </w:p>
  </w:footnote>
  <w:footnote w:id="81">
    <w:p w:rsidR="00BB52D7" w:rsidRDefault="00E33AE6">
      <w:pPr>
        <w:pStyle w:val="footnotedescription"/>
        <w:spacing w:after="220" w:line="255" w:lineRule="auto"/>
        <w:jc w:val="both"/>
      </w:pPr>
      <w:r>
        <w:rPr>
          <w:rStyle w:val="footnotemark"/>
        </w:rPr>
        <w:footnoteRef/>
      </w:r>
      <w:r>
        <w:t xml:space="preserve"> Certain legal forms of UCITS, called investment companies, can be self-managed, i.e. do not have a separate management company. </w:t>
      </w:r>
    </w:p>
  </w:footnote>
  <w:footnote w:id="82">
    <w:p w:rsidR="00BB52D7" w:rsidRDefault="00E33AE6">
      <w:pPr>
        <w:pStyle w:val="footnotedescription"/>
        <w:spacing w:after="0" w:line="269" w:lineRule="auto"/>
        <w:jc w:val="both"/>
      </w:pPr>
      <w:r>
        <w:rPr>
          <w:rStyle w:val="footnotemark"/>
        </w:rPr>
        <w:footnoteRef/>
      </w:r>
      <w:r>
        <w:t xml:space="preserve"> The management fee is usually fixed percentage o</w:t>
      </w:r>
      <w:r>
        <w:t xml:space="preserve">f the market value of the assets under management. Some management companies also charge so-called performance fee which is a percentage of profits. </w:t>
      </w:r>
    </w:p>
  </w:footnote>
  <w:footnote w:id="83">
    <w:p w:rsidR="00BB52D7" w:rsidRDefault="00E33AE6">
      <w:pPr>
        <w:pStyle w:val="footnotedescription"/>
        <w:spacing w:after="0" w:line="258" w:lineRule="auto"/>
        <w:jc w:val="both"/>
      </w:pPr>
      <w:r>
        <w:rPr>
          <w:rStyle w:val="footnotemark"/>
        </w:rPr>
        <w:footnoteRef/>
      </w:r>
      <w:r>
        <w:t xml:space="preserve"> In producing this impact assessment, data has been collected from a variety of different sources. Theref</w:t>
      </w:r>
      <w:r>
        <w:t>ore all conclusions drawn should be treated with an appropriate degree of caution</w:t>
      </w:r>
      <w:r>
        <w:rPr>
          <w:color w:val="1F497D"/>
        </w:rPr>
        <w:t>.</w:t>
      </w:r>
      <w:r>
        <w:t xml:space="preserve"> </w:t>
      </w:r>
    </w:p>
  </w:footnote>
  <w:footnote w:id="84">
    <w:p w:rsidR="00BB52D7" w:rsidRDefault="00E33AE6">
      <w:pPr>
        <w:pStyle w:val="footnotedescription"/>
        <w:spacing w:after="232" w:line="250" w:lineRule="auto"/>
        <w:ind w:right="206"/>
        <w:jc w:val="both"/>
      </w:pPr>
      <w:r>
        <w:rPr>
          <w:rStyle w:val="footnotemark"/>
        </w:rPr>
        <w:footnoteRef/>
      </w:r>
      <w:r>
        <w:t xml:space="preserve"> Herfindahl–Hirschman Index - a measure of the size of firms in relation to the industry and an indicator of the amount of competition among them. </w:t>
      </w:r>
    </w:p>
  </w:footnote>
  <w:footnote w:id="85">
    <w:p w:rsidR="00BB52D7" w:rsidRDefault="00E33AE6">
      <w:pPr>
        <w:pStyle w:val="footnotedescription"/>
        <w:spacing w:after="0"/>
      </w:pPr>
      <w:r>
        <w:rPr>
          <w:rStyle w:val="footnotemark"/>
        </w:rPr>
        <w:footnoteRef/>
      </w:r>
      <w:r>
        <w:t xml:space="preserve"> </w:t>
      </w:r>
      <w:r>
        <w:rPr>
          <w:color w:val="0000FF"/>
          <w:u w:val="single" w:color="0000FF"/>
        </w:rPr>
        <w:t>https://www.ecb.europ</w:t>
      </w:r>
      <w:r>
        <w:rPr>
          <w:color w:val="0000FF"/>
          <w:u w:val="single" w:color="0000FF"/>
        </w:rPr>
        <w:t>a.eu/pub/pdf/scpops/ecbocp68.pdf</w:t>
      </w:r>
      <w:r>
        <w:t xml:space="preserve"> </w:t>
      </w:r>
    </w:p>
  </w:footnote>
  <w:footnote w:id="86">
    <w:p w:rsidR="00BB52D7" w:rsidRDefault="00E33AE6">
      <w:pPr>
        <w:pStyle w:val="footnotedescription"/>
        <w:spacing w:after="0"/>
      </w:pPr>
      <w:r>
        <w:rPr>
          <w:rStyle w:val="footnotemark"/>
        </w:rPr>
        <w:footnoteRef/>
      </w:r>
      <w:r>
        <w:t xml:space="preserve"> Reported in AGEFI HEBDO of 12 September 2013. </w:t>
      </w:r>
    </w:p>
  </w:footnote>
  <w:footnote w:id="87">
    <w:p w:rsidR="00BB52D7" w:rsidRDefault="00E33AE6">
      <w:pPr>
        <w:pStyle w:val="footnotedescription"/>
        <w:spacing w:after="0"/>
      </w:pPr>
      <w:r>
        <w:rPr>
          <w:rStyle w:val="footnotemark"/>
        </w:rPr>
        <w:footnoteRef/>
      </w:r>
      <w:r>
        <w:t xml:space="preserve"> </w:t>
      </w:r>
      <w:r>
        <w:rPr>
          <w:sz w:val="18"/>
        </w:rPr>
        <w:t>See table 6 in Annex 5.</w:t>
      </w:r>
      <w:r>
        <w:t xml:space="preserve"> </w:t>
      </w:r>
    </w:p>
  </w:footnote>
  <w:footnote w:id="88">
    <w:p w:rsidR="00BB52D7" w:rsidRDefault="00E33AE6">
      <w:pPr>
        <w:pStyle w:val="footnotedescription"/>
        <w:spacing w:after="0"/>
        <w:ind w:left="0"/>
      </w:pPr>
      <w:r>
        <w:rPr>
          <w:rStyle w:val="footnotemark"/>
        </w:rPr>
        <w:footnoteRef/>
      </w:r>
      <w:r>
        <w:t xml:space="preserve"> </w:t>
      </w:r>
      <w:r>
        <w:rPr>
          <w:sz w:val="18"/>
        </w:rPr>
        <w:t>ECB, Occasional Paper No 68, p. 21</w:t>
      </w:r>
      <w:r>
        <w:t xml:space="preserve"> </w:t>
      </w:r>
    </w:p>
  </w:footnote>
  <w:footnote w:id="89">
    <w:p w:rsidR="00BB52D7" w:rsidRDefault="00E33AE6">
      <w:pPr>
        <w:pStyle w:val="footnotedescription"/>
        <w:spacing w:after="0"/>
        <w:ind w:left="0"/>
      </w:pPr>
      <w:r>
        <w:rPr>
          <w:rStyle w:val="footnotemark"/>
        </w:rPr>
        <w:footnoteRef/>
      </w:r>
      <w:r>
        <w:t xml:space="preserve"> The custody fee is calculated as a percentage of the market value of the assets that are held in custody. </w:t>
      </w:r>
    </w:p>
  </w:footnote>
  <w:footnote w:id="90">
    <w:p w:rsidR="00BB52D7" w:rsidRDefault="00E33AE6">
      <w:pPr>
        <w:pStyle w:val="footnotedescription"/>
        <w:spacing w:after="223" w:line="252" w:lineRule="auto"/>
        <w:ind w:left="0" w:right="569"/>
        <w:jc w:val="both"/>
      </w:pPr>
      <w:r>
        <w:rPr>
          <w:rStyle w:val="footnotemark"/>
        </w:rPr>
        <w:footnoteRef/>
      </w:r>
      <w:r>
        <w:t xml:space="preserve"> For the sake of consistency it is important to note that level 2 provisions supplementing these requirements need to be aligned with Article 99(1)(a) of the Delegated Regulation n° 231/2013 provides for an explicit requirement for the third parties to w</w:t>
      </w:r>
      <w:r>
        <w:t>hom the safekeeping functions have been delegated to segregate assets of the depositary’s AIF clients from its own assets, assets of its other clients, assets held by the depositary for its own account and assets held for clients of the depositary which ar</w:t>
      </w:r>
      <w:r>
        <w:t xml:space="preserve">e not AIFs.  </w:t>
      </w:r>
    </w:p>
  </w:footnote>
  <w:footnote w:id="91">
    <w:p w:rsidR="00BB52D7" w:rsidRDefault="00E33AE6">
      <w:pPr>
        <w:pStyle w:val="footnotedescription"/>
        <w:spacing w:after="0" w:line="254" w:lineRule="auto"/>
        <w:ind w:left="0" w:right="571"/>
        <w:jc w:val="both"/>
      </w:pPr>
      <w:r>
        <w:rPr>
          <w:rStyle w:val="footnotemark"/>
        </w:rPr>
        <w:footnoteRef/>
      </w:r>
      <w:r>
        <w:t xml:space="preserve"> This requirement will be therefore specified with respect to the due diligence requirement incumbent on the delegating depositary in accordance with Article 22a (2) (c) and in application of the empowerment in Article 26b (c) UCITS. </w:t>
      </w:r>
    </w:p>
  </w:footnote>
  <w:footnote w:id="92">
    <w:p w:rsidR="00BB52D7" w:rsidRDefault="00E33AE6">
      <w:pPr>
        <w:pStyle w:val="footnotedescription"/>
        <w:spacing w:after="0" w:line="271" w:lineRule="auto"/>
        <w:ind w:left="0" w:right="136"/>
        <w:jc w:val="both"/>
      </w:pPr>
      <w:r>
        <w:rPr>
          <w:rStyle w:val="footnotemark"/>
        </w:rPr>
        <w:footnoteRef/>
      </w:r>
      <w:r>
        <w:t xml:space="preserve"> For </w:t>
      </w:r>
      <w:r>
        <w:t xml:space="preserve">example, a legal advice on the US could be cheaper as there is more potential client willing to buy this legal advice rather than in a small country where the investment opportunities are narrows. </w:t>
      </w:r>
    </w:p>
  </w:footnote>
  <w:footnote w:id="93">
    <w:p w:rsidR="00BB52D7" w:rsidRDefault="00E33AE6">
      <w:pPr>
        <w:pStyle w:val="footnotedescription"/>
        <w:spacing w:after="0"/>
        <w:ind w:left="0"/>
      </w:pPr>
      <w:r>
        <w:rPr>
          <w:rStyle w:val="footnotemark"/>
        </w:rPr>
        <w:footnoteRef/>
      </w:r>
      <w:r>
        <w:t xml:space="preserve"> Source: UBS assignment of proceeds by the fund’s liquida</w:t>
      </w:r>
      <w:r>
        <w:t xml:space="preserve">tors – 18 December 2009 </w:t>
      </w:r>
    </w:p>
  </w:footnote>
  <w:footnote w:id="94">
    <w:p w:rsidR="00BB52D7" w:rsidRDefault="00E33AE6">
      <w:pPr>
        <w:pStyle w:val="footnotedescription"/>
        <w:spacing w:after="258"/>
        <w:ind w:left="0"/>
      </w:pPr>
      <w:r>
        <w:rPr>
          <w:rStyle w:val="footnotemark"/>
        </w:rPr>
        <w:footnoteRef/>
      </w:r>
      <w:r>
        <w:t xml:space="preserve"> </w:t>
      </w:r>
      <w:r>
        <w:rPr>
          <w:sz w:val="18"/>
        </w:rPr>
        <w:t xml:space="preserve">http://www.legislation.gov.uk/uksi/2001/1228/pdfs/uksi_20011228_en.pdf </w:t>
      </w:r>
    </w:p>
  </w:footnote>
  <w:footnote w:id="95">
    <w:p w:rsidR="00BB52D7" w:rsidRDefault="00E33AE6">
      <w:pPr>
        <w:pStyle w:val="footnotedescription"/>
        <w:spacing w:after="233" w:line="254" w:lineRule="auto"/>
        <w:ind w:left="0"/>
        <w:jc w:val="both"/>
      </w:pPr>
      <w:r>
        <w:rPr>
          <w:rStyle w:val="footnotemark"/>
        </w:rPr>
        <w:footnoteRef/>
      </w:r>
      <w:r>
        <w:t xml:space="preserve"> </w:t>
      </w:r>
      <w:r>
        <w:rPr>
          <w:sz w:val="18"/>
        </w:rPr>
        <w:t xml:space="preserve">Regulation 15(8)(f) of the OEIC Regulations requires: " </w:t>
      </w:r>
      <w:r>
        <w:rPr>
          <w:sz w:val="18"/>
        </w:rPr>
        <w:t xml:space="preserve">The person appointed as the depositary of the company must be independent of the company and of the persons appointed as directors of the company." </w:t>
      </w:r>
    </w:p>
  </w:footnote>
  <w:footnote w:id="96">
    <w:p w:rsidR="00BB52D7" w:rsidRDefault="00E33AE6">
      <w:pPr>
        <w:pStyle w:val="footnotedescription"/>
        <w:spacing w:after="253"/>
        <w:ind w:left="0"/>
      </w:pPr>
      <w:r>
        <w:rPr>
          <w:rStyle w:val="footnotemark"/>
        </w:rPr>
        <w:footnoteRef/>
      </w:r>
      <w:r>
        <w:t xml:space="preserve"> </w:t>
      </w:r>
      <w:r>
        <w:rPr>
          <w:sz w:val="18"/>
        </w:rPr>
        <w:t xml:space="preserve">"The operator and the depositary must be persons who are independent of each other.". </w:t>
      </w:r>
    </w:p>
  </w:footnote>
  <w:footnote w:id="97">
    <w:p w:rsidR="00BB52D7" w:rsidRDefault="00E33AE6">
      <w:pPr>
        <w:pStyle w:val="footnotedescription"/>
        <w:spacing w:after="0"/>
        <w:ind w:left="0"/>
      </w:pPr>
      <w:r>
        <w:rPr>
          <w:rStyle w:val="footnotemark"/>
        </w:rPr>
        <w:footnoteRef/>
      </w:r>
      <w:r>
        <w:t xml:space="preserve"> </w:t>
      </w:r>
      <w:r>
        <w:rPr>
          <w:sz w:val="18"/>
        </w:rPr>
        <w:t>"The manager and</w:t>
      </w:r>
      <w:r>
        <w:rPr>
          <w:sz w:val="18"/>
        </w:rPr>
        <w:t xml:space="preserve"> the trustee must be persons who are independent of each other."</w:t>
      </w:r>
      <w:r>
        <w:t xml:space="preserve"> </w:t>
      </w:r>
    </w:p>
  </w:footnote>
  <w:footnote w:id="98">
    <w:p w:rsidR="00BB52D7" w:rsidRDefault="00E33AE6">
      <w:pPr>
        <w:pStyle w:val="footnotedescription"/>
        <w:spacing w:after="0"/>
        <w:ind w:left="0"/>
      </w:pPr>
      <w:r>
        <w:rPr>
          <w:rStyle w:val="footnotemark"/>
        </w:rPr>
        <w:footnoteRef/>
      </w:r>
      <w:r>
        <w:t xml:space="preserve"> </w:t>
      </w:r>
      <w:r>
        <w:rPr>
          <w:sz w:val="18"/>
        </w:rPr>
        <w:t>See Table 6 in Annex 5.</w:t>
      </w:r>
      <w:r>
        <w:t xml:space="preserve"> </w:t>
      </w:r>
    </w:p>
  </w:footnote>
  <w:footnote w:id="99">
    <w:p w:rsidR="00BB52D7" w:rsidRDefault="00E33AE6">
      <w:pPr>
        <w:pStyle w:val="footnotedescription"/>
        <w:spacing w:after="231"/>
        <w:ind w:left="0"/>
      </w:pPr>
      <w:r>
        <w:rPr>
          <w:rStyle w:val="footnotemark"/>
        </w:rPr>
        <w:footnoteRef/>
      </w:r>
      <w:r>
        <w:t xml:space="preserve"> </w:t>
      </w:r>
      <w:r>
        <w:rPr>
          <w:sz w:val="18"/>
        </w:rPr>
        <w:t xml:space="preserve">ECB Occasional Paper No 68, p. 38. </w:t>
      </w:r>
    </w:p>
  </w:footnote>
  <w:footnote w:id="100">
    <w:p w:rsidR="00BB52D7" w:rsidRDefault="00E33AE6">
      <w:pPr>
        <w:pStyle w:val="footnotedescription"/>
        <w:spacing w:after="0"/>
        <w:ind w:left="0"/>
      </w:pPr>
      <w:r>
        <w:rPr>
          <w:rStyle w:val="footnotemark"/>
        </w:rPr>
        <w:footnoteRef/>
      </w:r>
      <w:r>
        <w:t xml:space="preserve"> </w:t>
      </w:r>
      <w:r>
        <w:rPr>
          <w:sz w:val="18"/>
        </w:rPr>
        <w:t>See Annex 9</w:t>
      </w:r>
      <w:r>
        <w:t xml:space="preserve"> </w:t>
      </w:r>
    </w:p>
  </w:footnote>
  <w:footnote w:id="101">
    <w:p w:rsidR="00BB52D7" w:rsidRDefault="00E33AE6">
      <w:pPr>
        <w:pStyle w:val="footnotedescription"/>
        <w:spacing w:after="211" w:line="275" w:lineRule="auto"/>
        <w:ind w:left="0"/>
        <w:jc w:val="both"/>
      </w:pPr>
      <w:r>
        <w:rPr>
          <w:rStyle w:val="footnotemark"/>
        </w:rPr>
        <w:footnoteRef/>
      </w:r>
      <w:r>
        <w:t xml:space="preserve"> </w:t>
      </w:r>
      <w:r>
        <w:rPr>
          <w:sz w:val="18"/>
        </w:rPr>
        <w:t>However as there is no empowerment in AIFMD requiring the AIF depositary to act independently, small players</w:t>
      </w:r>
      <w:r>
        <w:rPr>
          <w:sz w:val="18"/>
        </w:rPr>
        <w:t xml:space="preserve"> could not loose entirely their depositary business and keep this business for AIFs. </w:t>
      </w:r>
    </w:p>
  </w:footnote>
  <w:footnote w:id="102">
    <w:p w:rsidR="00BB52D7" w:rsidRDefault="00E33AE6">
      <w:pPr>
        <w:pStyle w:val="footnotedescription"/>
        <w:spacing w:after="0"/>
        <w:ind w:left="0"/>
      </w:pPr>
      <w:r>
        <w:rPr>
          <w:rStyle w:val="footnotemark"/>
        </w:rPr>
        <w:footnoteRef/>
      </w:r>
      <w:r>
        <w:t xml:space="preserve"> </w:t>
      </w:r>
      <w:r>
        <w:rPr>
          <w:sz w:val="18"/>
        </w:rPr>
        <w:t>See table 6 in Annex 5.</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1A42"/>
    <w:multiLevelType w:val="hybridMultilevel"/>
    <w:tmpl w:val="00BED834"/>
    <w:lvl w:ilvl="0" w:tplc="BA84D1AE">
      <w:start w:val="1"/>
      <w:numFmt w:val="bullet"/>
      <w:lvlText w:val="-"/>
      <w:lvlJc w:val="left"/>
      <w:pPr>
        <w:ind w:left="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F82206">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E8EA10">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2AA2AC">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CA48CC">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3E0DEA">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DC5946">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64D386">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CC6F82">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7B004F"/>
    <w:multiLevelType w:val="hybridMultilevel"/>
    <w:tmpl w:val="12FEFF70"/>
    <w:lvl w:ilvl="0" w:tplc="09A2D050">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6011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F6FC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CC86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D0C6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0C1A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344A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2013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A2C4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74752D"/>
    <w:multiLevelType w:val="hybridMultilevel"/>
    <w:tmpl w:val="438252AE"/>
    <w:lvl w:ilvl="0" w:tplc="516858FE">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1CA4DA">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8058FA">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EEE840">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885DFE">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3C2D78">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CC00EA">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92011C">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540010">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7614A9"/>
    <w:multiLevelType w:val="hybridMultilevel"/>
    <w:tmpl w:val="7660A97C"/>
    <w:lvl w:ilvl="0" w:tplc="9A844DE0">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12EE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7A95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7001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207C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04FE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1AB5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36B7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ECE7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491754"/>
    <w:multiLevelType w:val="hybridMultilevel"/>
    <w:tmpl w:val="59A0C0BE"/>
    <w:lvl w:ilvl="0" w:tplc="F0348D30">
      <w:start w:val="1"/>
      <w:numFmt w:val="decimal"/>
      <w:lvlText w:val="%1)"/>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22F0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278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1C0C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9469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4F9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259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70BE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D850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093ABC"/>
    <w:multiLevelType w:val="hybridMultilevel"/>
    <w:tmpl w:val="F870A212"/>
    <w:lvl w:ilvl="0" w:tplc="F4120F90">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9ACC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FE7C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841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1EA4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0E4E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FEF7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4895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7A82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A069B2"/>
    <w:multiLevelType w:val="hybridMultilevel"/>
    <w:tmpl w:val="2F08D628"/>
    <w:lvl w:ilvl="0" w:tplc="475849CA">
      <w:start w:val="1"/>
      <w:numFmt w:val="decimal"/>
      <w:lvlText w:val="%1)"/>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660D8">
      <w:start w:val="1"/>
      <w:numFmt w:val="lowerLetter"/>
      <w:lvlText w:val="%2"/>
      <w:lvlJc w:val="left"/>
      <w:pPr>
        <w:ind w:left="2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821AF0">
      <w:start w:val="1"/>
      <w:numFmt w:val="lowerRoman"/>
      <w:lvlText w:val="%3"/>
      <w:lvlJc w:val="left"/>
      <w:pPr>
        <w:ind w:left="2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0053A">
      <w:start w:val="1"/>
      <w:numFmt w:val="decimal"/>
      <w:lvlText w:val="%4"/>
      <w:lvlJc w:val="left"/>
      <w:pPr>
        <w:ind w:left="3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2C362">
      <w:start w:val="1"/>
      <w:numFmt w:val="lowerLetter"/>
      <w:lvlText w:val="%5"/>
      <w:lvlJc w:val="left"/>
      <w:pPr>
        <w:ind w:left="4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5C02C8">
      <w:start w:val="1"/>
      <w:numFmt w:val="lowerRoman"/>
      <w:lvlText w:val="%6"/>
      <w:lvlJc w:val="left"/>
      <w:pPr>
        <w:ind w:left="4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C610BC">
      <w:start w:val="1"/>
      <w:numFmt w:val="decimal"/>
      <w:lvlText w:val="%7"/>
      <w:lvlJc w:val="left"/>
      <w:pPr>
        <w:ind w:left="5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A38BA">
      <w:start w:val="1"/>
      <w:numFmt w:val="lowerLetter"/>
      <w:lvlText w:val="%8"/>
      <w:lvlJc w:val="left"/>
      <w:pPr>
        <w:ind w:left="6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FEABCA">
      <w:start w:val="1"/>
      <w:numFmt w:val="lowerRoman"/>
      <w:lvlText w:val="%9"/>
      <w:lvlJc w:val="left"/>
      <w:pPr>
        <w:ind w:left="7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EF61B27"/>
    <w:multiLevelType w:val="hybridMultilevel"/>
    <w:tmpl w:val="B80C2D7A"/>
    <w:lvl w:ilvl="0" w:tplc="EFFC5396">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2C7ECE">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D4ED4E">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06F5A6">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484D24">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D62CD0">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67C4500">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A87D42">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10D708">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1D0069A"/>
    <w:multiLevelType w:val="hybridMultilevel"/>
    <w:tmpl w:val="040CABDE"/>
    <w:lvl w:ilvl="0" w:tplc="DDF80812">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CA96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C6DB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5871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EF8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5659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C292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A4A9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5820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7A2F03"/>
    <w:multiLevelType w:val="hybridMultilevel"/>
    <w:tmpl w:val="A134F554"/>
    <w:lvl w:ilvl="0" w:tplc="340C14E2">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4E5D6C">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38C89A">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8E6BE">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C842D6">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7AD456">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069C82">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AA01C6">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5046D0">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A35A2C"/>
    <w:multiLevelType w:val="hybridMultilevel"/>
    <w:tmpl w:val="1FFE9CDC"/>
    <w:lvl w:ilvl="0" w:tplc="346468B8">
      <w:start w:val="1"/>
      <w:numFmt w:val="decimal"/>
      <w:lvlText w:val="%1."/>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7673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DCAC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3457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4E7E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A53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D4CF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A202F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D84A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E1B39BB"/>
    <w:multiLevelType w:val="hybridMultilevel"/>
    <w:tmpl w:val="06EE130C"/>
    <w:lvl w:ilvl="0" w:tplc="061CE2C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8C19DA">
      <w:start w:val="1"/>
      <w:numFmt w:val="lowerLetter"/>
      <w:lvlText w:val="%2"/>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E49482">
      <w:start w:val="1"/>
      <w:numFmt w:val="lowerRoman"/>
      <w:lvlText w:val="%3"/>
      <w:lvlJc w:val="left"/>
      <w:pPr>
        <w:ind w:left="2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6402B4">
      <w:start w:val="1"/>
      <w:numFmt w:val="decimal"/>
      <w:lvlText w:val="%4"/>
      <w:lvlJc w:val="left"/>
      <w:pPr>
        <w:ind w:left="3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9E9DEC">
      <w:start w:val="1"/>
      <w:numFmt w:val="lowerLetter"/>
      <w:lvlText w:val="%5"/>
      <w:lvlJc w:val="left"/>
      <w:pPr>
        <w:ind w:left="3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7CA1B0">
      <w:start w:val="1"/>
      <w:numFmt w:val="lowerRoman"/>
      <w:lvlText w:val="%6"/>
      <w:lvlJc w:val="left"/>
      <w:pPr>
        <w:ind w:left="4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D2D146">
      <w:start w:val="1"/>
      <w:numFmt w:val="decimal"/>
      <w:lvlText w:val="%7"/>
      <w:lvlJc w:val="left"/>
      <w:pPr>
        <w:ind w:left="5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F8C3F2">
      <w:start w:val="1"/>
      <w:numFmt w:val="lowerLetter"/>
      <w:lvlText w:val="%8"/>
      <w:lvlJc w:val="left"/>
      <w:pPr>
        <w:ind w:left="5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0E7AC0">
      <w:start w:val="1"/>
      <w:numFmt w:val="lowerRoman"/>
      <w:lvlText w:val="%9"/>
      <w:lvlJc w:val="left"/>
      <w:pPr>
        <w:ind w:left="6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CD2433"/>
    <w:multiLevelType w:val="hybridMultilevel"/>
    <w:tmpl w:val="D00A912E"/>
    <w:lvl w:ilvl="0" w:tplc="33C21C20">
      <w:start w:val="3"/>
      <w:numFmt w:val="lowerLetter"/>
      <w:lvlText w:val="(%1)"/>
      <w:lvlJc w:val="left"/>
      <w:pPr>
        <w:ind w:left="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32A57C">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44BE3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56BE7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7E7FAC">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347B7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9E7B1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786DC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9438F4">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160130A"/>
    <w:multiLevelType w:val="hybridMultilevel"/>
    <w:tmpl w:val="233E80A2"/>
    <w:lvl w:ilvl="0" w:tplc="2F8EB128">
      <w:start w:val="8"/>
      <w:numFmt w:val="lowerLetter"/>
      <w:lvlText w:val="(%1)"/>
      <w:lvlJc w:val="left"/>
      <w:pPr>
        <w:ind w:left="2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D67F66">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5C873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76014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E4162C">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7E892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523004">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B06A9A">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60A6A4">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4AC1B47"/>
    <w:multiLevelType w:val="hybridMultilevel"/>
    <w:tmpl w:val="549695B8"/>
    <w:lvl w:ilvl="0" w:tplc="4090248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D8A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6261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E4930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B48C0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8CE6E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98B44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0888A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9845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C3109C"/>
    <w:multiLevelType w:val="hybridMultilevel"/>
    <w:tmpl w:val="AF70CF00"/>
    <w:lvl w:ilvl="0" w:tplc="A8B6E4C4">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E90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3CED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9291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48DA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F267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6AA1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324B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80D8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702297E"/>
    <w:multiLevelType w:val="hybridMultilevel"/>
    <w:tmpl w:val="1B201C14"/>
    <w:lvl w:ilvl="0" w:tplc="8D56AA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14B6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84BC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56A8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26C6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5E49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3446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AE59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FE72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71913B1"/>
    <w:multiLevelType w:val="hybridMultilevel"/>
    <w:tmpl w:val="2196FFF0"/>
    <w:lvl w:ilvl="0" w:tplc="4DAE9C90">
      <w:start w:val="1"/>
      <w:numFmt w:val="bullet"/>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3C79E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643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EC3D7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CC75D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E8D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FAF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B2D63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26FF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8D07C0E"/>
    <w:multiLevelType w:val="hybridMultilevel"/>
    <w:tmpl w:val="ED78A322"/>
    <w:lvl w:ilvl="0" w:tplc="F9782BE4">
      <w:start w:val="1"/>
      <w:numFmt w:val="decimal"/>
      <w:lvlText w:val="%1)"/>
      <w:lvlJc w:val="left"/>
      <w:pPr>
        <w:ind w:left="1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4010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6063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EA46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CC70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3822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A2D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523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BAD1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9F1472B"/>
    <w:multiLevelType w:val="hybridMultilevel"/>
    <w:tmpl w:val="13A4DA22"/>
    <w:lvl w:ilvl="0" w:tplc="F1CA632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5AB4B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4E6DA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5803E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22B87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C41EE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F8BCC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7033B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4C6F6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C597C40"/>
    <w:multiLevelType w:val="hybridMultilevel"/>
    <w:tmpl w:val="E1202566"/>
    <w:lvl w:ilvl="0" w:tplc="FD5405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446D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9C67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F4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4069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484E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12E2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C6B1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EC52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CEA496C"/>
    <w:multiLevelType w:val="hybridMultilevel"/>
    <w:tmpl w:val="D9FC28CE"/>
    <w:lvl w:ilvl="0" w:tplc="F46A0B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0488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0262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F053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A8744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86359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86E2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0621E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F0F26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FD9569E"/>
    <w:multiLevelType w:val="hybridMultilevel"/>
    <w:tmpl w:val="8102B3E2"/>
    <w:lvl w:ilvl="0" w:tplc="6FF0CAEE">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2CC1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56D1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C2CE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B652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1E8F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D8EB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7899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B2A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5293026"/>
    <w:multiLevelType w:val="hybridMultilevel"/>
    <w:tmpl w:val="DBDC37F6"/>
    <w:lvl w:ilvl="0" w:tplc="2E8C0D9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5CAD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EB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8BD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E19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169E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86C4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06E8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6030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7E62488"/>
    <w:multiLevelType w:val="hybridMultilevel"/>
    <w:tmpl w:val="6BCE4560"/>
    <w:lvl w:ilvl="0" w:tplc="F7D0A990">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2EAE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8077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66AE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DC3F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8A41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2051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1CAB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AE76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9A009E"/>
    <w:multiLevelType w:val="hybridMultilevel"/>
    <w:tmpl w:val="B2BA3B1E"/>
    <w:lvl w:ilvl="0" w:tplc="4C5CF57C">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BEB4B2">
      <w:start w:val="1"/>
      <w:numFmt w:val="lowerLetter"/>
      <w:lvlText w:val="(%2)"/>
      <w:lvlJc w:val="left"/>
      <w:pPr>
        <w:ind w:left="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CA9502">
      <w:start w:val="1"/>
      <w:numFmt w:val="lowerRoman"/>
      <w:lvlText w:val="(%3)"/>
      <w:lvlJc w:val="left"/>
      <w:pPr>
        <w:ind w:left="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AEFF0">
      <w:start w:val="1"/>
      <w:numFmt w:val="decimal"/>
      <w:lvlText w:val="%4"/>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CA3F02">
      <w:start w:val="1"/>
      <w:numFmt w:val="lowerLetter"/>
      <w:lvlText w:val="%5"/>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24AFAC">
      <w:start w:val="1"/>
      <w:numFmt w:val="lowerRoman"/>
      <w:lvlText w:val="%6"/>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0239E2">
      <w:start w:val="1"/>
      <w:numFmt w:val="decimal"/>
      <w:lvlText w:val="%7"/>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8BCC0">
      <w:start w:val="1"/>
      <w:numFmt w:val="lowerLetter"/>
      <w:lvlText w:val="%8"/>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E2EAC">
      <w:start w:val="1"/>
      <w:numFmt w:val="lowerRoman"/>
      <w:lvlText w:val="%9"/>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AA641A0"/>
    <w:multiLevelType w:val="hybridMultilevel"/>
    <w:tmpl w:val="A2284C52"/>
    <w:lvl w:ilvl="0" w:tplc="7248BD84">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384124">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EAC616">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828582">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EE3E00">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A23BA2">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82710A">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CC7C80">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8CD256">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EC66659"/>
    <w:multiLevelType w:val="hybridMultilevel"/>
    <w:tmpl w:val="4D06445E"/>
    <w:lvl w:ilvl="0" w:tplc="3A70526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C674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054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9482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5024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90E5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CBE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E7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6297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4552B03"/>
    <w:multiLevelType w:val="hybridMultilevel"/>
    <w:tmpl w:val="9D08BE12"/>
    <w:lvl w:ilvl="0" w:tplc="28022A0C">
      <w:start w:val="1"/>
      <w:numFmt w:val="lowerLetter"/>
      <w:lvlText w:val="(%1)"/>
      <w:lvlJc w:val="left"/>
      <w:pPr>
        <w:ind w:left="2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5364596">
      <w:start w:val="1"/>
      <w:numFmt w:val="lowerLetter"/>
      <w:lvlText w:val="%2"/>
      <w:lvlJc w:val="left"/>
      <w:pPr>
        <w:ind w:left="11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65A025E">
      <w:start w:val="1"/>
      <w:numFmt w:val="lowerRoman"/>
      <w:lvlText w:val="%3"/>
      <w:lvlJc w:val="left"/>
      <w:pPr>
        <w:ind w:left="19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2DA8770">
      <w:start w:val="1"/>
      <w:numFmt w:val="decimal"/>
      <w:lvlText w:val="%4"/>
      <w:lvlJc w:val="left"/>
      <w:pPr>
        <w:ind w:left="26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C9C4C74">
      <w:start w:val="1"/>
      <w:numFmt w:val="lowerLetter"/>
      <w:lvlText w:val="%5"/>
      <w:lvlJc w:val="left"/>
      <w:pPr>
        <w:ind w:left="33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1489C48">
      <w:start w:val="1"/>
      <w:numFmt w:val="lowerRoman"/>
      <w:lvlText w:val="%6"/>
      <w:lvlJc w:val="left"/>
      <w:pPr>
        <w:ind w:left="40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E88ADF8">
      <w:start w:val="1"/>
      <w:numFmt w:val="decimal"/>
      <w:lvlText w:val="%7"/>
      <w:lvlJc w:val="left"/>
      <w:pPr>
        <w:ind w:left="47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9EC3D0A">
      <w:start w:val="1"/>
      <w:numFmt w:val="lowerLetter"/>
      <w:lvlText w:val="%8"/>
      <w:lvlJc w:val="left"/>
      <w:pPr>
        <w:ind w:left="55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A1CFCA0">
      <w:start w:val="1"/>
      <w:numFmt w:val="lowerRoman"/>
      <w:lvlText w:val="%9"/>
      <w:lvlJc w:val="left"/>
      <w:pPr>
        <w:ind w:left="62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59241F7"/>
    <w:multiLevelType w:val="hybridMultilevel"/>
    <w:tmpl w:val="BAA4B460"/>
    <w:lvl w:ilvl="0" w:tplc="6DE2E4AC">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D695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8E90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2059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021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56BD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5EFC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E60A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FA9A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85814E9"/>
    <w:multiLevelType w:val="hybridMultilevel"/>
    <w:tmpl w:val="C56A1CD8"/>
    <w:lvl w:ilvl="0" w:tplc="01986B22">
      <w:start w:val="1"/>
      <w:numFmt w:val="lowerLetter"/>
      <w:lvlText w:val="(%1)"/>
      <w:lvlJc w:val="left"/>
      <w:pPr>
        <w:ind w:left="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8A9866">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404F64">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D0BE60">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1C9614">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507B6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F0EB1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CEB420">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0CFBBA">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7A104A2"/>
    <w:multiLevelType w:val="hybridMultilevel"/>
    <w:tmpl w:val="B812146C"/>
    <w:lvl w:ilvl="0" w:tplc="F926CF7C">
      <w:start w:val="1"/>
      <w:numFmt w:val="lowerLetter"/>
      <w:lvlText w:val="(%1)"/>
      <w:lvlJc w:val="left"/>
      <w:pPr>
        <w:ind w:left="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C4D1F6">
      <w:start w:val="1"/>
      <w:numFmt w:val="lowerLetter"/>
      <w:lvlText w:val="%2"/>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381F60">
      <w:start w:val="1"/>
      <w:numFmt w:val="lowerRoman"/>
      <w:lvlText w:val="%3"/>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D09FC2">
      <w:start w:val="1"/>
      <w:numFmt w:val="decimal"/>
      <w:lvlText w:val="%4"/>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8EC386">
      <w:start w:val="1"/>
      <w:numFmt w:val="lowerLetter"/>
      <w:lvlText w:val="%5"/>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6E42D2">
      <w:start w:val="1"/>
      <w:numFmt w:val="lowerRoman"/>
      <w:lvlText w:val="%6"/>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02E1DC">
      <w:start w:val="1"/>
      <w:numFmt w:val="decimal"/>
      <w:lvlText w:val="%7"/>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82812C">
      <w:start w:val="1"/>
      <w:numFmt w:val="lowerLetter"/>
      <w:lvlText w:val="%8"/>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586F46">
      <w:start w:val="1"/>
      <w:numFmt w:val="lowerRoman"/>
      <w:lvlText w:val="%9"/>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91A0499"/>
    <w:multiLevelType w:val="hybridMultilevel"/>
    <w:tmpl w:val="3724EFE2"/>
    <w:lvl w:ilvl="0" w:tplc="4DC4E8A0">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CE20B8">
      <w:start w:val="1"/>
      <w:numFmt w:val="bullet"/>
      <w:lvlText w:val="o"/>
      <w:lvlJc w:val="left"/>
      <w:pPr>
        <w:ind w:left="11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FA78E2">
      <w:start w:val="1"/>
      <w:numFmt w:val="bullet"/>
      <w:lvlText w:val="▪"/>
      <w:lvlJc w:val="left"/>
      <w:pPr>
        <w:ind w:left="19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1C14D0">
      <w:start w:val="1"/>
      <w:numFmt w:val="bullet"/>
      <w:lvlText w:val="•"/>
      <w:lvlJc w:val="left"/>
      <w:pPr>
        <w:ind w:left="26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38A0DC">
      <w:start w:val="1"/>
      <w:numFmt w:val="bullet"/>
      <w:lvlText w:val="o"/>
      <w:lvlJc w:val="left"/>
      <w:pPr>
        <w:ind w:left="33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98E7F8">
      <w:start w:val="1"/>
      <w:numFmt w:val="bullet"/>
      <w:lvlText w:val="▪"/>
      <w:lvlJc w:val="left"/>
      <w:pPr>
        <w:ind w:left="40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769026">
      <w:start w:val="1"/>
      <w:numFmt w:val="bullet"/>
      <w:lvlText w:val="•"/>
      <w:lvlJc w:val="left"/>
      <w:pPr>
        <w:ind w:left="4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A5AD3B8">
      <w:start w:val="1"/>
      <w:numFmt w:val="bullet"/>
      <w:lvlText w:val="o"/>
      <w:lvlJc w:val="left"/>
      <w:pPr>
        <w:ind w:left="5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708814">
      <w:start w:val="1"/>
      <w:numFmt w:val="bullet"/>
      <w:lvlText w:val="▪"/>
      <w:lvlJc w:val="left"/>
      <w:pPr>
        <w:ind w:left="6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EC57CC6"/>
    <w:multiLevelType w:val="hybridMultilevel"/>
    <w:tmpl w:val="1DAA5366"/>
    <w:lvl w:ilvl="0" w:tplc="F7EA8D8A">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66AB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6ACB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4AB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7ACE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027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123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0B1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5CC0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4A72BDD"/>
    <w:multiLevelType w:val="hybridMultilevel"/>
    <w:tmpl w:val="0E0C5AEA"/>
    <w:lvl w:ilvl="0" w:tplc="21260CE0">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B601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8AEB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FEE2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D452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206A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8AFB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F685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02C1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59A0883"/>
    <w:multiLevelType w:val="hybridMultilevel"/>
    <w:tmpl w:val="9070910C"/>
    <w:lvl w:ilvl="0" w:tplc="E9867736">
      <w:start w:val="1"/>
      <w:numFmt w:val="bullet"/>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E0A69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A0CC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E449B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D896F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45E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BA5E4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2EAE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2488B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98720A2"/>
    <w:multiLevelType w:val="hybridMultilevel"/>
    <w:tmpl w:val="4D66A96E"/>
    <w:lvl w:ilvl="0" w:tplc="50DEC136">
      <w:start w:val="1"/>
      <w:numFmt w:val="bullet"/>
      <w:lvlText w:val="-"/>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EFD3E">
      <w:start w:val="1"/>
      <w:numFmt w:val="bullet"/>
      <w:lvlText w:val="o"/>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186202">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0CF35C">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DC7E74">
      <w:start w:val="1"/>
      <w:numFmt w:val="bullet"/>
      <w:lvlText w:val="o"/>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8EF49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CBD70">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34911A">
      <w:start w:val="1"/>
      <w:numFmt w:val="bullet"/>
      <w:lvlText w:val="o"/>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CE357A">
      <w:start w:val="1"/>
      <w:numFmt w:val="bullet"/>
      <w:lvlText w:val="▪"/>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B1D0ED6"/>
    <w:multiLevelType w:val="hybridMultilevel"/>
    <w:tmpl w:val="91F87D00"/>
    <w:lvl w:ilvl="0" w:tplc="0A22F8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58B4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B89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4CFB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9825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A04D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82EE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EC48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0065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2767565"/>
    <w:multiLevelType w:val="hybridMultilevel"/>
    <w:tmpl w:val="C5AAB27C"/>
    <w:lvl w:ilvl="0" w:tplc="C87CB54A">
      <w:start w:val="1"/>
      <w:numFmt w:val="bullet"/>
      <w:lvlText w:val=""/>
      <w:lvlJc w:val="left"/>
      <w:pPr>
        <w:ind w:left="1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57ED4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582D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ACAB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00E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5481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40ED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84B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DE21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3B539C1"/>
    <w:multiLevelType w:val="hybridMultilevel"/>
    <w:tmpl w:val="AF8AC8F8"/>
    <w:lvl w:ilvl="0" w:tplc="61962FDE">
      <w:start w:val="1"/>
      <w:numFmt w:val="bullet"/>
      <w:lvlText w:val="•"/>
      <w:lvlJc w:val="left"/>
      <w:pPr>
        <w:ind w:left="1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082B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22F4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2415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DC64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1C8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CE2C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C232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4A24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225AA5"/>
    <w:multiLevelType w:val="hybridMultilevel"/>
    <w:tmpl w:val="5EDA44A8"/>
    <w:lvl w:ilvl="0" w:tplc="3A0AECF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E426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3CA4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EE74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68B7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3CC1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1457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AE27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02CB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59A6BFE"/>
    <w:multiLevelType w:val="hybridMultilevel"/>
    <w:tmpl w:val="7D849C24"/>
    <w:lvl w:ilvl="0" w:tplc="8AFA17C4">
      <w:start w:val="1"/>
      <w:numFmt w:val="lowerLetter"/>
      <w:lvlText w:val="%1)"/>
      <w:lvlJc w:val="left"/>
      <w:pPr>
        <w:ind w:left="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E644D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5C5F90">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58D2FE">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60E94C">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80BC9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4E6DB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68567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1EDB5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5C56754"/>
    <w:multiLevelType w:val="hybridMultilevel"/>
    <w:tmpl w:val="7C288CCE"/>
    <w:lvl w:ilvl="0" w:tplc="44362130">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FAC00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36B1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083E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1EA1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54C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623B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328D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0246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35"/>
  </w:num>
  <w:num w:numId="3">
    <w:abstractNumId w:val="10"/>
  </w:num>
  <w:num w:numId="4">
    <w:abstractNumId w:val="8"/>
  </w:num>
  <w:num w:numId="5">
    <w:abstractNumId w:val="6"/>
  </w:num>
  <w:num w:numId="6">
    <w:abstractNumId w:val="39"/>
  </w:num>
  <w:num w:numId="7">
    <w:abstractNumId w:val="29"/>
  </w:num>
  <w:num w:numId="8">
    <w:abstractNumId w:val="24"/>
  </w:num>
  <w:num w:numId="9">
    <w:abstractNumId w:val="34"/>
  </w:num>
  <w:num w:numId="10">
    <w:abstractNumId w:val="1"/>
  </w:num>
  <w:num w:numId="11">
    <w:abstractNumId w:val="9"/>
  </w:num>
  <w:num w:numId="12">
    <w:abstractNumId w:val="3"/>
  </w:num>
  <w:num w:numId="13">
    <w:abstractNumId w:val="36"/>
  </w:num>
  <w:num w:numId="14">
    <w:abstractNumId w:val="4"/>
  </w:num>
  <w:num w:numId="15">
    <w:abstractNumId w:val="17"/>
  </w:num>
  <w:num w:numId="16">
    <w:abstractNumId w:val="15"/>
  </w:num>
  <w:num w:numId="17">
    <w:abstractNumId w:val="18"/>
  </w:num>
  <w:num w:numId="18">
    <w:abstractNumId w:val="38"/>
  </w:num>
  <w:num w:numId="19">
    <w:abstractNumId w:val="5"/>
  </w:num>
  <w:num w:numId="20">
    <w:abstractNumId w:val="42"/>
  </w:num>
  <w:num w:numId="21">
    <w:abstractNumId w:val="14"/>
  </w:num>
  <w:num w:numId="22">
    <w:abstractNumId w:val="26"/>
  </w:num>
  <w:num w:numId="23">
    <w:abstractNumId w:val="33"/>
  </w:num>
  <w:num w:numId="24">
    <w:abstractNumId w:val="25"/>
  </w:num>
  <w:num w:numId="25">
    <w:abstractNumId w:val="37"/>
  </w:num>
  <w:num w:numId="26">
    <w:abstractNumId w:val="11"/>
  </w:num>
  <w:num w:numId="27">
    <w:abstractNumId w:val="27"/>
  </w:num>
  <w:num w:numId="28">
    <w:abstractNumId w:val="21"/>
  </w:num>
  <w:num w:numId="29">
    <w:abstractNumId w:val="40"/>
  </w:num>
  <w:num w:numId="30">
    <w:abstractNumId w:val="23"/>
  </w:num>
  <w:num w:numId="31">
    <w:abstractNumId w:val="16"/>
  </w:num>
  <w:num w:numId="32">
    <w:abstractNumId w:val="20"/>
  </w:num>
  <w:num w:numId="33">
    <w:abstractNumId w:val="32"/>
  </w:num>
  <w:num w:numId="34">
    <w:abstractNumId w:val="0"/>
  </w:num>
  <w:num w:numId="35">
    <w:abstractNumId w:val="19"/>
  </w:num>
  <w:num w:numId="36">
    <w:abstractNumId w:val="7"/>
  </w:num>
  <w:num w:numId="37">
    <w:abstractNumId w:val="41"/>
  </w:num>
  <w:num w:numId="38">
    <w:abstractNumId w:val="30"/>
  </w:num>
  <w:num w:numId="39">
    <w:abstractNumId w:val="31"/>
  </w:num>
  <w:num w:numId="40">
    <w:abstractNumId w:val="12"/>
  </w:num>
  <w:num w:numId="41">
    <w:abstractNumId w:val="13"/>
  </w:num>
  <w:num w:numId="42">
    <w:abstractNumId w:val="28"/>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D7"/>
    <w:rsid w:val="000D24C6"/>
    <w:rsid w:val="00BB52D7"/>
    <w:rsid w:val="00E33A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85890-CFC8-4845-972D-84A2F42A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49" w:lineRule="auto"/>
      <w:ind w:left="30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5"/>
      <w:ind w:left="1219" w:hanging="10"/>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11" w:line="248" w:lineRule="auto"/>
      <w:ind w:left="861" w:right="85" w:hanging="10"/>
      <w:outlineLvl w:val="1"/>
    </w:pPr>
    <w:rPr>
      <w:rFonts w:ascii="Times New Roman" w:eastAsia="Times New Roman" w:hAnsi="Times New Roman" w:cs="Times New Roman"/>
      <w:b/>
      <w:i/>
      <w:color w:val="000000"/>
      <w:sz w:val="24"/>
      <w:u w:val="single" w:color="000000"/>
    </w:rPr>
  </w:style>
  <w:style w:type="paragraph" w:styleId="Heading3">
    <w:name w:val="heading 3"/>
    <w:next w:val="Normal"/>
    <w:link w:val="Heading3Char"/>
    <w:uiPriority w:val="9"/>
    <w:unhideWhenUsed/>
    <w:qFormat/>
    <w:pPr>
      <w:keepNext/>
      <w:keepLines/>
      <w:spacing w:after="11" w:line="248" w:lineRule="auto"/>
      <w:ind w:left="861" w:right="85" w:hanging="10"/>
      <w:outlineLvl w:val="2"/>
    </w:pPr>
    <w:rPr>
      <w:rFonts w:ascii="Times New Roman" w:eastAsia="Times New Roman" w:hAnsi="Times New Roman" w:cs="Times New Roman"/>
      <w:b/>
      <w:i/>
      <w:color w:val="000000"/>
      <w:sz w:val="24"/>
      <w:u w:val="single" w:color="000000"/>
    </w:rPr>
  </w:style>
  <w:style w:type="paragraph" w:styleId="Heading4">
    <w:name w:val="heading 4"/>
    <w:next w:val="Normal"/>
    <w:link w:val="Heading4Char"/>
    <w:uiPriority w:val="9"/>
    <w:unhideWhenUsed/>
    <w:qFormat/>
    <w:pPr>
      <w:keepNext/>
      <w:keepLines/>
      <w:spacing w:after="222" w:line="253" w:lineRule="auto"/>
      <w:ind w:left="861" w:hanging="10"/>
      <w:outlineLvl w:val="3"/>
    </w:pPr>
    <w:rPr>
      <w:rFonts w:ascii="Times New Roman" w:eastAsia="Times New Roman" w:hAnsi="Times New Roman" w:cs="Times New Roman"/>
      <w:i/>
      <w:color w:val="000000"/>
      <w:sz w:val="24"/>
    </w:rPr>
  </w:style>
  <w:style w:type="paragraph" w:styleId="Heading5">
    <w:name w:val="heading 5"/>
    <w:next w:val="Normal"/>
    <w:link w:val="Heading5Char"/>
    <w:uiPriority w:val="9"/>
    <w:unhideWhenUsed/>
    <w:qFormat/>
    <w:pPr>
      <w:keepNext/>
      <w:keepLines/>
      <w:spacing w:after="11" w:line="248" w:lineRule="auto"/>
      <w:ind w:left="861" w:right="85" w:hanging="10"/>
      <w:outlineLvl w:val="4"/>
    </w:pPr>
    <w:rPr>
      <w:rFonts w:ascii="Times New Roman" w:eastAsia="Times New Roman" w:hAnsi="Times New Roman" w:cs="Times New Roman"/>
      <w:b/>
      <w:i/>
      <w:color w:val="000000"/>
      <w:sz w:val="24"/>
      <w:u w:val="single" w:color="000000"/>
    </w:rPr>
  </w:style>
  <w:style w:type="paragraph" w:styleId="Heading6">
    <w:name w:val="heading 6"/>
    <w:next w:val="Normal"/>
    <w:link w:val="Heading6Char"/>
    <w:uiPriority w:val="9"/>
    <w:unhideWhenUsed/>
    <w:qFormat/>
    <w:pPr>
      <w:keepNext/>
      <w:keepLines/>
      <w:spacing w:after="11" w:line="248" w:lineRule="auto"/>
      <w:ind w:left="861" w:right="85" w:hanging="10"/>
      <w:outlineLvl w:val="5"/>
    </w:pPr>
    <w:rPr>
      <w:rFonts w:ascii="Times New Roman" w:eastAsia="Times New Roman" w:hAnsi="Times New Roman" w:cs="Times New Roman"/>
      <w:b/>
      <w:i/>
      <w:color w:val="000000"/>
      <w:sz w:val="24"/>
      <w:u w:val="single" w:color="000000"/>
    </w:rPr>
  </w:style>
  <w:style w:type="paragraph" w:styleId="Heading7">
    <w:name w:val="heading 7"/>
    <w:next w:val="Normal"/>
    <w:link w:val="Heading7Char"/>
    <w:uiPriority w:val="9"/>
    <w:unhideWhenUsed/>
    <w:qFormat/>
    <w:pPr>
      <w:keepNext/>
      <w:keepLines/>
      <w:spacing w:after="229" w:line="248" w:lineRule="auto"/>
      <w:ind w:left="10" w:right="65" w:hanging="10"/>
      <w:jc w:val="both"/>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04"/>
      <w:ind w:left="85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i/>
      <w:color w:val="000000"/>
      <w:sz w:val="24"/>
      <w:u w:val="single" w:color="000000"/>
    </w:rPr>
  </w:style>
  <w:style w:type="character" w:customStyle="1" w:styleId="Heading6Char">
    <w:name w:val="Heading 6 Char"/>
    <w:link w:val="Heading6"/>
    <w:rPr>
      <w:rFonts w:ascii="Times New Roman" w:eastAsia="Times New Roman" w:hAnsi="Times New Roman" w:cs="Times New Roman"/>
      <w:b/>
      <w:i/>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i/>
      <w:color w:val="000000"/>
      <w:sz w:val="24"/>
      <w:u w:val="single" w:color="000000"/>
    </w:rPr>
  </w:style>
  <w:style w:type="character" w:customStyle="1" w:styleId="Heading3Char">
    <w:name w:val="Heading 3 Char"/>
    <w:link w:val="Heading3"/>
    <w:rPr>
      <w:rFonts w:ascii="Times New Roman" w:eastAsia="Times New Roman" w:hAnsi="Times New Roman" w:cs="Times New Roman"/>
      <w:b/>
      <w:i/>
      <w:color w:val="000000"/>
      <w:sz w:val="24"/>
      <w:u w:val="single" w:color="000000"/>
    </w:rPr>
  </w:style>
  <w:style w:type="character" w:customStyle="1" w:styleId="Heading4Char">
    <w:name w:val="Heading 4 Char"/>
    <w:link w:val="Heading4"/>
    <w:rPr>
      <w:rFonts w:ascii="Times New Roman" w:eastAsia="Times New Roman" w:hAnsi="Times New Roman" w:cs="Times New Roman"/>
      <w:i/>
      <w:color w:val="000000"/>
      <w:sz w:val="24"/>
    </w:rPr>
  </w:style>
  <w:style w:type="paragraph" w:styleId="TOC1">
    <w:name w:val="toc 1"/>
    <w:hidden/>
    <w:pPr>
      <w:spacing w:after="108" w:line="249" w:lineRule="auto"/>
      <w:ind w:left="876" w:right="861" w:hanging="10"/>
      <w:jc w:val="both"/>
    </w:pPr>
    <w:rPr>
      <w:rFonts w:ascii="Times New Roman" w:eastAsia="Times New Roman" w:hAnsi="Times New Roman" w:cs="Times New Roman"/>
      <w:color w:val="000000"/>
      <w:sz w:val="24"/>
    </w:rPr>
  </w:style>
  <w:style w:type="paragraph" w:styleId="TOC2">
    <w:name w:val="toc 2"/>
    <w:hidden/>
    <w:pPr>
      <w:spacing w:after="54" w:line="249" w:lineRule="auto"/>
      <w:ind w:left="1359" w:right="861" w:hanging="10"/>
      <w:jc w:val="both"/>
    </w:pPr>
    <w:rPr>
      <w:rFonts w:ascii="Times New Roman" w:eastAsia="Times New Roman" w:hAnsi="Times New Roman" w:cs="Times New Roman"/>
      <w:color w:val="000000"/>
      <w:sz w:val="24"/>
    </w:rPr>
  </w:style>
  <w:style w:type="paragraph" w:styleId="TOC3">
    <w:name w:val="toc 3"/>
    <w:hidden/>
    <w:pPr>
      <w:spacing w:after="53" w:line="249" w:lineRule="auto"/>
      <w:ind w:left="1954" w:right="861" w:hanging="10"/>
      <w:jc w:val="both"/>
    </w:pPr>
    <w:rPr>
      <w:rFonts w:ascii="Times New Roman" w:eastAsia="Times New Roman" w:hAnsi="Times New Roman" w:cs="Times New Roman"/>
      <w:color w:val="000000"/>
      <w:sz w:val="24"/>
    </w:rPr>
  </w:style>
  <w:style w:type="paragraph" w:styleId="TOC4">
    <w:name w:val="toc 4"/>
    <w:hidden/>
    <w:pPr>
      <w:spacing w:after="54" w:line="249" w:lineRule="auto"/>
      <w:ind w:left="1954" w:right="861"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9" Type="http://schemas.openxmlformats.org/officeDocument/2006/relationships/footer" Target="footer15.xml"/><Relationship Id="rId21" Type="http://schemas.openxmlformats.org/officeDocument/2006/relationships/image" Target="media/image15.png"/><Relationship Id="rId34" Type="http://schemas.openxmlformats.org/officeDocument/2006/relationships/footer" Target="footer10.xml"/><Relationship Id="rId42" Type="http://schemas.openxmlformats.org/officeDocument/2006/relationships/footer" Target="footer18.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6.xml"/><Relationship Id="rId41"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32" Type="http://schemas.openxmlformats.org/officeDocument/2006/relationships/footer" Target="footer8.xml"/><Relationship Id="rId37" Type="http://schemas.openxmlformats.org/officeDocument/2006/relationships/footer" Target="footer13.xml"/><Relationship Id="rId40"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5.xml"/><Relationship Id="rId36" Type="http://schemas.openxmlformats.org/officeDocument/2006/relationships/footer" Target="footer1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4.xml"/><Relationship Id="rId30" Type="http://schemas.openxmlformats.org/officeDocument/2006/relationships/image" Target="media/image18.jpg"/><Relationship Id="rId35" Type="http://schemas.openxmlformats.org/officeDocument/2006/relationships/footer" Target="footer11.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33" Type="http://schemas.openxmlformats.org/officeDocument/2006/relationships/footer" Target="footer9.xml"/><Relationship Id="rId38"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37082</Words>
  <Characters>203951</Characters>
  <Application>Microsoft Office Word</Application>
  <DocSecurity>0</DocSecurity>
  <Lines>1699</Lines>
  <Paragraphs>481</Paragraphs>
  <ScaleCrop>false</ScaleCrop>
  <Company/>
  <LinksUpToDate>false</LinksUpToDate>
  <CharactersWithSpaces>240552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SWD(2015)293/F1 - EN (annex)</dc:title>
  <dc:subject>COMMISSION STAFF WORKING DOCUMENT IMPACT ASSESSMENT Accompanying the document COMMISSION DELEGATED REGULATION supplementing Directive 2009/65/EC of the European Parliament and of the Council with regard to obligations of depositaries</dc:subject>
  <dc:creator>DG FISMA - DG Financial Stability, Financial Services and Capital Markets Union</dc:creator>
  <cp:keywords>EL4</cp:keywords>
  <cp:lastModifiedBy>RPA Frugte</cp:lastModifiedBy>
  <cp:revision>3</cp:revision>
  <dcterms:created xsi:type="dcterms:W3CDTF">2016-07-01T13:46:00Z</dcterms:created>
  <dcterms:modified xsi:type="dcterms:W3CDTF">2016-07-01T13:46:00Z</dcterms:modified>
</cp:coreProperties>
</file>