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Population denominators matter: comparing Brazilian municipal</w:t>
      </w:r>
      <w:r>
        <w:rPr>
          <w:bCs/>
          <w:b/>
        </w:rPr>
        <w:t xml:space="preserve"> </w:t>
      </w:r>
      <w:r>
        <w:rPr>
          <w:bCs/>
          <w:b/>
        </w:rPr>
        <w:t xml:space="preserve">population estimates and their impact on health indicators</w:t>
      </w:r>
    </w:p>
    <w:p>
      <w:pPr>
        <w:pStyle w:val="BodyText"/>
      </w:pPr>
      <w:r>
        <w:t xml:space="preserve">Running title: Population denominators and municipal health indicators</w:t>
      </w:r>
      <w:r>
        <w:t xml:space="preserve"> </w:t>
      </w:r>
      <w:r>
        <w:t xml:space="preserve">in Brazil</w:t>
      </w:r>
    </w:p>
    <w:bookmarkStart w:id="20" w:name="author-details"/>
    <w:p>
      <w:pPr>
        <w:pStyle w:val="Heading1"/>
      </w:pPr>
      <w:r>
        <w:t xml:space="preserve">Author details</w:t>
      </w:r>
    </w:p>
    <w:p>
      <w:pPr>
        <w:pStyle w:val="FirstParagraph"/>
      </w:pPr>
      <w:r>
        <w:t xml:space="preserve">Raphael Saldanha1*; [Co-author 2]2; [Co-author 3]3; [Co-author</w:t>
      </w:r>
      <w:r>
        <w:t xml:space="preserve"> </w:t>
      </w:r>
      <w:r>
        <w:t xml:space="preserve">4]4</w:t>
      </w:r>
    </w:p>
    <w:p>
      <w:pPr>
        <w:pStyle w:val="BodyText"/>
      </w:pPr>
      <w:r>
        <w:t xml:space="preserve">1 Institute of Scientific and Technological Communication and</w:t>
      </w:r>
      <w:r>
        <w:t xml:space="preserve"> </w:t>
      </w:r>
      <w:r>
        <w:t xml:space="preserve">Information in Health, Oswaldo Cruz Foundation (ICICT/Fiocruz), Rio de</w:t>
      </w:r>
      <w:r>
        <w:t xml:space="preserve"> </w:t>
      </w:r>
      <w:r>
        <w:t xml:space="preserve">Janeiro, Brazil.</w:t>
      </w:r>
    </w:p>
    <w:p>
      <w:pPr>
        <w:pStyle w:val="BodyText"/>
      </w:pPr>
      <w:r>
        <w:t xml:space="preserve">2 [Affiliation].</w:t>
      </w:r>
    </w:p>
    <w:p>
      <w:pPr>
        <w:pStyle w:val="BodyText"/>
      </w:pPr>
      <w:r>
        <w:t xml:space="preserve">3 [Affiliation].</w:t>
      </w:r>
    </w:p>
    <w:p>
      <w:pPr>
        <w:pStyle w:val="BodyText"/>
      </w:pPr>
      <w:r>
        <w:t xml:space="preserve">4 [Affiliation].</w:t>
      </w:r>
    </w:p>
    <w:p>
      <w:pPr>
        <w:pStyle w:val="BodyText"/>
      </w:pPr>
      <w:r>
        <w:t xml:space="preserve">* Corresponding author: Raphael Saldanha, [email address].</w:t>
      </w:r>
    </w:p>
    <w:bookmarkEnd w:id="20"/>
    <w:bookmarkStart w:id="21" w:name="abstract"/>
    <w:p>
      <w:pPr>
        <w:pStyle w:val="Heading1"/>
      </w:pPr>
      <w:r>
        <w:t xml:space="preserve">Abstract</w:t>
      </w:r>
    </w:p>
    <w:p>
      <w:pPr>
        <w:pStyle w:val="FirstParagraph"/>
      </w:pPr>
      <w:r>
        <w:rPr>
          <w:bCs/>
          <w:b/>
        </w:rPr>
        <w:t xml:space="preserve">Background:</w:t>
      </w:r>
      <w:r>
        <w:t xml:space="preserve"> </w:t>
      </w:r>
      <w:r>
        <w:t xml:space="preserve">Health indicators routinely used for surveillance,</w:t>
      </w:r>
      <w:r>
        <w:t xml:space="preserve"> </w:t>
      </w:r>
      <w:r>
        <w:t xml:space="preserve">planning and evaluation are constructed by dividing health events by</w:t>
      </w:r>
      <w:r>
        <w:t xml:space="preserve"> </w:t>
      </w:r>
      <w:r>
        <w:t xml:space="preserve">population denominators. Between censuses, however, population</w:t>
      </w:r>
      <w:r>
        <w:t xml:space="preserve"> </w:t>
      </w:r>
      <w:r>
        <w:t xml:space="preserve">denominators are estimates rather than enumerations. In Brazil, several</w:t>
      </w:r>
      <w:r>
        <w:t xml:space="preserve"> </w:t>
      </w:r>
      <w:r>
        <w:t xml:space="preserve">municipal population estimates are available for intercensal years,</w:t>
      </w:r>
      <w:r>
        <w:t xml:space="preserve"> </w:t>
      </w:r>
      <w:r>
        <w:t xml:space="preserve">including series produced or disseminated by IBGE, DataSUS and</w:t>
      </w:r>
      <w:r>
        <w:t xml:space="preserve"> </w:t>
      </w:r>
      <w:r>
        <w:t xml:space="preserve">UFRN-PPGDEM-LEPP. Differences among these denominators may propagate</w:t>
      </w:r>
      <w:r>
        <w:t xml:space="preserve"> </w:t>
      </w:r>
      <w:r>
        <w:t xml:space="preserve">into health rates, municipal rankings and the identification of priority</w:t>
      </w:r>
      <w:r>
        <w:t xml:space="preserve"> </w:t>
      </w:r>
      <w:r>
        <w:t xml:space="preserve">areas. This study aimed to compare available Brazilian municipal</w:t>
      </w:r>
      <w:r>
        <w:t xml:space="preserve"> </w:t>
      </w:r>
      <w:r>
        <w:t xml:space="preserve">population estimates and quantify the sensitivity of selected health</w:t>
      </w:r>
      <w:r>
        <w:t xml:space="preserve"> </w:t>
      </w:r>
      <w:r>
        <w:t xml:space="preserve">indicators to denominator choice.</w:t>
      </w:r>
    </w:p>
    <w:p>
      <w:pPr>
        <w:pStyle w:val="BodyText"/>
      </w:pPr>
      <w:r>
        <w:rPr>
          <w:bCs/>
          <w:b/>
        </w:rPr>
        <w:t xml:space="preserve">Methods:</w:t>
      </w:r>
      <w:r>
        <w:t xml:space="preserve"> </w:t>
      </w:r>
      <w:r>
        <w:t xml:space="preserve">We designed an ecological methodological study of Brazilian</w:t>
      </w:r>
      <w:r>
        <w:t xml:space="preserve"> </w:t>
      </w:r>
      <w:r>
        <w:t xml:space="preserve">municipalities and calendar years for which overlapping population</w:t>
      </w:r>
      <w:r>
        <w:t xml:space="preserve"> </w:t>
      </w:r>
      <w:r>
        <w:t xml:space="preserve">estimates were available. Population denominators were retrieved and</w:t>
      </w:r>
      <w:r>
        <w:t xml:space="preserve"> </w:t>
      </w:r>
      <w:r>
        <w:t xml:space="preserve">harmonised using the brpop R package. We compared estimates pairwise and</w:t>
      </w:r>
      <w:r>
        <w:t xml:space="preserve"> </w:t>
      </w:r>
      <w:r>
        <w:t xml:space="preserve">against a reference denominator, calculated relative and absolute</w:t>
      </w:r>
      <w:r>
        <w:t xml:space="preserve"> </w:t>
      </w:r>
      <w:r>
        <w:t xml:space="preserve">differences, and stratified results by year, population size and</w:t>
      </w:r>
      <w:r>
        <w:t xml:space="preserve"> </w:t>
      </w:r>
      <w:r>
        <w:t xml:space="preserve">denominator source. For selected health numerators aggregated by</w:t>
      </w:r>
      <w:r>
        <w:t xml:space="preserve"> </w:t>
      </w:r>
      <w:r>
        <w:t xml:space="preserve">municipality and year, we calculated crude rates per 100,000 inhabitants</w:t>
      </w:r>
      <w:r>
        <w:t xml:space="preserve"> </w:t>
      </w:r>
      <w:r>
        <w:t xml:space="preserve">using each denominator source. We then quantified changes in rates,</w:t>
      </w:r>
      <w:r>
        <w:t xml:space="preserve"> </w:t>
      </w:r>
      <w:r>
        <w:t xml:space="preserve">rankings, quintile classifications and top-decile priority sets.</w:t>
      </w:r>
      <w:r>
        <w:t xml:space="preserve"> </w:t>
      </w:r>
      <w:r>
        <w:t xml:space="preserve">Optional scripts support direct age-sex standardisation when numerator</w:t>
      </w:r>
      <w:r>
        <w:t xml:space="preserve"> </w:t>
      </w:r>
      <w:r>
        <w:t xml:space="preserve">data are available by age group and sex.</w:t>
      </w:r>
    </w:p>
    <w:p>
      <w:pPr>
        <w:pStyle w:val="BodyText"/>
      </w:pPr>
      <w:r>
        <w:rPr>
          <w:bCs/>
          <w:b/>
        </w:rPr>
        <w:t xml:space="preserve">Results:</w:t>
      </w:r>
      <w:r>
        <w:t xml:space="preserve"> </w:t>
      </w:r>
      <w:r>
        <w:t xml:space="preserve">The workflow retrieved 518,607 source-specific municipality-year population records from four denominator sources covering 2000-2030 overall, with complete overlap across all four sources for 66,840 municipality-year records from 5,570 municipalities during 2010-2021. Compared with IBGE, median absolute relative population differences were 1.82% for DataSUS, 2.51% for DataSUS 2024 and 2.12% for UFRN; 95th-percentile absolute differences were 10.18%, 13.14% and 15.74%, respectively. The health-indicator application used 91,242 municipality-year dengue notification records for 5,069 municipalities from 2007-2024, totaling 22,031,937 notified cases. Median absolute relative differences in dengue rates were 1.20% for DataSUS, 2.41% for DataSUS 2024 and 2.16% for UFRN. Median absolute rank displacement was 1, 7 and 6 positions, respectively. Quintile reclassification affected 0.76%, 1.74% and 2.15% of municipality-year records, with no municipality shifting by two or more quintiles.</w:t>
      </w:r>
    </w:p>
    <w:p>
      <w:pPr>
        <w:pStyle w:val="BodyText"/>
      </w:pPr>
      <w:r>
        <w:rPr>
          <w:bCs/>
          <w:b/>
        </w:rPr>
        <w:t xml:space="preserve">Conclusions:</w:t>
      </w:r>
      <w:r>
        <w:t xml:space="preserve"> </w:t>
      </w:r>
      <w:r>
        <w:t xml:space="preserve">Denominator choice is a measurable source of</w:t>
      </w:r>
      <w:r>
        <w:t xml:space="preserve"> </w:t>
      </w:r>
      <w:r>
        <w:t xml:space="preserve">uncertainty in small-area health indicators. The proposed workflow</w:t>
      </w:r>
      <w:r>
        <w:t xml:space="preserve"> </w:t>
      </w:r>
      <w:r>
        <w:t xml:space="preserve">offers a reproducible way to document this uncertainty, identify</w:t>
      </w:r>
      <w:r>
        <w:t xml:space="preserve"> </w:t>
      </w:r>
      <w:r>
        <w:t xml:space="preserve">indicators and territories most sensitive to denominator selection, and</w:t>
      </w:r>
      <w:r>
        <w:t xml:space="preserve"> </w:t>
      </w:r>
      <w:r>
        <w:t xml:space="preserve">support transparent reporting of municipal health rates in Brazil.</w:t>
      </w:r>
      <w:r>
        <w:t xml:space="preserve"> </w:t>
      </w:r>
      <w:r>
        <w:t xml:space="preserve">Routine denominator sensitivity analysis should accompany health</w:t>
      </w:r>
      <w:r>
        <w:t xml:space="preserve"> </w:t>
      </w:r>
      <w:r>
        <w:t xml:space="preserve">indicators used for surveillance, equity monitoring and policy</w:t>
      </w:r>
      <w:r>
        <w:t xml:space="preserve"> </w:t>
      </w:r>
      <w:r>
        <w:t xml:space="preserve">prioritisation.</w:t>
      </w:r>
    </w:p>
    <w:bookmarkEnd w:id="21"/>
    <w:bookmarkStart w:id="22" w:name="keywords"/>
    <w:p>
      <w:pPr>
        <w:pStyle w:val="Heading1"/>
      </w:pPr>
      <w:r>
        <w:t xml:space="preserve">Keywords</w:t>
      </w:r>
    </w:p>
    <w:p>
      <w:pPr>
        <w:pStyle w:val="FirstParagraph"/>
      </w:pPr>
      <w:r>
        <w:t xml:space="preserve">Population estimates; denominator uncertainty; health indicators;</w:t>
      </w:r>
      <w:r>
        <w:t xml:space="preserve"> </w:t>
      </w:r>
      <w:r>
        <w:t xml:space="preserve">small-area epidemiology; municipalities; Brazil; R package; reproducible</w:t>
      </w:r>
      <w:r>
        <w:t xml:space="preserve"> </w:t>
      </w:r>
      <w:r>
        <w:t xml:space="preserve">research.</w:t>
      </w:r>
    </w:p>
    <w:bookmarkEnd w:id="22"/>
    <w:bookmarkStart w:id="23" w:name="background"/>
    <w:p>
      <w:pPr>
        <w:pStyle w:val="Heading1"/>
      </w:pPr>
      <w:r>
        <w:t xml:space="preserve">Background</w:t>
      </w:r>
    </w:p>
    <w:p>
      <w:pPr>
        <w:pStyle w:val="FirstParagraph"/>
      </w:pPr>
      <w:r>
        <w:t xml:space="preserve">Population denominators are a basic but consequential component of</w:t>
      </w:r>
      <w:r>
        <w:t xml:space="preserve"> </w:t>
      </w:r>
      <w:r>
        <w:t xml:space="preserve">population health measurement. Incidence, mortality, hospitalisation and</w:t>
      </w:r>
      <w:r>
        <w:t xml:space="preserve"> </w:t>
      </w:r>
      <w:r>
        <w:t xml:space="preserve">notification rates are usually interpreted as properties of populations</w:t>
      </w:r>
      <w:r>
        <w:t xml:space="preserve"> </w:t>
      </w:r>
      <w:r>
        <w:t xml:space="preserve">and places, but their numerical values depend on the population at risk</w:t>
      </w:r>
      <w:r>
        <w:t xml:space="preserve"> </w:t>
      </w:r>
      <w:r>
        <w:t xml:space="preserve">used in the denominator. In national and subnational health information</w:t>
      </w:r>
      <w:r>
        <w:t xml:space="preserve"> </w:t>
      </w:r>
      <w:r>
        <w:t xml:space="preserve">systems, denominators are often treated as fixed quantities, even when</w:t>
      </w:r>
      <w:r>
        <w:t xml:space="preserve"> </w:t>
      </w:r>
      <w:r>
        <w:t xml:space="preserve">they are projections or model-based estimates rather than census</w:t>
      </w:r>
      <w:r>
        <w:t xml:space="preserve"> </w:t>
      </w:r>
      <w:r>
        <w:t xml:space="preserve">enumerations. This assumption is especially important for small-area</w:t>
      </w:r>
      <w:r>
        <w:t xml:space="preserve"> </w:t>
      </w:r>
      <w:r>
        <w:t xml:space="preserve">epidemiology, where population denominators are more sensitive to</w:t>
      </w:r>
      <w:r>
        <w:t xml:space="preserve"> </w:t>
      </w:r>
      <w:r>
        <w:t xml:space="preserve">migration, boundary changes, ageing, fertility and mortality</w:t>
      </w:r>
      <w:r>
        <w:t xml:space="preserve"> </w:t>
      </w:r>
      <w:r>
        <w:t xml:space="preserve">assumptions.</w:t>
      </w:r>
    </w:p>
    <w:p>
      <w:pPr>
        <w:pStyle w:val="BodyText"/>
      </w:pPr>
      <w:r>
        <w:t xml:space="preserve">Previous studies have shown that small-area demographic estimates may</w:t>
      </w:r>
      <w:r>
        <w:t xml:space="preserve"> </w:t>
      </w:r>
      <w:r>
        <w:t xml:space="preserve">contain substantial error and that such error can affect prevalence and</w:t>
      </w:r>
      <w:r>
        <w:t xml:space="preserve"> </w:t>
      </w:r>
      <w:r>
        <w:t xml:space="preserve">rate statistics. Baker et al. evaluated small-area demographic estimates</w:t>
      </w:r>
      <w:r>
        <w:t xml:space="preserve"> </w:t>
      </w:r>
      <w:r>
        <w:t xml:space="preserve">and argued that denominator error deserves more explicit consideration</w:t>
      </w:r>
      <w:r>
        <w:t xml:space="preserve"> </w:t>
      </w:r>
      <w:r>
        <w:t xml:space="preserve">in epidemiologic surveillance. Fecht et al. emphasized that temporally</w:t>
      </w:r>
      <w:r>
        <w:t xml:space="preserve"> </w:t>
      </w:r>
      <w:r>
        <w:t xml:space="preserve">and spatially detailed population counts are essential for computing</w:t>
      </w:r>
      <w:r>
        <w:t xml:space="preserve"> </w:t>
      </w:r>
      <w:r>
        <w:t xml:space="preserve">rates and risks in small-area health studies. Tatem likewise highlighted</w:t>
      </w:r>
      <w:r>
        <w:t xml:space="preserve"> </w:t>
      </w:r>
      <w:r>
        <w:t xml:space="preserve">that subnational population data are foundational for disease</w:t>
      </w:r>
      <w:r>
        <w:t xml:space="preserve"> </w:t>
      </w:r>
      <w:r>
        <w:t xml:space="preserve">surveillance and response, while outdated or inaccurate denominators can</w:t>
      </w:r>
      <w:r>
        <w:t xml:space="preserve"> </w:t>
      </w:r>
      <w:r>
        <w:t xml:space="preserve">limit the interpretation of risk and intervention needs.</w:t>
      </w:r>
    </w:p>
    <w:p>
      <w:pPr>
        <w:pStyle w:val="BodyText"/>
      </w:pPr>
      <w:r>
        <w:t xml:space="preserve">Brazil offers a particularly relevant setting for examining denominator</w:t>
      </w:r>
      <w:r>
        <w:t xml:space="preserve"> </w:t>
      </w:r>
      <w:r>
        <w:t xml:space="preserve">sensitivity. Municipalities are central units for the organisation,</w:t>
      </w:r>
      <w:r>
        <w:t xml:space="preserve"> </w:t>
      </w:r>
      <w:r>
        <w:t xml:space="preserve">financing and management of the Sistema Unico de Saude (SUS), and</w:t>
      </w:r>
      <w:r>
        <w:t xml:space="preserve"> </w:t>
      </w:r>
      <w:r>
        <w:t xml:space="preserve">municipal health indicators are widely used for surveillance, planning,</w:t>
      </w:r>
      <w:r>
        <w:t xml:space="preserve"> </w:t>
      </w:r>
      <w:r>
        <w:t xml:space="preserve">resource allocation and evaluation. Between censuses, however,</w:t>
      </w:r>
      <w:r>
        <w:t xml:space="preserve"> </w:t>
      </w:r>
      <w:r>
        <w:t xml:space="preserve">population counts are estimated through different institutional and</w:t>
      </w:r>
      <w:r>
        <w:t xml:space="preserve"> </w:t>
      </w:r>
      <w:r>
        <w:t xml:space="preserve">methodological processes. The Brazilian Institute of Geography and</w:t>
      </w:r>
      <w:r>
        <w:t xml:space="preserve"> </w:t>
      </w:r>
      <w:r>
        <w:t xml:space="preserve">Statistics (IBGE) publishes annual resident population estimates for</w:t>
      </w:r>
      <w:r>
        <w:t xml:space="preserve"> </w:t>
      </w:r>
      <w:r>
        <w:t xml:space="preserve">municipalities and Federation Units, used for administrative and</w:t>
      </w:r>
      <w:r>
        <w:t xml:space="preserve"> </w:t>
      </w:r>
      <w:r>
        <w:t xml:space="preserve">statistical purposes. DataSUS disseminates age- and sex-specific</w:t>
      </w:r>
      <w:r>
        <w:t xml:space="preserve"> </w:t>
      </w:r>
      <w:r>
        <w:t xml:space="preserve">resident population estimates used in health information systems.</w:t>
      </w:r>
      <w:r>
        <w:t xml:space="preserve"> </w:t>
      </w:r>
      <w:r>
        <w:t xml:space="preserve">UFRN-PPGDEM-LEPP provides municipal demographic estimates and</w:t>
      </w:r>
      <w:r>
        <w:t xml:space="preserve"> </w:t>
      </w:r>
      <w:r>
        <w:t xml:space="preserve">projections, including age and sex structures, derived from demographic</w:t>
      </w:r>
      <w:r>
        <w:t xml:space="preserve"> </w:t>
      </w:r>
      <w:r>
        <w:t xml:space="preserve">modelling approaches.</w:t>
      </w:r>
    </w:p>
    <w:p>
      <w:pPr>
        <w:pStyle w:val="BodyText"/>
      </w:pPr>
      <w:r>
        <w:t xml:space="preserve">The availability of multiple denominator series is valuable because each</w:t>
      </w:r>
      <w:r>
        <w:t xml:space="preserve"> </w:t>
      </w:r>
      <w:r>
        <w:t xml:space="preserve">source can serve different analytical needs. At the same time, the</w:t>
      </w:r>
      <w:r>
        <w:t xml:space="preserve"> </w:t>
      </w:r>
      <w:r>
        <w:t xml:space="preserve">coexistence of alternative estimates creates a methodological question</w:t>
      </w:r>
      <w:r>
        <w:t xml:space="preserve"> </w:t>
      </w:r>
      <w:r>
        <w:t xml:space="preserve">for public health research: how much do health indicators change when a</w:t>
      </w:r>
      <w:r>
        <w:t xml:space="preserve"> </w:t>
      </w:r>
      <w:r>
        <w:t xml:space="preserve">different denominator is selected? This question is not merely</w:t>
      </w:r>
      <w:r>
        <w:t xml:space="preserve"> </w:t>
      </w:r>
      <w:r>
        <w:t xml:space="preserve">technical. Changes in the denominator may alter municipal rates, spatial</w:t>
      </w:r>
      <w:r>
        <w:t xml:space="preserve"> </w:t>
      </w:r>
      <w:r>
        <w:t xml:space="preserve">patterns, trend interpretation, prioritisation of high-risk areas and</w:t>
      </w:r>
      <w:r>
        <w:t xml:space="preserve"> </w:t>
      </w:r>
      <w:r>
        <w:t xml:space="preserve">conclusions about inequalities. For indicators used in health</w:t>
      </w:r>
      <w:r>
        <w:t xml:space="preserve"> </w:t>
      </w:r>
      <w:r>
        <w:t xml:space="preserve">surveillance or funding decisions, even modest denominator differences</w:t>
      </w:r>
      <w:r>
        <w:t xml:space="preserve"> </w:t>
      </w:r>
      <w:r>
        <w:t xml:space="preserve">may influence decisions when applied across thousands of municipalities</w:t>
      </w:r>
      <w:r>
        <w:t xml:space="preserve"> </w:t>
      </w:r>
      <w:r>
        <w:t xml:space="preserve">and repeated annually.</w:t>
      </w:r>
    </w:p>
    <w:p>
      <w:pPr>
        <w:pStyle w:val="BodyText"/>
      </w:pPr>
      <w:r>
        <w:t xml:space="preserve">The brpop R package was developed to make these denominator series</w:t>
      </w:r>
      <w:r>
        <w:t xml:space="preserve"> </w:t>
      </w:r>
      <w:r>
        <w:t xml:space="preserve">easier to access and compare. It provides Brazilian population estimates</w:t>
      </w:r>
      <w:r>
        <w:t xml:space="preserve"> </w:t>
      </w:r>
      <w:r>
        <w:t xml:space="preserve">by year, municipality, state, sex and age group from available sources,</w:t>
      </w:r>
      <w:r>
        <w:t xml:space="preserve"> </w:t>
      </w:r>
      <w:r>
        <w:t xml:space="preserve">including DataSUS, UFRN-PPGDEM-LEPP and IBGE total municipal estimates.</w:t>
      </w:r>
      <w:r>
        <w:t xml:space="preserve"> </w:t>
      </w:r>
      <w:r>
        <w:t xml:space="preserve">This manuscript uses brpop as the reproducibility layer for a</w:t>
      </w:r>
      <w:r>
        <w:t xml:space="preserve"> </w:t>
      </w:r>
      <w:r>
        <w:t xml:space="preserve">denominator sensitivity analysis. The objectives were: (1) to compare</w:t>
      </w:r>
      <w:r>
        <w:t xml:space="preserve"> </w:t>
      </w:r>
      <w:r>
        <w:t xml:space="preserve">available Brazilian municipal population estimates across overlapping</w:t>
      </w:r>
      <w:r>
        <w:t xml:space="preserve"> </w:t>
      </w:r>
      <w:r>
        <w:t xml:space="preserve">years; (2) to quantify how denominator choice affects selected municipal</w:t>
      </w:r>
      <w:r>
        <w:t xml:space="preserve"> </w:t>
      </w:r>
      <w:r>
        <w:t xml:space="preserve">health indicators; and (3) to propose a reproducible workflow for</w:t>
      </w:r>
      <w:r>
        <w:t xml:space="preserve"> </w:t>
      </w:r>
      <w:r>
        <w:t xml:space="preserve">reporting denominator sensitivity in Brazilian population health</w:t>
      </w:r>
      <w:r>
        <w:t xml:space="preserve"> </w:t>
      </w:r>
      <w:r>
        <w:t xml:space="preserve">studies.</w:t>
      </w:r>
    </w:p>
    <w:bookmarkEnd w:id="23"/>
    <w:bookmarkStart w:id="34" w:name="methods"/>
    <w:p>
      <w:pPr>
        <w:pStyle w:val="Heading1"/>
      </w:pPr>
      <w:r>
        <w:t xml:space="preserve">Methods</w:t>
      </w:r>
    </w:p>
    <w:bookmarkStart w:id="24" w:name="study-design-and-setting"/>
    <w:p>
      <w:pPr>
        <w:pStyle w:val="Heading2"/>
      </w:pPr>
      <w:r>
        <w:t xml:space="preserve">Study design and setting</w:t>
      </w:r>
    </w:p>
    <w:p>
      <w:pPr>
        <w:pStyle w:val="FirstParagraph"/>
      </w:pPr>
      <w:r>
        <w:t xml:space="preserve">We conducted an ecological methodological study of Brazilian</w:t>
      </w:r>
      <w:r>
        <w:t xml:space="preserve"> </w:t>
      </w:r>
      <w:r>
        <w:t xml:space="preserve">municipalities using calendar-year population denominator series and</w:t>
      </w:r>
      <w:r>
        <w:t xml:space="preserve"> </w:t>
      </w:r>
      <w:r>
        <w:t xml:space="preserve">municipality-year health event counts. The unit of analysis was the</w:t>
      </w:r>
      <w:r>
        <w:t xml:space="preserve"> </w:t>
      </w:r>
      <w:r>
        <w:t xml:space="preserve">municipality-year, with optional extensions to age-sex strata when</w:t>
      </w:r>
      <w:r>
        <w:t xml:space="preserve"> </w:t>
      </w:r>
      <w:r>
        <w:t xml:space="preserve">health numerators were available by age group and sex. The study was</w:t>
      </w:r>
      <w:r>
        <w:t xml:space="preserve"> </w:t>
      </w:r>
      <w:r>
        <w:t xml:space="preserve">designed as a sensitivity analysis rather than as an evaluation of the</w:t>
      </w:r>
      <w:r>
        <w:t xml:space="preserve"> </w:t>
      </w:r>
      <w:r>
        <w:t xml:space="preserve">demographic correctness of any single population series. Its purpose was</w:t>
      </w:r>
      <w:r>
        <w:t xml:space="preserve"> </w:t>
      </w:r>
      <w:r>
        <w:t xml:space="preserve">to quantify the consequences of denominator choice for health indicators</w:t>
      </w:r>
      <w:r>
        <w:t xml:space="preserve"> </w:t>
      </w:r>
      <w:r>
        <w:t xml:space="preserve">as they are commonly produced in surveillance and epidemiological</w:t>
      </w:r>
      <w:r>
        <w:t xml:space="preserve"> </w:t>
      </w:r>
      <w:r>
        <w:t xml:space="preserve">practice.</w:t>
      </w:r>
    </w:p>
    <w:p>
      <w:pPr>
        <w:pStyle w:val="BodyText"/>
      </w:pPr>
      <w:r>
        <w:t xml:space="preserve">The analysis was organised around two complementary components. First,</w:t>
      </w:r>
      <w:r>
        <w:t xml:space="preserve"> </w:t>
      </w:r>
      <w:r>
        <w:t xml:space="preserve">we compared population denominators from different sources across</w:t>
      </w:r>
      <w:r>
        <w:t xml:space="preserve"> </w:t>
      </w:r>
      <w:r>
        <w:t xml:space="preserve">overlapping municipality-year records. Second, we applied each</w:t>
      </w:r>
      <w:r>
        <w:t xml:space="preserve"> </w:t>
      </w:r>
      <w:r>
        <w:t xml:space="preserve">denominator to the same health numerator dataset and examined how rates,</w:t>
      </w:r>
      <w:r>
        <w:t xml:space="preserve"> </w:t>
      </w:r>
      <w:r>
        <w:t xml:space="preserve">rankings and priority classifications changed. The primary workflow</w:t>
      </w:r>
      <w:r>
        <w:t xml:space="preserve"> </w:t>
      </w:r>
      <w:r>
        <w:t xml:space="preserve">focused on crude annual rates per 100,000 inhabitants because these are</w:t>
      </w:r>
      <w:r>
        <w:t xml:space="preserve"> </w:t>
      </w:r>
      <w:r>
        <w:t xml:space="preserve">common in municipal health surveillance. A secondary workflow supported</w:t>
      </w:r>
      <w:r>
        <w:t xml:space="preserve"> </w:t>
      </w:r>
      <w:r>
        <w:t xml:space="preserve">direct age-sex standardisation when the numerator dataset contained</w:t>
      </w:r>
      <w:r>
        <w:t xml:space="preserve"> </w:t>
      </w:r>
      <w:r>
        <w:t xml:space="preserve">compatible age-sex strata.</w:t>
      </w:r>
    </w:p>
    <w:bookmarkEnd w:id="24"/>
    <w:bookmarkStart w:id="25" w:name="population-denominator-data-sources"/>
    <w:p>
      <w:pPr>
        <w:pStyle w:val="Heading2"/>
      </w:pPr>
      <w:r>
        <w:t xml:space="preserve">Population denominator data sources</w:t>
      </w:r>
    </w:p>
    <w:p>
      <w:pPr>
        <w:pStyle w:val="FirstParagraph"/>
      </w:pPr>
      <w:r>
        <w:t xml:space="preserve">Population estimates were retrieved with brpop version 0.6.2. The</w:t>
      </w:r>
      <w:r>
        <w:t xml:space="preserve"> </w:t>
      </w:r>
      <w:r>
        <w:t xml:space="preserve">package documentation describes it as providing yearly Brazilian</w:t>
      </w:r>
      <w:r>
        <w:t xml:space="preserve"> </w:t>
      </w:r>
      <w:r>
        <w:t xml:space="preserve">population estimates aggregated by state, municipality, sex and age</w:t>
      </w:r>
      <w:r>
        <w:t xml:space="preserve"> </w:t>
      </w:r>
      <w:r>
        <w:t xml:space="preserve">group, with functions for total population and age-sex-specific</w:t>
      </w:r>
      <w:r>
        <w:t xml:space="preserve"> </w:t>
      </w:r>
      <w:r>
        <w:t xml:space="preserve">denominators. The sources evaluated in the reproducible workflow are</w:t>
      </w:r>
      <w:r>
        <w:t xml:space="preserve"> </w:t>
      </w:r>
      <w:r>
        <w:t xml:space="preserve">summarised in Table 1.</w:t>
      </w:r>
    </w:p>
    <w:tbl>
      <w:tblPr>
        <w:tblStyle w:val="Table"/>
        <w:tblW w:type="pct" w:w="4888"/>
        <w:tblLook w:firstRow="1" w:lastRow="0" w:firstColumn="0" w:lastColumn="0" w:noHBand="0" w:noVBand="0" w:val="0020"/>
        <w:jc w:val="start"/>
      </w:tblPr>
      <w:tblGrid>
        <w:gridCol w:w="1334"/>
        <w:gridCol w:w="2224"/>
        <w:gridCol w:w="1334"/>
        <w:gridCol w:w="1423"/>
        <w:gridCol w:w="1423"/>
      </w:tblGrid>
      <w:tr>
        <w:trPr>
          <w:tblHeader w:val="true"/>
        </w:trPr>
        <w:tc>
          <w:tcPr/>
          <w:p>
            <w:pPr>
              <w:pStyle w:val="Compact"/>
              <w:jc w:val="left"/>
            </w:pPr>
            <w:r>
              <w:rPr>
                <w:bCs/>
                <w:b/>
              </w:rPr>
              <w:t xml:space="preserve">Source label</w:t>
            </w:r>
            <w:r>
              <w:rPr>
                <w:bCs/>
                <w:b/>
              </w:rPr>
              <w:t xml:space="preserve"> </w:t>
            </w:r>
            <w:r>
              <w:rPr>
                <w:bCs/>
                <w:b/>
              </w:rPr>
              <w:t xml:space="preserve">in code</w:t>
            </w:r>
          </w:p>
        </w:tc>
        <w:tc>
          <w:tcPr/>
          <w:p>
            <w:pPr>
              <w:pStyle w:val="Compact"/>
              <w:jc w:val="left"/>
            </w:pPr>
            <w:r>
              <w:rPr>
                <w:bCs/>
                <w:b/>
              </w:rPr>
              <w:t xml:space="preserve">Institution/source</w:t>
            </w:r>
          </w:p>
        </w:tc>
        <w:tc>
          <w:tcPr/>
          <w:p>
            <w:pPr>
              <w:pStyle w:val="Compact"/>
              <w:jc w:val="left"/>
            </w:pPr>
            <w:r>
              <w:rPr>
                <w:bCs/>
                <w:b/>
              </w:rPr>
              <w:t xml:space="preserve">Temporal</w:t>
            </w:r>
            <w:r>
              <w:rPr>
                <w:bCs/>
                <w:b/>
              </w:rPr>
              <w:t xml:space="preserve"> </w:t>
            </w:r>
            <w:r>
              <w:rPr>
                <w:bCs/>
                <w:b/>
              </w:rPr>
              <w:t xml:space="preserve">coverage in</w:t>
            </w:r>
            <w:r>
              <w:rPr>
                <w:bCs/>
                <w:b/>
              </w:rPr>
              <w:t xml:space="preserve"> </w:t>
            </w:r>
            <w:r>
              <w:rPr>
                <w:bCs/>
                <w:b/>
              </w:rPr>
              <w:t xml:space="preserve">brpop</w:t>
            </w:r>
          </w:p>
        </w:tc>
        <w:tc>
          <w:tcPr/>
          <w:p>
            <w:pPr>
              <w:pStyle w:val="Compact"/>
              <w:jc w:val="left"/>
            </w:pPr>
            <w:r>
              <w:rPr>
                <w:bCs/>
                <w:b/>
              </w:rPr>
              <w:t xml:space="preserve">Population</w:t>
            </w:r>
            <w:r>
              <w:rPr>
                <w:bCs/>
                <w:b/>
              </w:rPr>
              <w:t xml:space="preserve"> </w:t>
            </w:r>
            <w:r>
              <w:rPr>
                <w:bCs/>
                <w:b/>
              </w:rPr>
              <w:t xml:space="preserve">structure</w:t>
            </w:r>
          </w:p>
        </w:tc>
        <w:tc>
          <w:tcPr/>
          <w:p>
            <w:pPr>
              <w:pStyle w:val="Compact"/>
              <w:jc w:val="left"/>
            </w:pPr>
            <w:r>
              <w:rPr>
                <w:bCs/>
                <w:b/>
              </w:rPr>
              <w:t xml:space="preserve">Use in</w:t>
            </w:r>
            <w:r>
              <w:rPr>
                <w:bCs/>
                <w:b/>
              </w:rPr>
              <w:t xml:space="preserve"> </w:t>
            </w:r>
            <w:r>
              <w:rPr>
                <w:bCs/>
                <w:b/>
              </w:rPr>
              <w:t xml:space="preserve">analysis</w:t>
            </w:r>
          </w:p>
        </w:tc>
      </w:tr>
      <w:tr>
        <w:tc>
          <w:tcPr/>
          <w:p>
            <w:pPr>
              <w:pStyle w:val="Compact"/>
              <w:jc w:val="left"/>
            </w:pPr>
            <w:r>
              <w:t xml:space="preserve">datasus</w:t>
            </w:r>
          </w:p>
        </w:tc>
        <w:tc>
          <w:tcPr/>
          <w:p>
            <w:pPr>
              <w:pStyle w:val="Compact"/>
              <w:jc w:val="left"/>
            </w:pPr>
            <w:r>
              <w:t xml:space="preserve">DataSUS resident</w:t>
            </w:r>
            <w:r>
              <w:t xml:space="preserve"> </w:t>
            </w:r>
            <w:r>
              <w:t xml:space="preserve">population estimates</w:t>
            </w:r>
          </w:p>
        </w:tc>
        <w:tc>
          <w:tcPr/>
          <w:p>
            <w:pPr>
              <w:pStyle w:val="Compact"/>
              <w:jc w:val="left"/>
            </w:pPr>
            <w:r>
              <w:t xml:space="preserve">2000-2021</w:t>
            </w:r>
          </w:p>
        </w:tc>
        <w:tc>
          <w:tcPr/>
          <w:p>
            <w:pPr>
              <w:pStyle w:val="Compact"/>
              <w:jc w:val="left"/>
            </w:pPr>
            <w:r>
              <w:t xml:space="preserve">Municipality,</w:t>
            </w:r>
            <w:r>
              <w:t xml:space="preserve"> </w:t>
            </w:r>
            <w:r>
              <w:t xml:space="preserve">year, sex and</w:t>
            </w:r>
            <w:r>
              <w:t xml:space="preserve"> </w:t>
            </w:r>
            <w:r>
              <w:t xml:space="preserve">age group</w:t>
            </w:r>
          </w:p>
        </w:tc>
        <w:tc>
          <w:tcPr/>
          <w:p>
            <w:pPr>
              <w:pStyle w:val="Compact"/>
              <w:jc w:val="left"/>
            </w:pPr>
            <w:r>
              <w:t xml:space="preserve">Age-sex</w:t>
            </w:r>
            <w:r>
              <w:t xml:space="preserve"> </w:t>
            </w:r>
            <w:r>
              <w:t xml:space="preserve">denominators</w:t>
            </w:r>
            <w:r>
              <w:t xml:space="preserve"> </w:t>
            </w:r>
            <w:r>
              <w:t xml:space="preserve">and crude</w:t>
            </w:r>
            <w:r>
              <w:t xml:space="preserve"> </w:t>
            </w:r>
            <w:r>
              <w:t xml:space="preserve">totals.</w:t>
            </w:r>
          </w:p>
        </w:tc>
      </w:tr>
      <w:tr>
        <w:tc>
          <w:tcPr/>
          <w:p>
            <w:pPr>
              <w:pStyle w:val="Compact"/>
              <w:jc w:val="left"/>
            </w:pPr>
            <w:r>
              <w:t xml:space="preserve">datasus2024</w:t>
            </w:r>
          </w:p>
        </w:tc>
        <w:tc>
          <w:tcPr/>
          <w:p>
            <w:pPr>
              <w:pStyle w:val="Compact"/>
              <w:jc w:val="left"/>
            </w:pPr>
            <w:r>
              <w:t xml:space="preserve">Updated DataSUS</w:t>
            </w:r>
            <w:r>
              <w:t xml:space="preserve"> </w:t>
            </w:r>
            <w:r>
              <w:t xml:space="preserve">estimates made available</w:t>
            </w:r>
            <w:r>
              <w:t xml:space="preserve"> </w:t>
            </w:r>
            <w:r>
              <w:t xml:space="preserve">in brpop</w:t>
            </w:r>
          </w:p>
        </w:tc>
        <w:tc>
          <w:tcPr/>
          <w:p>
            <w:pPr>
              <w:pStyle w:val="Compact"/>
              <w:jc w:val="left"/>
            </w:pPr>
            <w:r>
              <w:t xml:space="preserve">2000-2024</w:t>
            </w:r>
          </w:p>
        </w:tc>
        <w:tc>
          <w:tcPr/>
          <w:p>
            <w:pPr>
              <w:pStyle w:val="Compact"/>
              <w:jc w:val="left"/>
            </w:pPr>
            <w:r>
              <w:t xml:space="preserve">Municipality,</w:t>
            </w:r>
            <w:r>
              <w:t xml:space="preserve"> </w:t>
            </w:r>
            <w:r>
              <w:t xml:space="preserve">year, sex and</w:t>
            </w:r>
            <w:r>
              <w:t xml:space="preserve"> </w:t>
            </w:r>
            <w:r>
              <w:t xml:space="preserve">age group</w:t>
            </w:r>
          </w:p>
        </w:tc>
        <w:tc>
          <w:tcPr/>
          <w:p>
            <w:pPr>
              <w:pStyle w:val="Compact"/>
              <w:jc w:val="left"/>
            </w:pPr>
            <w:r>
              <w:t xml:space="preserve">Age-sex</w:t>
            </w:r>
            <w:r>
              <w:t xml:space="preserve"> </w:t>
            </w:r>
            <w:r>
              <w:t xml:space="preserve">denominators</w:t>
            </w:r>
            <w:r>
              <w:t xml:space="preserve"> </w:t>
            </w:r>
            <w:r>
              <w:t xml:space="preserve">and</w:t>
            </w:r>
            <w:r>
              <w:t xml:space="preserve"> </w:t>
            </w:r>
            <w:r>
              <w:t xml:space="preserve">alternative</w:t>
            </w:r>
            <w:r>
              <w:t xml:space="preserve"> </w:t>
            </w:r>
            <w:r>
              <w:t xml:space="preserve">crude totals.</w:t>
            </w:r>
          </w:p>
        </w:tc>
      </w:tr>
      <w:tr>
        <w:tc>
          <w:tcPr/>
          <w:p>
            <w:pPr>
              <w:pStyle w:val="Compact"/>
              <w:jc w:val="left"/>
            </w:pPr>
            <w:r>
              <w:t xml:space="preserve">ibge</w:t>
            </w:r>
          </w:p>
        </w:tc>
        <w:tc>
          <w:tcPr/>
          <w:p>
            <w:pPr>
              <w:pStyle w:val="Compact"/>
              <w:jc w:val="left"/>
            </w:pPr>
            <w:r>
              <w:t xml:space="preserve">IBGE municipal resident</w:t>
            </w:r>
            <w:r>
              <w:t xml:space="preserve"> </w:t>
            </w:r>
            <w:r>
              <w:t xml:space="preserve">population estimates,</w:t>
            </w:r>
            <w:r>
              <w:t xml:space="preserve"> </w:t>
            </w:r>
            <w:r>
              <w:t xml:space="preserve">census and population</w:t>
            </w:r>
            <w:r>
              <w:t xml:space="preserve"> </w:t>
            </w:r>
            <w:r>
              <w:t xml:space="preserve">counts</w:t>
            </w:r>
          </w:p>
        </w:tc>
        <w:tc>
          <w:tcPr/>
          <w:p>
            <w:pPr>
              <w:pStyle w:val="Compact"/>
              <w:jc w:val="left"/>
            </w:pPr>
            <w:r>
              <w:t xml:space="preserve">2000-2024 in</w:t>
            </w:r>
            <w:r>
              <w:t xml:space="preserve"> </w:t>
            </w:r>
            <w:r>
              <w:t xml:space="preserve">brpop; annual</w:t>
            </w:r>
            <w:r>
              <w:t xml:space="preserve"> </w:t>
            </w:r>
            <w:r>
              <w:t xml:space="preserve">estimates</w:t>
            </w:r>
            <w:r>
              <w:t xml:space="preserve"> </w:t>
            </w:r>
            <w:r>
              <w:t xml:space="preserve">continue to be</w:t>
            </w:r>
            <w:r>
              <w:t xml:space="preserve"> </w:t>
            </w:r>
            <w:r>
              <w:t xml:space="preserve">published by</w:t>
            </w:r>
            <w:r>
              <w:t xml:space="preserve"> </w:t>
            </w:r>
            <w:r>
              <w:t xml:space="preserve">IBGE</w:t>
            </w:r>
          </w:p>
        </w:tc>
        <w:tc>
          <w:tcPr/>
          <w:p>
            <w:pPr>
              <w:pStyle w:val="Compact"/>
              <w:jc w:val="left"/>
            </w:pPr>
            <w:r>
              <w:t xml:space="preserve">Municipality</w:t>
            </w:r>
            <w:r>
              <w:t xml:space="preserve"> </w:t>
            </w:r>
            <w:r>
              <w:t xml:space="preserve">and year totals</w:t>
            </w:r>
          </w:p>
        </w:tc>
        <w:tc>
          <w:tcPr/>
          <w:p>
            <w:pPr>
              <w:pStyle w:val="Compact"/>
              <w:jc w:val="left"/>
            </w:pPr>
            <w:r>
              <w:t xml:space="preserve">Reference</w:t>
            </w:r>
            <w:r>
              <w:t xml:space="preserve"> </w:t>
            </w:r>
            <w:r>
              <w:t xml:space="preserve">source for</w:t>
            </w:r>
            <w:r>
              <w:t xml:space="preserve"> </w:t>
            </w:r>
            <w:r>
              <w:t xml:space="preserve">crude-rate</w:t>
            </w:r>
            <w:r>
              <w:t xml:space="preserve"> </w:t>
            </w:r>
            <w:r>
              <w:t xml:space="preserve">comparisons</w:t>
            </w:r>
            <w:r>
              <w:t xml:space="preserve"> </w:t>
            </w:r>
            <w:r>
              <w:t xml:space="preserve">when</w:t>
            </w:r>
            <w:r>
              <w:t xml:space="preserve"> </w:t>
            </w:r>
            <w:r>
              <w:t xml:space="preserve">available.</w:t>
            </w:r>
          </w:p>
        </w:tc>
      </w:tr>
      <w:tr>
        <w:tc>
          <w:tcPr/>
          <w:p>
            <w:pPr>
              <w:pStyle w:val="Compact"/>
              <w:jc w:val="left"/>
            </w:pPr>
            <w:r>
              <w:t xml:space="preserve">ufrn</w:t>
            </w:r>
          </w:p>
        </w:tc>
        <w:tc>
          <w:tcPr/>
          <w:p>
            <w:pPr>
              <w:pStyle w:val="Compact"/>
              <w:jc w:val="left"/>
            </w:pPr>
            <w:r>
              <w:t xml:space="preserve">UFRN-PPGDEM-LEPP</w:t>
            </w:r>
            <w:r>
              <w:t xml:space="preserve"> </w:t>
            </w:r>
            <w:r>
              <w:t xml:space="preserve">municipal estimates and</w:t>
            </w:r>
            <w:r>
              <w:t xml:space="preserve"> </w:t>
            </w:r>
            <w:r>
              <w:t xml:space="preserve">projections</w:t>
            </w:r>
          </w:p>
        </w:tc>
        <w:tc>
          <w:tcPr/>
          <w:p>
            <w:pPr>
              <w:pStyle w:val="Compact"/>
              <w:jc w:val="left"/>
            </w:pPr>
            <w:r>
              <w:t xml:space="preserve">2010-2030</w:t>
            </w:r>
          </w:p>
        </w:tc>
        <w:tc>
          <w:tcPr/>
          <w:p>
            <w:pPr>
              <w:pStyle w:val="Compact"/>
              <w:jc w:val="left"/>
            </w:pPr>
            <w:r>
              <w:t xml:space="preserve">Municipality,</w:t>
            </w:r>
            <w:r>
              <w:t xml:space="preserve"> </w:t>
            </w:r>
            <w:r>
              <w:t xml:space="preserve">year, sex and</w:t>
            </w:r>
            <w:r>
              <w:t xml:space="preserve"> </w:t>
            </w:r>
            <w:r>
              <w:t xml:space="preserve">age group</w:t>
            </w:r>
          </w:p>
        </w:tc>
        <w:tc>
          <w:tcPr/>
          <w:p>
            <w:pPr>
              <w:pStyle w:val="Compact"/>
              <w:jc w:val="left"/>
            </w:pPr>
            <w:r>
              <w:t xml:space="preserve">Alternative</w:t>
            </w:r>
            <w:r>
              <w:t xml:space="preserve"> </w:t>
            </w:r>
            <w:r>
              <w:t xml:space="preserve">age-sex</w:t>
            </w:r>
            <w:r>
              <w:t xml:space="preserve"> </w:t>
            </w:r>
            <w:r>
              <w:t xml:space="preserve">denominators</w:t>
            </w:r>
            <w:r>
              <w:t xml:space="preserve"> </w:t>
            </w:r>
            <w:r>
              <w:t xml:space="preserve">and</w:t>
            </w:r>
            <w:r>
              <w:t xml:space="preserve"> </w:t>
            </w:r>
            <w:r>
              <w:t xml:space="preserve">projections.</w:t>
            </w:r>
          </w:p>
        </w:tc>
      </w:tr>
    </w:tbl>
    <w:p>
      <w:pPr>
        <w:pStyle w:val="BodyText"/>
      </w:pPr>
      <w:r>
        <w:t xml:space="preserve">Table 1. Population denominator sources evaluated in the proposed</w:t>
      </w:r>
      <w:r>
        <w:t xml:space="preserve"> </w:t>
      </w:r>
      <w:r>
        <w:t xml:space="preserve">workflow. The exact available years should be verified at runtime</w:t>
      </w:r>
      <w:r>
        <w:t xml:space="preserve"> </w:t>
      </w:r>
      <w:r>
        <w:t xml:space="preserve">because package versions and source updates may change.</w:t>
      </w:r>
    </w:p>
    <w:bookmarkEnd w:id="25"/>
    <w:bookmarkStart w:id="26" w:name="health-numerator-data"/>
    <w:p>
      <w:pPr>
        <w:pStyle w:val="Heading2"/>
      </w:pPr>
      <w:r>
        <w:t xml:space="preserve">Health numerator data</w:t>
      </w:r>
    </w:p>
    <w:p>
      <w:pPr>
        <w:pStyle w:val="FirstParagraph"/>
      </w:pPr>
      <w:r>
        <w:t xml:space="preserve">The health-indicator application used annual notified dengue case counts from a public municipality-level dataset derived from SINAN/DataSUS. The source workbook reports dengue notifications for Brazilian municipalities from 2007 to 2024. It was reshaped into the minimal numerator format required by the reproducible workflow, with one record per municipality, year and indicator. The resulting analysis file contained 91,242 municipality-year records for 5,069 municipalities and 22,031,937 notified dengue cases. The indicator label used in the code was</w:t>
      </w:r>
      <w:r>
        <w:t xml:space="preserve"> </w:t>
      </w:r>
      <w:r>
        <w:rPr>
          <w:rStyle w:val="VerbatimChar"/>
        </w:rPr>
        <w:t xml:space="preserve">dengue_notified_cases</w:t>
      </w:r>
      <w:r>
        <w:t xml:space="preserve">.</w:t>
      </w:r>
    </w:p>
    <w:p>
      <w:pPr>
        <w:pStyle w:val="BodyText"/>
      </w:pPr>
      <w:r>
        <w:t xml:space="preserve">The source dataset was: Anders K. Annual notified dengue case incidence in Brazilian municipalities (SINAN database), 2007-2024. Monash University. Dataset. https://doi.org/10.26180/28737815.v1. The dataset metadata cites dengue case data from DataSUS TabNet. The source workbook and conversion script are included with the reproducible materials.</w:t>
      </w:r>
    </w:p>
    <w:p>
      <w:pPr>
        <w:pStyle w:val="BodyText"/>
      </w:pPr>
      <w:r>
        <w:t xml:space="preserve">The workflow expects a minimal aggregated file with the columns code_muni, year, events and indicator. This design avoids redistributing individual-level microdata and allows the same denominator sensitivity framework to be reused for multiple outcomes. When the numerator is available by age group and sex, an optional file with code_muni, year, sex, age_group, events and indicator can be used for directly standardised rates. Municipality codes are harmonised to six digits to allow joins across sources that may use either six- or seven-digit IBGE codes.</w:t>
      </w:r>
    </w:p>
    <w:bookmarkEnd w:id="26"/>
    <w:bookmarkStart w:id="27" w:name="denominator-harmonisation"/>
    <w:p>
      <w:pPr>
        <w:pStyle w:val="Heading2"/>
      </w:pPr>
      <w:r>
        <w:t xml:space="preserve">Denominator harmonisation</w:t>
      </w:r>
    </w:p>
    <w:p>
      <w:pPr>
        <w:pStyle w:val="FirstParagraph"/>
      </w:pPr>
      <w:r>
        <w:t xml:space="preserve">Population datasets were harmonised by source, year and municipality.</w:t>
      </w:r>
      <w:r>
        <w:t xml:space="preserve"> </w:t>
      </w:r>
      <w:r>
        <w:t xml:space="preserve">The brpop functions return municipal identifiers that may differ across</w:t>
      </w:r>
      <w:r>
        <w:t xml:space="preserve"> </w:t>
      </w:r>
      <w:r>
        <w:t xml:space="preserve">sources because some series use six-digit municipality codes and others</w:t>
      </w:r>
      <w:r>
        <w:t xml:space="preserve"> </w:t>
      </w:r>
      <w:r>
        <w:t xml:space="preserve">use seven-digit IBGE codes. The analysis therefore created a harmonised</w:t>
      </w:r>
      <w:r>
        <w:t xml:space="preserve"> </w:t>
      </w:r>
      <w:r>
        <w:t xml:space="preserve">six-digit code by removing non-numeric characters, padding as needed and</w:t>
      </w:r>
      <w:r>
        <w:t xml:space="preserve"> </w:t>
      </w:r>
      <w:r>
        <w:t xml:space="preserve">retaining the first six digits. The workflow retained the original code</w:t>
      </w:r>
      <w:r>
        <w:t xml:space="preserve"> </w:t>
      </w:r>
      <w:r>
        <w:t xml:space="preserve">as supplied by each source for auditability. Records with missing</w:t>
      </w:r>
      <w:r>
        <w:t xml:space="preserve"> </w:t>
      </w:r>
      <w:r>
        <w:t xml:space="preserve">population counts or non-positive denominators were excluded from rate</w:t>
      </w:r>
      <w:r>
        <w:t xml:space="preserve"> </w:t>
      </w:r>
      <w:r>
        <w:t xml:space="preserve">calculations but retained in diagnostic logs when possible.</w:t>
      </w:r>
    </w:p>
    <w:bookmarkEnd w:id="27"/>
    <w:bookmarkStart w:id="28" w:name="comparison-of-population-estimates"/>
    <w:p>
      <w:pPr>
        <w:pStyle w:val="Heading2"/>
      </w:pPr>
      <w:r>
        <w:t xml:space="preserve">Comparison of population estimates</w:t>
      </w:r>
    </w:p>
    <w:p>
      <w:pPr>
        <w:pStyle w:val="FirstParagraph"/>
      </w:pPr>
      <w:r>
        <w:t xml:space="preserve">For each pair of denominator sources with overlapping municipality-year</w:t>
      </w:r>
      <w:r>
        <w:t xml:space="preserve"> </w:t>
      </w:r>
      <w:r>
        <w:t xml:space="preserve">observations, we calculated absolute differences, absolute relative</w:t>
      </w:r>
      <w:r>
        <w:t xml:space="preserve"> </w:t>
      </w:r>
      <w:r>
        <w:t xml:space="preserve">differences and signed relative differences. The signed relative</w:t>
      </w:r>
      <w:r>
        <w:t xml:space="preserve"> </w:t>
      </w:r>
      <w:r>
        <w:t xml:space="preserve">difference between source A and source B was defined as 100 x</w:t>
      </w:r>
      <w:r>
        <w:t xml:space="preserve"> </w:t>
      </w:r>
      <w:r>
        <w:t xml:space="preserve">(population_A - population_B) / population_B. For source-specific</w:t>
      </w:r>
      <w:r>
        <w:t xml:space="preserve"> </w:t>
      </w:r>
      <w:r>
        <w:t xml:space="preserve">analyses against a reference denominator, the same formula was applied</w:t>
      </w:r>
      <w:r>
        <w:t xml:space="preserve"> </w:t>
      </w:r>
      <w:r>
        <w:t xml:space="preserve">using the selected reference source as the denominator of the</w:t>
      </w:r>
      <w:r>
        <w:t xml:space="preserve"> </w:t>
      </w:r>
      <w:r>
        <w:t xml:space="preserve">comparison. IBGE was used as the default reference for crude total</w:t>
      </w:r>
      <w:r>
        <w:t xml:space="preserve"> </w:t>
      </w:r>
      <w:r>
        <w:t xml:space="preserve">population comparisons because it is the official source of annual total</w:t>
      </w:r>
      <w:r>
        <w:t xml:space="preserve"> </w:t>
      </w:r>
      <w:r>
        <w:t xml:space="preserve">municipal estimates. Sensitivity analyses can change the reference</w:t>
      </w:r>
      <w:r>
        <w:t xml:space="preserve"> </w:t>
      </w:r>
      <w:r>
        <w:t xml:space="preserve">source in the code.</w:t>
      </w:r>
    </w:p>
    <w:p>
      <w:pPr>
        <w:pStyle w:val="BodyText"/>
      </w:pPr>
      <w:r>
        <w:t xml:space="preserve">Differences were summarised by year, source, municipality population</w:t>
      </w:r>
      <w:r>
        <w:t xml:space="preserve"> </w:t>
      </w:r>
      <w:r>
        <w:t xml:space="preserve">size stratum and, when geographic lookup tables are added, macro-region</w:t>
      </w:r>
      <w:r>
        <w:t xml:space="preserve"> </w:t>
      </w:r>
      <w:r>
        <w:t xml:space="preserve">or state. Population size strata were defined using the reference</w:t>
      </w:r>
      <w:r>
        <w:t xml:space="preserve"> </w:t>
      </w:r>
      <w:r>
        <w:t xml:space="preserve">denominator: &lt;5,000; 5,000-9,999; 10,000-19,999; 20,000-49,999;</w:t>
      </w:r>
      <w:r>
        <w:t xml:space="preserve"> </w:t>
      </w:r>
      <w:r>
        <w:t xml:space="preserve">50,000-99,999; 100,000-499,999; and &gt;=500,000 inhabitants. These strata</w:t>
      </w:r>
      <w:r>
        <w:t xml:space="preserve"> </w:t>
      </w:r>
      <w:r>
        <w:t xml:space="preserve">were selected because relative denominator differences are expected to</w:t>
      </w:r>
      <w:r>
        <w:t xml:space="preserve"> </w:t>
      </w:r>
      <w:r>
        <w:t xml:space="preserve">be more consequential in small municipalities and because small-area</w:t>
      </w:r>
      <w:r>
        <w:t xml:space="preserve"> </w:t>
      </w:r>
      <w:r>
        <w:t xml:space="preserve">denominator error often increases as the population at risk decreases.</w:t>
      </w:r>
    </w:p>
    <w:bookmarkEnd w:id="28"/>
    <w:bookmarkStart w:id="29" w:name="health-indicator-sensitivity-analyses"/>
    <w:p>
      <w:pPr>
        <w:pStyle w:val="Heading2"/>
      </w:pPr>
      <w:r>
        <w:t xml:space="preserve">Health indicator sensitivity analyses</w:t>
      </w:r>
    </w:p>
    <w:p>
      <w:pPr>
        <w:pStyle w:val="FirstParagraph"/>
      </w:pPr>
      <w:r>
        <w:t xml:space="preserve">For each health indicator, crude rates were calculated as events divided</w:t>
      </w:r>
      <w:r>
        <w:t xml:space="preserve"> </w:t>
      </w:r>
      <w:r>
        <w:t xml:space="preserve">by population and multiplied by 100,000. The same numerator was used</w:t>
      </w:r>
      <w:r>
        <w:t xml:space="preserve"> </w:t>
      </w:r>
      <w:r>
        <w:t xml:space="preserve">with each denominator source, ensuring that observed differences in</w:t>
      </w:r>
      <w:r>
        <w:t xml:space="preserve"> </w:t>
      </w:r>
      <w:r>
        <w:t xml:space="preserve">rates resulted only from denominator choice. For each non-reference</w:t>
      </w:r>
      <w:r>
        <w:t xml:space="preserve"> </w:t>
      </w:r>
      <w:r>
        <w:t xml:space="preserve">denominator, we calculated the absolute rate difference, relative rate</w:t>
      </w:r>
      <w:r>
        <w:t xml:space="preserve"> </w:t>
      </w:r>
      <w:r>
        <w:t xml:space="preserve">difference, absolute relative rate difference and summary statistics by</w:t>
      </w:r>
      <w:r>
        <w:t xml:space="preserve"> </w:t>
      </w:r>
      <w:r>
        <w:t xml:space="preserve">year, source and population size stratum.</w:t>
      </w:r>
    </w:p>
    <w:p>
      <w:pPr>
        <w:pStyle w:val="BodyText"/>
      </w:pPr>
      <w:r>
        <w:t xml:space="preserve">We assessed whether denominator choice changed the interpretation of</w:t>
      </w:r>
      <w:r>
        <w:t xml:space="preserve"> </w:t>
      </w:r>
      <w:r>
        <w:t xml:space="preserve">municipal health patterns using three complementary metrics. First, we</w:t>
      </w:r>
      <w:r>
        <w:t xml:space="preserve"> </w:t>
      </w:r>
      <w:r>
        <w:t xml:space="preserve">calculated municipal rank displacement by ranking municipalities</w:t>
      </w:r>
      <w:r>
        <w:t xml:space="preserve"> </w:t>
      </w:r>
      <w:r>
        <w:t xml:space="preserve">according to the rate produced by each denominator and subtracting the</w:t>
      </w:r>
      <w:r>
        <w:t xml:space="preserve"> </w:t>
      </w:r>
      <w:r>
        <w:t xml:space="preserve">rank produced by the reference denominator. Second, we classified</w:t>
      </w:r>
      <w:r>
        <w:t xml:space="preserve"> </w:t>
      </w:r>
      <w:r>
        <w:t xml:space="preserve">municipalities into quintiles of the rate distribution for each</w:t>
      </w:r>
      <w:r>
        <w:t xml:space="preserve"> </w:t>
      </w:r>
      <w:r>
        <w:t xml:space="preserve">source-year and measured the proportion assigned to a different quintile</w:t>
      </w:r>
      <w:r>
        <w:t xml:space="preserve"> </w:t>
      </w:r>
      <w:r>
        <w:t xml:space="preserve">relative to the reference. Third, we identified municipalities in the</w:t>
      </w:r>
      <w:r>
        <w:t xml:space="preserve"> </w:t>
      </w:r>
      <w:r>
        <w:t xml:space="preserve">top decile of the rate distribution for each source-year and calculated</w:t>
      </w:r>
      <w:r>
        <w:t xml:space="preserve"> </w:t>
      </w:r>
      <w:r>
        <w:t xml:space="preserve">overlap with the top decile under the reference denominator using both</w:t>
      </w:r>
      <w:r>
        <w:t xml:space="preserve"> </w:t>
      </w:r>
      <w:r>
        <w:t xml:space="preserve">reference-set overlap and the Jaccard index. These metrics translate</w:t>
      </w:r>
      <w:r>
        <w:t xml:space="preserve"> </w:t>
      </w:r>
      <w:r>
        <w:t xml:space="preserve">denominator differences into quantities directly relevant to</w:t>
      </w:r>
      <w:r>
        <w:t xml:space="preserve"> </w:t>
      </w:r>
      <w:r>
        <w:t xml:space="preserve">surveillance and prioritisation.</w:t>
      </w:r>
    </w:p>
    <w:bookmarkEnd w:id="29"/>
    <w:bookmarkStart w:id="30" w:name="age-sex-standardisation"/>
    <w:p>
      <w:pPr>
        <w:pStyle w:val="Heading2"/>
      </w:pPr>
      <w:r>
        <w:t xml:space="preserve">Age-sex standardisation</w:t>
      </w:r>
    </w:p>
    <w:p>
      <w:pPr>
        <w:pStyle w:val="FirstParagraph"/>
      </w:pPr>
      <w:r>
        <w:t xml:space="preserve">When health numerators are available by age group and sex, the workflow</w:t>
      </w:r>
      <w:r>
        <w:t xml:space="preserve"> </w:t>
      </w:r>
      <w:r>
        <w:t xml:space="preserve">can compute directly standardised rates. Age-sex-specific rates are</w:t>
      </w:r>
      <w:r>
        <w:t xml:space="preserve"> </w:t>
      </w:r>
      <w:r>
        <w:t xml:space="preserve">calculated for each municipality, year and denominator source. A</w:t>
      </w:r>
      <w:r>
        <w:t xml:space="preserve"> </w:t>
      </w:r>
      <w:r>
        <w:t xml:space="preserve">standard population is then derived by summing the age-sex population of</w:t>
      </w:r>
      <w:r>
        <w:t xml:space="preserve"> </w:t>
      </w:r>
      <w:r>
        <w:t xml:space="preserve">a chosen source and year across municipalities; the default is DataSUS</w:t>
      </w:r>
      <w:r>
        <w:t xml:space="preserve"> </w:t>
      </w:r>
      <w:r>
        <w:t xml:space="preserve">2024 in 2010, but this can be changed in the configuration file.</w:t>
      </w:r>
      <w:r>
        <w:t xml:space="preserve"> </w:t>
      </w:r>
      <w:r>
        <w:t xml:space="preserve">Standardised rates are calculated as the weighted average of</w:t>
      </w:r>
      <w:r>
        <w:t xml:space="preserve"> </w:t>
      </w:r>
      <w:r>
        <w:t xml:space="preserve">age-sex-specific rates multiplied by 100,000. The same sensitivity</w:t>
      </w:r>
      <w:r>
        <w:t xml:space="preserve"> </w:t>
      </w:r>
      <w:r>
        <w:t xml:space="preserve">metrics used for crude rates can be applied to standardised rates.</w:t>
      </w:r>
    </w:p>
    <w:bookmarkEnd w:id="30"/>
    <w:bookmarkStart w:id="31" w:name="statistical-analysis"/>
    <w:p>
      <w:pPr>
        <w:pStyle w:val="Heading2"/>
      </w:pPr>
      <w:r>
        <w:t xml:space="preserve">Statistical analysis</w:t>
      </w:r>
    </w:p>
    <w:p>
      <w:pPr>
        <w:pStyle w:val="FirstParagraph"/>
      </w:pPr>
      <w:r>
        <w:t xml:space="preserve">The analysis is descriptive and comparative. We report medians,</w:t>
      </w:r>
      <w:r>
        <w:t xml:space="preserve"> </w:t>
      </w:r>
      <w:r>
        <w:t xml:space="preserve">interquartile ranges, 95th percentiles and maximum absolute differences</w:t>
      </w:r>
      <w:r>
        <w:t xml:space="preserve"> </w:t>
      </w:r>
      <w:r>
        <w:t xml:space="preserve">rather than relying only on means, because denominator differences may</w:t>
      </w:r>
      <w:r>
        <w:t xml:space="preserve"> </w:t>
      </w:r>
      <w:r>
        <w:t xml:space="preserve">be skewed and concentrated in particular subsets of municipalities. Time</w:t>
      </w:r>
      <w:r>
        <w:t xml:space="preserve"> </w:t>
      </w:r>
      <w:r>
        <w:t xml:space="preserve">trends are displayed using annual summaries and line plots;</w:t>
      </w:r>
      <w:r>
        <w:t xml:space="preserve"> </w:t>
      </w:r>
      <w:r>
        <w:t xml:space="preserve">cross-sectional variation is displayed using boxplots or empirical</w:t>
      </w:r>
      <w:r>
        <w:t xml:space="preserve"> </w:t>
      </w:r>
      <w:r>
        <w:t xml:space="preserve">distributions. Where appropriate, Spearman correlations between rates</w:t>
      </w:r>
      <w:r>
        <w:t xml:space="preserve"> </w:t>
      </w:r>
      <w:r>
        <w:t xml:space="preserve">produced by different denominators may be reported, but rank</w:t>
      </w:r>
      <w:r>
        <w:t xml:space="preserve"> </w:t>
      </w:r>
      <w:r>
        <w:t xml:space="preserve">displacement and reclassification metrics are prioritised because high</w:t>
      </w:r>
      <w:r>
        <w:t xml:space="preserve"> </w:t>
      </w:r>
      <w:r>
        <w:t xml:space="preserve">correlations can mask meaningful changes in the classification of</w:t>
      </w:r>
      <w:r>
        <w:t xml:space="preserve"> </w:t>
      </w:r>
      <w:r>
        <w:t xml:space="preserve">individual municipalities.</w:t>
      </w:r>
    </w:p>
    <w:p>
      <w:pPr>
        <w:pStyle w:val="BodyText"/>
      </w:pPr>
      <w:r>
        <w:t xml:space="preserve">All analyses were designed to be conducted in R. The reproducible code</w:t>
      </w:r>
      <w:r>
        <w:t xml:space="preserve"> </w:t>
      </w:r>
      <w:r>
        <w:t xml:space="preserve">uses brpop for population denominators and tidyverse-compatible packages</w:t>
      </w:r>
      <w:r>
        <w:t xml:space="preserve"> </w:t>
      </w:r>
      <w:r>
        <w:t xml:space="preserve">for data management, summaries and figures. The supplied code writes all</w:t>
      </w:r>
      <w:r>
        <w:t xml:space="preserve"> </w:t>
      </w:r>
      <w:r>
        <w:t xml:space="preserve">intermediate and final outputs to machine-readable CSV files and stores</w:t>
      </w:r>
      <w:r>
        <w:t xml:space="preserve"> </w:t>
      </w:r>
      <w:r>
        <w:t xml:space="preserve">manuscript-ready figures in PNG format. No inferential testing is</w:t>
      </w:r>
      <w:r>
        <w:t xml:space="preserve"> </w:t>
      </w:r>
      <w:r>
        <w:t xml:space="preserve">required for the primary objectives because the analysis compares</w:t>
      </w:r>
      <w:r>
        <w:t xml:space="preserve"> </w:t>
      </w:r>
      <w:r>
        <w:t xml:space="preserve">deterministic denominator choices applied to the same numerator. If</w:t>
      </w:r>
      <w:r>
        <w:t xml:space="preserve"> </w:t>
      </w:r>
      <w:r>
        <w:t xml:space="preserve">model-based rates are added in future versions, uncertainty in</w:t>
      </w:r>
      <w:r>
        <w:t xml:space="preserve"> </w:t>
      </w:r>
      <w:r>
        <w:t xml:space="preserve">denominator estimates can be incorporated through simulation or Bayesian</w:t>
      </w:r>
      <w:r>
        <w:t xml:space="preserve"> </w:t>
      </w:r>
      <w:r>
        <w:t xml:space="preserve">measurement-error models.</w:t>
      </w:r>
    </w:p>
    <w:bookmarkEnd w:id="31"/>
    <w:bookmarkStart w:id="32" w:name="reproducibility"/>
    <w:p>
      <w:pPr>
        <w:pStyle w:val="Heading2"/>
      </w:pPr>
      <w:r>
        <w:t xml:space="preserve">Reproducibility</w:t>
      </w:r>
    </w:p>
    <w:p>
      <w:pPr>
        <w:pStyle w:val="FirstParagraph"/>
      </w:pPr>
      <w:r>
        <w:t xml:space="preserve">The complete workflow is provided as supplementary reproducible code.</w:t>
      </w:r>
      <w:r>
        <w:t xml:space="preserve"> </w:t>
      </w:r>
      <w:r>
        <w:t xml:space="preserve">The code includes installation instructions, data templates, functions</w:t>
      </w:r>
      <w:r>
        <w:t xml:space="preserve"> </w:t>
      </w:r>
      <w:r>
        <w:t xml:space="preserve">for denominator retrieval and harmonisation, scripts for crude and</w:t>
      </w:r>
      <w:r>
        <w:t xml:space="preserve"> </w:t>
      </w:r>
      <w:r>
        <w:t xml:space="preserve">standardised rate analyses, and scripts to create summary tables and</w:t>
      </w:r>
      <w:r>
        <w:t xml:space="preserve"> </w:t>
      </w:r>
      <w:r>
        <w:t xml:space="preserve">figures. The package brpop is installed from GitHub in the setup script</w:t>
      </w:r>
      <w:r>
        <w:t xml:space="preserve"> </w:t>
      </w:r>
      <w:r>
        <w:t xml:space="preserve">because it is not currently distributed on CRAN. For submission, the</w:t>
      </w:r>
      <w:r>
        <w:t xml:space="preserve"> </w:t>
      </w:r>
      <w:r>
        <w:t xml:space="preserve">authors should deposit the code in a public repository such as GitHub</w:t>
      </w:r>
      <w:r>
        <w:t xml:space="preserve"> </w:t>
      </w:r>
      <w:r>
        <w:t xml:space="preserve">and archive a release in Zenodo or another repository that provides a</w:t>
      </w:r>
      <w:r>
        <w:t xml:space="preserve"> </w:t>
      </w:r>
      <w:r>
        <w:t xml:space="preserve">persistent identifier. The minimal aggregated numerator dataset should</w:t>
      </w:r>
      <w:r>
        <w:t xml:space="preserve"> </w:t>
      </w:r>
      <w:r>
        <w:t xml:space="preserve">be shared when permitted by data governance rules; otherwise, the</w:t>
      </w:r>
      <w:r>
        <w:t xml:space="preserve"> </w:t>
      </w:r>
      <w:r>
        <w:t xml:space="preserve">availability statement should specify the conditions for access and</w:t>
      </w:r>
      <w:r>
        <w:t xml:space="preserve"> </w:t>
      </w:r>
      <w:r>
        <w:t xml:space="preserve">provide a template that allows replication with alternative health</w:t>
      </w:r>
      <w:r>
        <w:t xml:space="preserve"> </w:t>
      </w:r>
      <w:r>
        <w:t xml:space="preserve">outcomes.</w:t>
      </w:r>
    </w:p>
    <w:bookmarkEnd w:id="32"/>
    <w:bookmarkStart w:id="33" w:name="use-of-ai-assisted-tools"/>
    <w:p>
      <w:pPr>
        <w:pStyle w:val="Heading2"/>
      </w:pPr>
      <w:r>
        <w:t xml:space="preserve">Use of AI-assisted tools</w:t>
      </w:r>
    </w:p>
    <w:p>
      <w:pPr>
        <w:pStyle w:val="FirstParagraph"/>
      </w:pPr>
      <w:r>
        <w:t xml:space="preserve">A large language model was used to assist with drafting and organisation</w:t>
      </w:r>
      <w:r>
        <w:t xml:space="preserve"> </w:t>
      </w:r>
      <w:r>
        <w:t xml:space="preserve">of the manuscript text and reproducible-code scaffold. The authors</w:t>
      </w:r>
      <w:r>
        <w:t xml:space="preserve"> </w:t>
      </w:r>
      <w:r>
        <w:t xml:space="preserve">reviewed, edited and take responsibility for all scientific content,</w:t>
      </w:r>
      <w:r>
        <w:t xml:space="preserve"> </w:t>
      </w:r>
      <w:r>
        <w:t xml:space="preserve">references, code and interpretations. The model was not listed as an</w:t>
      </w:r>
      <w:r>
        <w:t xml:space="preserve"> </w:t>
      </w:r>
      <w:r>
        <w:t xml:space="preserve">author.</w:t>
      </w:r>
    </w:p>
    <w:bookmarkEnd w:id="33"/>
    <w:bookmarkEnd w:id="34"/>
    <w:bookmarkStart w:id="40" w:name="results"/>
    <w:p>
      <w:pPr>
        <w:pStyle w:val="Heading1"/>
      </w:pPr>
      <w:r>
        <w:t xml:space="preserve">Results</w:t>
      </w:r>
    </w:p>
    <w:bookmarkStart w:id="35" w:name="Xf0f64cf52a47056d2bfbec53d199be5d88158b2"/>
    <w:p>
      <w:pPr>
        <w:pStyle w:val="Heading2"/>
      </w:pPr>
      <w:r>
        <w:t xml:space="preserve">Coverage and overlap of population denominator sources</w:t>
      </w:r>
    </w:p>
    <w:p>
      <w:pPr>
        <w:pStyle w:val="FirstParagraph"/>
      </w:pPr>
      <w:r>
        <w:t xml:space="preserve">The analysis retrieved 518,607 source-specific municipality-year population records from four denominator sources. DataSUS contributed 123,112 records for 5,596 municipalities from 2000 to 2021; DataSUS 2024 contributed 139,250 records for 5,570 municipalities from 2000 to 2024; IBGE contributed 139,275 records for 5,571 municipalities from 2000 to 2024; and UFRN contributed 116,970 records for 5,570 municipalities from 2010 to 2030. Complete overlap across all four sources was available for 66,840 municipality-year records, representing 5,570 municipalities from 2010 to 2021.</w:t>
      </w:r>
    </w:p>
    <w:bookmarkEnd w:id="35"/>
    <w:bookmarkStart w:id="36" w:name="X7506d749ad4d0bafdc16feedce719e83cd8e60e"/>
    <w:p>
      <w:pPr>
        <w:pStyle w:val="Heading2"/>
      </w:pPr>
      <w:r>
        <w:t xml:space="preserve">Magnitude of differences among municipal population estimates</w:t>
      </w:r>
    </w:p>
    <w:p>
      <w:pPr>
        <w:pStyle w:val="FirstParagraph"/>
      </w:pPr>
      <w:r>
        <w:t xml:space="preserve">Using IBGE as the reference denominator, median signed relative differences were 0.27% for DataSUS, 0.82% for DataSUS 2024 and -0.06% for UFRN. Median absolute relative differences were 1.82%, 2.51% and 2.12%, respectively. The upper tail was wider: 95th-percentile absolute relative differences were 10.18% for DataSUS, 13.14% for DataSUS 2024 and 15.74% for UFRN. Maximum absolute relative differences reached 269.19%, 413.28% and 356.83%, respectively, indicating that a small subset of municipality-year records had very large denominator discrepancies.</w:t>
      </w:r>
    </w:p>
    <w:p>
      <w:pPr>
        <w:pStyle w:val="BodyText"/>
      </w:pPr>
      <w:r>
        <w:t xml:space="preserve">Differences varied by population-size stratum. For DataSUS, median absolute differences were 1.84% among municipalities below 5,000 inhabitants and 1.25% among municipalities with at least 500,000 inhabitants. For UFRN, the corresponding medians were 2.15% and 1.82%. For DataSUS 2024, median absolute differences were similar across strata, ranging from 2.29% in municipalities with 50,000-99,999 inhabitants to 2.67% in municipalities with at least 500,000 inhabitants.</w:t>
      </w:r>
    </w:p>
    <w:bookmarkEnd w:id="36"/>
    <w:bookmarkStart w:id="37" w:name="Xf9fc9a2dc66450c0b8b3758305a809dc7925359"/>
    <w:p>
      <w:pPr>
        <w:pStyle w:val="Heading2"/>
      </w:pPr>
      <w:r>
        <w:t xml:space="preserve">Effects of denominator choice on crude health indicator rates</w:t>
      </w:r>
    </w:p>
    <w:p>
      <w:pPr>
        <w:pStyle w:val="FirstParagraph"/>
      </w:pPr>
      <w:r>
        <w:t xml:space="preserve">The numerator application used annual notified dengue cases. The input dataset contained 91,242 municipality-year records for 5,069 municipalities from 2007 to 2024, totaling 22,031,937 notified cases. Because the same numerator was used with every denominator source, observed differences in rates are attributable to denominator choice and source coverage.</w:t>
      </w:r>
    </w:p>
    <w:p>
      <w:pPr>
        <w:pStyle w:val="BodyText"/>
      </w:pPr>
      <w:r>
        <w:t xml:space="preserve">Compared with rates calculated using IBGE denominators, median signed relative differences in dengue rates were 0.00% for DataSUS, -0.29% for DataSUS 2024 and 0.07% for UFRN. Median absolute relative differences were 1.20%, 2.41% and 2.16%, respectively. The 95th-percentile absolute relative differences were 6.51%, 12.76% and 15.96%, respectively. Maximum absolute relative differences reached 143.94% for DataSUS, 164.71% for DataSUS 2024 and 352.73% for UFRN.</w:t>
      </w:r>
    </w:p>
    <w:bookmarkEnd w:id="37"/>
    <w:bookmarkStart w:id="38" w:name="Xccd7f1c84d347b3e21d5569694e3fcfbf6ebcd6"/>
    <w:p>
      <w:pPr>
        <w:pStyle w:val="Heading2"/>
      </w:pPr>
      <w:r>
        <w:t xml:space="preserve">Changes in rankings, quintile classifications and priority sets</w:t>
      </w:r>
    </w:p>
    <w:p>
      <w:pPr>
        <w:pStyle w:val="FirstParagraph"/>
      </w:pPr>
      <w:r>
        <w:t xml:space="preserve">Denominator choice changed municipal rankings even when median rate differences were modest. Median absolute rank displacement was 1 position for DataSUS, 7 positions for DataSUS 2024 and 6 positions for UFRN. The 95th-percentile absolute rank displacement was 33, 74 and 98 positions, respectively, and the maximum displacement was 650, 1,252 and 1,090 positions.</w:t>
      </w:r>
    </w:p>
    <w:p>
      <w:pPr>
        <w:pStyle w:val="BodyText"/>
      </w:pPr>
      <w:r>
        <w:t xml:space="preserve">Quintile classifications were relatively stable. The proportion of municipality-year records assigned to a different quintile was 0.76% for DataSUS, 1.74% for DataSUS 2024 and 2.15% for UFRN, and no records shifted by two or more quintiles. Top-decile priority sets also showed high overlap with the IBGE reference. Median reference-set overlap was 99.61% for DataSUS, 98.52% for DataSUS 2024 and 98.82% for UFRN. The lowest annual overlap values were 97.63%, 96.45% and 92.90%, respectively. Median Jaccard similarity was 0.99, 0.97 and 0.98, respectively.</w:t>
      </w:r>
    </w:p>
    <w:bookmarkEnd w:id="38"/>
    <w:bookmarkStart w:id="39" w:name="age-sex-standardised-rates"/>
    <w:p>
      <w:pPr>
        <w:pStyle w:val="Heading2"/>
      </w:pPr>
      <w:r>
        <w:t xml:space="preserve">Age-sex-standardised rates</w:t>
      </w:r>
    </w:p>
    <w:p>
      <w:pPr>
        <w:pStyle w:val="FirstParagraph"/>
      </w:pPr>
      <w:r>
        <w:t xml:space="preserve">Age-sex-standardised rates were not calculated because the dengue numerator dataset used in this application was aggregated by municipality and year only. This does not affect the primary objective of evaluating denominator sensitivity in routinely reported crude municipal indicators, but it means that age-sex-specific denominator sensitivity remains a topic for future applications using stratified numerator data.</w:t>
      </w:r>
    </w:p>
    <w:bookmarkEnd w:id="39"/>
    <w:bookmarkEnd w:id="40"/>
    <w:bookmarkStart w:id="41" w:name="discussion"/>
    <w:p>
      <w:pPr>
        <w:pStyle w:val="Heading1"/>
      </w:pPr>
      <w:r>
        <w:t xml:space="preserve">Discussion</w:t>
      </w:r>
    </w:p>
    <w:p>
      <w:pPr>
        <w:pStyle w:val="FirstParagraph"/>
      </w:pPr>
      <w:r>
        <w:t xml:space="preserve">This study addresses a common but underreported source of uncertainty in</w:t>
      </w:r>
      <w:r>
        <w:t xml:space="preserve"> </w:t>
      </w:r>
      <w:r>
        <w:t xml:space="preserve">population health measurement: the choice of population denominator. In</w:t>
      </w:r>
      <w:r>
        <w:t xml:space="preserve"> </w:t>
      </w:r>
      <w:r>
        <w:t xml:space="preserve">Brazil, municipal health indicators are frequently calculated for</w:t>
      </w:r>
      <w:r>
        <w:t xml:space="preserve"> </w:t>
      </w:r>
      <w:r>
        <w:t xml:space="preserve">intercensal years using population estimates, yet several denominator</w:t>
      </w:r>
      <w:r>
        <w:t xml:space="preserve"> </w:t>
      </w:r>
      <w:r>
        <w:t xml:space="preserve">series are available and may produce different rates. By combining brpop</w:t>
      </w:r>
      <w:r>
        <w:t xml:space="preserve"> </w:t>
      </w:r>
      <w:r>
        <w:t xml:space="preserve">with a transparent sensitivity workflow, this manuscript provides a</w:t>
      </w:r>
      <w:r>
        <w:t xml:space="preserve"> </w:t>
      </w:r>
      <w:r>
        <w:t xml:space="preserve">practical way to document how denominator choice affects health</w:t>
      </w:r>
      <w:r>
        <w:t xml:space="preserve"> </w:t>
      </w:r>
      <w:r>
        <w:t xml:space="preserve">indicators, rankings and priority classifications.</w:t>
      </w:r>
    </w:p>
    <w:p>
      <w:pPr>
        <w:pStyle w:val="BodyText"/>
      </w:pPr>
      <w:r>
        <w:t xml:space="preserve">The contribution is methodological and operational, illustrated here using notified dengue cases as a real-world municipality-year numerator. Rather than</w:t>
      </w:r>
      <w:r>
        <w:t xml:space="preserve"> </w:t>
      </w:r>
      <w:r>
        <w:t xml:space="preserve">attempting to identify a single correct denominator for all purposes,</w:t>
      </w:r>
      <w:r>
        <w:t xml:space="preserve"> </w:t>
      </w:r>
      <w:r>
        <w:t xml:space="preserve">the workflow quantifies how alternative denominator choices change the</w:t>
      </w:r>
      <w:r>
        <w:t xml:space="preserve"> </w:t>
      </w:r>
      <w:r>
        <w:t xml:space="preserve">outputs that researchers and managers actually use. This distinction is</w:t>
      </w:r>
      <w:r>
        <w:t xml:space="preserve"> </w:t>
      </w:r>
      <w:r>
        <w:t xml:space="preserve">important. Official annual total population estimates may be appropriate</w:t>
      </w:r>
      <w:r>
        <w:t xml:space="preserve"> </w:t>
      </w:r>
      <w:r>
        <w:t xml:space="preserve">for crude administrative indicators, while age-sex-specific estimates</w:t>
      </w:r>
      <w:r>
        <w:t xml:space="preserve"> </w:t>
      </w:r>
      <w:r>
        <w:t xml:space="preserve">are needed for standardisation and age-specific epidemiological rates.</w:t>
      </w:r>
      <w:r>
        <w:t xml:space="preserve"> </w:t>
      </w:r>
      <w:r>
        <w:t xml:space="preserve">Projection-based estimates may be useful when recent or future</w:t>
      </w:r>
      <w:r>
        <w:t xml:space="preserve"> </w:t>
      </w:r>
      <w:r>
        <w:t xml:space="preserve">denominators are required. However, when different sources yield</w:t>
      </w:r>
      <w:r>
        <w:t xml:space="preserve"> </w:t>
      </w:r>
      <w:r>
        <w:t xml:space="preserve">materially different rates or classifications, the uncertainty should be</w:t>
      </w:r>
      <w:r>
        <w:t xml:space="preserve"> </w:t>
      </w:r>
      <w:r>
        <w:t xml:space="preserve">made visible.</w:t>
      </w:r>
    </w:p>
    <w:p>
      <w:pPr>
        <w:pStyle w:val="BodyText"/>
      </w:pPr>
      <w:r>
        <w:t xml:space="preserve">The findings should be interpreted in light of the broader literature on</w:t>
      </w:r>
      <w:r>
        <w:t xml:space="preserve"> </w:t>
      </w:r>
      <w:r>
        <w:t xml:space="preserve">small-area denominators. Small-area epidemiology relies on spatially and</w:t>
      </w:r>
      <w:r>
        <w:t xml:space="preserve"> </w:t>
      </w:r>
      <w:r>
        <w:t xml:space="preserve">temporally relevant population estimates, but such estimates are often</w:t>
      </w:r>
      <w:r>
        <w:t xml:space="preserve"> </w:t>
      </w:r>
      <w:r>
        <w:t xml:space="preserve">less certain in smaller areas and between census years. Prior work has</w:t>
      </w:r>
      <w:r>
        <w:t xml:space="preserve"> </w:t>
      </w:r>
      <w:r>
        <w:t xml:space="preserve">shown that denominator error can affect prevalence and incidence</w:t>
      </w:r>
      <w:r>
        <w:t xml:space="preserve"> </w:t>
      </w:r>
      <w:r>
        <w:t xml:space="preserve">statistics and that ignoring population-at-risk uncertainty can bias</w:t>
      </w:r>
      <w:r>
        <w:t xml:space="preserve"> </w:t>
      </w:r>
      <w:r>
        <w:t xml:space="preserve">small-area disease mapping. The Brazilian case adds a public health</w:t>
      </w:r>
      <w:r>
        <w:t xml:space="preserve"> </w:t>
      </w:r>
      <w:r>
        <w:t xml:space="preserve">systems perspective because municipal indicators are not only</w:t>
      </w:r>
      <w:r>
        <w:t xml:space="preserve"> </w:t>
      </w:r>
      <w:r>
        <w:t xml:space="preserve">descriptive statistics; they are tools for surveillance, resource</w:t>
      </w:r>
      <w:r>
        <w:t xml:space="preserve"> </w:t>
      </w:r>
      <w:r>
        <w:t xml:space="preserve">allocation, equity monitoring and policy evaluation within SUS.</w:t>
      </w:r>
    </w:p>
    <w:p>
      <w:pPr>
        <w:pStyle w:val="BodyText"/>
      </w:pPr>
      <w:r>
        <w:t xml:space="preserve">The practical implication is that denominator sensitivity analysis</w:t>
      </w:r>
      <w:r>
        <w:t xml:space="preserve"> </w:t>
      </w:r>
      <w:r>
        <w:t xml:space="preserve">should become part of routine reporting for municipal health indicators.</w:t>
      </w:r>
      <w:r>
        <w:t xml:space="preserve"> </w:t>
      </w:r>
      <w:r>
        <w:t xml:space="preserve">At minimum, studies should name the denominator source, version,</w:t>
      </w:r>
      <w:r>
        <w:t xml:space="preserve"> </w:t>
      </w:r>
      <w:r>
        <w:t xml:space="preserve">retrieval date, population structure and code harmonisation choices.</w:t>
      </w:r>
      <w:r>
        <w:t xml:space="preserve"> </w:t>
      </w:r>
      <w:r>
        <w:t xml:space="preserve">When multiple plausible denominators exist, authors should report</w:t>
      </w:r>
      <w:r>
        <w:t xml:space="preserve"> </w:t>
      </w:r>
      <w:r>
        <w:t xml:space="preserve">whether the substantive conclusion changes under alternative sources.</w:t>
      </w:r>
      <w:r>
        <w:t xml:space="preserve"> </w:t>
      </w:r>
      <w:r>
        <w:t xml:space="preserve">For indicators used to rank municipalities or define priority areas,</w:t>
      </w:r>
      <w:r>
        <w:t xml:space="preserve"> </w:t>
      </w:r>
      <w:r>
        <w:t xml:space="preserve">reclassification metrics are particularly useful because they show</w:t>
      </w:r>
      <w:r>
        <w:t xml:space="preserve"> </w:t>
      </w:r>
      <w:r>
        <w:t xml:space="preserve">whether denominator choice changes who is identified as high risk.</w:t>
      </w:r>
    </w:p>
    <w:p>
      <w:pPr>
        <w:pStyle w:val="BodyText"/>
      </w:pPr>
      <w:r>
        <w:t xml:space="preserve">The workflow also supports reproducibility. The brpop package reduces</w:t>
      </w:r>
      <w:r>
        <w:t xml:space="preserve"> </w:t>
      </w:r>
      <w:r>
        <w:t xml:space="preserve">barriers to accessing and comparing denominator sources, while the</w:t>
      </w:r>
      <w:r>
        <w:t xml:space="preserve"> </w:t>
      </w:r>
      <w:r>
        <w:t xml:space="preserve">supplied scripts create an auditable pipeline from population retrieval</w:t>
      </w:r>
      <w:r>
        <w:t xml:space="preserve"> </w:t>
      </w:r>
      <w:r>
        <w:t xml:space="preserve">to health-rate sensitivity summaries. This is consistent with current</w:t>
      </w:r>
      <w:r>
        <w:t xml:space="preserve"> </w:t>
      </w:r>
      <w:r>
        <w:t xml:space="preserve">expectations for transparent data and code availability in population</w:t>
      </w:r>
      <w:r>
        <w:t xml:space="preserve"> </w:t>
      </w:r>
      <w:r>
        <w:t xml:space="preserve">health research. A public code repository with a persistent identifier</w:t>
      </w:r>
      <w:r>
        <w:t xml:space="preserve"> </w:t>
      </w:r>
      <w:r>
        <w:t xml:space="preserve">would also allow the manuscript to be updated when new census results,</w:t>
      </w:r>
      <w:r>
        <w:t xml:space="preserve"> </w:t>
      </w:r>
      <w:r>
        <w:t xml:space="preserve">revised estimates or additional denominator sources become available.</w:t>
      </w:r>
    </w:p>
    <w:p>
      <w:pPr>
        <w:pStyle w:val="BodyText"/>
      </w:pPr>
      <w:r>
        <w:t xml:space="preserve">This study has limitations. First, the proposed analysis compares</w:t>
      </w:r>
      <w:r>
        <w:t xml:space="preserve"> </w:t>
      </w:r>
      <w:r>
        <w:t xml:space="preserve">available estimates but does not validate them against a true population</w:t>
      </w:r>
      <w:r>
        <w:t xml:space="preserve"> </w:t>
      </w:r>
      <w:r>
        <w:t xml:space="preserve">for intercensal years, because no such gold standard exists. Census</w:t>
      </w:r>
      <w:r>
        <w:t xml:space="preserve"> </w:t>
      </w:r>
      <w:r>
        <w:t xml:space="preserve">counts themselves may contain coverage errors, although they remain a</w:t>
      </w:r>
      <w:r>
        <w:t xml:space="preserve"> </w:t>
      </w:r>
      <w:r>
        <w:t xml:space="preserve">central benchmark for demographic estimation. Second, the magnitude of</w:t>
      </w:r>
      <w:r>
        <w:t xml:space="preserve"> </w:t>
      </w:r>
      <w:r>
        <w:t xml:space="preserve">denominator effects depends on the selected health numerator. Rare</w:t>
      </w:r>
      <w:r>
        <w:t xml:space="preserve"> </w:t>
      </w:r>
      <w:r>
        <w:t xml:space="preserve">events, indicators with small numerators, and small municipalities may</w:t>
      </w:r>
      <w:r>
        <w:t xml:space="preserve"> </w:t>
      </w:r>
      <w:r>
        <w:t xml:space="preserve">show greater instability, while common events in large municipalities</w:t>
      </w:r>
      <w:r>
        <w:t xml:space="preserve"> </w:t>
      </w:r>
      <w:r>
        <w:t xml:space="preserve">may be less sensitive. Third, health numerators have their own sources</w:t>
      </w:r>
      <w:r>
        <w:t xml:space="preserve"> </w:t>
      </w:r>
      <w:r>
        <w:t xml:space="preserve">of uncertainty, including underreporting, coding changes, geocoding</w:t>
      </w:r>
      <w:r>
        <w:t xml:space="preserve"> </w:t>
      </w:r>
      <w:r>
        <w:t xml:space="preserve">errors and changes in service availability. The present design isolates</w:t>
      </w:r>
      <w:r>
        <w:t xml:space="preserve"> </w:t>
      </w:r>
      <w:r>
        <w:t xml:space="preserve">denominator effects by holding the numerator constant, but numerator</w:t>
      </w:r>
      <w:r>
        <w:t xml:space="preserve"> </w:t>
      </w:r>
      <w:r>
        <w:t xml:space="preserve">quality should also be evaluated in substantive studies. Fourth, the</w:t>
      </w:r>
      <w:r>
        <w:t xml:space="preserve"> </w:t>
      </w:r>
      <w:r>
        <w:t xml:space="preserve">default code harmonises municipality identifiers to six digits, which is</w:t>
      </w:r>
      <w:r>
        <w:t xml:space="preserve"> </w:t>
      </w:r>
      <w:r>
        <w:t xml:space="preserve">practical for joining sources but should be reviewed carefully when</w:t>
      </w:r>
      <w:r>
        <w:t xml:space="preserve"> </w:t>
      </w:r>
      <w:r>
        <w:t xml:space="preserve">studying historical boundary changes or municipalities created, merged</w:t>
      </w:r>
      <w:r>
        <w:t xml:space="preserve"> </w:t>
      </w:r>
      <w:r>
        <w:t xml:space="preserve">or recoded during the study period.</w:t>
      </w:r>
    </w:p>
    <w:p>
      <w:pPr>
        <w:pStyle w:val="BodyText"/>
      </w:pPr>
      <w:r>
        <w:t xml:space="preserve">Despite these limitations, the approach has several strengths. It is</w:t>
      </w:r>
      <w:r>
        <w:t xml:space="preserve"> </w:t>
      </w:r>
      <w:r>
        <w:t xml:space="preserve">transparent, reproducible, extensible to different health outcomes, and</w:t>
      </w:r>
      <w:r>
        <w:t xml:space="preserve"> </w:t>
      </w:r>
      <w:r>
        <w:t xml:space="preserve">directly connected to the ways health indicators are used in practice.</w:t>
      </w:r>
      <w:r>
        <w:t xml:space="preserve"> </w:t>
      </w:r>
      <w:r>
        <w:t xml:space="preserve">It produces interpretable outputs for both researchers and</w:t>
      </w:r>
      <w:r>
        <w:t xml:space="preserve"> </w:t>
      </w:r>
      <w:r>
        <w:t xml:space="preserve">decision-makers, including rate differences, rank displacement and</w:t>
      </w:r>
      <w:r>
        <w:t xml:space="preserve"> </w:t>
      </w:r>
      <w:r>
        <w:t xml:space="preserve">changes in priority-set membership. The analysis can also be extended to</w:t>
      </w:r>
      <w:r>
        <w:t xml:space="preserve"> </w:t>
      </w:r>
      <w:r>
        <w:t xml:space="preserve">Bayesian or simulation-based frameworks that explicitly propagate</w:t>
      </w:r>
      <w:r>
        <w:t xml:space="preserve"> </w:t>
      </w:r>
      <w:r>
        <w:t xml:space="preserve">denominator uncertainty into models, but its first contribution is to</w:t>
      </w:r>
      <w:r>
        <w:t xml:space="preserve"> </w:t>
      </w:r>
      <w:r>
        <w:t xml:space="preserve">make denominator sensitivity visible in routine descriptive</w:t>
      </w:r>
      <w:r>
        <w:t xml:space="preserve"> </w:t>
      </w:r>
      <w:r>
        <w:t xml:space="preserve">epidemiology.</w:t>
      </w:r>
    </w:p>
    <w:bookmarkEnd w:id="41"/>
    <w:bookmarkStart w:id="42" w:name="conclusions"/>
    <w:p>
      <w:pPr>
        <w:pStyle w:val="Heading1"/>
      </w:pPr>
      <w:r>
        <w:t xml:space="preserve">Conclusions</w:t>
      </w:r>
    </w:p>
    <w:p>
      <w:pPr>
        <w:pStyle w:val="FirstParagraph"/>
      </w:pPr>
      <w:r>
        <w:t xml:space="preserve">Population denominators are not neutral technical inputs; they shape the</w:t>
      </w:r>
      <w:r>
        <w:t xml:space="preserve"> </w:t>
      </w:r>
      <w:r>
        <w:t xml:space="preserve">values and interpretation of small-area health indicators. In Brazil,</w:t>
      </w:r>
      <w:r>
        <w:t xml:space="preserve"> </w:t>
      </w:r>
      <w:r>
        <w:t xml:space="preserve">the availability of multiple municipal population estimates creates both</w:t>
      </w:r>
      <w:r>
        <w:t xml:space="preserve"> </w:t>
      </w:r>
      <w:r>
        <w:t xml:space="preserve">an opportunity and a responsibility: researchers can choose denominators</w:t>
      </w:r>
      <w:r>
        <w:t xml:space="preserve"> </w:t>
      </w:r>
      <w:r>
        <w:t xml:space="preserve">suited to their analytical aims, but they should also report how</w:t>
      </w:r>
      <w:r>
        <w:t xml:space="preserve"> </w:t>
      </w:r>
      <w:r>
        <w:t xml:space="preserve">sensitive their conclusions are to that choice. The reproducible</w:t>
      </w:r>
      <w:r>
        <w:t xml:space="preserve"> </w:t>
      </w:r>
      <w:r>
        <w:t xml:space="preserve">workflow proposed here uses brpop to compare denominator sources and</w:t>
      </w:r>
      <w:r>
        <w:t xml:space="preserve"> </w:t>
      </w:r>
      <w:r>
        <w:t xml:space="preserve">quantify their impact on municipal health rates, rankings and</w:t>
      </w:r>
      <w:r>
        <w:t xml:space="preserve"> </w:t>
      </w:r>
      <w:r>
        <w:t xml:space="preserve">classifications. Incorporating denominator sensitivity analysis into</w:t>
      </w:r>
      <w:r>
        <w:t xml:space="preserve"> </w:t>
      </w:r>
      <w:r>
        <w:t xml:space="preserve">health-indicator reporting can improve transparency, strengthen</w:t>
      </w:r>
      <w:r>
        <w:t xml:space="preserve"> </w:t>
      </w:r>
      <w:r>
        <w:t xml:space="preserve">surveillance practice and support more cautious interpretation of</w:t>
      </w:r>
      <w:r>
        <w:t xml:space="preserve"> </w:t>
      </w:r>
      <w:r>
        <w:t xml:space="preserve">municipal inequalities and priorities.</w:t>
      </w:r>
    </w:p>
    <w:bookmarkEnd w:id="42"/>
    <w:bookmarkStart w:id="43" w:name="list-of-abbreviations"/>
    <w:p>
      <w:pPr>
        <w:pStyle w:val="Heading1"/>
      </w:pPr>
      <w:r>
        <w:t xml:space="preserve">List of abbreviations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Abbreviation</w:t>
            </w:r>
          </w:p>
        </w:tc>
        <w:tc>
          <w:tcPr/>
          <w:p>
            <w:pPr>
              <w:pStyle w:val="Compact"/>
              <w:jc w:val="left"/>
            </w:pPr>
            <w:r>
              <w:rPr>
                <w:bCs/>
                <w:b/>
              </w:rPr>
              <w:t xml:space="preserve">Definition</w:t>
            </w:r>
          </w:p>
        </w:tc>
      </w:tr>
      <w:tr>
        <w:tc>
          <w:tcPr/>
          <w:p>
            <w:pPr>
              <w:pStyle w:val="Compact"/>
              <w:jc w:val="left"/>
            </w:pPr>
            <w:r>
              <w:t xml:space="preserve">DataSUS</w:t>
            </w:r>
          </w:p>
        </w:tc>
        <w:tc>
          <w:tcPr/>
          <w:p>
            <w:pPr>
              <w:pStyle w:val="Compact"/>
              <w:jc w:val="left"/>
            </w:pPr>
            <w:r>
              <w:t xml:space="preserve">Department of Informatics of the</w:t>
            </w:r>
            <w:r>
              <w:t xml:space="preserve"> </w:t>
            </w:r>
            <w:r>
              <w:t xml:space="preserve">Brazilian Unified Health System</w:t>
            </w:r>
          </w:p>
        </w:tc>
      </w:tr>
      <w:tr>
        <w:tc>
          <w:tcPr/>
          <w:p>
            <w:pPr>
              <w:pStyle w:val="Compact"/>
              <w:jc w:val="left"/>
            </w:pPr>
            <w:r>
              <w:t xml:space="preserve">IBGE</w:t>
            </w:r>
          </w:p>
        </w:tc>
        <w:tc>
          <w:tcPr/>
          <w:p>
            <w:pPr>
              <w:pStyle w:val="Compact"/>
              <w:jc w:val="left"/>
            </w:pPr>
            <w:r>
              <w:t xml:space="preserve">Brazilian Institute of Geography</w:t>
            </w:r>
            <w:r>
              <w:t xml:space="preserve"> </w:t>
            </w:r>
            <w:r>
              <w:t xml:space="preserve">and Statistics</w:t>
            </w:r>
          </w:p>
        </w:tc>
      </w:tr>
      <w:tr>
        <w:tc>
          <w:tcPr/>
          <w:p>
            <w:pPr>
              <w:pStyle w:val="Compact"/>
              <w:jc w:val="left"/>
            </w:pPr>
            <w:r>
              <w:t xml:space="preserve">PCDaS</w:t>
            </w:r>
          </w:p>
        </w:tc>
        <w:tc>
          <w:tcPr/>
          <w:p>
            <w:pPr>
              <w:pStyle w:val="Compact"/>
              <w:jc w:val="left"/>
            </w:pPr>
            <w:r>
              <w:t xml:space="preserve">Plataforma de Ciencia de Dados</w:t>
            </w:r>
            <w:r>
              <w:t xml:space="preserve"> </w:t>
            </w:r>
            <w:r>
              <w:t xml:space="preserve">aplicada a Saude / Data Science</w:t>
            </w:r>
            <w:r>
              <w:t xml:space="preserve"> </w:t>
            </w:r>
            <w:r>
              <w:t xml:space="preserve">Platform Applied to Health</w:t>
            </w:r>
          </w:p>
        </w:tc>
      </w:tr>
      <w:tr>
        <w:tc>
          <w:tcPr/>
          <w:p>
            <w:pPr>
              <w:pStyle w:val="Compact"/>
              <w:jc w:val="left"/>
            </w:pPr>
            <w:r>
              <w:t xml:space="preserve">SUS</w:t>
            </w:r>
          </w:p>
        </w:tc>
        <w:tc>
          <w:tcPr/>
          <w:p>
            <w:pPr>
              <w:pStyle w:val="Compact"/>
              <w:jc w:val="left"/>
            </w:pPr>
            <w:r>
              <w:t xml:space="preserve">Sistema Unico de Saude / Brazilian</w:t>
            </w:r>
            <w:r>
              <w:t xml:space="preserve"> </w:t>
            </w:r>
            <w:r>
              <w:t xml:space="preserve">Unified Health System</w:t>
            </w:r>
          </w:p>
        </w:tc>
      </w:tr>
      <w:tr>
        <w:tc>
          <w:tcPr/>
          <w:p>
            <w:pPr>
              <w:pStyle w:val="Compact"/>
              <w:jc w:val="left"/>
            </w:pPr>
            <w:r>
              <w:t xml:space="preserve">UFRN-PPGDEM-LEPP</w:t>
            </w:r>
          </w:p>
        </w:tc>
        <w:tc>
          <w:tcPr/>
          <w:p>
            <w:pPr>
              <w:pStyle w:val="Compact"/>
              <w:jc w:val="left"/>
            </w:pPr>
            <w:r>
              <w:t xml:space="preserve">Federal University of Rio Grande do</w:t>
            </w:r>
            <w:r>
              <w:t xml:space="preserve"> </w:t>
            </w:r>
            <w:r>
              <w:t xml:space="preserve">Norte, Graduate Program in</w:t>
            </w:r>
            <w:r>
              <w:t xml:space="preserve"> </w:t>
            </w:r>
            <w:r>
              <w:t xml:space="preserve">Demography, Laboratory of</w:t>
            </w:r>
            <w:r>
              <w:t xml:space="preserve"> </w:t>
            </w:r>
            <w:r>
              <w:t xml:space="preserve">Population Estimates and</w:t>
            </w:r>
            <w:r>
              <w:t xml:space="preserve"> </w:t>
            </w:r>
            <w:r>
              <w:t xml:space="preserve">Projections</w:t>
            </w:r>
          </w:p>
        </w:tc>
      </w:tr>
    </w:tbl>
    <w:bookmarkEnd w:id="43"/>
    <w:bookmarkStart w:id="52" w:name="declarations"/>
    <w:p>
      <w:pPr>
        <w:pStyle w:val="Heading1"/>
      </w:pPr>
      <w:r>
        <w:t xml:space="preserve">Declarations</w:t>
      </w:r>
    </w:p>
    <w:bookmarkStart w:id="44" w:name="Xd182db0490b2de20bd2b4e4cc8698599182035f"/>
    <w:p>
      <w:pPr>
        <w:pStyle w:val="Heading2"/>
      </w:pPr>
      <w:r>
        <w:t xml:space="preserve">Ethics approval and consent to participate</w:t>
      </w:r>
    </w:p>
    <w:p>
      <w:pPr>
        <w:pStyle w:val="FirstParagraph"/>
      </w:pPr>
      <w:r>
        <w:t xml:space="preserve">Not applicable. This methodological study uses aggregated municipal</w:t>
      </w:r>
      <w:r>
        <w:t xml:space="preserve"> </w:t>
      </w:r>
      <w:r>
        <w:t xml:space="preserve">population denominators and aggregated health event counts. No</w:t>
      </w:r>
      <w:r>
        <w:t xml:space="preserve"> </w:t>
      </w:r>
      <w:r>
        <w:t xml:space="preserve">individual-level identifiable human participant data are included in the</w:t>
      </w:r>
      <w:r>
        <w:t xml:space="preserve"> </w:t>
      </w:r>
      <w:r>
        <w:t xml:space="preserve">manuscript or supplementary files. If future versions use restricted</w:t>
      </w:r>
      <w:r>
        <w:t xml:space="preserve"> </w:t>
      </w:r>
      <w:r>
        <w:t xml:space="preserve">health data, the authors should update this statement according to</w:t>
      </w:r>
      <w:r>
        <w:t xml:space="preserve"> </w:t>
      </w:r>
      <w:r>
        <w:t xml:space="preserve">institutional review and data-governance requirements.</w:t>
      </w:r>
    </w:p>
    <w:bookmarkEnd w:id="44"/>
    <w:bookmarkStart w:id="45" w:name="consent-for-publication"/>
    <w:p>
      <w:pPr>
        <w:pStyle w:val="Heading2"/>
      </w:pPr>
      <w:r>
        <w:t xml:space="preserve">Consent for publication</w:t>
      </w:r>
    </w:p>
    <w:p>
      <w:pPr>
        <w:pStyle w:val="FirstParagraph"/>
      </w:pPr>
      <w:r>
        <w:t xml:space="preserve">Not applicable.</w:t>
      </w:r>
    </w:p>
    <w:bookmarkEnd w:id="45"/>
    <w:bookmarkStart w:id="46" w:name="availability-of-data-and-materials"/>
    <w:p>
      <w:pPr>
        <w:pStyle w:val="Heading2"/>
      </w:pPr>
      <w:r>
        <w:t xml:space="preserve">Availability of data and materials</w:t>
      </w:r>
    </w:p>
    <w:p>
      <w:pPr>
        <w:pStyle w:val="FirstParagraph"/>
      </w:pPr>
      <w:r>
        <w:t xml:space="preserve">The reproducible code supporting this manuscript is included with the project materials. Population denominator data are accessed through the brpop R package. The health numerator application uses a public aggregated municipality-year dengue notification dataset from Anders (2025), derived from SINAN/DataSUS and distributed under a CC BY 4.0 licence. The source workbook, conversion script and compressed CSV outputs are included with the project materials as individual</w:t>
      </w:r>
      <w:r>
        <w:t xml:space="preserve"> </w:t>
      </w:r>
      <w:r>
        <w:rPr>
          <w:rStyle w:val="VerbatimChar"/>
        </w:rPr>
        <w:t xml:space="preserve">.csv.zip</w:t>
      </w:r>
      <w:r>
        <w:t xml:space="preserve"> </w:t>
      </w:r>
      <w:r>
        <w:t xml:space="preserve">archives. A public repository and persistent identifier should be added before journal submission.</w:t>
      </w:r>
    </w:p>
    <w:bookmarkEnd w:id="46"/>
    <w:bookmarkStart w:id="47" w:name="competing-interests"/>
    <w:p>
      <w:pPr>
        <w:pStyle w:val="Heading2"/>
      </w:pPr>
      <w:r>
        <w:t xml:space="preserve">Competing interests</w:t>
      </w:r>
    </w:p>
    <w:p>
      <w:pPr>
        <w:pStyle w:val="FirstParagraph"/>
      </w:pPr>
      <w:r>
        <w:t xml:space="preserve">RS is the author and maintainer of the brpop R package used in this</w:t>
      </w:r>
      <w:r>
        <w:t xml:space="preserve"> </w:t>
      </w:r>
      <w:r>
        <w:t xml:space="preserve">study. The remaining authors declare that they have no competing</w:t>
      </w:r>
      <w:r>
        <w:t xml:space="preserve"> </w:t>
      </w:r>
      <w:r>
        <w:t xml:space="preserve">interests. This statement should be revised after all co-authors are</w:t>
      </w:r>
      <w:r>
        <w:t xml:space="preserve"> </w:t>
      </w:r>
      <w:r>
        <w:t xml:space="preserve">confirmed.</w:t>
      </w:r>
    </w:p>
    <w:bookmarkEnd w:id="47"/>
    <w:bookmarkStart w:id="48" w:name="funding"/>
    <w:p>
      <w:pPr>
        <w:pStyle w:val="Heading2"/>
      </w:pPr>
      <w:r>
        <w:t xml:space="preserve">Funding</w:t>
      </w:r>
    </w:p>
    <w:p>
      <w:pPr>
        <w:pStyle w:val="FirstParagraph"/>
      </w:pPr>
      <w:r>
        <w:t xml:space="preserve">[Insert funding information. If no specific funding supported this</w:t>
      </w:r>
      <w:r>
        <w:t xml:space="preserve"> </w:t>
      </w:r>
      <w:r>
        <w:t xml:space="preserve">work, write: This research received no specific grant from any funding</w:t>
      </w:r>
      <w:r>
        <w:t xml:space="preserve"> </w:t>
      </w:r>
      <w:r>
        <w:t xml:space="preserve">agency in the public, commercial or not-for-profit sectors.]</w:t>
      </w:r>
    </w:p>
    <w:bookmarkEnd w:id="48"/>
    <w:bookmarkStart w:id="49" w:name="authors-contributions"/>
    <w:p>
      <w:pPr>
        <w:pStyle w:val="Heading2"/>
      </w:pPr>
      <w:r>
        <w:t xml:space="preserve">Authors' contributions</w:t>
      </w:r>
    </w:p>
    <w:p>
      <w:pPr>
        <w:pStyle w:val="FirstParagraph"/>
      </w:pPr>
      <w:r>
        <w:t xml:space="preserve">RS conceived the study, developed the brpop package and drafted the</w:t>
      </w:r>
      <w:r>
        <w:t xml:space="preserve"> </w:t>
      </w:r>
      <w:r>
        <w:t xml:space="preserve">initial analysis plan. [Initials] contributed to study design, health</w:t>
      </w:r>
      <w:r>
        <w:t xml:space="preserve"> </w:t>
      </w:r>
      <w:r>
        <w:t xml:space="preserve">numerator definition and interpretation. [Initials] contributed to</w:t>
      </w:r>
      <w:r>
        <w:t xml:space="preserve"> </w:t>
      </w:r>
      <w:r>
        <w:t xml:space="preserve">data processing and statistical analysis. [Initials] contributed to</w:t>
      </w:r>
      <w:r>
        <w:t xml:space="preserve"> </w:t>
      </w:r>
      <w:r>
        <w:t xml:space="preserve">manuscript revision and public health interpretation. All authors read</w:t>
      </w:r>
      <w:r>
        <w:t xml:space="preserve"> </w:t>
      </w:r>
      <w:r>
        <w:t xml:space="preserve">and approved the final manuscript. This section should be updated after</w:t>
      </w:r>
      <w:r>
        <w:t xml:space="preserve"> </w:t>
      </w:r>
      <w:r>
        <w:t xml:space="preserve">co-authors are confirmed.</w:t>
      </w:r>
    </w:p>
    <w:bookmarkEnd w:id="49"/>
    <w:bookmarkStart w:id="50" w:name="acknowledgements"/>
    <w:p>
      <w:pPr>
        <w:pStyle w:val="Heading2"/>
      </w:pPr>
      <w:r>
        <w:t xml:space="preserve">Acknowledgements</w:t>
      </w:r>
    </w:p>
    <w:p>
      <w:pPr>
        <w:pStyle w:val="FirstParagraph"/>
      </w:pPr>
      <w:r>
        <w:t xml:space="preserve">[Insert acknowledgements. Suggested: The authors thank the teams</w:t>
      </w:r>
      <w:r>
        <w:t xml:space="preserve"> </w:t>
      </w:r>
      <w:r>
        <w:t xml:space="preserve">responsible for maintaining Brazilian demographic and health information</w:t>
      </w:r>
      <w:r>
        <w:t xml:space="preserve"> </w:t>
      </w:r>
      <w:r>
        <w:t xml:space="preserve">systems and the public data infrastructures that make this analysis</w:t>
      </w:r>
      <w:r>
        <w:t xml:space="preserve"> </w:t>
      </w:r>
      <w:r>
        <w:t xml:space="preserve">possible.]</w:t>
      </w:r>
    </w:p>
    <w:bookmarkEnd w:id="50"/>
    <w:bookmarkStart w:id="51" w:name="authors-information"/>
    <w:p>
      <w:pPr>
        <w:pStyle w:val="Heading2"/>
      </w:pPr>
      <w:r>
        <w:t xml:space="preserve">Authors' information</w:t>
      </w:r>
    </w:p>
    <w:p>
      <w:pPr>
        <w:pStyle w:val="FirstParagraph"/>
      </w:pPr>
      <w:r>
        <w:t xml:space="preserve">Optional. [Insert concise author information if desired.]</w:t>
      </w:r>
    </w:p>
    <w:bookmarkEnd w:id="51"/>
    <w:bookmarkEnd w:id="52"/>
    <w:bookmarkStart w:id="53" w:name="references"/>
    <w:p>
      <w:pPr>
        <w:pStyle w:val="Heading1"/>
      </w:pPr>
      <w:r>
        <w:t xml:space="preserve">References</w:t>
      </w:r>
    </w:p>
    <w:p>
      <w:pPr>
        <w:numPr>
          <w:ilvl w:val="0"/>
          <w:numId w:val="1001"/>
        </w:numPr>
      </w:pPr>
      <w:r>
        <w:t xml:space="preserve">Baker JD, Alcantara A, Ruan X, Vasan S, Crouse N. An evaluation of</w:t>
      </w:r>
      <w:r>
        <w:t xml:space="preserve"> </w:t>
      </w:r>
      <w:r>
        <w:t xml:space="preserve">the accuracy of small-area demographic estimates of population at</w:t>
      </w:r>
      <w:r>
        <w:t xml:space="preserve"> </w:t>
      </w:r>
      <w:r>
        <w:t xml:space="preserve">risk and its effect on prevalence statistics. Popul Health Metrics.</w:t>
      </w:r>
      <w:r>
        <w:t xml:space="preserve"> </w:t>
      </w:r>
      <w:r>
        <w:t xml:space="preserve">2013;11:24. doi:10.1186/1478-7954-11-24.</w:t>
      </w:r>
    </w:p>
    <w:p>
      <w:pPr>
        <w:numPr>
          <w:ilvl w:val="0"/>
          <w:numId w:val="1001"/>
        </w:numPr>
      </w:pPr>
      <w:r>
        <w:t xml:space="preserve">Fecht D, Cockings S, Hodgson S, Piel FB, Martin D, Waller LA.</w:t>
      </w:r>
      <w:r>
        <w:t xml:space="preserve"> </w:t>
      </w:r>
      <w:r>
        <w:t xml:space="preserve">Advances in mapping population and demographic characteristics at</w:t>
      </w:r>
      <w:r>
        <w:t xml:space="preserve"> </w:t>
      </w:r>
      <w:r>
        <w:t xml:space="preserve">small-area levels. Int J Epidemiol. 2020;49(Suppl 1):i15-i25.</w:t>
      </w:r>
      <w:r>
        <w:t xml:space="preserve"> </w:t>
      </w:r>
      <w:r>
        <w:t xml:space="preserve">doi:10.1093/ije/dyz179.</w:t>
      </w:r>
    </w:p>
    <w:p>
      <w:pPr>
        <w:numPr>
          <w:ilvl w:val="0"/>
          <w:numId w:val="1001"/>
        </w:numPr>
      </w:pPr>
      <w:r>
        <w:t xml:space="preserve">Tatem AJ. Small area population denominators for improved disease</w:t>
      </w:r>
      <w:r>
        <w:t xml:space="preserve"> </w:t>
      </w:r>
      <w:r>
        <w:t xml:space="preserve">surveillance and response. Epidemics. 2022;40:100597.</w:t>
      </w:r>
      <w:r>
        <w:t xml:space="preserve"> </w:t>
      </w:r>
      <w:r>
        <w:t xml:space="preserve">doi:10.1016/j.epidem.2022.100597.</w:t>
      </w:r>
    </w:p>
    <w:p>
      <w:pPr>
        <w:numPr>
          <w:ilvl w:val="0"/>
          <w:numId w:val="1001"/>
        </w:numPr>
      </w:pPr>
      <w:r>
        <w:t xml:space="preserve">Amodio E, Zarcone M, Casuccio A, Vitale F. Trends in epidemiology:</w:t>
      </w:r>
      <w:r>
        <w:t xml:space="preserve"> </w:t>
      </w:r>
      <w:r>
        <w:t xml:space="preserve">the role of denominator fluctuation in population based estimates.</w:t>
      </w:r>
      <w:r>
        <w:t xml:space="preserve"> </w:t>
      </w:r>
      <w:r>
        <w:t xml:space="preserve">AIMS Public Health. 2021;8(3):500-506.</w:t>
      </w:r>
      <w:r>
        <w:t xml:space="preserve"> </w:t>
      </w:r>
      <w:r>
        <w:t xml:space="preserve">doi:10.3934/publichealth.2021040.</w:t>
      </w:r>
    </w:p>
    <w:p>
      <w:pPr>
        <w:numPr>
          <w:ilvl w:val="0"/>
          <w:numId w:val="1001"/>
        </w:numPr>
      </w:pPr>
      <w:r>
        <w:t xml:space="preserve">Peterson EN, Nethery RC, Chen JT, Tabb LP, Coull BA, Piel FB, Waller</w:t>
      </w:r>
      <w:r>
        <w:t xml:space="preserve"> </w:t>
      </w:r>
      <w:r>
        <w:t xml:space="preserve">LA. A Bayesian spatial measurement error approach to incorporate</w:t>
      </w:r>
      <w:r>
        <w:t xml:space="preserve"> </w:t>
      </w:r>
      <w:r>
        <w:t xml:space="preserve">heterogeneous population-at-risk uncertainty in estimating</w:t>
      </w:r>
      <w:r>
        <w:t xml:space="preserve"> </w:t>
      </w:r>
      <w:r>
        <w:t xml:space="preserve">small-area opioid mortality rates. Spat Spatiotemporal Epidemiol.</w:t>
      </w:r>
      <w:r>
        <w:t xml:space="preserve"> </w:t>
      </w:r>
      <w:r>
        <w:t xml:space="preserve">2025;53:100719. doi:10.1016/j.sste.2025.100719.</w:t>
      </w:r>
    </w:p>
    <w:p>
      <w:pPr>
        <w:numPr>
          <w:ilvl w:val="0"/>
          <w:numId w:val="1001"/>
        </w:numPr>
      </w:pPr>
      <w:r>
        <w:t xml:space="preserve">Instituto Brasileiro de Geografia e Estatistica. Estimates of</w:t>
      </w:r>
      <w:r>
        <w:t xml:space="preserve"> </w:t>
      </w:r>
      <w:r>
        <w:t xml:space="preserve">resident population for Municipalities and Federation Units. Rio de</w:t>
      </w:r>
      <w:r>
        <w:t xml:space="preserve"> </w:t>
      </w:r>
      <w:r>
        <w:t xml:space="preserve">Janeiro: IBGE.</w:t>
      </w:r>
      <w:r>
        <w:t xml:space="preserve"> </w:t>
      </w:r>
      <w:r>
        <w:t xml:space="preserve">https://www.ibge.gov.br/en/statistics/social/population/18448-population-estimates.html.</w:t>
      </w:r>
      <w:r>
        <w:t xml:space="preserve"> </w:t>
      </w:r>
      <w:r>
        <w:t xml:space="preserve">Accessed 27 Apr 2026.</w:t>
      </w:r>
    </w:p>
    <w:p>
      <w:pPr>
        <w:numPr>
          <w:ilvl w:val="0"/>
          <w:numId w:val="1001"/>
        </w:numPr>
      </w:pPr>
      <w:r>
        <w:t xml:space="preserve">Ministerio da Saude. DataSUS. Populacao residente: estudo de</w:t>
      </w:r>
      <w:r>
        <w:t xml:space="preserve"> </w:t>
      </w:r>
      <w:r>
        <w:t xml:space="preserve">estimativas populacionais por municipio, sexo e idade, 2000-2021.</w:t>
      </w:r>
      <w:r>
        <w:t xml:space="preserve"> </w:t>
      </w:r>
      <w:r>
        <w:t xml:space="preserve">Brasilia: Ministerio da Saude.</w:t>
      </w:r>
      <w:r>
        <w:t xml:space="preserve"> </w:t>
      </w:r>
      <w:r>
        <w:t xml:space="preserve">https://datasus.saude.gov.br/populacao-residente/. Accessed 27 Apr</w:t>
      </w:r>
    </w:p>
    <w:p>
      <w:pPr>
        <w:numPr>
          <w:ilvl w:val="0"/>
          <w:numId w:val="1001"/>
        </w:numPr>
      </w:pPr>
      <w:r>
        <w:t xml:space="preserve">Universidade Federal do Rio Grande do Norte. LEPP - Laboratorio de</w:t>
      </w:r>
      <w:r>
        <w:t xml:space="preserve"> </w:t>
      </w:r>
      <w:r>
        <w:t xml:space="preserve">Estimativas e Projecoes Populacionais. Natal: UFRN.</w:t>
      </w:r>
      <w:r>
        <w:t xml:space="preserve"> </w:t>
      </w:r>
      <w:r>
        <w:t xml:space="preserve">https://demografiaufrn.net/laboratorios/lepp/. Accessed 27 Apr 2026.</w:t>
      </w:r>
    </w:p>
    <w:p>
      <w:pPr>
        <w:numPr>
          <w:ilvl w:val="0"/>
          <w:numId w:val="1001"/>
        </w:numPr>
      </w:pPr>
      <w:r>
        <w:t xml:space="preserve">Saldanha R. brpop: Brazilian Population Estimatives. R package</w:t>
      </w:r>
      <w:r>
        <w:t xml:space="preserve"> </w:t>
      </w:r>
      <w:r>
        <w:t xml:space="preserve">version 0.6.2. 2025. https://rfsaldanha.github.io/brpop/. Accessed</w:t>
      </w:r>
      <w:r>
        <w:t xml:space="preserve"> </w:t>
      </w:r>
      <w:r>
        <w:t xml:space="preserve">27 Apr 2026.</w:t>
      </w:r>
    </w:p>
    <w:p>
      <w:pPr>
        <w:numPr>
          <w:ilvl w:val="0"/>
          <w:numId w:val="1001"/>
        </w:numPr>
      </w:pPr>
      <w:r>
        <w:t xml:space="preserve">Pedroso M, Salles R, Saldanha R, de Almeida VK, Souto G, Paixao B,</w:t>
      </w:r>
      <w:r>
        <w:t xml:space="preserve"> </w:t>
      </w:r>
      <w:r>
        <w:t xml:space="preserve">et al. Data Science Platform Applied to Health in Contribution to</w:t>
      </w:r>
      <w:r>
        <w:t xml:space="preserve"> </w:t>
      </w:r>
      <w:r>
        <w:t xml:space="preserve">the Brazilian Unified Health System. CEUR Workshop Proceedings.</w:t>
      </w:r>
      <w:r>
        <w:t xml:space="preserve"> </w:t>
      </w:r>
      <w:r>
        <w:t xml:space="preserve">2023;3462:1-16.</w:t>
      </w:r>
    </w:p>
    <w:p>
      <w:pPr>
        <w:numPr>
          <w:ilvl w:val="0"/>
          <w:numId w:val="1001"/>
        </w:numPr>
      </w:pPr>
      <w:r>
        <w:t xml:space="preserve">Ministério da Saúde. Departamento de Informatica do SUS. Informações</w:t>
      </w:r>
      <w:r>
        <w:t xml:space="preserve"> </w:t>
      </w:r>
      <w:r>
        <w:t xml:space="preserve">de Saude (TABNET). Brasilia: Ministerio da Saude.</w:t>
      </w:r>
      <w:r>
        <w:t xml:space="preserve"> </w:t>
      </w:r>
      <w:r>
        <w:t xml:space="preserve">https://datasus.saude.gov.br/informacoes-de-saude-tabnet/. Accessed</w:t>
      </w:r>
      <w:r>
        <w:t xml:space="preserve"> </w:t>
      </w:r>
      <w:r>
        <w:t xml:space="preserve">27 Apr 2026.</w:t>
      </w:r>
    </w:p>
    <w:p>
      <w:pPr>
        <w:numPr>
          <w:ilvl w:val="0"/>
          <w:numId w:val="1001"/>
        </w:numPr>
      </w:pPr>
      <w:r>
        <w:t xml:space="preserve">Carroll RJ, Ruppert D, Stefanski LA, Crainiceanu CM. Measurement</w:t>
      </w:r>
      <w:r>
        <w:t xml:space="preserve"> </w:t>
      </w:r>
      <w:r>
        <w:t xml:space="preserve">Error in Nonlinear Models: A Modern Perspective. 2nd ed. Boca Raton:</w:t>
      </w:r>
      <w:r>
        <w:t xml:space="preserve"> </w:t>
      </w:r>
      <w:r>
        <w:t xml:space="preserve">Chapman and Hall/CRC; 2006.</w:t>
      </w:r>
    </w:p>
    <w:p>
      <w:pPr>
        <w:numPr>
          <w:ilvl w:val="0"/>
          <w:numId w:val="1001"/>
        </w:numPr>
      </w:pPr>
      <w:r>
        <w:t xml:space="preserve">Waller LA, Gotway CA. Applied Spatial Statistics for Public Health</w:t>
      </w:r>
      <w:r>
        <w:t xml:space="preserve"> </w:t>
      </w:r>
      <w:r>
        <w:t xml:space="preserve">Data. Hoboken: Wiley; 2004.</w:t>
      </w:r>
    </w:p>
    <w:p>
      <w:pPr>
        <w:numPr>
          <w:ilvl w:val="0"/>
          <w:numId w:val="1001"/>
        </w:numPr>
      </w:pPr>
      <w:r>
        <w:t xml:space="preserve">Wakefield J. Disease mapping and spatial regression with count data.n Biostatistics. 2007;8(2):158-183. doi:10.1093/biostatistics/kxl008.nn15. Anders K. Annual notified dengue case incidence in Brazilian municipalitiesn (SINAN database), 2007-2024. Monash University. Dataset. 2025.n doi:10.26180/28737815.v1.</w:t>
      </w:r>
    </w:p>
    <w:bookmarkEnd w:id="53"/>
    <w:bookmarkStart w:id="54" w:name="figure-legends"/>
    <w:p>
      <w:pPr>
        <w:pStyle w:val="Heading1"/>
      </w:pPr>
      <w:r>
        <w:t xml:space="preserve">Figure legends</w:t>
      </w:r>
    </w:p>
    <w:p>
      <w:pPr>
        <w:pStyle w:val="FirstParagraph"/>
      </w:pPr>
      <w:r>
        <w:t xml:space="preserve">Figure 1. Relative differences in municipal population estimates by</w:t>
      </w:r>
      <w:r>
        <w:t xml:space="preserve"> </w:t>
      </w:r>
      <w:r>
        <w:t xml:space="preserve">source and year, compared with the selected reference denominator.</w:t>
      </w:r>
    </w:p>
    <w:p>
      <w:pPr>
        <w:pStyle w:val="BodyText"/>
      </w:pPr>
      <w:r>
        <w:t xml:space="preserve">Figure 2. Distribution of absolute relative population differences by</w:t>
      </w:r>
      <w:r>
        <w:t xml:space="preserve"> </w:t>
      </w:r>
      <w:r>
        <w:t xml:space="preserve">municipality population size stratum.</w:t>
      </w:r>
    </w:p>
    <w:p>
      <w:pPr>
        <w:pStyle w:val="BodyText"/>
      </w:pPr>
      <w:r>
        <w:t xml:space="preserve">Figure 3. Relative differences in municipal health indicator rates</w:t>
      </w:r>
      <w:r>
        <w:t xml:space="preserve"> </w:t>
      </w:r>
      <w:r>
        <w:t xml:space="preserve">caused by denominator choice.</w:t>
      </w:r>
    </w:p>
    <w:p>
      <w:pPr>
        <w:pStyle w:val="BodyText"/>
      </w:pPr>
      <w:r>
        <w:t xml:space="preserve">Figure 4. Municipal rank displacement and classification changes under</w:t>
      </w:r>
      <w:r>
        <w:t xml:space="preserve"> </w:t>
      </w:r>
      <w:r>
        <w:t xml:space="preserve">alternative denominator sources.</w:t>
      </w:r>
    </w:p>
    <w:bookmarkEnd w:id="54"/>
    <w:bookmarkStart w:id="55" w:name="tables-to-be-completed-after-analysis"/>
    <w:p>
      <w:pPr>
        <w:pStyle w:val="Heading1"/>
      </w:pPr>
      <w:r>
        <w:t xml:space="preserve">Tables to be completed after analysis</w:t>
      </w:r>
    </w:p>
    <w:tbl>
      <w:tblPr>
        <w:tblStyle w:val="Table"/>
        <w:tblW w:type="pct" w:w="4896"/>
        <w:tblLook w:firstRow="1" w:lastRow="0" w:firstColumn="0" w:lastColumn="0" w:noHBand="0" w:noVBand="0" w:val="0020"/>
        <w:jc w:val="start"/>
      </w:tblPr>
      <w:tblGrid>
        <w:gridCol w:w="1980"/>
        <w:gridCol w:w="3795"/>
        <w:gridCol w:w="1980"/>
      </w:tblGrid>
      <w:tr>
        <w:trPr>
          <w:tblHeader w:val="true"/>
        </w:trPr>
        <w:tc>
          <w:tcPr/>
          <w:p>
            <w:pPr>
              <w:pStyle w:val="Compact"/>
              <w:jc w:val="left"/>
            </w:pPr>
            <w:r>
              <w:rPr>
                <w:bCs/>
                <w:b/>
              </w:rPr>
              <w:t xml:space="preserve">Table</w:t>
            </w:r>
          </w:p>
        </w:tc>
        <w:tc>
          <w:tcPr/>
          <w:p>
            <w:pPr>
              <w:pStyle w:val="Compact"/>
              <w:jc w:val="left"/>
            </w:pPr>
            <w:r>
              <w:rPr>
                <w:bCs/>
                <w:b/>
              </w:rPr>
              <w:t xml:space="preserve">Source output file</w:t>
            </w:r>
          </w:p>
        </w:tc>
        <w:tc>
          <w:tcPr/>
          <w:p>
            <w:pPr>
              <w:pStyle w:val="Compact"/>
              <w:jc w:val="left"/>
            </w:pPr>
            <w:r>
              <w:rPr>
                <w:bCs/>
                <w:b/>
              </w:rPr>
              <w:t xml:space="preserve">Purpose</w:t>
            </w:r>
          </w:p>
        </w:tc>
      </w:tr>
      <w:tr>
        <w:tc>
          <w:tcPr/>
          <w:p>
            <w:pPr>
              <w:pStyle w:val="Compact"/>
              <w:jc w:val="left"/>
            </w:pPr>
            <w:r>
              <w:t xml:space="preserve">Table 2</w:t>
            </w:r>
          </w:p>
        </w:tc>
        <w:tc>
          <w:tcPr/>
          <w:p>
            <w:pPr>
              <w:pStyle w:val="Compact"/>
              <w:jc w:val="left"/>
            </w:pPr>
            <w:r>
              <w:t xml:space="preserve">population_reference_summary.csv</w:t>
            </w:r>
          </w:p>
        </w:tc>
        <w:tc>
          <w:tcPr/>
          <w:p>
            <w:pPr>
              <w:pStyle w:val="Compact"/>
              <w:jc w:val="left"/>
            </w:pPr>
            <w:r>
              <w:t xml:space="preserve">Coverage and summary of</w:t>
            </w:r>
            <w:r>
              <w:t xml:space="preserve"> </w:t>
            </w:r>
            <w:r>
              <w:t xml:space="preserve">denominator differences</w:t>
            </w:r>
            <w:r>
              <w:t xml:space="preserve"> </w:t>
            </w:r>
            <w:r>
              <w:t xml:space="preserve">by year, source and</w:t>
            </w:r>
            <w:r>
              <w:t xml:space="preserve"> </w:t>
            </w:r>
            <w:r>
              <w:t xml:space="preserve">population size.</w:t>
            </w:r>
          </w:p>
        </w:tc>
      </w:tr>
      <w:tr>
        <w:tc>
          <w:tcPr/>
          <w:p>
            <w:pPr>
              <w:pStyle w:val="Compact"/>
              <w:jc w:val="left"/>
            </w:pPr>
            <w:r>
              <w:t xml:space="preserve">Table 3</w:t>
            </w:r>
          </w:p>
        </w:tc>
        <w:tc>
          <w:tcPr/>
          <w:p>
            <w:pPr>
              <w:pStyle w:val="Compact"/>
              <w:jc w:val="left"/>
            </w:pPr>
            <w:r>
              <w:t xml:space="preserve">manuscript_table_population_summary.csv</w:t>
            </w:r>
          </w:p>
        </w:tc>
        <w:tc>
          <w:tcPr/>
          <w:p>
            <w:pPr>
              <w:pStyle w:val="Compact"/>
              <w:jc w:val="left"/>
            </w:pPr>
            <w:r>
              <w:t xml:space="preserve">Compact manuscript</w:t>
            </w:r>
            <w:r>
              <w:t xml:space="preserve"> </w:t>
            </w:r>
            <w:r>
              <w:t xml:space="preserve">summary of population</w:t>
            </w:r>
            <w:r>
              <w:t xml:space="preserve"> </w:t>
            </w:r>
            <w:r>
              <w:t xml:space="preserve">differences.</w:t>
            </w:r>
          </w:p>
        </w:tc>
      </w:tr>
      <w:tr>
        <w:tc>
          <w:tcPr/>
          <w:p>
            <w:pPr>
              <w:pStyle w:val="Compact"/>
              <w:jc w:val="left"/>
            </w:pPr>
            <w:r>
              <w:t xml:space="preserve">Table 4</w:t>
            </w:r>
          </w:p>
        </w:tc>
        <w:tc>
          <w:tcPr/>
          <w:p>
            <w:pPr>
              <w:pStyle w:val="Compact"/>
              <w:jc w:val="left"/>
            </w:pPr>
            <w:r>
              <w:t xml:space="preserve">manuscript_table_rate_summary.csv</w:t>
            </w:r>
          </w:p>
        </w:tc>
        <w:tc>
          <w:tcPr/>
          <w:p>
            <w:pPr>
              <w:pStyle w:val="Compact"/>
              <w:jc w:val="left"/>
            </w:pPr>
            <w:r>
              <w:t xml:space="preserve">Effect of denominator</w:t>
            </w:r>
            <w:r>
              <w:t xml:space="preserve"> </w:t>
            </w:r>
            <w:r>
              <w:t xml:space="preserve">source on crude health</w:t>
            </w:r>
            <w:r>
              <w:t xml:space="preserve"> </w:t>
            </w:r>
            <w:r>
              <w:t xml:space="preserve">rates.</w:t>
            </w:r>
          </w:p>
        </w:tc>
      </w:tr>
      <w:tr>
        <w:tc>
          <w:tcPr/>
          <w:p>
            <w:pPr>
              <w:pStyle w:val="Compact"/>
              <w:jc w:val="left"/>
            </w:pPr>
            <w:r>
              <w:t xml:space="preserve">Table 5</w:t>
            </w:r>
          </w:p>
        </w:tc>
        <w:tc>
          <w:tcPr/>
          <w:p>
            <w:pPr>
              <w:pStyle w:val="Compact"/>
              <w:jc w:val="left"/>
            </w:pPr>
            <w:r>
              <w:t xml:space="preserve">manuscript_table_classification_summary.csv</w:t>
            </w:r>
            <w:r>
              <w:t xml:space="preserve"> </w:t>
            </w:r>
            <w:r>
              <w:t xml:space="preserve">and top_decile_overlap.csv</w:t>
            </w:r>
          </w:p>
        </w:tc>
        <w:tc>
          <w:tcPr/>
          <w:p>
            <w:pPr>
              <w:pStyle w:val="Compact"/>
              <w:jc w:val="left"/>
            </w:pPr>
            <w:r>
              <w:t xml:space="preserve">Reclassification, rank</w:t>
            </w:r>
            <w:r>
              <w:t xml:space="preserve"> </w:t>
            </w:r>
            <w:r>
              <w:t xml:space="preserve">and priority-set</w:t>
            </w:r>
            <w:r>
              <w:t xml:space="preserve"> </w:t>
            </w:r>
            <w:r>
              <w:t xml:space="preserve">overlap metrics.</w:t>
            </w:r>
          </w:p>
        </w:tc>
      </w:tr>
    </w:tbl>
    <w:bookmarkEnd w:id="55"/>
    <w:bookmarkStart w:id="56" w:name="supplementary-material"/>
    <w:p>
      <w:pPr>
        <w:pStyle w:val="Heading1"/>
      </w:pPr>
      <w:r>
        <w:t xml:space="preserve">Supplementary material</w:t>
      </w:r>
    </w:p>
    <w:p>
      <w:pPr>
        <w:pStyle w:val="FirstParagraph"/>
      </w:pPr>
      <w:r>
        <w:t xml:space="preserve">Additional file 1. Reproducible R code and data templates for</w:t>
      </w:r>
      <w:r>
        <w:t xml:space="preserve"> </w:t>
      </w:r>
      <w:r>
        <w:t xml:space="preserve">denominator sensitivity analysis. File name:</w:t>
      </w:r>
      <w:r>
        <w:t xml:space="preserve"> </w:t>
      </w:r>
      <w:r>
        <w:t xml:space="preserve">population_denominators_reproducible_code.zip.</w:t>
      </w:r>
    </w:p>
    <w:bookmarkEnd w:id="56"/>
    <w:sectPr w:rsidR="00FC693F" w:rsidRPr="0006063C" w:rsidSect="00034616">
      <w:footerReference r:id="rId9" w:type="default"/>
      <w:pgSz w:h="15840" w:w="12240"/>
      <w:pgMar w:bottom="1440" w:footer="720" w:gutter="0" w:header="720" w:left="1440" w:right="1440" w:top="1440"/>
      <w:cols w:space="720"/>
      <w:docGrid w:linePitch="360"/>
      <w:lnNumType w:countBy="1" w:restart="new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026">
    <w:nsid w:val="A99412026"/>
    <w:multiLevelType w:val="multilevel"/>
    <w:lvl w:ilvl="0">
      <w:start w:val="2026"/>
      <w:numFmt w:val="decimal"/>
      <w:lvlText w:val="%1."/>
      <w:lvlJc w:val="left"/>
      <w:pPr>
        <w:ind w:left="720" w:hanging="480"/>
      </w:pPr>
    </w:lvl>
    <w:lvl w:ilvl="1">
      <w:start w:val="2026"/>
      <w:numFmt w:val="decimal"/>
      <w:lvlText w:val="%2."/>
      <w:lvlJc w:val="left"/>
      <w:pPr>
        <w:ind w:left="1440" w:hanging="480"/>
      </w:pPr>
    </w:lvl>
    <w:lvl w:ilvl="2">
      <w:start w:val="2026"/>
      <w:numFmt w:val="decimal"/>
      <w:lvlText w:val="%3."/>
      <w:lvlJc w:val="left"/>
      <w:pPr>
        <w:ind w:left="2160" w:hanging="480"/>
      </w:pPr>
    </w:lvl>
    <w:lvl w:ilvl="3">
      <w:start w:val="2026"/>
      <w:numFmt w:val="decimal"/>
      <w:lvlText w:val="%4."/>
      <w:lvlJc w:val="left"/>
      <w:pPr>
        <w:ind w:left="2880" w:hanging="480"/>
      </w:pPr>
    </w:lvl>
    <w:lvl w:ilvl="4">
      <w:start w:val="2026"/>
      <w:numFmt w:val="decimal"/>
      <w:lvlText w:val="%5."/>
      <w:lvlJc w:val="left"/>
      <w:pPr>
        <w:ind w:left="3600" w:hanging="480"/>
      </w:pPr>
    </w:lvl>
    <w:lvl w:ilvl="5">
      <w:start w:val="2026"/>
      <w:numFmt w:val="decimal"/>
      <w:lvlText w:val="%6."/>
      <w:lvlJc w:val="left"/>
      <w:pPr>
        <w:ind w:left="4320" w:hanging="480"/>
      </w:pPr>
    </w:lvl>
    <w:lvl w:ilvl="6">
      <w:start w:val="2026"/>
      <w:numFmt w:val="decimal"/>
      <w:lvlText w:val="%7."/>
      <w:lvlJc w:val="left"/>
      <w:pPr>
        <w:ind w:left="5040" w:hanging="480"/>
      </w:pPr>
    </w:lvl>
    <w:lvl w:ilvl="7">
      <w:start w:val="2026"/>
      <w:numFmt w:val="decimal"/>
      <w:lvlText w:val="%8."/>
      <w:lvlJc w:val="left"/>
      <w:pPr>
        <w:ind w:left="5760" w:hanging="480"/>
      </w:pPr>
    </w:lvl>
    <w:lvl w:ilvl="8">
      <w:start w:val="202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026"/>
    <w:lvlOverride w:ilvl="0">
      <w:startOverride w:val="2026"/>
    </w:lvlOverride>
    <w:lvlOverride w:ilvl="1">
      <w:startOverride w:val="2026"/>
    </w:lvlOverride>
    <w:lvlOverride w:ilvl="2">
      <w:startOverride w:val="2026"/>
    </w:lvlOverride>
    <w:lvlOverride w:ilvl="3">
      <w:startOverride w:val="2026"/>
    </w:lvlOverride>
    <w:lvlOverride w:ilvl="4">
      <w:startOverride w:val="2026"/>
    </w:lvlOverride>
    <w:lvlOverride w:ilvl="5">
      <w:startOverride w:val="2026"/>
    </w:lvlOverride>
    <w:lvlOverride w:ilvl="6">
      <w:startOverride w:val="2026"/>
    </w:lvlOverride>
    <w:lvlOverride w:ilvl="7">
      <w:startOverride w:val="2026"/>
    </w:lvlOverride>
    <w:lvlOverride w:ilvl="8">
      <w:startOverride w:val="202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ind w:firstLine="360"/>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480" w:lineRule="auto"/>
      <w:outlineLvl w:val="0"/>
    </w:pPr>
    <w:rPr>
      <w:rFonts w:ascii="Times New Roman" w:asciiTheme="majorHAnsi" w:cstheme="majorBidi" w:eastAsia="Times New Roman"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line="480" w:lineRule="auto"/>
      <w:outlineLvl w:val="1"/>
    </w:pPr>
    <w:rPr>
      <w:rFonts w:ascii="Times New Roman" w:asciiTheme="majorHAnsi" w:cstheme="majorBidi" w:eastAsia="Times New Roman"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line="480" w:lineRule="auto"/>
      <w:outlineLvl w:val="2"/>
    </w:pPr>
    <w:rPr>
      <w:rFonts w:ascii="Times New Roman" w:asciiTheme="majorHAnsi" w:cstheme="majorBidi" w:eastAsia="Times New Roman" w:eastAsiaTheme="majorEastAsia" w:hAnsi="Times New Roman"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2026-04-27T19:19:20Z</dcterms:created>
  <dcterms:modified xsi:type="dcterms:W3CDTF">2026-04-27T19:19:20Z</dcterms:modified>
</cp:coreProperties>
</file>

<file path=docProps/custom.xml><?xml version="1.0" encoding="utf-8"?>
<Properties xmlns="http://schemas.openxmlformats.org/officeDocument/2006/custom-properties" xmlns:vt="http://schemas.openxmlformats.org/officeDocument/2006/docPropsVTypes"/>
</file>