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E43AA" w:rsidRDefault="00A315AB">
      <w:pPr>
        <w:spacing w:after="0" w:line="259" w:lineRule="auto"/>
        <w:ind w:left="0" w:firstLine="0"/>
        <w:jc w:val="left"/>
        <w:rPr>
          <w:b/>
          <w:sz w:val="24"/>
          <w:szCs w:val="24"/>
          <w:lang w:val="en-US"/>
        </w:rPr>
      </w:pPr>
      <w:r w:rsidRPr="003B1A2B">
        <w:rPr>
          <w:b/>
          <w:sz w:val="24"/>
          <w:szCs w:val="24"/>
          <w:lang w:val="en-US"/>
        </w:rPr>
        <w:t xml:space="preserve">The relation between affective touch and pupil size </w:t>
      </w:r>
    </w:p>
    <w:p w:rsidR="003B1A2B" w:rsidRDefault="003B1A2B">
      <w:pPr>
        <w:spacing w:after="0" w:line="259" w:lineRule="auto"/>
        <w:ind w:left="0" w:firstLine="0"/>
        <w:jc w:val="left"/>
        <w:rPr>
          <w:b/>
          <w:sz w:val="24"/>
          <w:szCs w:val="24"/>
          <w:lang w:val="en-US"/>
        </w:rPr>
      </w:pPr>
    </w:p>
    <w:p w:rsidR="003B1A2B" w:rsidRPr="003B1A2B" w:rsidRDefault="003B1A2B">
      <w:pPr>
        <w:spacing w:after="0" w:line="259" w:lineRule="auto"/>
        <w:ind w:left="0" w:firstLine="0"/>
        <w:jc w:val="left"/>
        <w:rPr>
          <w:sz w:val="24"/>
          <w:szCs w:val="24"/>
          <w:lang w:val="en-US"/>
        </w:rPr>
      </w:pPr>
    </w:p>
    <w:p w:rsidR="005E43AA" w:rsidRPr="003F39A4" w:rsidRDefault="00A315AB">
      <w:pPr>
        <w:spacing w:after="0" w:line="259" w:lineRule="auto"/>
        <w:ind w:left="0" w:firstLine="0"/>
        <w:jc w:val="left"/>
        <w:rPr>
          <w:lang w:val="en-US"/>
        </w:rPr>
      </w:pPr>
      <w:r w:rsidRPr="003F39A4">
        <w:rPr>
          <w:b/>
          <w:lang w:val="en-US"/>
        </w:rPr>
        <w:t xml:space="preserve">METHODS </w:t>
      </w:r>
    </w:p>
    <w:p w:rsidR="005E43AA" w:rsidRPr="003F39A4" w:rsidRDefault="00A315AB">
      <w:pPr>
        <w:ind w:left="-5" w:firstLine="0"/>
        <w:rPr>
          <w:lang w:val="en-US"/>
        </w:rPr>
      </w:pPr>
      <w:r w:rsidRPr="003F39A4">
        <w:rPr>
          <w:lang w:val="en-US"/>
        </w:rPr>
        <w:t>Twenty-eight subjects were recruited for this study</w:t>
      </w:r>
      <w:r w:rsidRPr="003F39A4">
        <w:rPr>
          <w:b/>
          <w:lang w:val="en-US"/>
        </w:rPr>
        <w:t xml:space="preserve"> </w:t>
      </w:r>
      <w:r w:rsidRPr="003F39A4">
        <w:rPr>
          <w:lang w:val="en-US"/>
        </w:rPr>
        <w:t>(</w:t>
      </w:r>
      <w:r w:rsidRPr="003F39A4">
        <w:rPr>
          <w:i/>
          <w:lang w:val="en-US"/>
        </w:rPr>
        <w:t>M</w:t>
      </w:r>
      <w:r w:rsidRPr="003F39A4">
        <w:rPr>
          <w:lang w:val="en-US"/>
        </w:rPr>
        <w:t xml:space="preserve"> = 19.14 years, </w:t>
      </w:r>
      <w:r w:rsidRPr="003F39A4">
        <w:rPr>
          <w:i/>
          <w:lang w:val="en-US"/>
        </w:rPr>
        <w:t xml:space="preserve">SD </w:t>
      </w:r>
      <w:r w:rsidRPr="003F39A4">
        <w:rPr>
          <w:lang w:val="en-US"/>
        </w:rPr>
        <w:t xml:space="preserve">=10.02 years, 11 male). Participants could choose either a monetary reward or course credits for compensation. All participants gave written informed consent for participation. Inclusion criteria were normal vision or corrected to normal vision with contact lenses.  </w:t>
      </w:r>
    </w:p>
    <w:p w:rsidR="005E43AA" w:rsidRPr="003F39A4" w:rsidRDefault="00A315AB">
      <w:pPr>
        <w:spacing w:after="0" w:line="259" w:lineRule="auto"/>
        <w:ind w:left="0" w:firstLine="0"/>
        <w:jc w:val="left"/>
        <w:rPr>
          <w:lang w:val="en-US"/>
        </w:rPr>
      </w:pPr>
      <w:r w:rsidRPr="003F39A4">
        <w:rPr>
          <w:b/>
          <w:i/>
          <w:lang w:val="en-US"/>
        </w:rPr>
        <w:t xml:space="preserve"> </w:t>
      </w:r>
    </w:p>
    <w:p w:rsidR="005E43AA" w:rsidRPr="003F39A4" w:rsidRDefault="00A315AB">
      <w:pPr>
        <w:pStyle w:val="Heading1"/>
        <w:ind w:left="-5" w:firstLine="0"/>
        <w:rPr>
          <w:lang w:val="en-US"/>
        </w:rPr>
      </w:pPr>
      <w:r w:rsidRPr="003F39A4">
        <w:rPr>
          <w:lang w:val="en-US"/>
        </w:rPr>
        <w:t xml:space="preserve">Apparatus and stimuli </w:t>
      </w:r>
    </w:p>
    <w:p w:rsidR="005E43AA" w:rsidRPr="003F39A4" w:rsidRDefault="00A315AB">
      <w:pPr>
        <w:ind w:left="-5" w:firstLine="0"/>
        <w:rPr>
          <w:lang w:val="en-US"/>
        </w:rPr>
      </w:pPr>
      <w:r w:rsidRPr="003F39A4">
        <w:rPr>
          <w:lang w:val="en-US"/>
        </w:rPr>
        <w:t xml:space="preserve">The right eye was recorded with the </w:t>
      </w:r>
      <w:proofErr w:type="spellStart"/>
      <w:r w:rsidRPr="003F39A4">
        <w:rPr>
          <w:lang w:val="en-US"/>
        </w:rPr>
        <w:t>EyeTribe</w:t>
      </w:r>
      <w:proofErr w:type="spellEnd"/>
      <w:r w:rsidRPr="003F39A4">
        <w:rPr>
          <w:lang w:val="en-US"/>
        </w:rPr>
        <w:t xml:space="preserve"> tracker, an infrared based eye-tracker sampling at 30Hz. Stimuli were presented on a 20 inch monitor (Samsung 2032BW, 1680 x 1050px, 60Hz). Stimulus presentation was controlled with </w:t>
      </w:r>
      <w:proofErr w:type="spellStart"/>
      <w:r w:rsidRPr="003F39A4">
        <w:rPr>
          <w:lang w:val="en-US"/>
        </w:rPr>
        <w:t>OpenSesame</w:t>
      </w:r>
      <w:proofErr w:type="spellEnd"/>
      <w:r w:rsidRPr="003F39A4">
        <w:rPr>
          <w:lang w:val="en-US"/>
        </w:rPr>
        <w:t xml:space="preserve"> (</w:t>
      </w:r>
      <w:proofErr w:type="spellStart"/>
      <w:r w:rsidRPr="003F39A4">
        <w:rPr>
          <w:color w:val="222222"/>
          <w:lang w:val="en-US"/>
        </w:rPr>
        <w:t>Mathôt</w:t>
      </w:r>
      <w:proofErr w:type="spellEnd"/>
      <w:r w:rsidRPr="003F39A4">
        <w:rPr>
          <w:lang w:val="en-US"/>
        </w:rPr>
        <w:t xml:space="preserve">, </w:t>
      </w:r>
      <w:proofErr w:type="spellStart"/>
      <w:r w:rsidRPr="003F39A4">
        <w:rPr>
          <w:lang w:val="en-US"/>
        </w:rPr>
        <w:t>Schreij</w:t>
      </w:r>
      <w:proofErr w:type="spellEnd"/>
      <w:r w:rsidRPr="003F39A4">
        <w:rPr>
          <w:lang w:val="en-US"/>
        </w:rPr>
        <w:t xml:space="preserve">, &amp; </w:t>
      </w:r>
      <w:proofErr w:type="spellStart"/>
      <w:r w:rsidRPr="003F39A4">
        <w:rPr>
          <w:lang w:val="en-US"/>
        </w:rPr>
        <w:t>Theeuwes</w:t>
      </w:r>
      <w:proofErr w:type="spellEnd"/>
      <w:r w:rsidRPr="003F39A4">
        <w:rPr>
          <w:lang w:val="en-US"/>
        </w:rPr>
        <w:t xml:space="preserve">, 2012). Visual stimulus consisted of a black fixation dot on gray </w:t>
      </w:r>
      <w:r w:rsidR="00DE3E8F" w:rsidRPr="003F39A4">
        <w:rPr>
          <w:lang w:val="en-US"/>
        </w:rPr>
        <w:t>background,</w:t>
      </w:r>
      <w:r w:rsidRPr="003F39A4">
        <w:rPr>
          <w:lang w:val="en-US"/>
        </w:rPr>
        <w:t xml:space="preserve"> at a fixed luminance of 21.0 cd/m</w:t>
      </w:r>
      <w:r w:rsidRPr="003F39A4">
        <w:rPr>
          <w:vertAlign w:val="superscript"/>
          <w:lang w:val="en-US"/>
        </w:rPr>
        <w:t>2</w:t>
      </w:r>
      <w:r w:rsidRPr="003F39A4">
        <w:rPr>
          <w:lang w:val="en-US"/>
        </w:rPr>
        <w:t xml:space="preserve">. </w:t>
      </w:r>
    </w:p>
    <w:p w:rsidR="005E43AA" w:rsidRPr="003F39A4" w:rsidRDefault="00A315AB">
      <w:pPr>
        <w:spacing w:after="0" w:line="259" w:lineRule="auto"/>
        <w:ind w:left="0" w:firstLine="0"/>
        <w:jc w:val="left"/>
        <w:rPr>
          <w:lang w:val="en-US"/>
        </w:rPr>
      </w:pPr>
      <w:r w:rsidRPr="003F39A4">
        <w:rPr>
          <w:b/>
          <w:i/>
          <w:lang w:val="en-US"/>
        </w:rPr>
        <w:t xml:space="preserve"> </w:t>
      </w:r>
    </w:p>
    <w:p w:rsidR="005E43AA" w:rsidRPr="003F39A4" w:rsidRDefault="00A315AB">
      <w:pPr>
        <w:pStyle w:val="Heading1"/>
        <w:ind w:left="-5" w:firstLine="0"/>
        <w:rPr>
          <w:lang w:val="en-US"/>
        </w:rPr>
      </w:pPr>
      <w:r w:rsidRPr="003F39A4">
        <w:rPr>
          <w:lang w:val="en-US"/>
        </w:rPr>
        <w:t xml:space="preserve">Procedure and design </w:t>
      </w:r>
    </w:p>
    <w:p w:rsidR="005E43AA" w:rsidRPr="003F39A4" w:rsidRDefault="00A315AB">
      <w:pPr>
        <w:ind w:left="-5" w:firstLine="0"/>
        <w:rPr>
          <w:lang w:val="en-US"/>
        </w:rPr>
      </w:pPr>
      <w:r w:rsidRPr="003F39A4">
        <w:rPr>
          <w:lang w:val="en-US"/>
        </w:rPr>
        <w:t>Viewing distance (55cm) was kept constant across participants by the use of a chinrest. The experiment started with a 9-point eye tracker calibration. Before each trial, a manual 1-point recalibration (“drift correction” by space bar press) was performed. In each trial a fixation dot was presented in the center of the screen for 18s. Instructions were to keep the eyes fixated on the dot and blink as little as possible. At 3s, a tone (440Hz, type ‘</w:t>
      </w:r>
      <w:proofErr w:type="spellStart"/>
      <w:r w:rsidRPr="003F39A4">
        <w:rPr>
          <w:lang w:val="en-US"/>
        </w:rPr>
        <w:t>sawtooth</w:t>
      </w:r>
      <w:proofErr w:type="spellEnd"/>
      <w:r w:rsidRPr="003F39A4">
        <w:rPr>
          <w:lang w:val="en-US"/>
        </w:rPr>
        <w:t xml:space="preserve"> wave’; 92ms decay; length 100ms) was played as indication for the experimenter to start stroking for the remaining 15 seconds. Stroking was applied with a foundation brush (goat hair; conducted pressure approx. </w:t>
      </w:r>
      <w:r w:rsidRPr="009E7149">
        <w:rPr>
          <w:lang w:val="en-US"/>
        </w:rPr>
        <w:t>11</w:t>
      </w:r>
      <w:proofErr w:type="gramStart"/>
      <w:r w:rsidRPr="009E7149">
        <w:rPr>
          <w:lang w:val="en-US"/>
        </w:rPr>
        <w:t>,5</w:t>
      </w:r>
      <w:proofErr w:type="gramEnd"/>
      <w:r w:rsidRPr="009E7149">
        <w:rPr>
          <w:lang w:val="en-US"/>
        </w:rPr>
        <w:t xml:space="preserve"> Pa). </w:t>
      </w:r>
      <w:r w:rsidRPr="003F39A4">
        <w:rPr>
          <w:lang w:val="en-US"/>
        </w:rPr>
        <w:t>Stroking velocities were either optimal (3cms</w:t>
      </w:r>
      <w:r w:rsidRPr="003F39A4">
        <w:rPr>
          <w:vertAlign w:val="superscript"/>
          <w:lang w:val="en-US"/>
        </w:rPr>
        <w:t>-1</w:t>
      </w:r>
      <w:r w:rsidRPr="003F39A4">
        <w:rPr>
          <w:lang w:val="en-US"/>
        </w:rPr>
        <w:t>) or suboptimal (0.3cms</w:t>
      </w:r>
      <w:r w:rsidRPr="003F39A4">
        <w:rPr>
          <w:vertAlign w:val="superscript"/>
          <w:lang w:val="en-US"/>
        </w:rPr>
        <w:t>-1</w:t>
      </w:r>
      <w:r w:rsidRPr="003F39A4">
        <w:rPr>
          <w:lang w:val="en-US"/>
        </w:rPr>
        <w:t>, 30cms</w:t>
      </w:r>
      <w:r w:rsidRPr="003F39A4">
        <w:rPr>
          <w:vertAlign w:val="superscript"/>
          <w:lang w:val="en-US"/>
        </w:rPr>
        <w:t>1</w:t>
      </w:r>
      <w:r w:rsidRPr="003F39A4">
        <w:rPr>
          <w:lang w:val="en-US"/>
        </w:rPr>
        <w:t>) for targeting CT-fibers and thereby eliciting affective experience (</w:t>
      </w:r>
      <w:proofErr w:type="spellStart"/>
      <w:r w:rsidRPr="003F39A4">
        <w:rPr>
          <w:lang w:val="en-US"/>
        </w:rPr>
        <w:t>Löken</w:t>
      </w:r>
      <w:proofErr w:type="spellEnd"/>
      <w:r w:rsidRPr="003F39A4">
        <w:rPr>
          <w:lang w:val="en-US"/>
        </w:rPr>
        <w:t xml:space="preserve">, 2009; Van </w:t>
      </w:r>
      <w:proofErr w:type="spellStart"/>
      <w:r w:rsidRPr="003F39A4">
        <w:rPr>
          <w:lang w:val="en-US"/>
        </w:rPr>
        <w:t>Stralen</w:t>
      </w:r>
      <w:proofErr w:type="spellEnd"/>
      <w:r w:rsidRPr="003F39A4">
        <w:rPr>
          <w:lang w:val="en-US"/>
        </w:rPr>
        <w:t xml:space="preserve"> et al., 2014). Stroking velocities for trials were randomly assigned a priori so that each participant underwent the same trial sequence.  </w:t>
      </w:r>
    </w:p>
    <w:p w:rsidR="005E43AA" w:rsidRPr="003F39A4" w:rsidRDefault="00A315AB" w:rsidP="003B1A2B">
      <w:pPr>
        <w:spacing w:after="174"/>
        <w:ind w:left="-5" w:firstLine="725"/>
        <w:rPr>
          <w:lang w:val="en-US"/>
        </w:rPr>
      </w:pPr>
      <w:r w:rsidRPr="003F39A4">
        <w:rPr>
          <w:lang w:val="en-US"/>
        </w:rPr>
        <w:t xml:space="preserve">After each trial, participants rated the tactile experience with an adjusted version of the Touch Perception Task (TPT; Guest et al., 2011). The Dutch translation of these words was used (Martens, 2014), containing eight words of the TPT with highest proportion of variance accounted for by the factor ‘comfort’ and least covariance accounted for by the factor ‘arousal’ (Guest et al., 2011), see Table 1. Hedonic valence categorization was adapted from </w:t>
      </w:r>
      <w:proofErr w:type="spellStart"/>
      <w:r w:rsidRPr="003F39A4">
        <w:rPr>
          <w:lang w:val="en-US"/>
        </w:rPr>
        <w:t>Ackerley</w:t>
      </w:r>
      <w:proofErr w:type="spellEnd"/>
      <w:r w:rsidRPr="003F39A4">
        <w:rPr>
          <w:lang w:val="en-US"/>
        </w:rPr>
        <w:t xml:space="preserve"> and </w:t>
      </w:r>
      <w:proofErr w:type="spellStart"/>
      <w:r w:rsidRPr="003F39A4">
        <w:rPr>
          <w:lang w:val="en-US"/>
        </w:rPr>
        <w:t>colleages</w:t>
      </w:r>
      <w:proofErr w:type="spellEnd"/>
      <w:r w:rsidRPr="003F39A4">
        <w:rPr>
          <w:lang w:val="en-US"/>
        </w:rPr>
        <w:t xml:space="preserve"> (</w:t>
      </w:r>
      <w:proofErr w:type="spellStart"/>
      <w:r w:rsidRPr="003F39A4">
        <w:rPr>
          <w:lang w:val="en-US"/>
        </w:rPr>
        <w:t>Ackerley</w:t>
      </w:r>
      <w:proofErr w:type="spellEnd"/>
      <w:r w:rsidRPr="003F39A4">
        <w:rPr>
          <w:lang w:val="en-US"/>
        </w:rPr>
        <w:t xml:space="preserve">, Saar, </w:t>
      </w:r>
      <w:proofErr w:type="spellStart"/>
      <w:r w:rsidRPr="003F39A4">
        <w:rPr>
          <w:lang w:val="en-US"/>
        </w:rPr>
        <w:t>McGlone</w:t>
      </w:r>
      <w:proofErr w:type="spellEnd"/>
      <w:r w:rsidRPr="003F39A4">
        <w:rPr>
          <w:lang w:val="en-US"/>
        </w:rPr>
        <w:t xml:space="preserve">, &amp; </w:t>
      </w:r>
      <w:proofErr w:type="spellStart"/>
      <w:r w:rsidRPr="003F39A4">
        <w:rPr>
          <w:lang w:val="en-US"/>
        </w:rPr>
        <w:t>Wasling</w:t>
      </w:r>
      <w:proofErr w:type="spellEnd"/>
      <w:r w:rsidRPr="003F39A4">
        <w:rPr>
          <w:lang w:val="en-US"/>
        </w:rPr>
        <w:t xml:space="preserve">, 2014). Ratings were assessed with a digital version of the Visual Analogue Scale (VAS-scale), handling scores in slider format ranging from 0, not at all descriptive, to 100, highly descriptive.  </w:t>
      </w:r>
      <w:r w:rsidRPr="003F39A4">
        <w:rPr>
          <w:b/>
          <w:lang w:val="en-US"/>
        </w:rPr>
        <w:t xml:space="preserve"> </w:t>
      </w:r>
    </w:p>
    <w:p w:rsidR="005E43AA" w:rsidRPr="003F39A4" w:rsidRDefault="00A315AB">
      <w:pPr>
        <w:pStyle w:val="Heading1"/>
        <w:ind w:left="-5" w:firstLine="0"/>
        <w:rPr>
          <w:lang w:val="en-US"/>
        </w:rPr>
      </w:pPr>
      <w:r w:rsidRPr="003F39A4">
        <w:rPr>
          <w:lang w:val="en-US"/>
        </w:rPr>
        <w:t xml:space="preserve">Data analysis </w:t>
      </w:r>
    </w:p>
    <w:p w:rsidR="005E43AA" w:rsidRPr="003F39A4" w:rsidRDefault="00A315AB">
      <w:pPr>
        <w:ind w:left="-5" w:firstLine="0"/>
        <w:rPr>
          <w:lang w:val="en-US"/>
        </w:rPr>
      </w:pPr>
      <w:r w:rsidRPr="003F39A4">
        <w:rPr>
          <w:lang w:val="en-US"/>
        </w:rPr>
        <w:t xml:space="preserve">For behavioral data analysis, repeated-measures ANOVAs were conducted using SPSS 20 (SPSS Inc., Chicago, IL, USA) for each of the TPT-items, using stroking velocity as within-subjects factor. Paired samples t-tests were performed as post-hoc tests, </w:t>
      </w:r>
      <w:r>
        <w:t>α</w:t>
      </w:r>
      <w:r w:rsidRPr="003F39A4">
        <w:rPr>
          <w:lang w:val="en-US"/>
        </w:rPr>
        <w:t xml:space="preserve">=.05.  </w:t>
      </w:r>
    </w:p>
    <w:p w:rsidR="005E43AA" w:rsidRPr="003F39A4" w:rsidRDefault="00A315AB">
      <w:pPr>
        <w:ind w:left="-15" w:firstLine="708"/>
        <w:rPr>
          <w:lang w:val="en-US"/>
        </w:rPr>
      </w:pPr>
      <w:proofErr w:type="spellStart"/>
      <w:r w:rsidRPr="003F39A4">
        <w:rPr>
          <w:lang w:val="en-US"/>
        </w:rPr>
        <w:t>Pupillometry</w:t>
      </w:r>
      <w:proofErr w:type="spellEnd"/>
      <w:r w:rsidRPr="003F39A4">
        <w:rPr>
          <w:lang w:val="en-US"/>
        </w:rPr>
        <w:t xml:space="preserve"> data was analyzed with linear mixed-effects modeling (LMM) using stroking velocity as fixed and participant as random effect. The library </w:t>
      </w:r>
      <w:proofErr w:type="spellStart"/>
      <w:r w:rsidRPr="003F39A4">
        <w:rPr>
          <w:lang w:val="en-US"/>
        </w:rPr>
        <w:t>lmerTest</w:t>
      </w:r>
      <w:proofErr w:type="spellEnd"/>
      <w:r w:rsidRPr="003F39A4">
        <w:rPr>
          <w:lang w:val="en-US"/>
        </w:rPr>
        <w:t xml:space="preserve"> for R (Kuznetsova, </w:t>
      </w:r>
      <w:proofErr w:type="spellStart"/>
      <w:r w:rsidRPr="003F39A4">
        <w:rPr>
          <w:lang w:val="en-US"/>
        </w:rPr>
        <w:t>Brockhoff</w:t>
      </w:r>
      <w:proofErr w:type="spellEnd"/>
      <w:r w:rsidRPr="003F39A4">
        <w:rPr>
          <w:lang w:val="en-US"/>
        </w:rPr>
        <w:t xml:space="preserve">, &amp; Christensen, 2015) was used to obtain 95%-confidence intervals (CIs) and corresponding </w:t>
      </w:r>
      <w:r w:rsidRPr="003F39A4">
        <w:rPr>
          <w:i/>
          <w:lang w:val="en-US"/>
        </w:rPr>
        <w:t>p</w:t>
      </w:r>
      <w:r w:rsidRPr="003F39A4">
        <w:rPr>
          <w:lang w:val="en-US"/>
        </w:rPr>
        <w:t>-values. Pupil size during blinks was reconstructed cubic-spline interpolation (</w:t>
      </w:r>
      <w:proofErr w:type="spellStart"/>
      <w:r w:rsidRPr="003F39A4">
        <w:rPr>
          <w:color w:val="222222"/>
          <w:lang w:val="en-US"/>
        </w:rPr>
        <w:t>Mathôt</w:t>
      </w:r>
      <w:proofErr w:type="spellEnd"/>
      <w:r w:rsidRPr="003F39A4">
        <w:rPr>
          <w:color w:val="222222"/>
          <w:lang w:val="en-US"/>
        </w:rPr>
        <w:t>, 2013</w:t>
      </w:r>
      <w:r w:rsidRPr="003F39A4">
        <w:rPr>
          <w:lang w:val="en-US"/>
        </w:rPr>
        <w:t xml:space="preserve">). Baseline pupil size was defined as the average pupil size </w:t>
      </w:r>
      <w:r w:rsidR="003B1A2B">
        <w:rPr>
          <w:lang w:val="en-US"/>
        </w:rPr>
        <w:t>of</w:t>
      </w:r>
      <w:r w:rsidRPr="003F39A4">
        <w:rPr>
          <w:lang w:val="en-US"/>
        </w:rPr>
        <w:t xml:space="preserve"> </w:t>
      </w:r>
      <w:r w:rsidR="003F39A4">
        <w:rPr>
          <w:lang w:val="en-US"/>
        </w:rPr>
        <w:t>1350ms prior to the tone</w:t>
      </w:r>
      <w:r w:rsidR="003B1A2B">
        <w:rPr>
          <w:lang w:val="en-US"/>
        </w:rPr>
        <w:t xml:space="preserve"> (1650-3000ms)</w:t>
      </w:r>
      <w:r w:rsidR="003F39A4">
        <w:rPr>
          <w:lang w:val="en-US"/>
        </w:rPr>
        <w:t>.</w:t>
      </w:r>
      <w:r w:rsidRPr="003F39A4">
        <w:rPr>
          <w:lang w:val="en-US"/>
        </w:rPr>
        <w:t xml:space="preserve"> Pupil size during stroking period was defined as </w:t>
      </w:r>
      <w:r w:rsidR="003B1A2B">
        <w:rPr>
          <w:lang w:val="en-US"/>
        </w:rPr>
        <w:t>the 15000ms from the tone onwards</w:t>
      </w:r>
      <w:r w:rsidRPr="003F39A4">
        <w:rPr>
          <w:lang w:val="en-US"/>
        </w:rPr>
        <w:t xml:space="preserve"> </w:t>
      </w:r>
      <w:r w:rsidR="003B1A2B">
        <w:rPr>
          <w:lang w:val="en-US"/>
        </w:rPr>
        <w:t>(3000</w:t>
      </w:r>
      <w:r w:rsidRPr="003F39A4">
        <w:rPr>
          <w:lang w:val="en-US"/>
        </w:rPr>
        <w:t>-18000ms) and was divided by baseline per trial to obtain the relative signal needed for statistical analysis.  This is needed, because basal pupil sizes can occur as a function of fatigue (</w:t>
      </w:r>
      <w:proofErr w:type="spellStart"/>
      <w:r w:rsidRPr="003F39A4">
        <w:rPr>
          <w:lang w:val="en-US"/>
        </w:rPr>
        <w:t>Peavler</w:t>
      </w:r>
      <w:proofErr w:type="spellEnd"/>
      <w:r w:rsidRPr="003F39A4">
        <w:rPr>
          <w:lang w:val="en-US"/>
        </w:rPr>
        <w:t xml:space="preserve">, 1974), are affected by circadian and </w:t>
      </w:r>
      <w:proofErr w:type="spellStart"/>
      <w:r w:rsidRPr="003F39A4">
        <w:rPr>
          <w:lang w:val="en-US"/>
        </w:rPr>
        <w:t>ultracircadian</w:t>
      </w:r>
      <w:proofErr w:type="spellEnd"/>
      <w:r w:rsidRPr="003F39A4">
        <w:rPr>
          <w:lang w:val="en-US"/>
        </w:rPr>
        <w:t xml:space="preserve"> </w:t>
      </w:r>
      <w:proofErr w:type="spellStart"/>
      <w:r w:rsidRPr="003F39A4">
        <w:rPr>
          <w:lang w:val="en-US"/>
        </w:rPr>
        <w:t>rythms</w:t>
      </w:r>
      <w:proofErr w:type="spellEnd"/>
      <w:r w:rsidRPr="003F39A4">
        <w:rPr>
          <w:lang w:val="en-US"/>
        </w:rPr>
        <w:t xml:space="preserve"> (</w:t>
      </w:r>
      <w:proofErr w:type="spellStart"/>
      <w:r w:rsidRPr="003F39A4">
        <w:rPr>
          <w:lang w:val="en-US"/>
        </w:rPr>
        <w:t>Lavie</w:t>
      </w:r>
      <w:proofErr w:type="spellEnd"/>
      <w:r w:rsidRPr="003F39A4">
        <w:rPr>
          <w:lang w:val="en-US"/>
        </w:rPr>
        <w:t>, 1979) and change with a variety of contextual, psychological and task-determined influences (Tyron, 1975).</w:t>
      </w:r>
    </w:p>
    <w:p w:rsidR="003B1A2B" w:rsidRDefault="003B1A2B">
      <w:pPr>
        <w:rPr>
          <w:lang w:val="en-US"/>
        </w:rPr>
      </w:pPr>
      <w:r>
        <w:rPr>
          <w:lang w:val="en-US"/>
        </w:rPr>
        <w:br w:type="page"/>
      </w:r>
    </w:p>
    <w:p w:rsidR="005E43AA" w:rsidRPr="003F39A4" w:rsidRDefault="005E43AA">
      <w:pPr>
        <w:ind w:left="-15" w:firstLine="708"/>
        <w:rPr>
          <w:lang w:val="en-US"/>
        </w:rPr>
      </w:pPr>
    </w:p>
    <w:tbl>
      <w:tblPr>
        <w:tblStyle w:val="a"/>
        <w:tblW w:w="10435" w:type="dxa"/>
        <w:tblInd w:w="-115" w:type="dxa"/>
        <w:tblLayout w:type="fixed"/>
        <w:tblLook w:val="0400" w:firstRow="0" w:lastRow="0" w:firstColumn="0" w:lastColumn="0" w:noHBand="0" w:noVBand="1"/>
      </w:tblPr>
      <w:tblGrid>
        <w:gridCol w:w="3594"/>
        <w:gridCol w:w="3472"/>
        <w:gridCol w:w="3369"/>
      </w:tblGrid>
      <w:tr w:rsidR="005E43AA">
        <w:trPr>
          <w:trHeight w:val="240"/>
        </w:trPr>
        <w:tc>
          <w:tcPr>
            <w:tcW w:w="3594" w:type="dxa"/>
            <w:tcBorders>
              <w:top w:val="single" w:sz="12" w:space="0" w:color="000000"/>
              <w:left w:val="nil"/>
              <w:bottom w:val="single" w:sz="4" w:space="0" w:color="7F7F7F"/>
              <w:right w:val="nil"/>
            </w:tcBorders>
          </w:tcPr>
          <w:p w:rsidR="005E43AA" w:rsidRDefault="00A315AB">
            <w:pPr>
              <w:spacing w:line="259" w:lineRule="auto"/>
              <w:ind w:left="122" w:firstLine="0"/>
              <w:jc w:val="left"/>
            </w:pPr>
            <w:r>
              <w:t xml:space="preserve">English </w:t>
            </w:r>
          </w:p>
        </w:tc>
        <w:tc>
          <w:tcPr>
            <w:tcW w:w="3472" w:type="dxa"/>
            <w:tcBorders>
              <w:top w:val="single" w:sz="12" w:space="0" w:color="000000"/>
              <w:left w:val="nil"/>
              <w:bottom w:val="single" w:sz="4" w:space="0" w:color="7F7F7F"/>
              <w:right w:val="nil"/>
            </w:tcBorders>
          </w:tcPr>
          <w:p w:rsidR="005E43AA" w:rsidRDefault="00A315AB">
            <w:pPr>
              <w:spacing w:line="259" w:lineRule="auto"/>
              <w:ind w:left="0" w:firstLine="0"/>
              <w:jc w:val="left"/>
            </w:pPr>
            <w:r>
              <w:t xml:space="preserve">Dutch </w:t>
            </w:r>
          </w:p>
        </w:tc>
        <w:tc>
          <w:tcPr>
            <w:tcW w:w="3369" w:type="dxa"/>
            <w:tcBorders>
              <w:top w:val="single" w:sz="12" w:space="0" w:color="000000"/>
              <w:left w:val="nil"/>
              <w:bottom w:val="single" w:sz="4" w:space="0" w:color="7F7F7F"/>
              <w:right w:val="nil"/>
            </w:tcBorders>
          </w:tcPr>
          <w:p w:rsidR="005E43AA" w:rsidRDefault="00A315AB">
            <w:pPr>
              <w:spacing w:line="259" w:lineRule="auto"/>
              <w:ind w:left="0" w:firstLine="0"/>
              <w:jc w:val="left"/>
            </w:pPr>
            <w:r>
              <w:t xml:space="preserve">Hedonic valence description </w:t>
            </w:r>
          </w:p>
        </w:tc>
      </w:tr>
      <w:tr w:rsidR="005E43AA">
        <w:trPr>
          <w:trHeight w:val="440"/>
        </w:trPr>
        <w:tc>
          <w:tcPr>
            <w:tcW w:w="3594" w:type="dxa"/>
            <w:tcBorders>
              <w:top w:val="single" w:sz="4" w:space="0" w:color="7F7F7F"/>
              <w:left w:val="nil"/>
              <w:bottom w:val="nil"/>
              <w:right w:val="nil"/>
            </w:tcBorders>
          </w:tcPr>
          <w:p w:rsidR="005E43AA" w:rsidRDefault="00A315AB">
            <w:pPr>
              <w:spacing w:line="259" w:lineRule="auto"/>
              <w:ind w:left="122" w:right="1408" w:firstLine="0"/>
              <w:jc w:val="left"/>
            </w:pPr>
            <w:r>
              <w:t xml:space="preserve">Enjoyable Comfortable </w:t>
            </w:r>
          </w:p>
        </w:tc>
        <w:tc>
          <w:tcPr>
            <w:tcW w:w="3472" w:type="dxa"/>
            <w:tcBorders>
              <w:top w:val="single" w:sz="4" w:space="0" w:color="7F7F7F"/>
              <w:left w:val="nil"/>
              <w:bottom w:val="nil"/>
              <w:right w:val="nil"/>
            </w:tcBorders>
          </w:tcPr>
          <w:p w:rsidR="005E43AA" w:rsidRDefault="00A315AB">
            <w:pPr>
              <w:spacing w:line="259" w:lineRule="auto"/>
              <w:ind w:left="0" w:right="1250" w:firstLine="0"/>
              <w:jc w:val="left"/>
            </w:pPr>
            <w:r>
              <w:t xml:space="preserve">Aangenaam Comfortabel </w:t>
            </w:r>
          </w:p>
        </w:tc>
        <w:tc>
          <w:tcPr>
            <w:tcW w:w="3369" w:type="dxa"/>
            <w:tcBorders>
              <w:top w:val="single" w:sz="4" w:space="0" w:color="7F7F7F"/>
              <w:left w:val="nil"/>
              <w:bottom w:val="nil"/>
              <w:right w:val="nil"/>
            </w:tcBorders>
          </w:tcPr>
          <w:p w:rsidR="005E43AA" w:rsidRDefault="00A315AB">
            <w:pPr>
              <w:spacing w:line="259" w:lineRule="auto"/>
              <w:ind w:left="708" w:firstLine="0"/>
              <w:jc w:val="left"/>
            </w:pPr>
            <w:r>
              <w:t xml:space="preserve"> </w:t>
            </w:r>
          </w:p>
          <w:p w:rsidR="005E43AA" w:rsidRDefault="00A315AB">
            <w:pPr>
              <w:spacing w:line="259" w:lineRule="auto"/>
              <w:ind w:left="0" w:firstLine="0"/>
              <w:jc w:val="left"/>
            </w:pPr>
            <w:r>
              <w:t xml:space="preserve"> </w:t>
            </w:r>
          </w:p>
        </w:tc>
      </w:tr>
      <w:tr w:rsidR="005E43AA">
        <w:trPr>
          <w:trHeight w:val="220"/>
        </w:trPr>
        <w:tc>
          <w:tcPr>
            <w:tcW w:w="3594" w:type="dxa"/>
            <w:tcBorders>
              <w:top w:val="nil"/>
              <w:left w:val="nil"/>
              <w:bottom w:val="nil"/>
              <w:right w:val="nil"/>
            </w:tcBorders>
          </w:tcPr>
          <w:p w:rsidR="005E43AA" w:rsidRDefault="00A315AB">
            <w:pPr>
              <w:spacing w:line="259" w:lineRule="auto"/>
              <w:ind w:left="122" w:firstLine="0"/>
              <w:jc w:val="left"/>
            </w:pPr>
            <w:r>
              <w:t xml:space="preserve">Soothing </w:t>
            </w:r>
          </w:p>
        </w:tc>
        <w:tc>
          <w:tcPr>
            <w:tcW w:w="3472" w:type="dxa"/>
            <w:tcBorders>
              <w:top w:val="nil"/>
              <w:left w:val="nil"/>
              <w:bottom w:val="nil"/>
              <w:right w:val="nil"/>
            </w:tcBorders>
          </w:tcPr>
          <w:p w:rsidR="005E43AA" w:rsidRDefault="00A315AB">
            <w:pPr>
              <w:spacing w:line="259" w:lineRule="auto"/>
              <w:ind w:left="0" w:firstLine="0"/>
              <w:jc w:val="left"/>
            </w:pPr>
            <w:r>
              <w:t xml:space="preserve">Geruststellend </w:t>
            </w:r>
          </w:p>
        </w:tc>
        <w:tc>
          <w:tcPr>
            <w:tcW w:w="3369" w:type="dxa"/>
            <w:tcBorders>
              <w:top w:val="nil"/>
              <w:left w:val="nil"/>
              <w:bottom w:val="nil"/>
              <w:right w:val="nil"/>
            </w:tcBorders>
          </w:tcPr>
          <w:p w:rsidR="005E43AA" w:rsidRDefault="00A315AB">
            <w:pPr>
              <w:spacing w:line="259" w:lineRule="auto"/>
              <w:ind w:left="0" w:firstLine="0"/>
              <w:jc w:val="left"/>
            </w:pPr>
            <w:r>
              <w:t xml:space="preserve">Positive affect </w:t>
            </w:r>
          </w:p>
        </w:tc>
      </w:tr>
      <w:tr w:rsidR="005E43AA">
        <w:trPr>
          <w:trHeight w:val="220"/>
        </w:trPr>
        <w:tc>
          <w:tcPr>
            <w:tcW w:w="3594" w:type="dxa"/>
            <w:tcBorders>
              <w:top w:val="nil"/>
              <w:left w:val="nil"/>
              <w:bottom w:val="nil"/>
              <w:right w:val="nil"/>
            </w:tcBorders>
          </w:tcPr>
          <w:p w:rsidR="005E43AA" w:rsidRDefault="00A315AB">
            <w:pPr>
              <w:spacing w:line="259" w:lineRule="auto"/>
              <w:ind w:left="122" w:firstLine="0"/>
              <w:jc w:val="left"/>
            </w:pPr>
            <w:r>
              <w:t xml:space="preserve">Calming </w:t>
            </w:r>
          </w:p>
        </w:tc>
        <w:tc>
          <w:tcPr>
            <w:tcW w:w="3472" w:type="dxa"/>
            <w:tcBorders>
              <w:top w:val="nil"/>
              <w:left w:val="nil"/>
              <w:bottom w:val="nil"/>
              <w:right w:val="nil"/>
            </w:tcBorders>
          </w:tcPr>
          <w:p w:rsidR="005E43AA" w:rsidRDefault="00A315AB">
            <w:pPr>
              <w:spacing w:line="259" w:lineRule="auto"/>
              <w:ind w:left="0" w:firstLine="0"/>
              <w:jc w:val="left"/>
            </w:pPr>
            <w:r>
              <w:t xml:space="preserve">Kalmerend </w:t>
            </w:r>
          </w:p>
        </w:tc>
        <w:tc>
          <w:tcPr>
            <w:tcW w:w="3369" w:type="dxa"/>
            <w:tcBorders>
              <w:top w:val="nil"/>
              <w:left w:val="nil"/>
              <w:bottom w:val="nil"/>
              <w:right w:val="nil"/>
            </w:tcBorders>
          </w:tcPr>
          <w:p w:rsidR="005E43AA" w:rsidRDefault="00A315AB">
            <w:pPr>
              <w:spacing w:line="259" w:lineRule="auto"/>
              <w:ind w:left="0" w:firstLine="0"/>
              <w:jc w:val="left"/>
            </w:pPr>
            <w:r>
              <w:t xml:space="preserve"> </w:t>
            </w:r>
          </w:p>
        </w:tc>
      </w:tr>
      <w:tr w:rsidR="005E43AA">
        <w:trPr>
          <w:trHeight w:val="220"/>
        </w:trPr>
        <w:tc>
          <w:tcPr>
            <w:tcW w:w="3594" w:type="dxa"/>
            <w:tcBorders>
              <w:top w:val="nil"/>
              <w:left w:val="nil"/>
              <w:bottom w:val="nil"/>
              <w:right w:val="nil"/>
            </w:tcBorders>
          </w:tcPr>
          <w:p w:rsidR="005E43AA" w:rsidRDefault="00A315AB">
            <w:pPr>
              <w:spacing w:line="259" w:lineRule="auto"/>
              <w:ind w:left="122" w:firstLine="0"/>
              <w:jc w:val="left"/>
            </w:pPr>
            <w:r>
              <w:t xml:space="preserve">Relaxing </w:t>
            </w:r>
          </w:p>
        </w:tc>
        <w:tc>
          <w:tcPr>
            <w:tcW w:w="3472" w:type="dxa"/>
            <w:tcBorders>
              <w:top w:val="nil"/>
              <w:left w:val="nil"/>
              <w:bottom w:val="nil"/>
              <w:right w:val="nil"/>
            </w:tcBorders>
          </w:tcPr>
          <w:p w:rsidR="005E43AA" w:rsidRDefault="00A315AB">
            <w:pPr>
              <w:spacing w:line="259" w:lineRule="auto"/>
              <w:ind w:left="0" w:firstLine="0"/>
              <w:jc w:val="left"/>
            </w:pPr>
            <w:r>
              <w:t xml:space="preserve">Ontspannend </w:t>
            </w:r>
          </w:p>
        </w:tc>
        <w:tc>
          <w:tcPr>
            <w:tcW w:w="3369" w:type="dxa"/>
            <w:tcBorders>
              <w:top w:val="nil"/>
              <w:left w:val="nil"/>
              <w:bottom w:val="nil"/>
              <w:right w:val="nil"/>
            </w:tcBorders>
          </w:tcPr>
          <w:p w:rsidR="005E43AA" w:rsidRDefault="00A315AB">
            <w:pPr>
              <w:spacing w:line="259" w:lineRule="auto"/>
              <w:ind w:left="0" w:firstLine="0"/>
              <w:jc w:val="left"/>
            </w:pPr>
            <w:r>
              <w:t xml:space="preserve"> </w:t>
            </w:r>
          </w:p>
        </w:tc>
      </w:tr>
      <w:tr w:rsidR="005E43AA">
        <w:trPr>
          <w:trHeight w:val="220"/>
        </w:trPr>
        <w:tc>
          <w:tcPr>
            <w:tcW w:w="3594" w:type="dxa"/>
            <w:tcBorders>
              <w:top w:val="nil"/>
              <w:left w:val="nil"/>
              <w:bottom w:val="single" w:sz="4" w:space="0" w:color="000000"/>
              <w:right w:val="nil"/>
            </w:tcBorders>
          </w:tcPr>
          <w:p w:rsidR="005E43AA" w:rsidRDefault="00A315AB">
            <w:pPr>
              <w:spacing w:line="259" w:lineRule="auto"/>
              <w:ind w:left="122" w:firstLine="0"/>
              <w:jc w:val="left"/>
            </w:pPr>
            <w:r>
              <w:t xml:space="preserve">Pleasant </w:t>
            </w:r>
          </w:p>
        </w:tc>
        <w:tc>
          <w:tcPr>
            <w:tcW w:w="3472" w:type="dxa"/>
            <w:tcBorders>
              <w:top w:val="nil"/>
              <w:left w:val="nil"/>
              <w:bottom w:val="single" w:sz="4" w:space="0" w:color="000000"/>
              <w:right w:val="nil"/>
            </w:tcBorders>
          </w:tcPr>
          <w:p w:rsidR="005E43AA" w:rsidRDefault="00A315AB">
            <w:pPr>
              <w:spacing w:line="259" w:lineRule="auto"/>
              <w:ind w:left="0" w:firstLine="0"/>
              <w:jc w:val="left"/>
            </w:pPr>
            <w:r>
              <w:t xml:space="preserve">Prettig </w:t>
            </w:r>
          </w:p>
        </w:tc>
        <w:tc>
          <w:tcPr>
            <w:tcW w:w="3369" w:type="dxa"/>
            <w:tcBorders>
              <w:top w:val="nil"/>
              <w:left w:val="nil"/>
              <w:bottom w:val="single" w:sz="4" w:space="0" w:color="000000"/>
              <w:right w:val="nil"/>
            </w:tcBorders>
          </w:tcPr>
          <w:p w:rsidR="005E43AA" w:rsidRDefault="00A315AB">
            <w:pPr>
              <w:spacing w:line="259" w:lineRule="auto"/>
              <w:ind w:left="0" w:firstLine="0"/>
              <w:jc w:val="left"/>
            </w:pPr>
            <w:r>
              <w:t xml:space="preserve"> </w:t>
            </w:r>
          </w:p>
        </w:tc>
      </w:tr>
      <w:tr w:rsidR="005E43AA">
        <w:trPr>
          <w:trHeight w:val="220"/>
        </w:trPr>
        <w:tc>
          <w:tcPr>
            <w:tcW w:w="3594" w:type="dxa"/>
            <w:tcBorders>
              <w:top w:val="single" w:sz="4" w:space="0" w:color="000000"/>
              <w:left w:val="nil"/>
              <w:bottom w:val="nil"/>
              <w:right w:val="nil"/>
            </w:tcBorders>
          </w:tcPr>
          <w:p w:rsidR="005E43AA" w:rsidRDefault="00A315AB">
            <w:pPr>
              <w:spacing w:line="259" w:lineRule="auto"/>
              <w:ind w:left="122" w:firstLine="0"/>
              <w:jc w:val="left"/>
            </w:pPr>
            <w:r>
              <w:t xml:space="preserve">Irritating </w:t>
            </w:r>
          </w:p>
        </w:tc>
        <w:tc>
          <w:tcPr>
            <w:tcW w:w="3472" w:type="dxa"/>
            <w:tcBorders>
              <w:top w:val="single" w:sz="4" w:space="0" w:color="000000"/>
              <w:left w:val="nil"/>
              <w:bottom w:val="nil"/>
              <w:right w:val="nil"/>
            </w:tcBorders>
          </w:tcPr>
          <w:p w:rsidR="005E43AA" w:rsidRDefault="00A315AB">
            <w:pPr>
              <w:spacing w:line="259" w:lineRule="auto"/>
              <w:ind w:left="0" w:firstLine="0"/>
              <w:jc w:val="left"/>
            </w:pPr>
            <w:r>
              <w:t xml:space="preserve">Irritant </w:t>
            </w:r>
          </w:p>
        </w:tc>
        <w:tc>
          <w:tcPr>
            <w:tcW w:w="3369" w:type="dxa"/>
            <w:tcBorders>
              <w:top w:val="single" w:sz="4" w:space="0" w:color="000000"/>
              <w:left w:val="nil"/>
              <w:bottom w:val="nil"/>
              <w:right w:val="nil"/>
            </w:tcBorders>
          </w:tcPr>
          <w:p w:rsidR="005E43AA" w:rsidRDefault="00A315AB">
            <w:pPr>
              <w:spacing w:line="259" w:lineRule="auto"/>
              <w:ind w:left="0" w:firstLine="0"/>
              <w:jc w:val="left"/>
            </w:pPr>
            <w:r>
              <w:t xml:space="preserve">Negative affect </w:t>
            </w:r>
          </w:p>
        </w:tc>
      </w:tr>
      <w:tr w:rsidR="005E43AA">
        <w:trPr>
          <w:trHeight w:val="60"/>
        </w:trPr>
        <w:tc>
          <w:tcPr>
            <w:tcW w:w="3594" w:type="dxa"/>
            <w:tcBorders>
              <w:top w:val="nil"/>
              <w:left w:val="nil"/>
              <w:bottom w:val="single" w:sz="12" w:space="0" w:color="000000"/>
              <w:right w:val="nil"/>
            </w:tcBorders>
          </w:tcPr>
          <w:p w:rsidR="005E43AA" w:rsidRDefault="00A315AB">
            <w:pPr>
              <w:spacing w:line="259" w:lineRule="auto"/>
              <w:ind w:left="122" w:firstLine="0"/>
              <w:jc w:val="left"/>
            </w:pPr>
            <w:r>
              <w:t xml:space="preserve">Discomfortabel </w:t>
            </w:r>
          </w:p>
        </w:tc>
        <w:tc>
          <w:tcPr>
            <w:tcW w:w="3472" w:type="dxa"/>
            <w:tcBorders>
              <w:top w:val="nil"/>
              <w:left w:val="nil"/>
              <w:bottom w:val="single" w:sz="12" w:space="0" w:color="000000"/>
              <w:right w:val="nil"/>
            </w:tcBorders>
          </w:tcPr>
          <w:p w:rsidR="005E43AA" w:rsidRDefault="00A315AB">
            <w:pPr>
              <w:spacing w:line="259" w:lineRule="auto"/>
              <w:ind w:left="0" w:firstLine="0"/>
              <w:jc w:val="left"/>
            </w:pPr>
            <w:r>
              <w:t xml:space="preserve">Oncomfortabel </w:t>
            </w:r>
          </w:p>
        </w:tc>
        <w:tc>
          <w:tcPr>
            <w:tcW w:w="3369" w:type="dxa"/>
            <w:tcBorders>
              <w:top w:val="nil"/>
              <w:left w:val="nil"/>
              <w:bottom w:val="single" w:sz="12" w:space="0" w:color="000000"/>
              <w:right w:val="nil"/>
            </w:tcBorders>
          </w:tcPr>
          <w:p w:rsidR="005E43AA" w:rsidRDefault="00A315AB">
            <w:pPr>
              <w:spacing w:line="259" w:lineRule="auto"/>
              <w:ind w:left="0" w:firstLine="0"/>
              <w:jc w:val="left"/>
            </w:pPr>
            <w:r>
              <w:t xml:space="preserve"> </w:t>
            </w:r>
          </w:p>
        </w:tc>
      </w:tr>
    </w:tbl>
    <w:p w:rsidR="005E43AA" w:rsidRDefault="005E43AA">
      <w:pPr>
        <w:ind w:left="-15" w:firstLine="708"/>
      </w:pPr>
    </w:p>
    <w:p w:rsidR="005E43AA" w:rsidRDefault="00A315AB">
      <w:pPr>
        <w:spacing w:after="0" w:line="240" w:lineRule="auto"/>
      </w:pPr>
      <w:r>
        <w:rPr>
          <w:b/>
        </w:rPr>
        <w:t>Table 1</w:t>
      </w:r>
    </w:p>
    <w:p w:rsidR="005E43AA" w:rsidRPr="003F39A4" w:rsidRDefault="00A315AB">
      <w:pPr>
        <w:ind w:left="-15" w:firstLine="0"/>
        <w:rPr>
          <w:lang w:val="en-US"/>
        </w:rPr>
      </w:pPr>
      <w:r w:rsidRPr="003F39A4">
        <w:rPr>
          <w:i/>
          <w:lang w:val="en-US"/>
        </w:rPr>
        <w:t xml:space="preserve">Used TPT-items with highest proportion of variance accounted for by the factor ‘comfort’ and least covariance accounted for by the factor ‘arousal’, described by hedonic valence (as adapted from </w:t>
      </w:r>
      <w:proofErr w:type="spellStart"/>
      <w:r w:rsidRPr="003F39A4">
        <w:rPr>
          <w:i/>
          <w:lang w:val="en-US"/>
        </w:rPr>
        <w:t>Ackerley</w:t>
      </w:r>
      <w:proofErr w:type="spellEnd"/>
      <w:r w:rsidRPr="003F39A4">
        <w:rPr>
          <w:i/>
          <w:lang w:val="en-US"/>
        </w:rPr>
        <w:t xml:space="preserve"> et al., 2014).</w:t>
      </w:r>
    </w:p>
    <w:p w:rsidR="003F39A4" w:rsidRDefault="003F39A4">
      <w:pPr>
        <w:spacing w:after="0" w:line="240" w:lineRule="auto"/>
        <w:rPr>
          <w:b/>
          <w:lang w:val="en-US"/>
        </w:rPr>
      </w:pPr>
    </w:p>
    <w:p w:rsidR="009E7149" w:rsidRDefault="009E7149">
      <w:pPr>
        <w:rPr>
          <w:b/>
          <w:lang w:val="en-US"/>
        </w:rPr>
      </w:pPr>
      <w:r>
        <w:rPr>
          <w:b/>
          <w:lang w:val="en-US"/>
        </w:rPr>
        <w:br w:type="page"/>
      </w:r>
    </w:p>
    <w:p w:rsidR="009E7149" w:rsidRPr="009E7149" w:rsidRDefault="009E7149" w:rsidP="009E7149">
      <w:pPr>
        <w:pStyle w:val="Heading1"/>
        <w:ind w:left="-5"/>
        <w:rPr>
          <w:lang w:val="en-US"/>
        </w:rPr>
      </w:pPr>
      <w:r w:rsidRPr="009E7149">
        <w:rPr>
          <w:lang w:val="en-US"/>
        </w:rPr>
        <w:lastRenderedPageBreak/>
        <w:t xml:space="preserve">DISCUSSION </w:t>
      </w:r>
    </w:p>
    <w:p w:rsidR="009E7149" w:rsidRPr="009E7149" w:rsidRDefault="009E7149" w:rsidP="009E7149">
      <w:pPr>
        <w:pStyle w:val="NormalWeb"/>
        <w:spacing w:before="0" w:beforeAutospacing="0" w:after="4" w:afterAutospacing="0"/>
        <w:ind w:left="-5"/>
        <w:jc w:val="both"/>
        <w:rPr>
          <w:lang w:val="en-US"/>
        </w:rPr>
      </w:pPr>
      <w:r w:rsidRPr="009E7149">
        <w:rPr>
          <w:color w:val="000000"/>
          <w:sz w:val="22"/>
          <w:szCs w:val="22"/>
          <w:lang w:val="en-US"/>
        </w:rPr>
        <w:t>Stroking velocity was expected to have a significant effect on TPT-item scores. Specifically, words representing positive affect were hypothesized to be rated higher, and words representing negative affect to be rated lower, during 3cms</w:t>
      </w:r>
      <w:r w:rsidRPr="009E7149">
        <w:rPr>
          <w:color w:val="000000"/>
          <w:sz w:val="13"/>
          <w:szCs w:val="13"/>
          <w:vertAlign w:val="superscript"/>
          <w:lang w:val="en-US"/>
        </w:rPr>
        <w:t>-1</w:t>
      </w:r>
      <w:r w:rsidRPr="009E7149">
        <w:rPr>
          <w:color w:val="000000"/>
          <w:sz w:val="22"/>
          <w:szCs w:val="22"/>
          <w:lang w:val="en-US"/>
        </w:rPr>
        <w:t xml:space="preserve"> (affective) stroking compared to both 0.3 and 30cms</w:t>
      </w:r>
      <w:r w:rsidRPr="009E7149">
        <w:rPr>
          <w:color w:val="000000"/>
          <w:sz w:val="13"/>
          <w:szCs w:val="13"/>
          <w:vertAlign w:val="superscript"/>
          <w:lang w:val="en-US"/>
        </w:rPr>
        <w:t>-1</w:t>
      </w:r>
      <w:r w:rsidRPr="009E7149">
        <w:rPr>
          <w:color w:val="000000"/>
          <w:sz w:val="22"/>
          <w:szCs w:val="22"/>
          <w:lang w:val="en-US"/>
        </w:rPr>
        <w:t xml:space="preserve"> (non-affective) stroking. The results supported this hypothesis. This indicates that affective touch was indeed experienced as affective, thereby replicating results of previous studies on affective touch (e.g. </w:t>
      </w:r>
      <w:proofErr w:type="spellStart"/>
      <w:r w:rsidRPr="009E7149">
        <w:rPr>
          <w:color w:val="000000"/>
          <w:sz w:val="22"/>
          <w:szCs w:val="22"/>
          <w:lang w:val="en-US"/>
        </w:rPr>
        <w:t>Ackerley</w:t>
      </w:r>
      <w:proofErr w:type="spellEnd"/>
      <w:r w:rsidRPr="009E7149">
        <w:rPr>
          <w:color w:val="000000"/>
          <w:sz w:val="22"/>
          <w:szCs w:val="22"/>
          <w:lang w:val="en-US"/>
        </w:rPr>
        <w:t xml:space="preserve"> et al., 2014). </w:t>
      </w:r>
    </w:p>
    <w:p w:rsidR="009E7149" w:rsidRPr="009E7149" w:rsidRDefault="009E7149" w:rsidP="009E7149">
      <w:pPr>
        <w:pStyle w:val="NormalWeb"/>
        <w:spacing w:before="0" w:beforeAutospacing="0" w:after="4" w:afterAutospacing="0"/>
        <w:ind w:left="-15" w:firstLine="708"/>
        <w:jc w:val="both"/>
        <w:rPr>
          <w:lang w:val="en-US"/>
        </w:rPr>
      </w:pPr>
      <w:r w:rsidRPr="009E7149">
        <w:rPr>
          <w:color w:val="000000"/>
          <w:sz w:val="22"/>
          <w:szCs w:val="22"/>
          <w:lang w:val="en-US"/>
        </w:rPr>
        <w:t xml:space="preserve">The main goal of this study was to investigate how pupil size alters during affective- and non-affective touch conditions. Results revealed a significant main effect of stroking velocity on pupil size. </w:t>
      </w:r>
      <w:proofErr w:type="gramStart"/>
      <w:r w:rsidRPr="009E7149">
        <w:rPr>
          <w:color w:val="000000"/>
          <w:sz w:val="22"/>
          <w:szCs w:val="22"/>
          <w:lang w:val="en-US"/>
        </w:rPr>
        <w:t>At  1</w:t>
      </w:r>
      <w:proofErr w:type="gramEnd"/>
      <w:r w:rsidRPr="009E7149">
        <w:rPr>
          <w:color w:val="000000"/>
          <w:sz w:val="22"/>
          <w:szCs w:val="22"/>
          <w:lang w:val="en-US"/>
        </w:rPr>
        <w:t>-2.8s, and 3.8-10s after stroking onset, 30cms-1 stroking resulted in a significantly larger pupil size than during 3 and 0.3cms</w:t>
      </w:r>
      <w:r w:rsidRPr="009E7149">
        <w:rPr>
          <w:color w:val="000000"/>
          <w:sz w:val="13"/>
          <w:szCs w:val="13"/>
          <w:vertAlign w:val="superscript"/>
          <w:lang w:val="en-US"/>
        </w:rPr>
        <w:t>-1</w:t>
      </w:r>
      <w:r w:rsidRPr="009E7149">
        <w:rPr>
          <w:color w:val="000000"/>
          <w:sz w:val="22"/>
          <w:szCs w:val="22"/>
          <w:lang w:val="en-US"/>
        </w:rPr>
        <w:t xml:space="preserve"> stroking. At 2.8-3.8s after stroking onset, both 3 and 30cms</w:t>
      </w:r>
      <w:r w:rsidRPr="009E7149">
        <w:rPr>
          <w:color w:val="000000"/>
          <w:sz w:val="13"/>
          <w:szCs w:val="13"/>
          <w:vertAlign w:val="superscript"/>
          <w:lang w:val="en-US"/>
        </w:rPr>
        <w:t>-1</w:t>
      </w:r>
      <w:r w:rsidRPr="009E7149">
        <w:rPr>
          <w:color w:val="000000"/>
          <w:sz w:val="22"/>
          <w:szCs w:val="22"/>
          <w:lang w:val="en-US"/>
        </w:rPr>
        <w:t xml:space="preserve"> stroking resulted in larger pupil size than 0.3cms</w:t>
      </w:r>
      <w:r w:rsidRPr="009E7149">
        <w:rPr>
          <w:color w:val="000000"/>
          <w:sz w:val="13"/>
          <w:szCs w:val="13"/>
          <w:vertAlign w:val="superscript"/>
          <w:lang w:val="en-US"/>
        </w:rPr>
        <w:t>-1</w:t>
      </w:r>
      <w:r w:rsidRPr="009E7149">
        <w:rPr>
          <w:color w:val="000000"/>
          <w:sz w:val="22"/>
          <w:szCs w:val="22"/>
          <w:lang w:val="en-US"/>
        </w:rPr>
        <w:t xml:space="preserve"> stroking. </w:t>
      </w:r>
    </w:p>
    <w:p w:rsidR="009E7149" w:rsidRPr="009E7149" w:rsidRDefault="009E7149" w:rsidP="009E7149">
      <w:pPr>
        <w:rPr>
          <w:lang w:val="en-US"/>
        </w:rPr>
      </w:pPr>
    </w:p>
    <w:p w:rsidR="009E7149" w:rsidRPr="009E7149" w:rsidRDefault="009E7149" w:rsidP="009E7149">
      <w:pPr>
        <w:pStyle w:val="NormalWeb"/>
        <w:spacing w:before="0" w:beforeAutospacing="0" w:after="4" w:afterAutospacing="0"/>
        <w:ind w:left="-15" w:firstLine="708"/>
        <w:jc w:val="both"/>
        <w:rPr>
          <w:lang w:val="en-US"/>
        </w:rPr>
      </w:pPr>
      <w:r w:rsidRPr="009E7149">
        <w:rPr>
          <w:color w:val="000000"/>
          <w:sz w:val="22"/>
          <w:szCs w:val="22"/>
          <w:lang w:val="en-US"/>
        </w:rPr>
        <w:t>It can be stated that 30cms</w:t>
      </w:r>
      <w:r w:rsidRPr="009E7149">
        <w:rPr>
          <w:color w:val="000000"/>
          <w:sz w:val="13"/>
          <w:szCs w:val="13"/>
          <w:vertAlign w:val="superscript"/>
          <w:lang w:val="en-US"/>
        </w:rPr>
        <w:t>-1</w:t>
      </w:r>
      <w:r w:rsidRPr="009E7149">
        <w:rPr>
          <w:color w:val="000000"/>
          <w:sz w:val="22"/>
          <w:szCs w:val="22"/>
          <w:lang w:val="en-US"/>
        </w:rPr>
        <w:t xml:space="preserve"> stroking on average caused the highest arousal, as pupil size is argued to result from sympathetic activity, and arousal has been found to be associated with pupil dilation for different modalities (e.g. </w:t>
      </w:r>
      <w:proofErr w:type="spellStart"/>
      <w:r w:rsidRPr="009E7149">
        <w:rPr>
          <w:color w:val="000000"/>
          <w:sz w:val="22"/>
          <w:szCs w:val="22"/>
          <w:lang w:val="en-US"/>
        </w:rPr>
        <w:t>Steinhauer</w:t>
      </w:r>
      <w:proofErr w:type="spellEnd"/>
      <w:r w:rsidRPr="009E7149">
        <w:rPr>
          <w:color w:val="000000"/>
          <w:sz w:val="22"/>
          <w:szCs w:val="22"/>
          <w:lang w:val="en-US"/>
        </w:rPr>
        <w:t xml:space="preserve"> et al., 1983; </w:t>
      </w:r>
      <w:proofErr w:type="spellStart"/>
      <w:r w:rsidRPr="009E7149">
        <w:rPr>
          <w:color w:val="000000"/>
          <w:sz w:val="22"/>
          <w:szCs w:val="22"/>
          <w:lang w:val="en-US"/>
        </w:rPr>
        <w:t>Aboyoun</w:t>
      </w:r>
      <w:proofErr w:type="spellEnd"/>
      <w:r w:rsidRPr="009E7149">
        <w:rPr>
          <w:color w:val="000000"/>
          <w:sz w:val="22"/>
          <w:szCs w:val="22"/>
          <w:lang w:val="en-US"/>
        </w:rPr>
        <w:t xml:space="preserve"> &amp; Dabbs, 1998; </w:t>
      </w:r>
      <w:proofErr w:type="spellStart"/>
      <w:r w:rsidRPr="009E7149">
        <w:rPr>
          <w:color w:val="000000"/>
          <w:sz w:val="22"/>
          <w:szCs w:val="22"/>
          <w:lang w:val="en-US"/>
        </w:rPr>
        <w:t>Partala</w:t>
      </w:r>
      <w:proofErr w:type="spellEnd"/>
      <w:r w:rsidRPr="009E7149">
        <w:rPr>
          <w:color w:val="000000"/>
          <w:sz w:val="22"/>
          <w:szCs w:val="22"/>
          <w:lang w:val="en-US"/>
        </w:rPr>
        <w:t xml:space="preserve"> &amp; </w:t>
      </w:r>
      <w:proofErr w:type="spellStart"/>
      <w:r w:rsidRPr="009E7149">
        <w:rPr>
          <w:color w:val="000000"/>
          <w:sz w:val="22"/>
          <w:szCs w:val="22"/>
          <w:lang w:val="en-US"/>
        </w:rPr>
        <w:t>Surrakka</w:t>
      </w:r>
      <w:proofErr w:type="spellEnd"/>
      <w:r w:rsidRPr="009E7149">
        <w:rPr>
          <w:color w:val="000000"/>
          <w:sz w:val="22"/>
          <w:szCs w:val="22"/>
          <w:lang w:val="en-US"/>
        </w:rPr>
        <w:t>, 2003). The initial hypothesis that affective touch would elicit larger pupil size was based on the notion that CT-fibers that are activated are directly associated with processing hedonic valence via insular and OFC activity, and thus with emotional arousal. An explanation for the fact that 30cms</w:t>
      </w:r>
      <w:r w:rsidRPr="009E7149">
        <w:rPr>
          <w:color w:val="000000"/>
          <w:sz w:val="13"/>
          <w:szCs w:val="13"/>
          <w:vertAlign w:val="superscript"/>
          <w:lang w:val="en-US"/>
        </w:rPr>
        <w:t>-1</w:t>
      </w:r>
      <w:r w:rsidRPr="009E7149">
        <w:rPr>
          <w:color w:val="000000"/>
          <w:sz w:val="22"/>
          <w:szCs w:val="22"/>
          <w:lang w:val="en-US"/>
        </w:rPr>
        <w:t xml:space="preserve"> stroking claims the largest effect could be that the negative experience (as indicated by the TPT ratings) that resulted from 30cms</w:t>
      </w:r>
      <w:r w:rsidRPr="009E7149">
        <w:rPr>
          <w:color w:val="000000"/>
          <w:sz w:val="13"/>
          <w:szCs w:val="13"/>
          <w:vertAlign w:val="superscript"/>
          <w:lang w:val="en-US"/>
        </w:rPr>
        <w:t>-1</w:t>
      </w:r>
      <w:r w:rsidRPr="009E7149">
        <w:rPr>
          <w:color w:val="000000"/>
          <w:sz w:val="22"/>
          <w:szCs w:val="22"/>
          <w:lang w:val="en-US"/>
        </w:rPr>
        <w:t xml:space="preserve"> stroking elicited more arousal than the positive arousal caused by 3cms</w:t>
      </w:r>
      <w:r w:rsidRPr="009E7149">
        <w:rPr>
          <w:color w:val="000000"/>
          <w:sz w:val="13"/>
          <w:szCs w:val="13"/>
          <w:vertAlign w:val="superscript"/>
          <w:lang w:val="en-US"/>
        </w:rPr>
        <w:t>-1</w:t>
      </w:r>
      <w:r w:rsidRPr="009E7149">
        <w:rPr>
          <w:color w:val="000000"/>
          <w:sz w:val="22"/>
          <w:szCs w:val="22"/>
          <w:lang w:val="en-US"/>
        </w:rPr>
        <w:t xml:space="preserve"> stroking could achieve. This indicates a positive-negative asymmetry effect, describing when equal measures of good and bad are present, the psychological effects of the bad ones outweigh the good ones. This effect is present in a broad range of psychological phenomena, as reviewed by </w:t>
      </w:r>
      <w:proofErr w:type="spellStart"/>
      <w:r w:rsidRPr="009E7149">
        <w:rPr>
          <w:color w:val="000000"/>
          <w:sz w:val="22"/>
          <w:szCs w:val="22"/>
          <w:lang w:val="en-US"/>
        </w:rPr>
        <w:t>Baumeister</w:t>
      </w:r>
      <w:proofErr w:type="spellEnd"/>
      <w:r w:rsidRPr="009E7149">
        <w:rPr>
          <w:color w:val="000000"/>
          <w:sz w:val="22"/>
          <w:szCs w:val="22"/>
          <w:lang w:val="en-US"/>
        </w:rPr>
        <w:t xml:space="preserve"> and colleagues (2001). Specifically, the physiological reaction to negative events is more severe than to positive events, as described by Taylor (1991), which would explain the difference in pupil size. Indeed, the effect of affective touch on pupil size was only present for 1s (Fig. 4), whereas the effect of 30cms</w:t>
      </w:r>
      <w:r w:rsidRPr="009E7149">
        <w:rPr>
          <w:color w:val="000000"/>
          <w:sz w:val="13"/>
          <w:szCs w:val="13"/>
          <w:vertAlign w:val="superscript"/>
          <w:lang w:val="en-US"/>
        </w:rPr>
        <w:t>-1</w:t>
      </w:r>
      <w:r w:rsidRPr="009E7149">
        <w:rPr>
          <w:color w:val="000000"/>
          <w:sz w:val="22"/>
          <w:szCs w:val="22"/>
          <w:lang w:val="en-US"/>
        </w:rPr>
        <w:t xml:space="preserve"> lasted approx. 10s (Fig. 3). </w:t>
      </w:r>
    </w:p>
    <w:p w:rsidR="009E7149" w:rsidRPr="009E7149" w:rsidRDefault="009E7149" w:rsidP="009E7149">
      <w:pPr>
        <w:pStyle w:val="NormalWeb"/>
        <w:spacing w:before="0" w:beforeAutospacing="0" w:after="4" w:afterAutospacing="0"/>
        <w:ind w:left="-15" w:firstLine="708"/>
        <w:jc w:val="both"/>
        <w:rPr>
          <w:lang w:val="en-US"/>
        </w:rPr>
      </w:pPr>
      <w:r w:rsidRPr="009E7149">
        <w:rPr>
          <w:color w:val="000000"/>
          <w:sz w:val="22"/>
          <w:szCs w:val="22"/>
          <w:lang w:val="en-US"/>
        </w:rPr>
        <w:t>To assess subjective emotional arousal, pupil sizes were correlated with TPT-item scores. Results only revealed (almost) significant effects in the CT specific touch condition. Possibly, CT-activation is able to amplify pupil dilation. This would mean a unique relation between affective touch and pupil size.   </w:t>
      </w:r>
    </w:p>
    <w:p w:rsidR="009E7149" w:rsidRPr="009E7149" w:rsidRDefault="009E7149" w:rsidP="009E7149">
      <w:pPr>
        <w:rPr>
          <w:lang w:val="en-US"/>
        </w:rPr>
      </w:pPr>
    </w:p>
    <w:p w:rsidR="009E7149" w:rsidRDefault="009E7149" w:rsidP="009E7149">
      <w:pPr>
        <w:pStyle w:val="NormalWeb"/>
        <w:spacing w:before="0" w:beforeAutospacing="0" w:after="4" w:afterAutospacing="0"/>
        <w:ind w:left="-15" w:firstLine="708"/>
        <w:jc w:val="both"/>
      </w:pPr>
      <w:r>
        <w:rPr>
          <w:color w:val="000000"/>
          <w:sz w:val="22"/>
          <w:szCs w:val="22"/>
        </w:rPr>
        <w:t>conclusies:</w:t>
      </w:r>
    </w:p>
    <w:p w:rsidR="009E7149" w:rsidRDefault="009E7149" w:rsidP="009E7149">
      <w:pPr>
        <w:pStyle w:val="NormalWeb"/>
        <w:numPr>
          <w:ilvl w:val="0"/>
          <w:numId w:val="4"/>
        </w:numPr>
        <w:spacing w:before="0" w:beforeAutospacing="0" w:after="0" w:afterAutospacing="0"/>
        <w:jc w:val="both"/>
        <w:textAlignment w:val="baseline"/>
        <w:rPr>
          <w:color w:val="000000"/>
          <w:sz w:val="22"/>
          <w:szCs w:val="22"/>
        </w:rPr>
      </w:pPr>
      <w:r>
        <w:rPr>
          <w:color w:val="000000"/>
          <w:sz w:val="22"/>
          <w:szCs w:val="22"/>
        </w:rPr>
        <w:t xml:space="preserve">pupil dilation lijkt gerelateerd aan arousal, waarbij negatieve stimuli meer arousal lijken op te wekken dan positieve. </w:t>
      </w:r>
    </w:p>
    <w:p w:rsidR="009E7149" w:rsidRDefault="009E7149" w:rsidP="009E7149">
      <w:pPr>
        <w:pStyle w:val="NormalWeb"/>
        <w:numPr>
          <w:ilvl w:val="0"/>
          <w:numId w:val="4"/>
        </w:numPr>
        <w:spacing w:before="0" w:beforeAutospacing="0" w:after="4" w:afterAutospacing="0"/>
        <w:jc w:val="both"/>
        <w:textAlignment w:val="baseline"/>
        <w:rPr>
          <w:color w:val="000000"/>
          <w:sz w:val="22"/>
          <w:szCs w:val="22"/>
        </w:rPr>
      </w:pPr>
      <w:r>
        <w:rPr>
          <w:color w:val="000000"/>
          <w:sz w:val="22"/>
          <w:szCs w:val="22"/>
        </w:rPr>
        <w:t>een effect van affective touch op pupil size is daarmee niet uitgesloten.</w:t>
      </w:r>
    </w:p>
    <w:p w:rsidR="003F39A4" w:rsidRPr="009E7149" w:rsidRDefault="003F39A4">
      <w:pPr>
        <w:spacing w:after="0" w:line="240" w:lineRule="auto"/>
        <w:rPr>
          <w:b/>
        </w:rPr>
      </w:pPr>
      <w:bookmarkStart w:id="0" w:name="_GoBack"/>
      <w:bookmarkEnd w:id="0"/>
    </w:p>
    <w:sectPr w:rsidR="003F39A4" w:rsidRPr="009E7149">
      <w:footerReference w:type="default" r:id="rId7"/>
      <w:pgSz w:w="11906" w:h="16838"/>
      <w:pgMar w:top="722" w:right="715" w:bottom="1450" w:left="720" w:header="708" w:footer="708"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79C1" w:rsidRDefault="007579C1">
      <w:pPr>
        <w:spacing w:after="0" w:line="240" w:lineRule="auto"/>
      </w:pPr>
      <w:r>
        <w:separator/>
      </w:r>
    </w:p>
  </w:endnote>
  <w:endnote w:type="continuationSeparator" w:id="0">
    <w:p w:rsidR="007579C1" w:rsidRDefault="00757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default"/>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43AA" w:rsidRDefault="00A315AB">
    <w:pPr>
      <w:spacing w:after="0" w:line="259" w:lineRule="auto"/>
      <w:ind w:left="0" w:right="-2" w:firstLine="0"/>
      <w:jc w:val="right"/>
    </w:pPr>
    <w:r>
      <w:fldChar w:fldCharType="begin"/>
    </w:r>
    <w:r>
      <w:instrText>PAGE</w:instrText>
    </w:r>
    <w:r>
      <w:fldChar w:fldCharType="separate"/>
    </w:r>
    <w:r w:rsidR="00D14B72">
      <w:rPr>
        <w:noProof/>
      </w:rPr>
      <w:t>3</w:t>
    </w:r>
    <w:r>
      <w:fldChar w:fldCharType="end"/>
    </w:r>
    <w:r>
      <w:rPr>
        <w:rFonts w:ascii="Calibri" w:eastAsia="Calibri" w:hAnsi="Calibri" w:cs="Calibri"/>
      </w:rPr>
      <w:t xml:space="preserve"> </w:t>
    </w:r>
  </w:p>
  <w:p w:rsidR="005E43AA" w:rsidRDefault="00A315AB">
    <w:pPr>
      <w:spacing w:after="709" w:line="259" w:lineRule="auto"/>
      <w:ind w:left="0" w:firstLine="0"/>
      <w:jc w:val="left"/>
    </w:pPr>
    <w:r>
      <w:rPr>
        <w:rFonts w:ascii="Calibri" w:eastAsia="Calibri" w:hAnsi="Calibri" w:cs="Calibri"/>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79C1" w:rsidRDefault="007579C1">
      <w:pPr>
        <w:spacing w:after="0" w:line="240" w:lineRule="auto"/>
      </w:pPr>
      <w:r>
        <w:separator/>
      </w:r>
    </w:p>
  </w:footnote>
  <w:footnote w:type="continuationSeparator" w:id="0">
    <w:p w:rsidR="007579C1" w:rsidRDefault="007579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4051E5"/>
    <w:multiLevelType w:val="multilevel"/>
    <w:tmpl w:val="1ADEFD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4F1F0C0F"/>
    <w:multiLevelType w:val="multilevel"/>
    <w:tmpl w:val="B91CE7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795872B0"/>
    <w:multiLevelType w:val="multilevel"/>
    <w:tmpl w:val="46EAD5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7DE62174"/>
    <w:multiLevelType w:val="multilevel"/>
    <w:tmpl w:val="1C5A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3AA"/>
    <w:rsid w:val="000C7326"/>
    <w:rsid w:val="003B1A2B"/>
    <w:rsid w:val="003F39A4"/>
    <w:rsid w:val="005E43AA"/>
    <w:rsid w:val="007579C1"/>
    <w:rsid w:val="009E7149"/>
    <w:rsid w:val="00A315AB"/>
    <w:rsid w:val="00D14B72"/>
    <w:rsid w:val="00DE3E8F"/>
    <w:rsid w:val="00E81D7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959E43-0EB2-40FE-8621-BF7DC7C0C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2"/>
        <w:szCs w:val="22"/>
        <w:lang w:val="nl-NL" w:eastAsia="nl-NL" w:bidi="ar-SA"/>
      </w:rPr>
    </w:rPrDefault>
    <w:pPrDefault>
      <w:pPr>
        <w:spacing w:after="4" w:line="248" w:lineRule="auto"/>
        <w:ind w:left="10" w:hanging="1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after="1" w:line="259" w:lineRule="auto"/>
      <w:outlineLvl w:val="0"/>
    </w:pPr>
    <w:rPr>
      <w:b/>
    </w:rPr>
  </w:style>
  <w:style w:type="paragraph" w:styleId="Heading2">
    <w:name w:val="heading 2"/>
    <w:basedOn w:val="Normal"/>
    <w:next w:val="Normal"/>
    <w:pPr>
      <w:keepNext/>
      <w:keepLines/>
      <w:spacing w:after="0" w:line="259" w:lineRule="auto"/>
      <w:outlineLvl w:val="1"/>
    </w:pPr>
    <w:rPr>
      <w:i/>
    </w:rPr>
  </w:style>
  <w:style w:type="paragraph" w:styleId="Heading3">
    <w:name w:val="heading 3"/>
    <w:basedOn w:val="Normal"/>
    <w:next w:val="Normal"/>
    <w:pPr>
      <w:keepNext/>
      <w:keepLines/>
      <w:spacing w:after="0" w:line="259" w:lineRule="auto"/>
      <w:outlineLvl w:val="2"/>
    </w:pPr>
    <w:rPr>
      <w:b/>
      <w:sz w:val="20"/>
      <w:szCs w:val="20"/>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5" w:type="dxa"/>
        <w:left w:w="115" w:type="dxa"/>
        <w:right w:w="115" w:type="dxa"/>
      </w:tblCellMar>
    </w:tblPr>
  </w:style>
  <w:style w:type="table" w:customStyle="1" w:styleId="a0">
    <w:basedOn w:val="TableNormal"/>
    <w:pPr>
      <w:spacing w:after="0" w:line="240" w:lineRule="auto"/>
    </w:pPr>
    <w:tblPr>
      <w:tblStyleRowBandSize w:val="1"/>
      <w:tblStyleColBandSize w:val="1"/>
      <w:tblCellMar>
        <w:top w:w="7" w:type="dxa"/>
        <w:left w:w="115" w:type="dxa"/>
        <w:right w:w="115" w:type="dxa"/>
      </w:tblCellMar>
    </w:tblPr>
  </w:style>
  <w:style w:type="table" w:customStyle="1" w:styleId="a1">
    <w:basedOn w:val="TableNormal"/>
    <w:pPr>
      <w:spacing w:after="0" w:line="240" w:lineRule="auto"/>
    </w:pPr>
    <w:tblPr>
      <w:tblStyleRowBandSize w:val="1"/>
      <w:tblStyleColBandSize w:val="1"/>
      <w:tblCellMar>
        <w:top w:w="4" w:type="dxa"/>
        <w:left w:w="115" w:type="dxa"/>
        <w:right w:w="115" w:type="dxa"/>
      </w:tblCellMar>
    </w:tblPr>
  </w:style>
  <w:style w:type="table" w:customStyle="1" w:styleId="a2">
    <w:basedOn w:val="TableNormal"/>
    <w:pPr>
      <w:spacing w:after="0" w:line="240" w:lineRule="auto"/>
    </w:pPr>
    <w:tblPr>
      <w:tblStyleRowBandSize w:val="1"/>
      <w:tblStyleColBandSize w:val="1"/>
      <w:tblCellMar>
        <w:top w:w="4" w:type="dxa"/>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F39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39A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F39A4"/>
    <w:rPr>
      <w:b/>
      <w:bCs/>
    </w:rPr>
  </w:style>
  <w:style w:type="character" w:customStyle="1" w:styleId="CommentSubjectChar">
    <w:name w:val="Comment Subject Char"/>
    <w:basedOn w:val="CommentTextChar"/>
    <w:link w:val="CommentSubject"/>
    <w:uiPriority w:val="99"/>
    <w:semiHidden/>
    <w:rsid w:val="003F39A4"/>
    <w:rPr>
      <w:b/>
      <w:bCs/>
      <w:sz w:val="20"/>
      <w:szCs w:val="20"/>
    </w:rPr>
  </w:style>
  <w:style w:type="paragraph" w:styleId="NormalWeb">
    <w:name w:val="Normal (Web)"/>
    <w:basedOn w:val="Normal"/>
    <w:uiPriority w:val="99"/>
    <w:semiHidden/>
    <w:unhideWhenUsed/>
    <w:rsid w:val="009E7149"/>
    <w:pPr>
      <w:spacing w:before="100" w:beforeAutospacing="1" w:after="100" w:afterAutospacing="1" w:line="240" w:lineRule="auto"/>
      <w:ind w:left="0" w:firstLine="0"/>
      <w:jc w:val="left"/>
    </w:pPr>
    <w:rPr>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6790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984</TotalTime>
  <Pages>1</Pages>
  <Words>1116</Words>
  <Characters>6144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Roel van Hooijdonk</dc:creator>
  <cp:lastModifiedBy>Roel van Hooijdonk</cp:lastModifiedBy>
  <cp:revision>4</cp:revision>
  <dcterms:created xsi:type="dcterms:W3CDTF">2016-01-12T12:54:00Z</dcterms:created>
  <dcterms:modified xsi:type="dcterms:W3CDTF">2016-01-15T08:01:00Z</dcterms:modified>
</cp:coreProperties>
</file>