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319"/>
        <w:gridCol w:w="2317"/>
        <w:gridCol w:w="2302"/>
      </w:tblGrid>
      <w:tr w:rsidR="000F060D" w14:paraId="7BA66962" w14:textId="55678D00" w:rsidTr="000F060D">
        <w:tc>
          <w:tcPr>
            <w:tcW w:w="2072" w:type="dxa"/>
          </w:tcPr>
          <w:p w14:paraId="3EDF025E" w14:textId="7C0F5536" w:rsidR="000F060D" w:rsidRDefault="000F060D">
            <w:pPr>
              <w:rPr>
                <w:b/>
                <w:bCs/>
              </w:rPr>
            </w:pPr>
            <w:r>
              <w:rPr>
                <w:b/>
                <w:bCs/>
              </w:rPr>
              <w:t>Type of Input Factor</w:t>
            </w:r>
          </w:p>
        </w:tc>
        <w:tc>
          <w:tcPr>
            <w:tcW w:w="2319" w:type="dxa"/>
          </w:tcPr>
          <w:p w14:paraId="709D4D5F" w14:textId="529F286F" w:rsidR="000F060D" w:rsidRPr="003B770C" w:rsidRDefault="000F06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Input </w:t>
            </w:r>
            <w:r w:rsidRPr="003B770C">
              <w:rPr>
                <w:b/>
                <w:bCs/>
              </w:rPr>
              <w:t>Factor</w:t>
            </w:r>
          </w:p>
        </w:tc>
        <w:tc>
          <w:tcPr>
            <w:tcW w:w="2317" w:type="dxa"/>
          </w:tcPr>
          <w:p w14:paraId="5DAE1D49" w14:textId="7B70F48F" w:rsidR="000F060D" w:rsidRPr="003B770C" w:rsidRDefault="000F060D">
            <w:pPr>
              <w:rPr>
                <w:b/>
                <w:bCs/>
              </w:rPr>
            </w:pPr>
            <w:r>
              <w:rPr>
                <w:b/>
                <w:bCs/>
              </w:rPr>
              <w:t>Value / Levels</w:t>
            </w:r>
          </w:p>
        </w:tc>
        <w:tc>
          <w:tcPr>
            <w:tcW w:w="2302" w:type="dxa"/>
          </w:tcPr>
          <w:p w14:paraId="00990BCD" w14:textId="32E26175" w:rsidR="000F060D" w:rsidRPr="003B770C" w:rsidRDefault="000F060D">
            <w:pPr>
              <w:rPr>
                <w:b/>
                <w:bCs/>
              </w:rPr>
            </w:pPr>
            <w:r w:rsidRPr="003B770C">
              <w:rPr>
                <w:b/>
                <w:bCs/>
              </w:rPr>
              <w:t>Reference</w:t>
            </w:r>
          </w:p>
        </w:tc>
      </w:tr>
      <w:tr w:rsidR="00FD326B" w14:paraId="0004D804" w14:textId="0A665FF0" w:rsidTr="002833BF">
        <w:tc>
          <w:tcPr>
            <w:tcW w:w="2072" w:type="dxa"/>
            <w:vMerge w:val="restart"/>
            <w:vAlign w:val="center"/>
          </w:tcPr>
          <w:p w14:paraId="6FBDE679" w14:textId="1D152931" w:rsidR="00FD326B" w:rsidRPr="00DE583F" w:rsidRDefault="00FD326B" w:rsidP="002833BF">
            <w:pPr>
              <w:rPr>
                <w:b/>
                <w:bCs/>
                <w:i/>
                <w:iCs/>
              </w:rPr>
            </w:pPr>
            <w:r w:rsidRPr="00DE583F">
              <w:rPr>
                <w:b/>
                <w:bCs/>
                <w:i/>
                <w:iCs/>
              </w:rPr>
              <w:t>Population statistics</w:t>
            </w:r>
          </w:p>
        </w:tc>
        <w:tc>
          <w:tcPr>
            <w:tcW w:w="2319" w:type="dxa"/>
            <w:vAlign w:val="center"/>
          </w:tcPr>
          <w:p w14:paraId="3A25DC13" w14:textId="6D94073D" w:rsidR="00FD326B" w:rsidRDefault="00FD326B" w:rsidP="002833BF">
            <w:r>
              <w:t>English Population</w:t>
            </w:r>
          </w:p>
        </w:tc>
        <w:tc>
          <w:tcPr>
            <w:tcW w:w="2317" w:type="dxa"/>
            <w:vAlign w:val="center"/>
          </w:tcPr>
          <w:p w14:paraId="20A69739" w14:textId="615F0546" w:rsidR="002F6785" w:rsidRDefault="002F6785" w:rsidP="000635A9">
            <w:r>
              <w:t xml:space="preserve">2016: </w:t>
            </w:r>
            <w:r w:rsidRPr="002F6785">
              <w:t>55</w:t>
            </w:r>
            <w:r w:rsidR="0083203B">
              <w:t>,</w:t>
            </w:r>
            <w:r w:rsidRPr="002F6785">
              <w:t>289</w:t>
            </w:r>
            <w:r w:rsidR="0083203B">
              <w:t>,</w:t>
            </w:r>
            <w:r w:rsidRPr="002F6785">
              <w:t>000</w:t>
            </w:r>
          </w:p>
          <w:p w14:paraId="41FA5270" w14:textId="43793AAE" w:rsidR="00FD326B" w:rsidRDefault="00FD326B" w:rsidP="000635A9">
            <w:r>
              <w:t>2017:</w:t>
            </w:r>
            <w:r w:rsidR="002F6785">
              <w:t xml:space="preserve"> </w:t>
            </w:r>
            <w:r w:rsidR="002F6785" w:rsidRPr="002F6785">
              <w:t>55</w:t>
            </w:r>
            <w:r w:rsidR="0083203B">
              <w:t>,</w:t>
            </w:r>
            <w:r w:rsidR="002F6785" w:rsidRPr="002F6785">
              <w:t>619</w:t>
            </w:r>
            <w:r w:rsidR="0083203B">
              <w:t>,</w:t>
            </w:r>
            <w:r w:rsidR="002F6785" w:rsidRPr="002F6785">
              <w:t>500</w:t>
            </w:r>
          </w:p>
          <w:p w14:paraId="3B396C74" w14:textId="7FDFE1B3" w:rsidR="00FD326B" w:rsidRDefault="00FD326B" w:rsidP="000635A9">
            <w:r>
              <w:t>2018:</w:t>
            </w:r>
            <w:r w:rsidR="002F6785">
              <w:t xml:space="preserve"> </w:t>
            </w:r>
            <w:r w:rsidR="002F6785" w:rsidRPr="002F6785">
              <w:t>55</w:t>
            </w:r>
            <w:r w:rsidR="0083203B">
              <w:t>,</w:t>
            </w:r>
            <w:r w:rsidR="002F6785" w:rsidRPr="002F6785">
              <w:t>924</w:t>
            </w:r>
            <w:r w:rsidR="0083203B">
              <w:t>,</w:t>
            </w:r>
            <w:r w:rsidR="002F6785" w:rsidRPr="002F6785">
              <w:t>500</w:t>
            </w:r>
          </w:p>
          <w:p w14:paraId="250268D9" w14:textId="724527D9" w:rsidR="00FD326B" w:rsidRDefault="00FD326B" w:rsidP="000635A9">
            <w:r>
              <w:t>2019:</w:t>
            </w:r>
            <w:r w:rsidR="002F6785">
              <w:t xml:space="preserve"> </w:t>
            </w:r>
            <w:r w:rsidR="002F6785" w:rsidRPr="002F6785">
              <w:t>56</w:t>
            </w:r>
            <w:r w:rsidR="0083203B">
              <w:t>,</w:t>
            </w:r>
            <w:r w:rsidR="002F6785" w:rsidRPr="002F6785">
              <w:t>230</w:t>
            </w:r>
            <w:r w:rsidR="0083203B">
              <w:t>,</w:t>
            </w:r>
            <w:r w:rsidR="002F6785" w:rsidRPr="002F6785">
              <w:t>100</w:t>
            </w:r>
          </w:p>
          <w:p w14:paraId="597887F6" w14:textId="1A2189D1" w:rsidR="00FD326B" w:rsidRDefault="00FD326B" w:rsidP="002833BF">
            <w:r>
              <w:t>2020:</w:t>
            </w:r>
            <w:r w:rsidR="002F6785">
              <w:t xml:space="preserve"> </w:t>
            </w:r>
            <w:r w:rsidR="002F6785" w:rsidRPr="002F6785">
              <w:t>56</w:t>
            </w:r>
            <w:r w:rsidR="0083203B">
              <w:t>,</w:t>
            </w:r>
            <w:r w:rsidR="002F6785" w:rsidRPr="002F6785">
              <w:t>326</w:t>
            </w:r>
            <w:r w:rsidR="0083203B">
              <w:t>,</w:t>
            </w:r>
            <w:r w:rsidR="002F6785" w:rsidRPr="002F6785">
              <w:t>000</w:t>
            </w:r>
          </w:p>
        </w:tc>
        <w:tc>
          <w:tcPr>
            <w:tcW w:w="2302" w:type="dxa"/>
            <w:vAlign w:val="center"/>
          </w:tcPr>
          <w:p w14:paraId="147B30F7" w14:textId="48127806" w:rsidR="00FD326B" w:rsidRDefault="00FD326B" w:rsidP="002833BF">
            <w:r w:rsidRPr="0016139A">
              <w:t>ONS</w:t>
            </w:r>
          </w:p>
        </w:tc>
      </w:tr>
      <w:tr w:rsidR="00FD326B" w14:paraId="517F079B" w14:textId="77777777" w:rsidTr="002833BF">
        <w:tc>
          <w:tcPr>
            <w:tcW w:w="2072" w:type="dxa"/>
            <w:vMerge/>
            <w:vAlign w:val="center"/>
          </w:tcPr>
          <w:p w14:paraId="2D28225D" w14:textId="77777777" w:rsidR="00FD326B" w:rsidRPr="00DE583F" w:rsidRDefault="00FD326B" w:rsidP="002833BF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77BB1589" w14:textId="4ED22C03" w:rsidR="00FD326B" w:rsidRDefault="00FD326B" w:rsidP="002833BF">
            <w:r>
              <w:t>Death rates</w:t>
            </w:r>
            <w:r w:rsidR="00555F70">
              <w:t xml:space="preserve"> </w:t>
            </w:r>
            <w:r>
              <w:t>in England</w:t>
            </w:r>
          </w:p>
        </w:tc>
        <w:tc>
          <w:tcPr>
            <w:tcW w:w="2317" w:type="dxa"/>
            <w:vAlign w:val="center"/>
          </w:tcPr>
          <w:p w14:paraId="5F361B1C" w14:textId="54DB68BB" w:rsidR="00FD326B" w:rsidRPr="0016139A" w:rsidRDefault="00555F70" w:rsidP="002833BF">
            <w:r>
              <w:t>P</w:t>
            </w:r>
            <w:r>
              <w:t xml:space="preserve">roportion per population per </w:t>
            </w:r>
            <w:r>
              <w:t xml:space="preserve">5 year </w:t>
            </w:r>
            <w:r>
              <w:t>age band</w:t>
            </w:r>
          </w:p>
        </w:tc>
        <w:tc>
          <w:tcPr>
            <w:tcW w:w="2302" w:type="dxa"/>
            <w:vAlign w:val="center"/>
          </w:tcPr>
          <w:p w14:paraId="39BAE20E" w14:textId="10669059" w:rsidR="00FD326B" w:rsidRPr="0016139A" w:rsidRDefault="00FD326B" w:rsidP="002833BF">
            <w:r>
              <w:t xml:space="preserve">ONS </w:t>
            </w:r>
          </w:p>
        </w:tc>
      </w:tr>
      <w:tr w:rsidR="00FD326B" w14:paraId="4AD2C294" w14:textId="77777777" w:rsidTr="002833BF">
        <w:tc>
          <w:tcPr>
            <w:tcW w:w="2072" w:type="dxa"/>
            <w:vMerge/>
            <w:vAlign w:val="center"/>
          </w:tcPr>
          <w:p w14:paraId="2A3EA7C1" w14:textId="77777777" w:rsidR="00FD326B" w:rsidRPr="00DE583F" w:rsidRDefault="00FD326B" w:rsidP="002833BF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40B66BDC" w14:textId="2D1B1EC8" w:rsidR="00FD326B" w:rsidRPr="004D24AB" w:rsidRDefault="00FD326B" w:rsidP="002833BF">
            <w:pPr>
              <w:rPr>
                <w:vertAlign w:val="superscript"/>
              </w:rPr>
            </w:pPr>
            <w:r>
              <w:t xml:space="preserve">Incidence of Kidney </w:t>
            </w:r>
            <w:r w:rsidR="00C06C99">
              <w:t>stones</w:t>
            </w:r>
            <w:r w:rsidR="00F72463">
              <w:t xml:space="preserve"> (estimated increments)</w:t>
            </w:r>
          </w:p>
        </w:tc>
        <w:tc>
          <w:tcPr>
            <w:tcW w:w="2317" w:type="dxa"/>
            <w:vAlign w:val="center"/>
          </w:tcPr>
          <w:p w14:paraId="518E2942" w14:textId="77777777" w:rsidR="009220CA" w:rsidRDefault="00FD326B" w:rsidP="001F03DC">
            <w:r>
              <w:t xml:space="preserve">1-2% </w:t>
            </w:r>
          </w:p>
          <w:p w14:paraId="31549B1C" w14:textId="084B24A7" w:rsidR="00FD326B" w:rsidRPr="00D74968" w:rsidRDefault="00544533" w:rsidP="001F03DC">
            <w:pPr>
              <w:rPr>
                <w:b/>
                <w:bCs/>
              </w:rPr>
            </w:pPr>
            <w:r w:rsidRPr="00D74968">
              <w:rPr>
                <w:b/>
                <w:bCs/>
              </w:rPr>
              <w:t>(0.25% increments</w:t>
            </w:r>
            <w:r w:rsidR="00A62FC5">
              <w:rPr>
                <w:b/>
                <w:bCs/>
              </w:rPr>
              <w:t xml:space="preserve"> – start at 0.5%*</w:t>
            </w:r>
            <w:r w:rsidRPr="00D74968">
              <w:rPr>
                <w:b/>
                <w:bCs/>
              </w:rPr>
              <w:t>)</w:t>
            </w:r>
          </w:p>
        </w:tc>
        <w:tc>
          <w:tcPr>
            <w:tcW w:w="2302" w:type="dxa"/>
            <w:vAlign w:val="center"/>
          </w:tcPr>
          <w:p w14:paraId="15CF3FE4" w14:textId="619B00D7" w:rsidR="00FD326B" w:rsidRDefault="00A2490C" w:rsidP="002833BF">
            <w:r>
              <w:t xml:space="preserve">NHANES </w:t>
            </w:r>
            <w:r w:rsidR="00F449EA">
              <w:t xml:space="preserve">- </w:t>
            </w:r>
            <w:r w:rsidR="00FD326B">
              <w:t>Hill et al. J Urol 2022</w:t>
            </w:r>
            <w:sdt>
              <w:sdtPr>
                <w:alias w:val="SmartCite Citation"/>
                <w:tag w:val="2084f2b5-dd8a-4f75-83ab-5399e909db6a:88f8fd6e-4c1d-4c79-977a-3f017fe06feb+"/>
                <w:id w:val="-427893820"/>
                <w:placeholder>
                  <w:docPart w:val="BC1940D4B861B94B9C3BD50A91DD257F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</w:t>
                </w:r>
              </w:sdtContent>
            </w:sdt>
            <w:r w:rsidR="00FD326B">
              <w:t> </w:t>
            </w:r>
          </w:p>
        </w:tc>
      </w:tr>
      <w:tr w:rsidR="00FD326B" w14:paraId="683CA39F" w14:textId="77777777" w:rsidTr="002833BF">
        <w:tc>
          <w:tcPr>
            <w:tcW w:w="2072" w:type="dxa"/>
            <w:vMerge/>
            <w:vAlign w:val="center"/>
          </w:tcPr>
          <w:p w14:paraId="127F7CD0" w14:textId="77777777" w:rsidR="00FD326B" w:rsidRPr="00DE583F" w:rsidRDefault="00FD326B" w:rsidP="002833BF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3FE3F142" w14:textId="6CCC771A" w:rsidR="00FD326B" w:rsidRDefault="00FD326B" w:rsidP="002833BF">
            <w:r>
              <w:t>Age distribution of 1</w:t>
            </w:r>
            <w:r w:rsidRPr="00EF6192">
              <w:rPr>
                <w:vertAlign w:val="superscript"/>
              </w:rPr>
              <w:t>st</w:t>
            </w:r>
            <w:r>
              <w:t xml:space="preserve"> stone episode</w:t>
            </w:r>
          </w:p>
        </w:tc>
        <w:tc>
          <w:tcPr>
            <w:tcW w:w="2317" w:type="dxa"/>
            <w:vAlign w:val="center"/>
          </w:tcPr>
          <w:p w14:paraId="26AB4593" w14:textId="6E1BA4AF" w:rsidR="00D41149" w:rsidRDefault="00224696" w:rsidP="002833BF">
            <w:r>
              <w:t>Mean</w:t>
            </w:r>
            <w:r w:rsidR="00D41149">
              <w:t>:</w:t>
            </w:r>
            <w:r w:rsidR="00F8132A">
              <w:t xml:space="preserve"> 52.61</w:t>
            </w:r>
            <w:r w:rsidR="00F838DB">
              <w:t>±</w:t>
            </w:r>
            <w:r w:rsidR="00C779F9">
              <w:t>13.98</w:t>
            </w:r>
          </w:p>
        </w:tc>
        <w:tc>
          <w:tcPr>
            <w:tcW w:w="2302" w:type="dxa"/>
            <w:vAlign w:val="center"/>
          </w:tcPr>
          <w:p w14:paraId="1398CEA7" w14:textId="6355835A" w:rsidR="00FD326B" w:rsidRDefault="00FD326B" w:rsidP="002833BF">
            <w:r>
              <w:t>Meta-analysis result of combined AoU + UKB</w:t>
            </w:r>
          </w:p>
        </w:tc>
      </w:tr>
      <w:tr w:rsidR="00FD326B" w14:paraId="03DB9148" w14:textId="77777777" w:rsidTr="002833BF">
        <w:tc>
          <w:tcPr>
            <w:tcW w:w="2072" w:type="dxa"/>
            <w:vMerge/>
            <w:vAlign w:val="center"/>
          </w:tcPr>
          <w:p w14:paraId="52A70879" w14:textId="77777777" w:rsidR="00FD326B" w:rsidRPr="00DE583F" w:rsidRDefault="00FD326B" w:rsidP="00FD326B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6CFCDEEC" w14:textId="00A1A602" w:rsidR="00FD326B" w:rsidRDefault="00FD326B" w:rsidP="00FD326B">
            <w:r>
              <w:t>Sex distribution of 1</w:t>
            </w:r>
            <w:r w:rsidRPr="00EF6192">
              <w:rPr>
                <w:vertAlign w:val="superscript"/>
              </w:rPr>
              <w:t>st</w:t>
            </w:r>
            <w:r>
              <w:t xml:space="preserve"> stone episode</w:t>
            </w:r>
          </w:p>
        </w:tc>
        <w:tc>
          <w:tcPr>
            <w:tcW w:w="2317" w:type="dxa"/>
            <w:vAlign w:val="center"/>
          </w:tcPr>
          <w:p w14:paraId="3C010330" w14:textId="266E13CA" w:rsidR="00FD326B" w:rsidRDefault="00F81032" w:rsidP="00FD326B">
            <w:r>
              <w:t>Male: 60.9%</w:t>
            </w:r>
          </w:p>
        </w:tc>
        <w:tc>
          <w:tcPr>
            <w:tcW w:w="2302" w:type="dxa"/>
            <w:vAlign w:val="center"/>
          </w:tcPr>
          <w:p w14:paraId="0DE4213B" w14:textId="3294E24D" w:rsidR="00FD326B" w:rsidRDefault="00FD326B" w:rsidP="00FD326B">
            <w:r>
              <w:t>Meta-analysis result of combined AoU + UKB</w:t>
            </w:r>
          </w:p>
        </w:tc>
      </w:tr>
      <w:tr w:rsidR="00FD326B" w14:paraId="059FEB7A" w14:textId="1EA1EB5C" w:rsidTr="002833BF">
        <w:tc>
          <w:tcPr>
            <w:tcW w:w="2072" w:type="dxa"/>
            <w:vMerge w:val="restart"/>
            <w:vAlign w:val="center"/>
          </w:tcPr>
          <w:p w14:paraId="63B447B0" w14:textId="7221DBFF" w:rsidR="00FD326B" w:rsidRPr="00DE583F" w:rsidRDefault="00FD326B" w:rsidP="00FD326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Numbers of Individuals undergoing Intervention</w:t>
            </w:r>
          </w:p>
        </w:tc>
        <w:tc>
          <w:tcPr>
            <w:tcW w:w="2319" w:type="dxa"/>
            <w:vAlign w:val="center"/>
          </w:tcPr>
          <w:p w14:paraId="06CFAAA5" w14:textId="112D3952" w:rsidR="00FD326B" w:rsidRDefault="00FD326B" w:rsidP="00FD326B">
            <w:r>
              <w:t>PCNL</w:t>
            </w:r>
          </w:p>
        </w:tc>
        <w:tc>
          <w:tcPr>
            <w:tcW w:w="2317" w:type="dxa"/>
            <w:vAlign w:val="center"/>
          </w:tcPr>
          <w:p w14:paraId="60ABB06E" w14:textId="7E760B76" w:rsidR="00EE6460" w:rsidRDefault="00EE6460" w:rsidP="00FD326B">
            <w:r>
              <w:t xml:space="preserve">2016: </w:t>
            </w:r>
            <w:r w:rsidRPr="00EE6460">
              <w:t>10</w:t>
            </w:r>
            <w:r w:rsidR="00C8188D">
              <w:t>,</w:t>
            </w:r>
            <w:r w:rsidRPr="00EE6460">
              <w:t>454</w:t>
            </w:r>
          </w:p>
          <w:p w14:paraId="53B849F1" w14:textId="11A2A3CF" w:rsidR="00FD326B" w:rsidRDefault="00FD326B" w:rsidP="00FD326B">
            <w:r>
              <w:t>2017:</w:t>
            </w:r>
            <w:r w:rsidR="00EE6460">
              <w:t xml:space="preserve"> </w:t>
            </w:r>
            <w:r w:rsidR="00EE6460" w:rsidRPr="00EE6460">
              <w:t>10</w:t>
            </w:r>
            <w:r w:rsidR="00C8188D">
              <w:t>,</w:t>
            </w:r>
            <w:r w:rsidR="00EE6460" w:rsidRPr="00EE6460">
              <w:t>953</w:t>
            </w:r>
          </w:p>
          <w:p w14:paraId="2B04382D" w14:textId="2772EBEE" w:rsidR="00FD326B" w:rsidRDefault="00FD326B" w:rsidP="00FD326B">
            <w:r>
              <w:t>2018:</w:t>
            </w:r>
            <w:r w:rsidR="00EE6460">
              <w:t xml:space="preserve"> </w:t>
            </w:r>
            <w:r w:rsidR="00EE6460" w:rsidRPr="00EE6460">
              <w:t>11</w:t>
            </w:r>
            <w:r w:rsidR="00C8188D">
              <w:t>,</w:t>
            </w:r>
            <w:r w:rsidR="00EE6460" w:rsidRPr="00EE6460">
              <w:t>463</w:t>
            </w:r>
          </w:p>
          <w:p w14:paraId="784A6134" w14:textId="7ED1D7FB" w:rsidR="00FD326B" w:rsidRDefault="00FD326B" w:rsidP="00FD326B">
            <w:r>
              <w:t>2019:</w:t>
            </w:r>
            <w:r w:rsidR="00EE6460">
              <w:t xml:space="preserve"> </w:t>
            </w:r>
            <w:r w:rsidR="00EE6460" w:rsidRPr="00EE6460">
              <w:t>11</w:t>
            </w:r>
            <w:r w:rsidR="00C8188D">
              <w:t>,</w:t>
            </w:r>
            <w:r w:rsidR="00EE6460" w:rsidRPr="00EE6460">
              <w:t>164</w:t>
            </w:r>
          </w:p>
          <w:p w14:paraId="67D2309D" w14:textId="31B08E63" w:rsidR="00FD326B" w:rsidRDefault="00FD326B" w:rsidP="00FD326B">
            <w:r>
              <w:t>2020:</w:t>
            </w:r>
            <w:r w:rsidR="00EE6460">
              <w:t xml:space="preserve"> </w:t>
            </w:r>
            <w:r w:rsidR="00EE6460" w:rsidRPr="00EE6460">
              <w:t>4506</w:t>
            </w:r>
            <w:r w:rsidR="00BD327A">
              <w:t>*</w:t>
            </w:r>
          </w:p>
        </w:tc>
        <w:tc>
          <w:tcPr>
            <w:tcW w:w="2302" w:type="dxa"/>
            <w:vAlign w:val="center"/>
          </w:tcPr>
          <w:p w14:paraId="44CEEAE2" w14:textId="4AF2C692" w:rsidR="00FD326B" w:rsidRDefault="00FD326B" w:rsidP="00FD326B">
            <w:r>
              <w:t xml:space="preserve">HES </w:t>
            </w:r>
          </w:p>
        </w:tc>
      </w:tr>
      <w:tr w:rsidR="00FD326B" w14:paraId="08EE87F6" w14:textId="5115BE5C" w:rsidTr="002833BF">
        <w:tc>
          <w:tcPr>
            <w:tcW w:w="2072" w:type="dxa"/>
            <w:vMerge/>
            <w:vAlign w:val="center"/>
          </w:tcPr>
          <w:p w14:paraId="292F85EB" w14:textId="77777777" w:rsidR="00FD326B" w:rsidRPr="00DE583F" w:rsidRDefault="00FD326B" w:rsidP="00FD326B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63196522" w14:textId="56F66C99" w:rsidR="00FD326B" w:rsidRDefault="00FD326B" w:rsidP="00FD326B">
            <w:r>
              <w:t>URS</w:t>
            </w:r>
          </w:p>
        </w:tc>
        <w:tc>
          <w:tcPr>
            <w:tcW w:w="2317" w:type="dxa"/>
            <w:vAlign w:val="center"/>
          </w:tcPr>
          <w:p w14:paraId="6B3A88C1" w14:textId="5357C62C" w:rsidR="00FD326B" w:rsidRDefault="00BD327A" w:rsidP="00FD326B">
            <w:r>
              <w:t>2016:</w:t>
            </w:r>
            <w:r w:rsidR="00B21E1C">
              <w:t xml:space="preserve"> </w:t>
            </w:r>
            <w:r w:rsidR="00B21E1C" w:rsidRPr="00B21E1C">
              <w:t>11</w:t>
            </w:r>
            <w:r w:rsidR="00C8188D">
              <w:t>,</w:t>
            </w:r>
            <w:r w:rsidR="00B21E1C" w:rsidRPr="00B21E1C">
              <w:t>441</w:t>
            </w:r>
          </w:p>
          <w:p w14:paraId="6D0E250B" w14:textId="695A67EA" w:rsidR="00BD327A" w:rsidRDefault="00BD327A" w:rsidP="00FD326B">
            <w:r>
              <w:t>2017:</w:t>
            </w:r>
            <w:r w:rsidR="00B21E1C">
              <w:t xml:space="preserve"> </w:t>
            </w:r>
            <w:r w:rsidR="00B21E1C" w:rsidRPr="00B21E1C">
              <w:t>12</w:t>
            </w:r>
            <w:r w:rsidR="00C8188D">
              <w:t>,</w:t>
            </w:r>
            <w:r w:rsidR="00B21E1C" w:rsidRPr="00B21E1C">
              <w:t>016</w:t>
            </w:r>
          </w:p>
          <w:p w14:paraId="419AF365" w14:textId="4C51655B" w:rsidR="00BD327A" w:rsidRDefault="00BD327A" w:rsidP="00FD326B">
            <w:r>
              <w:t>2018:</w:t>
            </w:r>
            <w:r w:rsidR="00B21E1C">
              <w:t xml:space="preserve"> </w:t>
            </w:r>
            <w:r w:rsidR="00B21E1C" w:rsidRPr="00B21E1C">
              <w:t>12</w:t>
            </w:r>
            <w:r w:rsidR="00C8188D">
              <w:t>,</w:t>
            </w:r>
            <w:r w:rsidR="00B21E1C" w:rsidRPr="00B21E1C">
              <w:t>669</w:t>
            </w:r>
          </w:p>
          <w:p w14:paraId="5D809027" w14:textId="69AA3CBB" w:rsidR="00BD327A" w:rsidRDefault="00BD327A" w:rsidP="00FD326B">
            <w:r>
              <w:t>2019:</w:t>
            </w:r>
            <w:r w:rsidR="00B21E1C">
              <w:t xml:space="preserve"> </w:t>
            </w:r>
            <w:r w:rsidR="00B21E1C" w:rsidRPr="00B21E1C">
              <w:t>12</w:t>
            </w:r>
            <w:r w:rsidR="00C8188D">
              <w:t>,</w:t>
            </w:r>
            <w:r w:rsidR="00B21E1C" w:rsidRPr="00B21E1C">
              <w:t>444</w:t>
            </w:r>
          </w:p>
          <w:p w14:paraId="6049C3EF" w14:textId="42E8C89F" w:rsidR="00BD327A" w:rsidRDefault="00BD327A" w:rsidP="00FD326B">
            <w:r>
              <w:t>2020:</w:t>
            </w:r>
            <w:r w:rsidR="00B21E1C">
              <w:t xml:space="preserve"> </w:t>
            </w:r>
            <w:r w:rsidR="00B21E1C" w:rsidRPr="00B21E1C">
              <w:t>12</w:t>
            </w:r>
            <w:r w:rsidR="00C8188D">
              <w:t>,</w:t>
            </w:r>
            <w:r w:rsidR="00B21E1C" w:rsidRPr="00B21E1C">
              <w:t>840</w:t>
            </w:r>
          </w:p>
        </w:tc>
        <w:tc>
          <w:tcPr>
            <w:tcW w:w="2302" w:type="dxa"/>
            <w:vAlign w:val="center"/>
          </w:tcPr>
          <w:p w14:paraId="4A34BC98" w14:textId="0011EE62" w:rsidR="00FD326B" w:rsidRDefault="00FD326B" w:rsidP="00FD326B">
            <w:r>
              <w:t xml:space="preserve">HES </w:t>
            </w:r>
          </w:p>
        </w:tc>
      </w:tr>
      <w:tr w:rsidR="00FD326B" w14:paraId="444AE4F4" w14:textId="6433DFA5" w:rsidTr="002833BF">
        <w:tc>
          <w:tcPr>
            <w:tcW w:w="2072" w:type="dxa"/>
            <w:vMerge/>
            <w:vAlign w:val="center"/>
          </w:tcPr>
          <w:p w14:paraId="413609F5" w14:textId="77777777" w:rsidR="00FD326B" w:rsidRPr="00DE583F" w:rsidRDefault="00FD326B" w:rsidP="00FD326B">
            <w:pPr>
              <w:rPr>
                <w:b/>
                <w:bCs/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41E29D91" w14:textId="59CD8431" w:rsidR="00FD326B" w:rsidRDefault="00FD326B" w:rsidP="00FD326B">
            <w:r>
              <w:t>ESWL</w:t>
            </w:r>
          </w:p>
        </w:tc>
        <w:tc>
          <w:tcPr>
            <w:tcW w:w="2317" w:type="dxa"/>
            <w:vAlign w:val="center"/>
          </w:tcPr>
          <w:p w14:paraId="6C962024" w14:textId="77654ACF" w:rsidR="00BD327A" w:rsidRDefault="00BD327A" w:rsidP="00BD327A">
            <w:r>
              <w:t>2016:</w:t>
            </w:r>
            <w:r w:rsidR="00106A55">
              <w:t xml:space="preserve"> </w:t>
            </w:r>
            <w:r w:rsidR="00106A55" w:rsidRPr="00106A55">
              <w:t>20</w:t>
            </w:r>
            <w:r w:rsidR="00C8188D">
              <w:t>,</w:t>
            </w:r>
            <w:r w:rsidR="00106A55" w:rsidRPr="00106A55">
              <w:t>745</w:t>
            </w:r>
          </w:p>
          <w:p w14:paraId="565C0056" w14:textId="03F3D93E" w:rsidR="00BD327A" w:rsidRDefault="00BD327A" w:rsidP="00BD327A">
            <w:r>
              <w:t>2017:</w:t>
            </w:r>
            <w:r w:rsidR="00106A55">
              <w:t xml:space="preserve"> </w:t>
            </w:r>
            <w:r w:rsidR="00106A55" w:rsidRPr="00106A55">
              <w:t>20</w:t>
            </w:r>
            <w:r w:rsidR="00C8188D">
              <w:t>,</w:t>
            </w:r>
            <w:r w:rsidR="00106A55" w:rsidRPr="00106A55">
              <w:t>030</w:t>
            </w:r>
          </w:p>
          <w:p w14:paraId="2285B571" w14:textId="3CE1E488" w:rsidR="00BD327A" w:rsidRDefault="00BD327A" w:rsidP="00BD327A">
            <w:r>
              <w:t>2018:</w:t>
            </w:r>
            <w:r w:rsidR="00106A55">
              <w:t xml:space="preserve"> </w:t>
            </w:r>
            <w:r w:rsidR="00106A55" w:rsidRPr="00106A55">
              <w:t>18</w:t>
            </w:r>
            <w:r w:rsidR="00C8188D">
              <w:t>,</w:t>
            </w:r>
            <w:r w:rsidR="00106A55" w:rsidRPr="00106A55">
              <w:t>964</w:t>
            </w:r>
          </w:p>
          <w:p w14:paraId="7E8E6D7D" w14:textId="41091A69" w:rsidR="00BD327A" w:rsidRDefault="00BD327A" w:rsidP="00BD327A">
            <w:r>
              <w:t>2019:</w:t>
            </w:r>
            <w:r w:rsidR="00106A55">
              <w:t xml:space="preserve"> </w:t>
            </w:r>
            <w:r w:rsidR="00106A55" w:rsidRPr="00106A55">
              <w:t>19</w:t>
            </w:r>
            <w:r w:rsidR="00C8188D">
              <w:t>,</w:t>
            </w:r>
            <w:r w:rsidR="00106A55" w:rsidRPr="00106A55">
              <w:t>957</w:t>
            </w:r>
          </w:p>
          <w:p w14:paraId="2DC39C2B" w14:textId="1547024B" w:rsidR="00FD326B" w:rsidRDefault="00BD327A" w:rsidP="00BD327A">
            <w:r>
              <w:t>2020:</w:t>
            </w:r>
            <w:r w:rsidR="00106A55">
              <w:t xml:space="preserve"> </w:t>
            </w:r>
            <w:r w:rsidR="00106A55" w:rsidRPr="00106A55">
              <w:t>13</w:t>
            </w:r>
            <w:r w:rsidR="00C8188D">
              <w:t>,</w:t>
            </w:r>
            <w:r w:rsidR="00106A55" w:rsidRPr="00106A55">
              <w:t>000</w:t>
            </w:r>
          </w:p>
        </w:tc>
        <w:tc>
          <w:tcPr>
            <w:tcW w:w="2302" w:type="dxa"/>
            <w:vAlign w:val="center"/>
          </w:tcPr>
          <w:p w14:paraId="3517A145" w14:textId="6745E93E" w:rsidR="00FD326B" w:rsidRDefault="00FD326B" w:rsidP="00FD326B">
            <w:r>
              <w:t xml:space="preserve">HES </w:t>
            </w:r>
          </w:p>
        </w:tc>
      </w:tr>
      <w:tr w:rsidR="00FD326B" w14:paraId="4B540C14" w14:textId="6692B638" w:rsidTr="002833BF">
        <w:tc>
          <w:tcPr>
            <w:tcW w:w="2072" w:type="dxa"/>
            <w:vMerge w:val="restart"/>
            <w:vAlign w:val="center"/>
          </w:tcPr>
          <w:p w14:paraId="273EAA08" w14:textId="246BE214" w:rsidR="00FD326B" w:rsidRPr="00DE583F" w:rsidRDefault="00CE0477" w:rsidP="00FD326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Estimated Global </w:t>
            </w:r>
            <w:r w:rsidR="00FD326B" w:rsidRPr="00DE583F">
              <w:rPr>
                <w:b/>
                <w:bCs/>
                <w:i/>
                <w:iCs/>
              </w:rPr>
              <w:t>Stone Free Rates (For Renal Stones)</w:t>
            </w:r>
          </w:p>
        </w:tc>
        <w:tc>
          <w:tcPr>
            <w:tcW w:w="2319" w:type="dxa"/>
            <w:vAlign w:val="center"/>
          </w:tcPr>
          <w:p w14:paraId="7207275A" w14:textId="527BF46F" w:rsidR="00FD326B" w:rsidRDefault="00FD326B" w:rsidP="00FD326B">
            <w:r>
              <w:t>PCNL</w:t>
            </w:r>
          </w:p>
        </w:tc>
        <w:tc>
          <w:tcPr>
            <w:tcW w:w="2317" w:type="dxa"/>
            <w:vAlign w:val="center"/>
          </w:tcPr>
          <w:p w14:paraId="177DAC9F" w14:textId="37F03B10" w:rsidR="00FD326B" w:rsidRDefault="0053783C" w:rsidP="00FD326B">
            <w:r>
              <w:t>74</w:t>
            </w:r>
            <w:r w:rsidR="00FD326B">
              <w:t>%</w:t>
            </w:r>
            <w:r w:rsidR="00F8132A">
              <w:t xml:space="preserve"> </w:t>
            </w:r>
          </w:p>
        </w:tc>
        <w:tc>
          <w:tcPr>
            <w:tcW w:w="2302" w:type="dxa"/>
            <w:vAlign w:val="center"/>
          </w:tcPr>
          <w:p w14:paraId="2565809A" w14:textId="72F99BCF" w:rsidR="00FD326B" w:rsidRDefault="00757074" w:rsidP="00FD326B">
            <w:r>
              <w:t>Geraghty et al. 2024</w:t>
            </w:r>
            <w:sdt>
              <w:sdtPr>
                <w:alias w:val="SmartCite Citation"/>
                <w:tag w:val="2084f2b5-dd8a-4f75-83ab-5399e909db6a:c5ac4c6f-855e-49a7-8c24-7b0434e23a5b+"/>
                <w:id w:val="-987401907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2</w:t>
                </w:r>
              </w:sdtContent>
            </w:sdt>
            <w:r w:rsidR="0053783C">
              <w:t> </w:t>
            </w:r>
          </w:p>
        </w:tc>
      </w:tr>
      <w:tr w:rsidR="00FD326B" w14:paraId="7DCCEBCA" w14:textId="420349E5" w:rsidTr="002833BF">
        <w:tc>
          <w:tcPr>
            <w:tcW w:w="2072" w:type="dxa"/>
            <w:vMerge/>
            <w:vAlign w:val="center"/>
          </w:tcPr>
          <w:p w14:paraId="697763F8" w14:textId="77777777" w:rsidR="00FD326B" w:rsidRDefault="00FD326B" w:rsidP="00FD326B"/>
        </w:tc>
        <w:tc>
          <w:tcPr>
            <w:tcW w:w="2319" w:type="dxa"/>
            <w:vAlign w:val="center"/>
          </w:tcPr>
          <w:p w14:paraId="72603D92" w14:textId="785D239B" w:rsidR="00FD326B" w:rsidRDefault="00FD326B" w:rsidP="00FD326B">
            <w:r>
              <w:t>URS</w:t>
            </w:r>
          </w:p>
        </w:tc>
        <w:tc>
          <w:tcPr>
            <w:tcW w:w="2317" w:type="dxa"/>
            <w:vAlign w:val="center"/>
          </w:tcPr>
          <w:p w14:paraId="7126EFDD" w14:textId="3027DE6E" w:rsidR="00FD326B" w:rsidRDefault="00FD326B" w:rsidP="00FD326B">
            <w:r>
              <w:t>60%</w:t>
            </w:r>
          </w:p>
        </w:tc>
        <w:tc>
          <w:tcPr>
            <w:tcW w:w="2302" w:type="dxa"/>
            <w:vAlign w:val="center"/>
          </w:tcPr>
          <w:p w14:paraId="1336A7A4" w14:textId="73D95C2C" w:rsidR="00FD326B" w:rsidRDefault="00FD326B" w:rsidP="00FD326B">
            <w:r>
              <w:t>Ghani and Wolf 2015</w:t>
            </w:r>
            <w:sdt>
              <w:sdtPr>
                <w:alias w:val="SmartCite Citation"/>
                <w:tag w:val="2084f2b5-dd8a-4f75-83ab-5399e909db6a:d3cd7e33-1d1d-4854-83cb-5abe516dc19a+"/>
                <w:id w:val="-494648373"/>
                <w:placeholder>
                  <w:docPart w:val="20E6A34FAEBD764ABEBB310ECF7545E9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3</w:t>
                </w:r>
              </w:sdtContent>
            </w:sdt>
            <w:r>
              <w:t> </w:t>
            </w:r>
          </w:p>
        </w:tc>
      </w:tr>
      <w:tr w:rsidR="00FD326B" w14:paraId="41801565" w14:textId="32CA0310" w:rsidTr="002833BF">
        <w:tc>
          <w:tcPr>
            <w:tcW w:w="2072" w:type="dxa"/>
            <w:vMerge/>
            <w:vAlign w:val="center"/>
          </w:tcPr>
          <w:p w14:paraId="3BFCEDD4" w14:textId="77777777" w:rsidR="00FD326B" w:rsidRDefault="00FD326B" w:rsidP="00FD326B"/>
        </w:tc>
        <w:tc>
          <w:tcPr>
            <w:tcW w:w="2319" w:type="dxa"/>
            <w:vAlign w:val="center"/>
          </w:tcPr>
          <w:p w14:paraId="397EA3FD" w14:textId="282BF6FC" w:rsidR="00FD326B" w:rsidRDefault="00FD326B" w:rsidP="00FD326B">
            <w:r>
              <w:t>ESWL</w:t>
            </w:r>
          </w:p>
        </w:tc>
        <w:tc>
          <w:tcPr>
            <w:tcW w:w="2317" w:type="dxa"/>
            <w:vAlign w:val="center"/>
          </w:tcPr>
          <w:p w14:paraId="4A65E146" w14:textId="7316FCA8" w:rsidR="00FD326B" w:rsidRDefault="00FD326B" w:rsidP="00FD326B">
            <w:r>
              <w:t>50%</w:t>
            </w:r>
          </w:p>
        </w:tc>
        <w:tc>
          <w:tcPr>
            <w:tcW w:w="2302" w:type="dxa"/>
            <w:vAlign w:val="center"/>
          </w:tcPr>
          <w:p w14:paraId="0AE45768" w14:textId="0058DB51" w:rsidR="00FD326B" w:rsidRDefault="00FD326B" w:rsidP="00FD326B">
            <w:r>
              <w:t>Brain et al. 2023</w:t>
            </w:r>
            <w:sdt>
              <w:sdtPr>
                <w:alias w:val="SmartCite Citation"/>
                <w:tag w:val="2084f2b5-dd8a-4f75-83ab-5399e909db6a:450d383c-d9fd-457a-b1e5-472756da4a9c+"/>
                <w:id w:val="1699805887"/>
                <w:placeholder>
                  <w:docPart w:val="20E6A34FAEBD764ABEBB310ECF7545E9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4</w:t>
                </w:r>
              </w:sdtContent>
            </w:sdt>
          </w:p>
        </w:tc>
      </w:tr>
      <w:tr w:rsidR="004D24AB" w14:paraId="4FDB3BFD" w14:textId="74F9D50B" w:rsidTr="002833BF">
        <w:tc>
          <w:tcPr>
            <w:tcW w:w="2072" w:type="dxa"/>
            <w:vMerge w:val="restart"/>
            <w:vAlign w:val="center"/>
          </w:tcPr>
          <w:p w14:paraId="40A586E5" w14:textId="393FF663" w:rsidR="004D24AB" w:rsidRPr="002531D3" w:rsidRDefault="004D24AB" w:rsidP="00FE5F15">
            <w:pPr>
              <w:rPr>
                <w:b/>
                <w:bCs/>
                <w:i/>
                <w:iCs/>
              </w:rPr>
            </w:pPr>
            <w:r w:rsidRPr="002531D3">
              <w:rPr>
                <w:b/>
                <w:bCs/>
                <w:i/>
                <w:iCs/>
              </w:rPr>
              <w:t>Estimated Global Stone free Rates (for Ureteric stones)</w:t>
            </w:r>
          </w:p>
        </w:tc>
        <w:tc>
          <w:tcPr>
            <w:tcW w:w="2319" w:type="dxa"/>
            <w:vAlign w:val="center"/>
          </w:tcPr>
          <w:p w14:paraId="69C18ACC" w14:textId="33730801" w:rsidR="004D24AB" w:rsidRDefault="004D24AB" w:rsidP="00FE5F15">
            <w:r>
              <w:t>URS</w:t>
            </w:r>
          </w:p>
        </w:tc>
        <w:tc>
          <w:tcPr>
            <w:tcW w:w="2317" w:type="dxa"/>
            <w:vAlign w:val="center"/>
          </w:tcPr>
          <w:p w14:paraId="40F69C69" w14:textId="342C4846" w:rsidR="004D24AB" w:rsidRDefault="004E105F" w:rsidP="00FE5F15">
            <w:r>
              <w:t>89%</w:t>
            </w:r>
            <w:r w:rsidR="00A84C58">
              <w:t xml:space="preserve"> (PP2)</w:t>
            </w:r>
          </w:p>
        </w:tc>
        <w:tc>
          <w:tcPr>
            <w:tcW w:w="2302" w:type="dxa"/>
            <w:vAlign w:val="center"/>
          </w:tcPr>
          <w:p w14:paraId="2F6F03E7" w14:textId="1AFDE363" w:rsidR="004D24AB" w:rsidRDefault="004E105F" w:rsidP="00FE5F15">
            <w:r>
              <w:t>Dasgupta et al. 2021</w:t>
            </w:r>
            <w:sdt>
              <w:sdtPr>
                <w:alias w:val="SmartCite Citation"/>
                <w:tag w:val="2084f2b5-dd8a-4f75-83ab-5399e909db6a:60743723-39b8-446e-bc10-392fd9657504+"/>
                <w:id w:val="1098372644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5</w:t>
                </w:r>
              </w:sdtContent>
            </w:sdt>
            <w:r>
              <w:t> </w:t>
            </w:r>
          </w:p>
        </w:tc>
      </w:tr>
      <w:tr w:rsidR="004D24AB" w14:paraId="5BDD554D" w14:textId="50F586F7" w:rsidTr="002833BF">
        <w:tc>
          <w:tcPr>
            <w:tcW w:w="2072" w:type="dxa"/>
            <w:vMerge/>
            <w:vAlign w:val="center"/>
          </w:tcPr>
          <w:p w14:paraId="6C8ACD29" w14:textId="77777777" w:rsidR="004D24AB" w:rsidRDefault="004D24AB" w:rsidP="00FE5F15"/>
        </w:tc>
        <w:tc>
          <w:tcPr>
            <w:tcW w:w="2319" w:type="dxa"/>
            <w:vAlign w:val="center"/>
          </w:tcPr>
          <w:p w14:paraId="28993C91" w14:textId="5F06E9C6" w:rsidR="004D24AB" w:rsidRDefault="004D24AB" w:rsidP="00FE5F15">
            <w:r>
              <w:t>ESWL</w:t>
            </w:r>
          </w:p>
        </w:tc>
        <w:tc>
          <w:tcPr>
            <w:tcW w:w="2317" w:type="dxa"/>
            <w:vAlign w:val="center"/>
          </w:tcPr>
          <w:p w14:paraId="19B5507C" w14:textId="50E46557" w:rsidR="004D24AB" w:rsidRDefault="004E2693" w:rsidP="00FE5F15">
            <w:r>
              <w:t>70% (PP2)</w:t>
            </w:r>
          </w:p>
        </w:tc>
        <w:tc>
          <w:tcPr>
            <w:tcW w:w="2302" w:type="dxa"/>
            <w:vAlign w:val="center"/>
          </w:tcPr>
          <w:p w14:paraId="76478798" w14:textId="7F55980F" w:rsidR="004D24AB" w:rsidRDefault="004E105F" w:rsidP="00FE5F15">
            <w:r>
              <w:t>Dasgupta et al. 2021</w:t>
            </w:r>
            <w:sdt>
              <w:sdtPr>
                <w:alias w:val="SmartCite Citation"/>
                <w:tag w:val="2084f2b5-dd8a-4f75-83ab-5399e909db6a:60743723-39b8-446e-bc10-392fd9657504+"/>
                <w:id w:val="910122525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5</w:t>
                </w:r>
              </w:sdtContent>
            </w:sdt>
            <w:r>
              <w:t> </w:t>
            </w:r>
          </w:p>
        </w:tc>
      </w:tr>
      <w:tr w:rsidR="004D24AB" w14:paraId="575E809B" w14:textId="77777777" w:rsidTr="002833BF">
        <w:tc>
          <w:tcPr>
            <w:tcW w:w="2072" w:type="dxa"/>
            <w:vMerge/>
            <w:vAlign w:val="center"/>
          </w:tcPr>
          <w:p w14:paraId="70D8D18E" w14:textId="77777777" w:rsidR="004D24AB" w:rsidRDefault="004D24AB" w:rsidP="00FD326B"/>
        </w:tc>
        <w:tc>
          <w:tcPr>
            <w:tcW w:w="2319" w:type="dxa"/>
            <w:vAlign w:val="center"/>
          </w:tcPr>
          <w:p w14:paraId="48EC1E4F" w14:textId="59404D4F" w:rsidR="004D24AB" w:rsidRDefault="004D24AB" w:rsidP="00FD326B">
            <w:r>
              <w:t>Spontaneous passage</w:t>
            </w:r>
          </w:p>
        </w:tc>
        <w:tc>
          <w:tcPr>
            <w:tcW w:w="2317" w:type="dxa"/>
            <w:vAlign w:val="center"/>
          </w:tcPr>
          <w:p w14:paraId="2553A1EE" w14:textId="1CC2ACF7" w:rsidR="004D24AB" w:rsidRDefault="00744589" w:rsidP="00FD326B">
            <w:r>
              <w:t>74%</w:t>
            </w:r>
          </w:p>
        </w:tc>
        <w:tc>
          <w:tcPr>
            <w:tcW w:w="2302" w:type="dxa"/>
            <w:vAlign w:val="center"/>
          </w:tcPr>
          <w:p w14:paraId="1477EA26" w14:textId="605D8C60" w:rsidR="004D24AB" w:rsidRDefault="00744589" w:rsidP="00FD326B">
            <w:r>
              <w:t>Shah et al. 2019</w:t>
            </w:r>
            <w:sdt>
              <w:sdtPr>
                <w:alias w:val="SmartCite Citation"/>
                <w:tag w:val="2084f2b5-dd8a-4f75-83ab-5399e909db6a:e1b31a5b-24a3-43c6-9ed2-e1135c2922be+"/>
                <w:id w:val="-1974894848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6</w:t>
                </w:r>
              </w:sdtContent>
            </w:sdt>
            <w:r w:rsidR="00075E71">
              <w:t> </w:t>
            </w:r>
          </w:p>
        </w:tc>
      </w:tr>
      <w:tr w:rsidR="00B42864" w14:paraId="3F492D80" w14:textId="3129D891" w:rsidTr="002833BF">
        <w:tc>
          <w:tcPr>
            <w:tcW w:w="2072" w:type="dxa"/>
            <w:vMerge w:val="restart"/>
            <w:vAlign w:val="center"/>
          </w:tcPr>
          <w:p w14:paraId="6BF9CC4B" w14:textId="30A6BA3E" w:rsidR="00B42864" w:rsidRPr="00F3352D" w:rsidRDefault="00B42864" w:rsidP="00FD326B">
            <w:pPr>
              <w:rPr>
                <w:b/>
                <w:bCs/>
                <w:i/>
                <w:iCs/>
              </w:rPr>
            </w:pPr>
            <w:r w:rsidRPr="00F3352D">
              <w:rPr>
                <w:b/>
                <w:bCs/>
                <w:i/>
                <w:iCs/>
              </w:rPr>
              <w:t xml:space="preserve">Sensitivity / Specificity for </w:t>
            </w:r>
            <w:r w:rsidRPr="00F3352D">
              <w:rPr>
                <w:b/>
                <w:bCs/>
                <w:i/>
                <w:iCs/>
              </w:rPr>
              <w:lastRenderedPageBreak/>
              <w:t>Detection of de novo stones</w:t>
            </w:r>
          </w:p>
        </w:tc>
        <w:tc>
          <w:tcPr>
            <w:tcW w:w="2319" w:type="dxa"/>
            <w:vAlign w:val="center"/>
          </w:tcPr>
          <w:p w14:paraId="551E43E9" w14:textId="288057C5" w:rsidR="00B42864" w:rsidRDefault="00B42864" w:rsidP="00FD326B">
            <w:r>
              <w:lastRenderedPageBreak/>
              <w:t>US</w:t>
            </w:r>
          </w:p>
        </w:tc>
        <w:tc>
          <w:tcPr>
            <w:tcW w:w="2317" w:type="dxa"/>
            <w:vAlign w:val="center"/>
          </w:tcPr>
          <w:p w14:paraId="052032CA" w14:textId="489A931A" w:rsidR="00B42864" w:rsidRDefault="00B42864" w:rsidP="00FD326B">
            <w:r w:rsidRPr="00FD271E">
              <w:rPr>
                <w:i/>
                <w:iCs/>
              </w:rPr>
              <w:t>Sens</w:t>
            </w:r>
            <w:r>
              <w:t xml:space="preserve">: 0.54; </w:t>
            </w:r>
            <w:r w:rsidRPr="00FD271E">
              <w:rPr>
                <w:i/>
                <w:iCs/>
              </w:rPr>
              <w:t>Spec</w:t>
            </w:r>
            <w:r>
              <w:t>: 0.91</w:t>
            </w:r>
          </w:p>
        </w:tc>
        <w:tc>
          <w:tcPr>
            <w:tcW w:w="2302" w:type="dxa"/>
            <w:vAlign w:val="center"/>
          </w:tcPr>
          <w:p w14:paraId="2D660061" w14:textId="6460A95E" w:rsidR="00B42864" w:rsidRDefault="00B42864" w:rsidP="00FD326B">
            <w:r>
              <w:t>Ganesan et al. 2016</w:t>
            </w:r>
            <w:sdt>
              <w:sdtPr>
                <w:alias w:val="SmartCite Citation"/>
                <w:tag w:val="2084f2b5-dd8a-4f75-83ab-5399e909db6a:30d89fc6-e0c5-4092-8e6c-efb5df1feb6e+"/>
                <w:id w:val="-1349170543"/>
                <w:placeholder>
                  <w:docPart w:val="94C00E88DEB4264183E0A12D45148675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7</w:t>
                </w:r>
              </w:sdtContent>
            </w:sdt>
            <w:r>
              <w:t> </w:t>
            </w:r>
          </w:p>
        </w:tc>
      </w:tr>
      <w:tr w:rsidR="00B42864" w14:paraId="157F46C5" w14:textId="3D294A94" w:rsidTr="002833BF">
        <w:tc>
          <w:tcPr>
            <w:tcW w:w="2072" w:type="dxa"/>
            <w:vMerge/>
            <w:vAlign w:val="center"/>
          </w:tcPr>
          <w:p w14:paraId="72BA4251" w14:textId="77777777" w:rsidR="00B42864" w:rsidRDefault="00B42864" w:rsidP="00FD326B"/>
        </w:tc>
        <w:tc>
          <w:tcPr>
            <w:tcW w:w="2319" w:type="dxa"/>
            <w:vAlign w:val="center"/>
          </w:tcPr>
          <w:p w14:paraId="7563513A" w14:textId="116CB159" w:rsidR="00B42864" w:rsidRDefault="00B42864" w:rsidP="00FD326B">
            <w:r>
              <w:t>XR</w:t>
            </w:r>
          </w:p>
        </w:tc>
        <w:tc>
          <w:tcPr>
            <w:tcW w:w="2317" w:type="dxa"/>
            <w:vAlign w:val="center"/>
          </w:tcPr>
          <w:p w14:paraId="7E301414" w14:textId="59EEFEB2" w:rsidR="00B42864" w:rsidRDefault="00B42864" w:rsidP="00FD326B">
            <w:r w:rsidRPr="00FD271E">
              <w:rPr>
                <w:i/>
                <w:iCs/>
              </w:rPr>
              <w:t>Sens</w:t>
            </w:r>
            <w:r>
              <w:t xml:space="preserve">: 0.58; </w:t>
            </w:r>
            <w:r w:rsidRPr="00FD271E">
              <w:rPr>
                <w:i/>
                <w:iCs/>
              </w:rPr>
              <w:t>Spec</w:t>
            </w:r>
            <w:r>
              <w:t>: 0.</w:t>
            </w:r>
            <w:r w:rsidR="00AF5053">
              <w:t>76</w:t>
            </w:r>
          </w:p>
        </w:tc>
        <w:tc>
          <w:tcPr>
            <w:tcW w:w="2302" w:type="dxa"/>
            <w:vAlign w:val="center"/>
          </w:tcPr>
          <w:p w14:paraId="741ED239" w14:textId="2E98478D" w:rsidR="00B42864" w:rsidRDefault="00B42864" w:rsidP="00FD326B">
            <w:r>
              <w:t>NICE 2019</w:t>
            </w:r>
            <w:sdt>
              <w:sdtPr>
                <w:alias w:val="SmartCite Citation"/>
                <w:tag w:val="2084f2b5-dd8a-4f75-83ab-5399e909db6a:b27a80c5-2fc9-49eb-a2f7-9e9007baeee8+"/>
                <w:id w:val="447516901"/>
                <w:placeholder>
                  <w:docPart w:val="94C00E88DEB4264183E0A12D45148675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8</w:t>
                </w:r>
              </w:sdtContent>
            </w:sdt>
            <w:r>
              <w:t> </w:t>
            </w:r>
            <w:r w:rsidR="00E4798B">
              <w:t xml:space="preserve">/ </w:t>
            </w:r>
            <w:r w:rsidR="009D79F2">
              <w:t>Fulgham et al. 2012</w:t>
            </w:r>
            <w:sdt>
              <w:sdtPr>
                <w:alias w:val="SmartCite Citation"/>
                <w:tag w:val="2084f2b5-dd8a-4f75-83ab-5399e909db6a:e3221e52-61a4-41fa-9678-6587c801f23c+"/>
                <w:id w:val="-1426654616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9</w:t>
                </w:r>
              </w:sdtContent>
            </w:sdt>
            <w:r w:rsidR="00AE1F9D">
              <w:t> </w:t>
            </w:r>
          </w:p>
        </w:tc>
      </w:tr>
      <w:tr w:rsidR="00B42864" w14:paraId="057DE25B" w14:textId="5D73D954" w:rsidTr="002833BF">
        <w:tc>
          <w:tcPr>
            <w:tcW w:w="2072" w:type="dxa"/>
            <w:vMerge/>
            <w:vAlign w:val="center"/>
          </w:tcPr>
          <w:p w14:paraId="02C1230E" w14:textId="77777777" w:rsidR="00B42864" w:rsidRDefault="00B42864" w:rsidP="00FD326B"/>
        </w:tc>
        <w:tc>
          <w:tcPr>
            <w:tcW w:w="2319" w:type="dxa"/>
            <w:vAlign w:val="center"/>
          </w:tcPr>
          <w:p w14:paraId="69AB7FC1" w14:textId="4ECF9FCA" w:rsidR="00B42864" w:rsidRDefault="00B42864" w:rsidP="00FD326B">
            <w:r>
              <w:t>CT</w:t>
            </w:r>
          </w:p>
        </w:tc>
        <w:tc>
          <w:tcPr>
            <w:tcW w:w="2317" w:type="dxa"/>
            <w:vAlign w:val="center"/>
          </w:tcPr>
          <w:p w14:paraId="7351001A" w14:textId="39480A28" w:rsidR="00B42864" w:rsidRDefault="00B42864" w:rsidP="00FD326B">
            <w:r w:rsidRPr="00FD271E">
              <w:rPr>
                <w:i/>
                <w:iCs/>
              </w:rPr>
              <w:t>Sens</w:t>
            </w:r>
            <w:r>
              <w:t>: 0.9</w:t>
            </w:r>
            <w:r w:rsidR="0020484D">
              <w:t>5</w:t>
            </w:r>
            <w:r>
              <w:t xml:space="preserve">; </w:t>
            </w:r>
            <w:r w:rsidRPr="00FD271E">
              <w:rPr>
                <w:i/>
                <w:iCs/>
              </w:rPr>
              <w:t>Spec</w:t>
            </w:r>
            <w:r>
              <w:t>: 0.9</w:t>
            </w:r>
            <w:r w:rsidR="0020484D">
              <w:t>8</w:t>
            </w:r>
          </w:p>
        </w:tc>
        <w:tc>
          <w:tcPr>
            <w:tcW w:w="2302" w:type="dxa"/>
            <w:vAlign w:val="center"/>
          </w:tcPr>
          <w:p w14:paraId="406558B0" w14:textId="7E8E1291" w:rsidR="00B42864" w:rsidRDefault="004908DF" w:rsidP="00FD326B">
            <w:r>
              <w:t>Coursey et al. 2012</w:t>
            </w:r>
            <w:sdt>
              <w:sdtPr>
                <w:alias w:val="SmartCite Citation"/>
                <w:tag w:val="2084f2b5-dd8a-4f75-83ab-5399e909db6a:af856bac-6e65-49f8-b87a-237736284ea3+"/>
                <w:id w:val="1196805768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10</w:t>
                </w:r>
              </w:sdtContent>
            </w:sdt>
            <w:r>
              <w:t> </w:t>
            </w:r>
          </w:p>
        </w:tc>
      </w:tr>
      <w:tr w:rsidR="00B42864" w14:paraId="3F534095" w14:textId="77777777" w:rsidTr="002833BF">
        <w:tc>
          <w:tcPr>
            <w:tcW w:w="2072" w:type="dxa"/>
            <w:vMerge/>
            <w:vAlign w:val="center"/>
          </w:tcPr>
          <w:p w14:paraId="09745C52" w14:textId="77777777" w:rsidR="00B42864" w:rsidRDefault="00B42864" w:rsidP="00FD326B"/>
        </w:tc>
        <w:tc>
          <w:tcPr>
            <w:tcW w:w="2319" w:type="dxa"/>
            <w:vAlign w:val="center"/>
          </w:tcPr>
          <w:p w14:paraId="50065FE6" w14:textId="2D43961A" w:rsidR="00B42864" w:rsidRDefault="00B42864" w:rsidP="00FD326B">
            <w:r>
              <w:t>Low dose CT</w:t>
            </w:r>
          </w:p>
        </w:tc>
        <w:tc>
          <w:tcPr>
            <w:tcW w:w="2317" w:type="dxa"/>
            <w:vAlign w:val="center"/>
          </w:tcPr>
          <w:p w14:paraId="1F99D78B" w14:textId="25866C79" w:rsidR="00B42864" w:rsidRDefault="0020484D" w:rsidP="00FD326B">
            <w:r w:rsidRPr="00FD271E">
              <w:rPr>
                <w:i/>
                <w:iCs/>
              </w:rPr>
              <w:t>Sens</w:t>
            </w:r>
            <w:r>
              <w:t xml:space="preserve">: 0.95; </w:t>
            </w:r>
            <w:r w:rsidRPr="00FD271E">
              <w:rPr>
                <w:i/>
                <w:iCs/>
              </w:rPr>
              <w:t>Spec</w:t>
            </w:r>
            <w:r>
              <w:t>: 0.97</w:t>
            </w:r>
          </w:p>
        </w:tc>
        <w:tc>
          <w:tcPr>
            <w:tcW w:w="2302" w:type="dxa"/>
            <w:vAlign w:val="center"/>
          </w:tcPr>
          <w:p w14:paraId="6BEEB2EE" w14:textId="6873443A" w:rsidR="00B42864" w:rsidRDefault="004908DF" w:rsidP="00FD326B">
            <w:r>
              <w:t>Coursey et al. 2012</w:t>
            </w:r>
            <w:sdt>
              <w:sdtPr>
                <w:alias w:val="SmartCite Citation"/>
                <w:tag w:val="2084f2b5-dd8a-4f75-83ab-5399e909db6a:af856bac-6e65-49f8-b87a-237736284ea3+"/>
                <w:id w:val="-265929016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10</w:t>
                </w:r>
              </w:sdtContent>
            </w:sdt>
            <w:r>
              <w:t> </w:t>
            </w:r>
          </w:p>
        </w:tc>
      </w:tr>
      <w:tr w:rsidR="008B78B3" w14:paraId="3A0708D0" w14:textId="0B08245E" w:rsidTr="002833BF">
        <w:tc>
          <w:tcPr>
            <w:tcW w:w="2072" w:type="dxa"/>
            <w:vMerge w:val="restart"/>
            <w:vAlign w:val="center"/>
          </w:tcPr>
          <w:p w14:paraId="7CA55B3F" w14:textId="1FCE969F" w:rsidR="008B78B3" w:rsidRPr="002531D3" w:rsidRDefault="008B78B3" w:rsidP="00FD326B">
            <w:pPr>
              <w:rPr>
                <w:b/>
                <w:bCs/>
                <w:i/>
                <w:iCs/>
              </w:rPr>
            </w:pPr>
            <w:r w:rsidRPr="002531D3">
              <w:rPr>
                <w:b/>
                <w:bCs/>
                <w:i/>
                <w:iCs/>
              </w:rPr>
              <w:t>5 year Recurrence rates</w:t>
            </w:r>
            <w:r w:rsidR="00534BCF">
              <w:rPr>
                <w:b/>
                <w:bCs/>
                <w:i/>
                <w:iCs/>
              </w:rPr>
              <w:t xml:space="preserve"> (estimated)</w:t>
            </w:r>
          </w:p>
        </w:tc>
        <w:tc>
          <w:tcPr>
            <w:tcW w:w="2319" w:type="dxa"/>
            <w:vAlign w:val="center"/>
          </w:tcPr>
          <w:p w14:paraId="496168BE" w14:textId="2675D2F6" w:rsidR="008B78B3" w:rsidRDefault="008B78B3" w:rsidP="00FD326B">
            <w:r>
              <w:t xml:space="preserve">High Risk </w:t>
            </w:r>
          </w:p>
        </w:tc>
        <w:tc>
          <w:tcPr>
            <w:tcW w:w="2317" w:type="dxa"/>
            <w:vAlign w:val="center"/>
          </w:tcPr>
          <w:p w14:paraId="38FC16E4" w14:textId="20A14903" w:rsidR="008B78B3" w:rsidRDefault="005B4B48" w:rsidP="00FD326B">
            <w:r>
              <w:t>6</w:t>
            </w:r>
            <w:r w:rsidR="00893F58">
              <w:t>0-</w:t>
            </w:r>
            <w:r>
              <w:t>10</w:t>
            </w:r>
            <w:r w:rsidR="00893F58">
              <w:t>0%</w:t>
            </w:r>
            <w:r w:rsidR="00B5111B">
              <w:t xml:space="preserve"> (estimated from KM plots) (</w:t>
            </w:r>
            <w:r w:rsidR="00B5111B" w:rsidRPr="00B5111B">
              <w:rPr>
                <w:b/>
                <w:bCs/>
              </w:rPr>
              <w:t>5% increments</w:t>
            </w:r>
            <w:r w:rsidR="00B5111B">
              <w:t>)</w:t>
            </w:r>
          </w:p>
        </w:tc>
        <w:tc>
          <w:tcPr>
            <w:tcW w:w="2302" w:type="dxa"/>
            <w:vAlign w:val="center"/>
          </w:tcPr>
          <w:p w14:paraId="5267E81D" w14:textId="34CC6796" w:rsidR="008B78B3" w:rsidRDefault="005B4B48" w:rsidP="00FD326B">
            <w:r>
              <w:t>Dhayat et al. 2023</w:t>
            </w:r>
            <w:sdt>
              <w:sdtPr>
                <w:alias w:val="SmartCite Citation"/>
                <w:tag w:val="2084f2b5-dd8a-4f75-83ab-5399e909db6a:06077904-40b2-49ae-8915-480e69b3955e+"/>
                <w:id w:val="36403902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11</w:t>
                </w:r>
              </w:sdtContent>
            </w:sdt>
            <w:r w:rsidR="00863A24">
              <w:t> </w:t>
            </w:r>
          </w:p>
        </w:tc>
      </w:tr>
      <w:tr w:rsidR="008B78B3" w14:paraId="37C89191" w14:textId="774082B0" w:rsidTr="002833BF">
        <w:tc>
          <w:tcPr>
            <w:tcW w:w="2072" w:type="dxa"/>
            <w:vMerge/>
            <w:vAlign w:val="center"/>
          </w:tcPr>
          <w:p w14:paraId="1C6B7644" w14:textId="77777777" w:rsidR="008B78B3" w:rsidRPr="002531D3" w:rsidRDefault="008B78B3" w:rsidP="00FD326B">
            <w:pPr>
              <w:rPr>
                <w:i/>
                <w:iCs/>
              </w:rPr>
            </w:pPr>
          </w:p>
        </w:tc>
        <w:tc>
          <w:tcPr>
            <w:tcW w:w="2319" w:type="dxa"/>
            <w:vAlign w:val="center"/>
          </w:tcPr>
          <w:p w14:paraId="3AE9E130" w14:textId="35D2A698" w:rsidR="008B78B3" w:rsidRDefault="00B85BBC" w:rsidP="00FD326B">
            <w:r>
              <w:t>Low Risk</w:t>
            </w:r>
          </w:p>
        </w:tc>
        <w:tc>
          <w:tcPr>
            <w:tcW w:w="2317" w:type="dxa"/>
            <w:vAlign w:val="center"/>
          </w:tcPr>
          <w:p w14:paraId="3970CF2C" w14:textId="52082147" w:rsidR="008B78B3" w:rsidRDefault="00893F58" w:rsidP="00FD326B">
            <w:r>
              <w:t>10-</w:t>
            </w:r>
            <w:r w:rsidR="00FE180E">
              <w:t>40%</w:t>
            </w:r>
            <w:r w:rsidR="00B5111B">
              <w:t xml:space="preserve"> (</w:t>
            </w:r>
            <w:r w:rsidR="00B5111B" w:rsidRPr="00B5111B">
              <w:rPr>
                <w:b/>
                <w:bCs/>
              </w:rPr>
              <w:t>5% increments</w:t>
            </w:r>
            <w:r w:rsidR="00B5111B">
              <w:t>)</w:t>
            </w:r>
          </w:p>
        </w:tc>
        <w:tc>
          <w:tcPr>
            <w:tcW w:w="2302" w:type="dxa"/>
            <w:vAlign w:val="center"/>
          </w:tcPr>
          <w:p w14:paraId="00E29832" w14:textId="4A703EBE" w:rsidR="008B78B3" w:rsidRDefault="00B5111B" w:rsidP="00FD326B">
            <w:r>
              <w:t>Estimated</w:t>
            </w:r>
          </w:p>
        </w:tc>
      </w:tr>
      <w:tr w:rsidR="0092248C" w14:paraId="1C29C79D" w14:textId="0FF56C31" w:rsidTr="002833BF">
        <w:tc>
          <w:tcPr>
            <w:tcW w:w="2072" w:type="dxa"/>
            <w:vMerge w:val="restart"/>
            <w:vAlign w:val="center"/>
          </w:tcPr>
          <w:p w14:paraId="09836755" w14:textId="26C5431E" w:rsidR="0092248C" w:rsidRPr="002531D3" w:rsidRDefault="0092248C" w:rsidP="008B78B3">
            <w:pPr>
              <w:rPr>
                <w:b/>
                <w:bCs/>
                <w:i/>
                <w:iCs/>
              </w:rPr>
            </w:pPr>
            <w:r w:rsidRPr="002531D3">
              <w:rPr>
                <w:b/>
                <w:bCs/>
                <w:i/>
                <w:iCs/>
              </w:rPr>
              <w:t>Costs</w:t>
            </w:r>
          </w:p>
        </w:tc>
        <w:tc>
          <w:tcPr>
            <w:tcW w:w="2319" w:type="dxa"/>
            <w:vAlign w:val="center"/>
          </w:tcPr>
          <w:p w14:paraId="24854590" w14:textId="5B3E237B" w:rsidR="0092248C" w:rsidRDefault="0092248C" w:rsidP="008B78B3">
            <w:r>
              <w:t>Initial Urology Consultation</w:t>
            </w:r>
          </w:p>
        </w:tc>
        <w:tc>
          <w:tcPr>
            <w:tcW w:w="2317" w:type="dxa"/>
            <w:vAlign w:val="center"/>
          </w:tcPr>
          <w:p w14:paraId="27CA6FA5" w14:textId="02F8E212" w:rsidR="0092248C" w:rsidRDefault="00B41B95" w:rsidP="008B78B3">
            <w:r>
              <w:t>£145</w:t>
            </w:r>
          </w:p>
        </w:tc>
        <w:tc>
          <w:tcPr>
            <w:tcW w:w="2302" w:type="dxa"/>
            <w:vMerge w:val="restart"/>
            <w:vAlign w:val="center"/>
          </w:tcPr>
          <w:p w14:paraId="554445DA" w14:textId="53AE7EF6" w:rsidR="0092248C" w:rsidRDefault="0092248C" w:rsidP="008B78B3">
            <w:r>
              <w:t>NHS Tariff for corresponding year</w:t>
            </w:r>
            <w:r w:rsidR="00E40C79">
              <w:t xml:space="preserve"> (2023/24 as example)</w:t>
            </w:r>
          </w:p>
        </w:tc>
      </w:tr>
      <w:tr w:rsidR="0092248C" w14:paraId="5A20A927" w14:textId="3738AE6D" w:rsidTr="002833BF">
        <w:tc>
          <w:tcPr>
            <w:tcW w:w="2072" w:type="dxa"/>
            <w:vMerge/>
            <w:vAlign w:val="center"/>
          </w:tcPr>
          <w:p w14:paraId="10E0E4B2" w14:textId="77777777" w:rsidR="0092248C" w:rsidRDefault="0092248C" w:rsidP="008B78B3"/>
        </w:tc>
        <w:tc>
          <w:tcPr>
            <w:tcW w:w="2319" w:type="dxa"/>
            <w:vAlign w:val="center"/>
          </w:tcPr>
          <w:p w14:paraId="09DB8E22" w14:textId="153B1126" w:rsidR="0092248C" w:rsidRDefault="0092248C" w:rsidP="008B78B3">
            <w:r>
              <w:t>Follow-up Urology clinic review</w:t>
            </w:r>
          </w:p>
        </w:tc>
        <w:tc>
          <w:tcPr>
            <w:tcW w:w="2317" w:type="dxa"/>
            <w:vAlign w:val="center"/>
          </w:tcPr>
          <w:p w14:paraId="46E85564" w14:textId="46AE633A" w:rsidR="0092248C" w:rsidRDefault="00B41B95" w:rsidP="008B78B3">
            <w:r>
              <w:t>£71</w:t>
            </w:r>
          </w:p>
        </w:tc>
        <w:tc>
          <w:tcPr>
            <w:tcW w:w="2302" w:type="dxa"/>
            <w:vMerge/>
            <w:vAlign w:val="center"/>
          </w:tcPr>
          <w:p w14:paraId="14884EE3" w14:textId="77777777" w:rsidR="0092248C" w:rsidRDefault="0092248C" w:rsidP="008B78B3"/>
        </w:tc>
      </w:tr>
      <w:tr w:rsidR="0092248C" w14:paraId="3B9CD186" w14:textId="4C471249" w:rsidTr="002833BF">
        <w:tc>
          <w:tcPr>
            <w:tcW w:w="2072" w:type="dxa"/>
            <w:vMerge/>
            <w:vAlign w:val="center"/>
          </w:tcPr>
          <w:p w14:paraId="36B7CD0B" w14:textId="77777777" w:rsidR="0092248C" w:rsidRDefault="0092248C" w:rsidP="008B78B3"/>
        </w:tc>
        <w:tc>
          <w:tcPr>
            <w:tcW w:w="2319" w:type="dxa"/>
            <w:vAlign w:val="center"/>
          </w:tcPr>
          <w:p w14:paraId="3206367A" w14:textId="3DE2CCED" w:rsidR="0092248C" w:rsidRDefault="0092248C" w:rsidP="008B78B3">
            <w:r>
              <w:t>XR</w:t>
            </w:r>
          </w:p>
        </w:tc>
        <w:tc>
          <w:tcPr>
            <w:tcW w:w="2317" w:type="dxa"/>
            <w:vAlign w:val="center"/>
          </w:tcPr>
          <w:p w14:paraId="3364C315" w14:textId="3A35969E" w:rsidR="0092248C" w:rsidRDefault="008643F1" w:rsidP="008B78B3">
            <w:r>
              <w:t>£27</w:t>
            </w:r>
          </w:p>
        </w:tc>
        <w:tc>
          <w:tcPr>
            <w:tcW w:w="2302" w:type="dxa"/>
            <w:vMerge/>
            <w:vAlign w:val="center"/>
          </w:tcPr>
          <w:p w14:paraId="5D9560B8" w14:textId="77777777" w:rsidR="0092248C" w:rsidRDefault="0092248C" w:rsidP="008B78B3"/>
        </w:tc>
      </w:tr>
      <w:tr w:rsidR="0092248C" w14:paraId="13067E90" w14:textId="46AC69C1" w:rsidTr="002833BF">
        <w:tc>
          <w:tcPr>
            <w:tcW w:w="2072" w:type="dxa"/>
            <w:vMerge/>
            <w:vAlign w:val="center"/>
          </w:tcPr>
          <w:p w14:paraId="2FA995CC" w14:textId="77777777" w:rsidR="0092248C" w:rsidRDefault="0092248C" w:rsidP="008B78B3"/>
        </w:tc>
        <w:tc>
          <w:tcPr>
            <w:tcW w:w="2319" w:type="dxa"/>
            <w:vAlign w:val="center"/>
          </w:tcPr>
          <w:p w14:paraId="0A1ED3CE" w14:textId="1C9AFDAD" w:rsidR="0092248C" w:rsidRDefault="0092248C" w:rsidP="008B78B3">
            <w:r>
              <w:t xml:space="preserve">US </w:t>
            </w:r>
          </w:p>
        </w:tc>
        <w:tc>
          <w:tcPr>
            <w:tcW w:w="2317" w:type="dxa"/>
            <w:vAlign w:val="center"/>
          </w:tcPr>
          <w:p w14:paraId="5BB03C4F" w14:textId="0699B568" w:rsidR="0092248C" w:rsidRDefault="008643F1" w:rsidP="008B78B3">
            <w:r>
              <w:t>£</w:t>
            </w:r>
            <w:r w:rsidR="00600874">
              <w:t>43</w:t>
            </w:r>
          </w:p>
        </w:tc>
        <w:tc>
          <w:tcPr>
            <w:tcW w:w="2302" w:type="dxa"/>
            <w:vMerge/>
            <w:vAlign w:val="center"/>
          </w:tcPr>
          <w:p w14:paraId="5F61F511" w14:textId="77777777" w:rsidR="0092248C" w:rsidRDefault="0092248C" w:rsidP="008B78B3"/>
        </w:tc>
      </w:tr>
      <w:tr w:rsidR="0092248C" w14:paraId="1067A73D" w14:textId="4C0372DA" w:rsidTr="002833BF">
        <w:tc>
          <w:tcPr>
            <w:tcW w:w="2072" w:type="dxa"/>
            <w:vMerge/>
            <w:vAlign w:val="center"/>
          </w:tcPr>
          <w:p w14:paraId="35705E6B" w14:textId="77777777" w:rsidR="0092248C" w:rsidRDefault="0092248C" w:rsidP="008B78B3"/>
        </w:tc>
        <w:tc>
          <w:tcPr>
            <w:tcW w:w="2319" w:type="dxa"/>
            <w:vAlign w:val="center"/>
          </w:tcPr>
          <w:p w14:paraId="3D63EFC5" w14:textId="09F0467B" w:rsidR="0092248C" w:rsidRDefault="0092248C" w:rsidP="008B78B3">
            <w:r>
              <w:t xml:space="preserve">CT </w:t>
            </w:r>
          </w:p>
        </w:tc>
        <w:tc>
          <w:tcPr>
            <w:tcW w:w="2317" w:type="dxa"/>
            <w:vAlign w:val="center"/>
          </w:tcPr>
          <w:p w14:paraId="3DF23853" w14:textId="5B161C90" w:rsidR="0092248C" w:rsidRDefault="008643F1" w:rsidP="008B78B3">
            <w:r>
              <w:t>£</w:t>
            </w:r>
            <w:r w:rsidR="00600874">
              <w:t>69</w:t>
            </w:r>
          </w:p>
        </w:tc>
        <w:tc>
          <w:tcPr>
            <w:tcW w:w="2302" w:type="dxa"/>
            <w:vMerge/>
            <w:vAlign w:val="center"/>
          </w:tcPr>
          <w:p w14:paraId="3B5A01B1" w14:textId="77777777" w:rsidR="0092248C" w:rsidRDefault="0092248C" w:rsidP="008B78B3"/>
        </w:tc>
      </w:tr>
      <w:tr w:rsidR="0092248C" w14:paraId="71F9C3D4" w14:textId="06FFBDBE" w:rsidTr="002833BF">
        <w:tc>
          <w:tcPr>
            <w:tcW w:w="2072" w:type="dxa"/>
            <w:vMerge/>
            <w:vAlign w:val="center"/>
          </w:tcPr>
          <w:p w14:paraId="47232A35" w14:textId="77777777" w:rsidR="0092248C" w:rsidRDefault="0092248C" w:rsidP="008B78B3"/>
        </w:tc>
        <w:tc>
          <w:tcPr>
            <w:tcW w:w="2319" w:type="dxa"/>
            <w:vAlign w:val="center"/>
          </w:tcPr>
          <w:p w14:paraId="738795E4" w14:textId="78EDD36E" w:rsidR="0092248C" w:rsidRDefault="0092248C" w:rsidP="008B78B3">
            <w:r>
              <w:t>PCNL</w:t>
            </w:r>
          </w:p>
        </w:tc>
        <w:tc>
          <w:tcPr>
            <w:tcW w:w="2317" w:type="dxa"/>
            <w:vAlign w:val="center"/>
          </w:tcPr>
          <w:p w14:paraId="338E37A7" w14:textId="1B18FDAA" w:rsidR="0092248C" w:rsidRDefault="008643F1" w:rsidP="008B78B3">
            <w:r>
              <w:t>£</w:t>
            </w:r>
            <w:r w:rsidR="00600874">
              <w:t>4548</w:t>
            </w:r>
          </w:p>
        </w:tc>
        <w:tc>
          <w:tcPr>
            <w:tcW w:w="2302" w:type="dxa"/>
            <w:vMerge/>
            <w:vAlign w:val="center"/>
          </w:tcPr>
          <w:p w14:paraId="1C1EDEB8" w14:textId="77777777" w:rsidR="0092248C" w:rsidRDefault="0092248C" w:rsidP="008B78B3"/>
        </w:tc>
      </w:tr>
      <w:tr w:rsidR="0092248C" w14:paraId="357F1511" w14:textId="6752F143" w:rsidTr="002833BF">
        <w:tc>
          <w:tcPr>
            <w:tcW w:w="2072" w:type="dxa"/>
            <w:vMerge/>
            <w:vAlign w:val="center"/>
          </w:tcPr>
          <w:p w14:paraId="2FA5D4A6" w14:textId="77777777" w:rsidR="0092248C" w:rsidRDefault="0092248C" w:rsidP="008B78B3"/>
        </w:tc>
        <w:tc>
          <w:tcPr>
            <w:tcW w:w="2319" w:type="dxa"/>
            <w:vAlign w:val="center"/>
          </w:tcPr>
          <w:p w14:paraId="15DA84C5" w14:textId="6E62EEC8" w:rsidR="0092248C" w:rsidRDefault="0092248C" w:rsidP="008B78B3">
            <w:r>
              <w:t>URS</w:t>
            </w:r>
          </w:p>
        </w:tc>
        <w:tc>
          <w:tcPr>
            <w:tcW w:w="2317" w:type="dxa"/>
            <w:vAlign w:val="center"/>
          </w:tcPr>
          <w:p w14:paraId="7B242A7E" w14:textId="71210238" w:rsidR="0092248C" w:rsidRDefault="008643F1" w:rsidP="008B78B3">
            <w:r>
              <w:t>£</w:t>
            </w:r>
            <w:r w:rsidR="00573F5A">
              <w:t>2386</w:t>
            </w:r>
          </w:p>
        </w:tc>
        <w:tc>
          <w:tcPr>
            <w:tcW w:w="2302" w:type="dxa"/>
            <w:vMerge/>
            <w:vAlign w:val="center"/>
          </w:tcPr>
          <w:p w14:paraId="73FE8EEC" w14:textId="77777777" w:rsidR="0092248C" w:rsidRDefault="0092248C" w:rsidP="008B78B3"/>
        </w:tc>
      </w:tr>
      <w:tr w:rsidR="0092248C" w14:paraId="047FE723" w14:textId="07BDF00B" w:rsidTr="002833BF">
        <w:tc>
          <w:tcPr>
            <w:tcW w:w="2072" w:type="dxa"/>
            <w:vMerge/>
            <w:vAlign w:val="center"/>
          </w:tcPr>
          <w:p w14:paraId="129EF430" w14:textId="77777777" w:rsidR="0092248C" w:rsidRDefault="0092248C" w:rsidP="008B78B3"/>
        </w:tc>
        <w:tc>
          <w:tcPr>
            <w:tcW w:w="2319" w:type="dxa"/>
            <w:vAlign w:val="center"/>
          </w:tcPr>
          <w:p w14:paraId="6757F93A" w14:textId="6E1C26DA" w:rsidR="0092248C" w:rsidRDefault="0092248C" w:rsidP="008B78B3">
            <w:r>
              <w:t>ESWL</w:t>
            </w:r>
          </w:p>
        </w:tc>
        <w:tc>
          <w:tcPr>
            <w:tcW w:w="2317" w:type="dxa"/>
            <w:vAlign w:val="center"/>
          </w:tcPr>
          <w:p w14:paraId="35010DEC" w14:textId="3A189192" w:rsidR="0092248C" w:rsidRDefault="008643F1" w:rsidP="008B78B3">
            <w:r>
              <w:t>£</w:t>
            </w:r>
            <w:r w:rsidR="00766D60">
              <w:t>445</w:t>
            </w:r>
          </w:p>
        </w:tc>
        <w:tc>
          <w:tcPr>
            <w:tcW w:w="2302" w:type="dxa"/>
            <w:vMerge/>
            <w:vAlign w:val="center"/>
          </w:tcPr>
          <w:p w14:paraId="1CAE96A9" w14:textId="77777777" w:rsidR="0092248C" w:rsidRDefault="0092248C" w:rsidP="008B78B3"/>
        </w:tc>
      </w:tr>
      <w:tr w:rsidR="00F654F7" w14:paraId="16F7126E" w14:textId="77777777" w:rsidTr="002833BF">
        <w:tc>
          <w:tcPr>
            <w:tcW w:w="2072" w:type="dxa"/>
            <w:vMerge/>
            <w:vAlign w:val="center"/>
          </w:tcPr>
          <w:p w14:paraId="58E07661" w14:textId="77777777" w:rsidR="00F654F7" w:rsidRDefault="00F654F7" w:rsidP="008B78B3"/>
        </w:tc>
        <w:tc>
          <w:tcPr>
            <w:tcW w:w="2319" w:type="dxa"/>
            <w:vAlign w:val="center"/>
          </w:tcPr>
          <w:p w14:paraId="362A4786" w14:textId="70E706DA" w:rsidR="00F654F7" w:rsidRDefault="00F654F7" w:rsidP="008B78B3">
            <w:r>
              <w:t>Stent insertion</w:t>
            </w:r>
          </w:p>
        </w:tc>
        <w:tc>
          <w:tcPr>
            <w:tcW w:w="2317" w:type="dxa"/>
            <w:vAlign w:val="center"/>
          </w:tcPr>
          <w:p w14:paraId="0F06A2D2" w14:textId="688F181F" w:rsidR="00F654F7" w:rsidRDefault="00F654F7" w:rsidP="008B78B3">
            <w:r>
              <w:t>£822</w:t>
            </w:r>
          </w:p>
        </w:tc>
        <w:tc>
          <w:tcPr>
            <w:tcW w:w="2302" w:type="dxa"/>
            <w:vMerge/>
            <w:vAlign w:val="center"/>
          </w:tcPr>
          <w:p w14:paraId="0CA0FC2D" w14:textId="77777777" w:rsidR="00F654F7" w:rsidRDefault="00F654F7" w:rsidP="008B78B3"/>
        </w:tc>
      </w:tr>
      <w:tr w:rsidR="0092248C" w14:paraId="6E394CEC" w14:textId="70D6A1DD" w:rsidTr="002833BF">
        <w:tc>
          <w:tcPr>
            <w:tcW w:w="2072" w:type="dxa"/>
            <w:vMerge/>
            <w:vAlign w:val="center"/>
          </w:tcPr>
          <w:p w14:paraId="6B2A7F8E" w14:textId="77777777" w:rsidR="0092248C" w:rsidRDefault="0092248C" w:rsidP="008B78B3"/>
        </w:tc>
        <w:tc>
          <w:tcPr>
            <w:tcW w:w="2319" w:type="dxa"/>
            <w:vAlign w:val="center"/>
          </w:tcPr>
          <w:p w14:paraId="39D2D95F" w14:textId="56EBBE81" w:rsidR="0092248C" w:rsidRDefault="0092248C" w:rsidP="008B78B3">
            <w:r>
              <w:t>A&amp;E attendance</w:t>
            </w:r>
          </w:p>
        </w:tc>
        <w:tc>
          <w:tcPr>
            <w:tcW w:w="2317" w:type="dxa"/>
            <w:vAlign w:val="center"/>
          </w:tcPr>
          <w:p w14:paraId="68E9D911" w14:textId="6E3407C8" w:rsidR="0092248C" w:rsidRDefault="008643F1" w:rsidP="008B78B3">
            <w:r>
              <w:t>£</w:t>
            </w:r>
            <w:r w:rsidR="00B03011">
              <w:t>288</w:t>
            </w:r>
            <w:r w:rsidR="00766D60">
              <w:t xml:space="preserve"> (Category </w:t>
            </w:r>
            <w:r w:rsidR="00B03011">
              <w:t>3</w:t>
            </w:r>
            <w:r w:rsidR="00766D60">
              <w:t>)</w:t>
            </w:r>
          </w:p>
        </w:tc>
        <w:tc>
          <w:tcPr>
            <w:tcW w:w="2302" w:type="dxa"/>
            <w:vMerge/>
            <w:vAlign w:val="center"/>
          </w:tcPr>
          <w:p w14:paraId="750C9EA2" w14:textId="77777777" w:rsidR="0092248C" w:rsidRDefault="0092248C" w:rsidP="008B78B3"/>
        </w:tc>
      </w:tr>
      <w:tr w:rsidR="00F654F7" w14:paraId="0557F1D0" w14:textId="77777777" w:rsidTr="002833BF">
        <w:tc>
          <w:tcPr>
            <w:tcW w:w="2072" w:type="dxa"/>
            <w:vMerge/>
            <w:vAlign w:val="center"/>
          </w:tcPr>
          <w:p w14:paraId="6627CA39" w14:textId="77777777" w:rsidR="00F654F7" w:rsidRDefault="00F654F7" w:rsidP="008B78B3"/>
        </w:tc>
        <w:tc>
          <w:tcPr>
            <w:tcW w:w="2319" w:type="dxa"/>
            <w:vAlign w:val="center"/>
          </w:tcPr>
          <w:p w14:paraId="1F85C892" w14:textId="2DF19C8C" w:rsidR="00F654F7" w:rsidRDefault="00875974" w:rsidP="008B78B3">
            <w:r>
              <w:t>R256 Genetic Panel</w:t>
            </w:r>
          </w:p>
        </w:tc>
        <w:tc>
          <w:tcPr>
            <w:tcW w:w="2317" w:type="dxa"/>
            <w:vAlign w:val="center"/>
          </w:tcPr>
          <w:p w14:paraId="6A6C570A" w14:textId="1B09FF8B" w:rsidR="00F654F7" w:rsidRDefault="00B316B6" w:rsidP="008B78B3">
            <w:r>
              <w:t>£~100</w:t>
            </w:r>
          </w:p>
        </w:tc>
        <w:tc>
          <w:tcPr>
            <w:tcW w:w="2302" w:type="dxa"/>
            <w:vAlign w:val="center"/>
          </w:tcPr>
          <w:p w14:paraId="5953F7D8" w14:textId="48E42F32" w:rsidR="00F654F7" w:rsidRDefault="00B316B6" w:rsidP="008B78B3">
            <w:r>
              <w:t>Bristol Genetics Laboratory</w:t>
            </w:r>
          </w:p>
        </w:tc>
      </w:tr>
      <w:tr w:rsidR="0092248C" w14:paraId="37D3A9CA" w14:textId="77777777" w:rsidTr="002833BF">
        <w:tc>
          <w:tcPr>
            <w:tcW w:w="2072" w:type="dxa"/>
            <w:vMerge/>
            <w:vAlign w:val="center"/>
          </w:tcPr>
          <w:p w14:paraId="41A93553" w14:textId="77777777" w:rsidR="0092248C" w:rsidRDefault="0092248C" w:rsidP="008B78B3"/>
        </w:tc>
        <w:tc>
          <w:tcPr>
            <w:tcW w:w="2319" w:type="dxa"/>
            <w:vAlign w:val="center"/>
          </w:tcPr>
          <w:p w14:paraId="136F7604" w14:textId="00FC92DB" w:rsidR="0092248C" w:rsidRDefault="0092248C" w:rsidP="008B78B3">
            <w:r>
              <w:t>24 hour urine</w:t>
            </w:r>
            <w:r w:rsidR="005031CB">
              <w:t>*</w:t>
            </w:r>
          </w:p>
        </w:tc>
        <w:tc>
          <w:tcPr>
            <w:tcW w:w="2317" w:type="dxa"/>
            <w:vAlign w:val="center"/>
          </w:tcPr>
          <w:p w14:paraId="360F2828" w14:textId="22E1723E" w:rsidR="0092248C" w:rsidRDefault="009430BC" w:rsidP="008B78B3">
            <w:r>
              <w:t>£190.50</w:t>
            </w:r>
          </w:p>
        </w:tc>
        <w:tc>
          <w:tcPr>
            <w:tcW w:w="2302" w:type="dxa"/>
            <w:vAlign w:val="center"/>
          </w:tcPr>
          <w:p w14:paraId="7E8462EA" w14:textId="6C5270C2" w:rsidR="0092248C" w:rsidRDefault="00A13BF6" w:rsidP="008B78B3">
            <w:r>
              <w:t>QE Laboratory</w:t>
            </w:r>
            <w:r w:rsidR="003A2C32">
              <w:t>, Gateshead</w:t>
            </w:r>
          </w:p>
        </w:tc>
      </w:tr>
      <w:tr w:rsidR="005D7FA4" w14:paraId="1BF44303" w14:textId="002E96BB" w:rsidTr="002833BF">
        <w:tc>
          <w:tcPr>
            <w:tcW w:w="2072" w:type="dxa"/>
            <w:vMerge w:val="restart"/>
            <w:vAlign w:val="center"/>
          </w:tcPr>
          <w:p w14:paraId="50D9A9AF" w14:textId="52556127" w:rsidR="005D7FA4" w:rsidRPr="005D7FA4" w:rsidRDefault="005D7FA4" w:rsidP="008B78B3">
            <w:pPr>
              <w:rPr>
                <w:b/>
                <w:bCs/>
                <w:i/>
                <w:iCs/>
              </w:rPr>
            </w:pPr>
            <w:r w:rsidRPr="005D7FA4">
              <w:rPr>
                <w:b/>
                <w:bCs/>
                <w:i/>
                <w:iCs/>
              </w:rPr>
              <w:t>Radiation dose</w:t>
            </w:r>
          </w:p>
        </w:tc>
        <w:tc>
          <w:tcPr>
            <w:tcW w:w="2319" w:type="dxa"/>
            <w:vAlign w:val="center"/>
          </w:tcPr>
          <w:p w14:paraId="2748DB38" w14:textId="1E6CA1FC" w:rsidR="005D7FA4" w:rsidRDefault="005D7FA4" w:rsidP="008B78B3">
            <w:r>
              <w:t>XR</w:t>
            </w:r>
          </w:p>
        </w:tc>
        <w:tc>
          <w:tcPr>
            <w:tcW w:w="2317" w:type="dxa"/>
            <w:vAlign w:val="center"/>
          </w:tcPr>
          <w:p w14:paraId="310EB2F6" w14:textId="2C9DDE98" w:rsidR="005D7FA4" w:rsidRDefault="00D4796F" w:rsidP="008B78B3">
            <w:r>
              <w:t>0.7mSv</w:t>
            </w:r>
          </w:p>
        </w:tc>
        <w:tc>
          <w:tcPr>
            <w:tcW w:w="2302" w:type="dxa"/>
            <w:vAlign w:val="center"/>
          </w:tcPr>
          <w:p w14:paraId="16592A60" w14:textId="3B734011" w:rsidR="005D7FA4" w:rsidRDefault="00AE1F9D" w:rsidP="008B78B3">
            <w:r>
              <w:t>Coursey et al. 2012</w:t>
            </w:r>
            <w:sdt>
              <w:sdtPr>
                <w:alias w:val="SmartCite Citation"/>
                <w:tag w:val="2084f2b5-dd8a-4f75-83ab-5399e909db6a:af856bac-6e65-49f8-b87a-237736284ea3+"/>
                <w:id w:val="87125955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10</w:t>
                </w:r>
              </w:sdtContent>
            </w:sdt>
            <w:r>
              <w:t> </w:t>
            </w:r>
          </w:p>
        </w:tc>
      </w:tr>
      <w:tr w:rsidR="005D7FA4" w14:paraId="377147EC" w14:textId="75BB5F51" w:rsidTr="002833BF">
        <w:tc>
          <w:tcPr>
            <w:tcW w:w="2072" w:type="dxa"/>
            <w:vMerge/>
            <w:vAlign w:val="center"/>
          </w:tcPr>
          <w:p w14:paraId="0855717C" w14:textId="77777777" w:rsidR="005D7FA4" w:rsidRDefault="005D7FA4" w:rsidP="008B78B3"/>
        </w:tc>
        <w:tc>
          <w:tcPr>
            <w:tcW w:w="2319" w:type="dxa"/>
            <w:vAlign w:val="center"/>
          </w:tcPr>
          <w:p w14:paraId="04BB940C" w14:textId="3247F86B" w:rsidR="005D7FA4" w:rsidRDefault="005D7FA4" w:rsidP="008B78B3">
            <w:r>
              <w:t>CT</w:t>
            </w:r>
          </w:p>
        </w:tc>
        <w:tc>
          <w:tcPr>
            <w:tcW w:w="2317" w:type="dxa"/>
            <w:vAlign w:val="center"/>
          </w:tcPr>
          <w:p w14:paraId="2B2B4E8D" w14:textId="6A12C7EE" w:rsidR="005D7FA4" w:rsidRDefault="00A70EE3" w:rsidP="008B78B3">
            <w:r>
              <w:t>10mSv</w:t>
            </w:r>
          </w:p>
        </w:tc>
        <w:tc>
          <w:tcPr>
            <w:tcW w:w="2302" w:type="dxa"/>
            <w:vAlign w:val="center"/>
          </w:tcPr>
          <w:p w14:paraId="3044A8B5" w14:textId="1A62638D" w:rsidR="005D7FA4" w:rsidRDefault="00AE1F9D" w:rsidP="008B78B3">
            <w:r>
              <w:t>Coursey et al. 2012</w:t>
            </w:r>
            <w:sdt>
              <w:sdtPr>
                <w:alias w:val="SmartCite Citation"/>
                <w:tag w:val="2084f2b5-dd8a-4f75-83ab-5399e909db6a:af856bac-6e65-49f8-b87a-237736284ea3+"/>
                <w:id w:val="-663082561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10</w:t>
                </w:r>
              </w:sdtContent>
            </w:sdt>
            <w:r>
              <w:t> </w:t>
            </w:r>
          </w:p>
        </w:tc>
      </w:tr>
      <w:tr w:rsidR="00D800BD" w14:paraId="71DE1178" w14:textId="77777777" w:rsidTr="002833BF">
        <w:tc>
          <w:tcPr>
            <w:tcW w:w="2072" w:type="dxa"/>
            <w:vMerge/>
            <w:vAlign w:val="center"/>
          </w:tcPr>
          <w:p w14:paraId="6CF65DBD" w14:textId="77777777" w:rsidR="00D800BD" w:rsidRDefault="00D800BD" w:rsidP="008B78B3"/>
        </w:tc>
        <w:tc>
          <w:tcPr>
            <w:tcW w:w="2319" w:type="dxa"/>
            <w:vAlign w:val="center"/>
          </w:tcPr>
          <w:p w14:paraId="42770D54" w14:textId="46DD1D56" w:rsidR="00D800BD" w:rsidRDefault="00D800BD" w:rsidP="008B78B3">
            <w:r>
              <w:t>Low dose CT</w:t>
            </w:r>
          </w:p>
        </w:tc>
        <w:tc>
          <w:tcPr>
            <w:tcW w:w="2317" w:type="dxa"/>
            <w:vAlign w:val="center"/>
          </w:tcPr>
          <w:p w14:paraId="6C47181E" w14:textId="28C93762" w:rsidR="00D800BD" w:rsidRDefault="00A70EE3" w:rsidP="008B78B3">
            <w:r>
              <w:t>3mSv</w:t>
            </w:r>
          </w:p>
        </w:tc>
        <w:tc>
          <w:tcPr>
            <w:tcW w:w="2302" w:type="dxa"/>
            <w:vAlign w:val="center"/>
          </w:tcPr>
          <w:p w14:paraId="7E753779" w14:textId="7E24F2C1" w:rsidR="00D800BD" w:rsidRDefault="00EB4B08" w:rsidP="008B78B3">
            <w:r>
              <w:t>Coursey et al. 2012</w:t>
            </w:r>
            <w:sdt>
              <w:sdtPr>
                <w:alias w:val="SmartCite Citation"/>
                <w:tag w:val="2084f2b5-dd8a-4f75-83ab-5399e909db6a:af856bac-6e65-49f8-b87a-237736284ea3+"/>
                <w:id w:val="-1154528063"/>
                <w:placeholder>
                  <w:docPart w:val="DefaultPlaceholder_-1854013440"/>
                </w:placeholder>
              </w:sdtPr>
              <w:sdtContent>
                <w:r w:rsidR="00863A24" w:rsidRPr="00863A24">
                  <w:rPr>
                    <w:rFonts w:ascii="Aptos" w:eastAsia="Times New Roman" w:hAnsi="Aptos"/>
                    <w:vertAlign w:val="superscript"/>
                  </w:rPr>
                  <w:t>10</w:t>
                </w:r>
              </w:sdtContent>
            </w:sdt>
            <w:r w:rsidR="001331E8">
              <w:t> </w:t>
            </w:r>
          </w:p>
        </w:tc>
      </w:tr>
      <w:tr w:rsidR="005D7FA4" w14:paraId="10EFDE4F" w14:textId="55090497" w:rsidTr="002833BF">
        <w:tc>
          <w:tcPr>
            <w:tcW w:w="2072" w:type="dxa"/>
            <w:vMerge/>
            <w:vAlign w:val="center"/>
          </w:tcPr>
          <w:p w14:paraId="0AF28D5C" w14:textId="77777777" w:rsidR="005D7FA4" w:rsidRDefault="005D7FA4" w:rsidP="008B78B3"/>
        </w:tc>
        <w:tc>
          <w:tcPr>
            <w:tcW w:w="2319" w:type="dxa"/>
            <w:vAlign w:val="center"/>
          </w:tcPr>
          <w:p w14:paraId="708A182C" w14:textId="646FE2EC" w:rsidR="005D7FA4" w:rsidRDefault="005D7FA4" w:rsidP="008B78B3">
            <w:r>
              <w:t>PCNL</w:t>
            </w:r>
          </w:p>
        </w:tc>
        <w:tc>
          <w:tcPr>
            <w:tcW w:w="2317" w:type="dxa"/>
            <w:vAlign w:val="center"/>
          </w:tcPr>
          <w:p w14:paraId="7CCE49BD" w14:textId="2D7F4F97" w:rsidR="005D7FA4" w:rsidRDefault="00863A24" w:rsidP="008B78B3">
            <w:r>
              <w:t>0.9mSv</w:t>
            </w:r>
          </w:p>
        </w:tc>
        <w:tc>
          <w:tcPr>
            <w:tcW w:w="2302" w:type="dxa"/>
            <w:vAlign w:val="center"/>
          </w:tcPr>
          <w:p w14:paraId="5601F0B7" w14:textId="6BFB876E" w:rsidR="005D7FA4" w:rsidRDefault="00863A24" w:rsidP="008B78B3">
            <w:r>
              <w:t>NuTH Estimation</w:t>
            </w:r>
          </w:p>
        </w:tc>
      </w:tr>
      <w:tr w:rsidR="006F7CFB" w14:paraId="5C91763E" w14:textId="237C90D9" w:rsidTr="002833BF">
        <w:tc>
          <w:tcPr>
            <w:tcW w:w="2072" w:type="dxa"/>
            <w:vMerge/>
            <w:vAlign w:val="center"/>
          </w:tcPr>
          <w:p w14:paraId="42078FF9" w14:textId="77777777" w:rsidR="006F7CFB" w:rsidRDefault="006F7CFB" w:rsidP="006F7CFB"/>
        </w:tc>
        <w:tc>
          <w:tcPr>
            <w:tcW w:w="2319" w:type="dxa"/>
            <w:vAlign w:val="center"/>
          </w:tcPr>
          <w:p w14:paraId="5D303FE9" w14:textId="6CB09FA5" w:rsidR="006F7CFB" w:rsidRDefault="006F7CFB" w:rsidP="006F7CFB">
            <w:r>
              <w:t>URS</w:t>
            </w:r>
          </w:p>
        </w:tc>
        <w:tc>
          <w:tcPr>
            <w:tcW w:w="2317" w:type="dxa"/>
            <w:vAlign w:val="center"/>
          </w:tcPr>
          <w:p w14:paraId="1F10A4DD" w14:textId="4F2B8834" w:rsidR="006F7CFB" w:rsidRDefault="006F7CFB" w:rsidP="006F7CFB">
            <w:r>
              <w:t>1.1mSv</w:t>
            </w:r>
          </w:p>
        </w:tc>
        <w:tc>
          <w:tcPr>
            <w:tcW w:w="2302" w:type="dxa"/>
            <w:vAlign w:val="center"/>
          </w:tcPr>
          <w:p w14:paraId="7CCD8BAD" w14:textId="50DD34E3" w:rsidR="006F7CFB" w:rsidRDefault="006F7CFB" w:rsidP="006F7CFB">
            <w:r>
              <w:t>NuTH Estimation</w:t>
            </w:r>
          </w:p>
        </w:tc>
      </w:tr>
      <w:tr w:rsidR="006F7CFB" w14:paraId="15D27D05" w14:textId="74746A8C" w:rsidTr="002833BF">
        <w:tc>
          <w:tcPr>
            <w:tcW w:w="2072" w:type="dxa"/>
            <w:vMerge/>
            <w:vAlign w:val="center"/>
          </w:tcPr>
          <w:p w14:paraId="0D1B1242" w14:textId="77777777" w:rsidR="006F7CFB" w:rsidRDefault="006F7CFB" w:rsidP="006F7CFB"/>
        </w:tc>
        <w:tc>
          <w:tcPr>
            <w:tcW w:w="2319" w:type="dxa"/>
            <w:vAlign w:val="center"/>
          </w:tcPr>
          <w:p w14:paraId="53721F0F" w14:textId="31F8FDD2" w:rsidR="006F7CFB" w:rsidRDefault="006F7CFB" w:rsidP="006F7CFB">
            <w:r>
              <w:t>ESWL</w:t>
            </w:r>
          </w:p>
        </w:tc>
        <w:tc>
          <w:tcPr>
            <w:tcW w:w="2317" w:type="dxa"/>
            <w:vAlign w:val="center"/>
          </w:tcPr>
          <w:p w14:paraId="5C1E69EC" w14:textId="56B089A6" w:rsidR="006F7CFB" w:rsidRDefault="006F7CFB" w:rsidP="006F7CFB">
            <w:r>
              <w:t>0.5mSv</w:t>
            </w:r>
          </w:p>
        </w:tc>
        <w:tc>
          <w:tcPr>
            <w:tcW w:w="2302" w:type="dxa"/>
            <w:vAlign w:val="center"/>
          </w:tcPr>
          <w:p w14:paraId="3128830F" w14:textId="53C9A1B7" w:rsidR="006F7CFB" w:rsidRDefault="006F7CFB" w:rsidP="006F7CFB">
            <w:r>
              <w:t>NuTH Estimation</w:t>
            </w:r>
          </w:p>
        </w:tc>
      </w:tr>
      <w:tr w:rsidR="006F7CFB" w14:paraId="60D88A44" w14:textId="7A389636" w:rsidTr="002833BF">
        <w:tc>
          <w:tcPr>
            <w:tcW w:w="2072" w:type="dxa"/>
            <w:vAlign w:val="center"/>
          </w:tcPr>
          <w:p w14:paraId="014550F2" w14:textId="77777777" w:rsidR="006F7CFB" w:rsidRDefault="006F7CFB" w:rsidP="006F7CFB"/>
        </w:tc>
        <w:tc>
          <w:tcPr>
            <w:tcW w:w="2319" w:type="dxa"/>
            <w:vAlign w:val="center"/>
          </w:tcPr>
          <w:p w14:paraId="4712ED13" w14:textId="62982160" w:rsidR="006F7CFB" w:rsidRDefault="006F7CFB" w:rsidP="006F7CFB"/>
        </w:tc>
        <w:tc>
          <w:tcPr>
            <w:tcW w:w="2317" w:type="dxa"/>
            <w:vAlign w:val="center"/>
          </w:tcPr>
          <w:p w14:paraId="3C1DDDF3" w14:textId="77777777" w:rsidR="006F7CFB" w:rsidRDefault="006F7CFB" w:rsidP="006F7CFB"/>
        </w:tc>
        <w:tc>
          <w:tcPr>
            <w:tcW w:w="2302" w:type="dxa"/>
            <w:vAlign w:val="center"/>
          </w:tcPr>
          <w:p w14:paraId="67E7858F" w14:textId="77777777" w:rsidR="006F7CFB" w:rsidRDefault="006F7CFB" w:rsidP="006F7CFB"/>
        </w:tc>
      </w:tr>
    </w:tbl>
    <w:p w14:paraId="5C30846B" w14:textId="77777777" w:rsidR="001952CC" w:rsidRDefault="001952CC"/>
    <w:p w14:paraId="0D2FE687" w14:textId="77777777" w:rsidR="000000CA" w:rsidRDefault="000000CA"/>
    <w:p w14:paraId="77F7C7B5" w14:textId="77777777" w:rsidR="00DB5183" w:rsidRDefault="00DB5183">
      <w:pPr>
        <w:rPr>
          <w:b/>
          <w:bCs/>
        </w:rPr>
      </w:pPr>
      <w:r>
        <w:rPr>
          <w:b/>
          <w:bCs/>
        </w:rPr>
        <w:br w:type="page"/>
      </w:r>
    </w:p>
    <w:p w14:paraId="3A73E43B" w14:textId="59220DB3" w:rsidR="00645AEA" w:rsidRDefault="00645AEA">
      <w:pPr>
        <w:rPr>
          <w:b/>
          <w:bCs/>
        </w:rPr>
      </w:pPr>
      <w:r>
        <w:rPr>
          <w:b/>
          <w:bCs/>
        </w:rPr>
        <w:lastRenderedPageBreak/>
        <w:t>Scenarios to model:</w:t>
      </w:r>
    </w:p>
    <w:p w14:paraId="3B37589A" w14:textId="438F22EF" w:rsidR="00645AEA" w:rsidRDefault="009A03A7">
      <w:r>
        <w:t>Stone free vs not stone free</w:t>
      </w:r>
    </w:p>
    <w:p w14:paraId="49F0866A" w14:textId="5D171AC1" w:rsidR="009A03A7" w:rsidRDefault="009A03A7">
      <w:r>
        <w:t>Recurrence vs no recurrence</w:t>
      </w:r>
    </w:p>
    <w:p w14:paraId="45D23B72" w14:textId="6676FB63" w:rsidR="003F04AA" w:rsidRDefault="003F04AA">
      <w:r>
        <w:t>Death vs no death</w:t>
      </w:r>
    </w:p>
    <w:p w14:paraId="21E55FE1" w14:textId="140915D2" w:rsidR="003F04AA" w:rsidRDefault="000B36AE">
      <w:r>
        <w:t>Intervention vs no intervention</w:t>
      </w:r>
    </w:p>
    <w:p w14:paraId="430F6F79" w14:textId="09D37331" w:rsidR="00B70F3A" w:rsidRDefault="000B36AE">
      <w:r>
        <w:t>Stone free following intervention or not</w:t>
      </w:r>
    </w:p>
    <w:p w14:paraId="3D52771C" w14:textId="1FB04956" w:rsidR="004D187F" w:rsidRDefault="004D187F">
      <w:r>
        <w:t>Elective vs emergency intervention</w:t>
      </w:r>
    </w:p>
    <w:p w14:paraId="3C49CB44" w14:textId="77777777" w:rsidR="009A03A7" w:rsidRPr="009A03A7" w:rsidRDefault="009A03A7"/>
    <w:p w14:paraId="58846A6F" w14:textId="77777777" w:rsidR="009A03A7" w:rsidRDefault="009A03A7">
      <w:pPr>
        <w:rPr>
          <w:b/>
          <w:bCs/>
        </w:rPr>
      </w:pPr>
    </w:p>
    <w:p w14:paraId="2C83F897" w14:textId="0B07899F" w:rsidR="000000CA" w:rsidRDefault="000000CA">
      <w:r w:rsidRPr="000635A9">
        <w:rPr>
          <w:b/>
          <w:bCs/>
        </w:rPr>
        <w:t>Notes</w:t>
      </w:r>
      <w:r>
        <w:t>:</w:t>
      </w:r>
    </w:p>
    <w:p w14:paraId="47EC5859" w14:textId="77777777" w:rsidR="000000CA" w:rsidRDefault="000000CA"/>
    <w:p w14:paraId="67C2CC76" w14:textId="15888CB6" w:rsidR="00A62FC5" w:rsidRDefault="00A62FC5" w:rsidP="00175ED9">
      <w:pPr>
        <w:pStyle w:val="ListParagraph"/>
        <w:numPr>
          <w:ilvl w:val="0"/>
          <w:numId w:val="1"/>
        </w:numPr>
      </w:pPr>
      <w:r>
        <w:t xml:space="preserve">Incidence of ‘clinically significant’ kidney stone disease i.e those who present with colic or need intervention is likely to be lower than the 1-2% found in the NHANES data – this was in response to the question – ‘Have you ever had a kidney stone?’. </w:t>
      </w:r>
    </w:p>
    <w:p w14:paraId="1F0D0964" w14:textId="45C9BF75" w:rsidR="0024370F" w:rsidRDefault="00326856" w:rsidP="00175ED9">
      <w:pPr>
        <w:pStyle w:val="ListParagraph"/>
        <w:numPr>
          <w:ilvl w:val="0"/>
          <w:numId w:val="1"/>
        </w:numPr>
      </w:pPr>
      <w:r>
        <w:t>No death</w:t>
      </w:r>
      <w:r w:rsidR="00730723">
        <w:t xml:space="preserve"> rate</w:t>
      </w:r>
      <w:r>
        <w:t xml:space="preserve"> data available </w:t>
      </w:r>
      <w:r w:rsidR="00730723">
        <w:t>solely for</w:t>
      </w:r>
      <w:r>
        <w:t xml:space="preserve"> England</w:t>
      </w:r>
      <w:r w:rsidR="00730723">
        <w:t>. ONS data combines this with Welsh data.</w:t>
      </w:r>
      <w:r w:rsidR="0031184A">
        <w:t xml:space="preserve"> However, death rates are presumed not to differ too differently between nations and therefore used to calculate death rates in this population.</w:t>
      </w:r>
    </w:p>
    <w:p w14:paraId="669BA411" w14:textId="169FDB7B" w:rsidR="0070265B" w:rsidRDefault="0070265B" w:rsidP="00175ED9">
      <w:pPr>
        <w:pStyle w:val="ListParagraph"/>
        <w:numPr>
          <w:ilvl w:val="0"/>
          <w:numId w:val="1"/>
        </w:numPr>
      </w:pPr>
      <w:r>
        <w:t>Incidence calculated from NHANES data presumed to be translatable to England as similar demographics and dietary habits.</w:t>
      </w:r>
    </w:p>
    <w:p w14:paraId="2C41B019" w14:textId="79D2978E" w:rsidR="00175ED9" w:rsidRDefault="00203BC0" w:rsidP="00175ED9">
      <w:pPr>
        <w:pStyle w:val="ListParagraph"/>
        <w:numPr>
          <w:ilvl w:val="0"/>
          <w:numId w:val="1"/>
        </w:numPr>
      </w:pPr>
      <w:r>
        <w:t>I</w:t>
      </w:r>
      <w:r w:rsidR="00175ED9">
        <w:t xml:space="preserve"> have presumed that the majority of patients will have a unilateral stone, and that the estimates from this model will apply to the general stone forming population, rather than those with complex anatomy / very high stone burdens which will likely require personalised follow-up.</w:t>
      </w:r>
    </w:p>
    <w:p w14:paraId="736E1B18" w14:textId="41CE7C70" w:rsidR="000000CA" w:rsidRDefault="000000CA" w:rsidP="000000CA">
      <w:pPr>
        <w:pStyle w:val="ListParagraph"/>
        <w:numPr>
          <w:ilvl w:val="0"/>
          <w:numId w:val="1"/>
        </w:numPr>
      </w:pPr>
      <w:r>
        <w:t>Stone size / burden</w:t>
      </w:r>
      <w:r w:rsidR="006F3E2A">
        <w:t xml:space="preserve"> </w:t>
      </w:r>
      <w:r>
        <w:t xml:space="preserve">was not estimated as there is no data </w:t>
      </w:r>
      <w:r w:rsidR="004A2F4F">
        <w:t>on presenting stone burden in the general population</w:t>
      </w:r>
      <w:r w:rsidR="00E11684">
        <w:t>.</w:t>
      </w:r>
    </w:p>
    <w:p w14:paraId="3DD53288" w14:textId="1B552863" w:rsidR="004A2F4F" w:rsidRDefault="0089413A" w:rsidP="000000CA">
      <w:pPr>
        <w:pStyle w:val="ListParagraph"/>
        <w:numPr>
          <w:ilvl w:val="0"/>
          <w:numId w:val="1"/>
        </w:numPr>
      </w:pPr>
      <w:r>
        <w:t xml:space="preserve">I have presumed that the goal of surgical management was to render the patient stone free. </w:t>
      </w:r>
    </w:p>
    <w:p w14:paraId="3657938B" w14:textId="7063CFB1" w:rsidR="0089413A" w:rsidRDefault="0089413A" w:rsidP="000000CA">
      <w:pPr>
        <w:pStyle w:val="ListParagraph"/>
        <w:numPr>
          <w:ilvl w:val="0"/>
          <w:numId w:val="1"/>
        </w:numPr>
      </w:pPr>
      <w:r>
        <w:t xml:space="preserve">Stone free is defined as no dust / residual fragments. Hence, the ureteroscopy SFR is lower than is reported elsewhere. </w:t>
      </w:r>
      <w:r w:rsidR="00656AB4">
        <w:t>This estimate presumes any location within the kidney.</w:t>
      </w:r>
    </w:p>
    <w:p w14:paraId="7AAA332B" w14:textId="703A1C5F" w:rsidR="009D77BF" w:rsidRDefault="009D77BF" w:rsidP="009D77BF">
      <w:pPr>
        <w:pStyle w:val="ListParagraph"/>
        <w:numPr>
          <w:ilvl w:val="0"/>
          <w:numId w:val="1"/>
        </w:numPr>
      </w:pPr>
      <w:r>
        <w:t>The addition of stone location was considered, however the follow-up algorithm does not specify stone location. I have also included the stone free rates for a lower pole location in the global stone free rate estimate.</w:t>
      </w:r>
    </w:p>
    <w:p w14:paraId="77FFA55B" w14:textId="55225450" w:rsidR="002D1824" w:rsidRDefault="002D1824" w:rsidP="000000CA">
      <w:pPr>
        <w:pStyle w:val="ListParagraph"/>
        <w:numPr>
          <w:ilvl w:val="0"/>
          <w:numId w:val="1"/>
        </w:numPr>
      </w:pPr>
      <w:r>
        <w:t>PCNL is presumed to be standard PCNL, rather than mini/micro – this is an attempt to simplify the model.</w:t>
      </w:r>
    </w:p>
    <w:p w14:paraId="65751AEB" w14:textId="49D9CD59" w:rsidR="009D77BF" w:rsidRDefault="00F324EF" w:rsidP="000000CA">
      <w:pPr>
        <w:pStyle w:val="ListParagraph"/>
        <w:numPr>
          <w:ilvl w:val="0"/>
          <w:numId w:val="1"/>
        </w:numPr>
      </w:pPr>
      <w:r>
        <w:t xml:space="preserve">The SFR for URS is often defined as fragments &lt;4mm or &lt;2mm. However, using a more stringent SF definition (ie. No fragments)  the SFR reduces to ~60%. </w:t>
      </w:r>
    </w:p>
    <w:p w14:paraId="49F6433E" w14:textId="3F55B7BE" w:rsidR="009D77BF" w:rsidRDefault="009D77BF" w:rsidP="000000CA">
      <w:pPr>
        <w:pStyle w:val="ListParagraph"/>
        <w:numPr>
          <w:ilvl w:val="0"/>
          <w:numId w:val="1"/>
        </w:numPr>
      </w:pPr>
      <w:r>
        <w:t>ESWL SFR was estimated from a meta-analysis published in 2023. Following meta-analysis of proportions, the SFR was ~75% (random effects model), however, the stone free definitions vary widely between studies, and therefore a more conservative estimate was used.</w:t>
      </w:r>
    </w:p>
    <w:p w14:paraId="3A5136F9" w14:textId="3FC9E643" w:rsidR="009C0C98" w:rsidRDefault="009C0C98" w:rsidP="000000CA">
      <w:pPr>
        <w:pStyle w:val="ListParagraph"/>
        <w:numPr>
          <w:ilvl w:val="0"/>
          <w:numId w:val="1"/>
        </w:numPr>
      </w:pPr>
      <w:r>
        <w:t xml:space="preserve">Recurrence rates in high and low risk groups estimated based on ‘no residual fragments’. </w:t>
      </w:r>
    </w:p>
    <w:p w14:paraId="6870FDD0" w14:textId="77777777" w:rsidR="005031CB" w:rsidRDefault="00650D6D" w:rsidP="00876329">
      <w:pPr>
        <w:pStyle w:val="ListParagraph"/>
        <w:numPr>
          <w:ilvl w:val="0"/>
          <w:numId w:val="1"/>
        </w:numPr>
      </w:pPr>
      <w:r>
        <w:t>Presumed that some asymptomatic renal stones will be surveilled rather than undergo intervention – patient ideally should restart follow-up at appropriate pathway (&lt; vs &gt;4mm).</w:t>
      </w:r>
    </w:p>
    <w:p w14:paraId="2C70C99E" w14:textId="45075403" w:rsidR="009B5578" w:rsidRDefault="009B5578" w:rsidP="00876329">
      <w:pPr>
        <w:pStyle w:val="ListParagraph"/>
        <w:numPr>
          <w:ilvl w:val="0"/>
          <w:numId w:val="1"/>
        </w:numPr>
      </w:pPr>
      <w:r>
        <w:lastRenderedPageBreak/>
        <w:t>Preumed that those with symptomatic stones will undergo intervention</w:t>
      </w:r>
      <w:r w:rsidR="00F97692">
        <w:t xml:space="preserve"> in similar proportion to those undergoing intervention a priori</w:t>
      </w:r>
      <w:r w:rsidR="000413E7">
        <w:t>.</w:t>
      </w:r>
    </w:p>
    <w:p w14:paraId="7635DD97" w14:textId="77777777" w:rsidR="00A757FB" w:rsidRDefault="005031CB" w:rsidP="00876329">
      <w:pPr>
        <w:pStyle w:val="ListParagraph"/>
        <w:numPr>
          <w:ilvl w:val="0"/>
          <w:numId w:val="1"/>
        </w:numPr>
      </w:pPr>
      <w:r>
        <w:t>24 hour urine to include: volume, pH, creatinine, calcium, phosphate, urate, oxalate, citrate, cystine</w:t>
      </w:r>
    </w:p>
    <w:p w14:paraId="7AE691CF" w14:textId="0E31B0D0" w:rsidR="00F26148" w:rsidRPr="00876329" w:rsidRDefault="00A757FB" w:rsidP="00876329">
      <w:pPr>
        <w:pStyle w:val="ListParagraph"/>
        <w:numPr>
          <w:ilvl w:val="0"/>
          <w:numId w:val="1"/>
        </w:numPr>
        <w:sectPr w:rsidR="00F26148" w:rsidRPr="00876329" w:rsidSect="00F2614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Current practice = 1-2 years follow-up for low risk patients and up to 4 years for high risk providing they are stone free, with a 24 hour urine in first year and in one further year within follow-up.</w:t>
      </w:r>
      <w:r w:rsidR="00F26148" w:rsidRPr="00876329">
        <w:rPr>
          <w:b/>
          <w:bCs/>
          <w:u w:val="single"/>
        </w:rPr>
        <w:br w:type="page"/>
      </w:r>
    </w:p>
    <w:p w14:paraId="09D9CBE2" w14:textId="77777777" w:rsidR="00F26148" w:rsidRDefault="00F26148">
      <w:pPr>
        <w:rPr>
          <w:b/>
          <w:bCs/>
          <w:u w:val="single"/>
        </w:rPr>
      </w:pPr>
    </w:p>
    <w:p w14:paraId="5F9C2EDC" w14:textId="77777777" w:rsidR="00F26148" w:rsidRDefault="00F26148" w:rsidP="00F26148">
      <w:pPr>
        <w:keepNext/>
      </w:pPr>
      <w:r w:rsidRPr="00F26148">
        <w:rPr>
          <w:noProof/>
        </w:rPr>
        <w:drawing>
          <wp:inline distT="0" distB="0" distL="0" distR="0" wp14:anchorId="622DBB85" wp14:editId="5EB8A5E1">
            <wp:extent cx="9650460" cy="4066674"/>
            <wp:effectExtent l="0" t="0" r="1905" b="0"/>
            <wp:docPr id="4" name="Picture 1" descr="A diagram of a medical procedur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C918339-4B7E-59F9-750C-3E5C869E7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medical procedure&#10;&#10;AI-generated content may be incorrect.">
                      <a:extLst>
                        <a:ext uri="{FF2B5EF4-FFF2-40B4-BE49-F238E27FC236}">
                          <a16:creationId xmlns:a16="http://schemas.microsoft.com/office/drawing/2014/main" id="{5C918339-4B7E-59F9-750C-3E5C869E7C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072" cy="409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E1199" w14:textId="130E67D3" w:rsidR="00F26148" w:rsidRPr="009941AB" w:rsidRDefault="00F26148" w:rsidP="00F26148">
      <w:pPr>
        <w:pStyle w:val="Caption"/>
        <w:rPr>
          <w:b/>
          <w:bCs/>
          <w:sz w:val="24"/>
          <w:szCs w:val="24"/>
          <w:u w:val="single"/>
        </w:rPr>
      </w:pPr>
      <w:r w:rsidRPr="009941AB">
        <w:rPr>
          <w:sz w:val="24"/>
          <w:szCs w:val="24"/>
        </w:rPr>
        <w:t xml:space="preserve">Figure </w:t>
      </w:r>
      <w:r w:rsidRPr="009941AB">
        <w:rPr>
          <w:sz w:val="24"/>
          <w:szCs w:val="24"/>
        </w:rPr>
        <w:fldChar w:fldCharType="begin"/>
      </w:r>
      <w:r w:rsidRPr="009941AB">
        <w:rPr>
          <w:sz w:val="24"/>
          <w:szCs w:val="24"/>
        </w:rPr>
        <w:instrText xml:space="preserve"> SEQ Figure \* ARABIC </w:instrText>
      </w:r>
      <w:r w:rsidRPr="009941AB">
        <w:rPr>
          <w:sz w:val="24"/>
          <w:szCs w:val="24"/>
        </w:rPr>
        <w:fldChar w:fldCharType="separate"/>
      </w:r>
      <w:r w:rsidRPr="009941AB">
        <w:rPr>
          <w:noProof/>
          <w:sz w:val="24"/>
          <w:szCs w:val="24"/>
        </w:rPr>
        <w:t>1</w:t>
      </w:r>
      <w:r w:rsidRPr="009941AB">
        <w:rPr>
          <w:sz w:val="24"/>
          <w:szCs w:val="24"/>
        </w:rPr>
        <w:fldChar w:fldCharType="end"/>
      </w:r>
      <w:r w:rsidRPr="009941AB">
        <w:rPr>
          <w:sz w:val="24"/>
          <w:szCs w:val="24"/>
        </w:rPr>
        <w:t>. EAU Follow-up guideline following treatment.</w:t>
      </w:r>
      <w:sdt>
        <w:sdtPr>
          <w:rPr>
            <w:sz w:val="24"/>
            <w:szCs w:val="24"/>
          </w:rPr>
          <w:alias w:val="SmartCite Citation"/>
          <w:tag w:val="2084f2b5-dd8a-4f75-83ab-5399e909db6a:a8118fa4-0053-4b15-9455-2f8cce1d745d,2084f2b5-dd8a-4f75-83ab-5399e909db6a:1d37d234-3164-49b2-8144-1299fee739c9+"/>
          <w:id w:val="-190922213"/>
          <w:placeholder>
            <w:docPart w:val="DefaultPlaceholder_-1854013440"/>
          </w:placeholder>
        </w:sdtPr>
        <w:sdtContent>
          <w:r w:rsidR="00863A24" w:rsidRPr="00863A24">
            <w:rPr>
              <w:rFonts w:ascii="Aptos" w:eastAsia="Times New Roman" w:hAnsi="Aptos"/>
              <w:sz w:val="24"/>
              <w:vertAlign w:val="superscript"/>
            </w:rPr>
            <w:t>12,13</w:t>
          </w:r>
        </w:sdtContent>
      </w:sdt>
      <w:r w:rsidR="009941AB" w:rsidRPr="009941AB">
        <w:rPr>
          <w:sz w:val="24"/>
          <w:szCs w:val="24"/>
        </w:rPr>
        <w:t> </w:t>
      </w:r>
      <w:r w:rsidRPr="009941AB">
        <w:rPr>
          <w:sz w:val="24"/>
          <w:szCs w:val="24"/>
        </w:rPr>
        <w:t xml:space="preserve"> </w:t>
      </w:r>
    </w:p>
    <w:p w14:paraId="0D7D1911" w14:textId="77777777" w:rsidR="00F26148" w:rsidRDefault="00F26148">
      <w:pPr>
        <w:rPr>
          <w:b/>
          <w:bCs/>
          <w:u w:val="single"/>
        </w:rPr>
      </w:pPr>
    </w:p>
    <w:p w14:paraId="50019672" w14:textId="77777777" w:rsidR="00F26148" w:rsidRDefault="00F26148">
      <w:pPr>
        <w:rPr>
          <w:b/>
          <w:bCs/>
          <w:u w:val="single"/>
        </w:rPr>
      </w:pPr>
    </w:p>
    <w:p w14:paraId="76306D25" w14:textId="77777777" w:rsidR="00F26148" w:rsidRDefault="00F26148">
      <w:pPr>
        <w:rPr>
          <w:b/>
          <w:bCs/>
          <w:u w:val="single"/>
        </w:rPr>
        <w:sectPr w:rsidR="00F26148" w:rsidSect="00F26148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br w:type="page"/>
      </w:r>
    </w:p>
    <w:p w14:paraId="50612646" w14:textId="77777777" w:rsidR="00F26148" w:rsidRDefault="00F26148">
      <w:pPr>
        <w:rPr>
          <w:b/>
          <w:bCs/>
          <w:u w:val="single"/>
        </w:rPr>
      </w:pPr>
    </w:p>
    <w:p w14:paraId="0EB491E7" w14:textId="0DC0108B" w:rsidR="00690FD4" w:rsidRPr="00F26148" w:rsidRDefault="00F26148" w:rsidP="00F2614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690FD4" w:rsidRPr="00F26148">
        <w:rPr>
          <w:b/>
          <w:bCs/>
          <w:u w:val="single"/>
        </w:rPr>
        <w:t xml:space="preserve">References </w:t>
      </w:r>
    </w:p>
    <w:sdt>
      <w:sdtPr>
        <w:alias w:val="SmartCite Bibliography"/>
        <w:tag w:val="Nature+{&quot;language&quot;:&quot;en-US&quot;,&quot;isSectionsModeOn&quot;:false}"/>
        <w:id w:val="-913009825"/>
        <w:placeholder>
          <w:docPart w:val="DefaultPlaceholder_-1854013440"/>
        </w:placeholder>
      </w:sdtPr>
      <w:sdtContent>
        <w:p w14:paraId="60F81F50" w14:textId="77777777" w:rsidR="00863A24" w:rsidRPr="00863A24" w:rsidRDefault="00863A24">
          <w:pPr>
            <w:divId w:val="1922564867"/>
            <w:rPr>
              <w:rFonts w:eastAsia="Times New Roman"/>
              <w:kern w:val="0"/>
              <w14:ligatures w14:val="none"/>
            </w:rPr>
          </w:pPr>
        </w:p>
        <w:p w14:paraId="29D6394C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1. Hill, A. J. </w:t>
          </w:r>
          <w:r w:rsidRPr="00863A24">
            <w:rPr>
              <w:i/>
              <w:iCs/>
            </w:rPr>
            <w:t>et al.</w:t>
          </w:r>
          <w:r w:rsidRPr="00863A24">
            <w:t xml:space="preserve"> Incidence of Kidney Stones in the United States: The Continuous National Health and Nutrition Examination Survey. </w:t>
          </w:r>
          <w:r w:rsidRPr="00863A24">
            <w:rPr>
              <w:i/>
              <w:iCs/>
            </w:rPr>
            <w:t>J. Urol.</w:t>
          </w:r>
          <w:r w:rsidRPr="00863A24">
            <w:t xml:space="preserve"> </w:t>
          </w:r>
          <w:r w:rsidRPr="00863A24">
            <w:rPr>
              <w:b/>
              <w:bCs/>
            </w:rPr>
            <w:t>207</w:t>
          </w:r>
          <w:r w:rsidRPr="00863A24">
            <w:t>, 851–856 (2022).</w:t>
          </w:r>
        </w:p>
        <w:p w14:paraId="1A60EE68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2. Geraghty, R. M. </w:t>
          </w:r>
          <w:r w:rsidRPr="00863A24">
            <w:rPr>
              <w:i/>
              <w:iCs/>
            </w:rPr>
            <w:t>et al.</w:t>
          </w:r>
          <w:r w:rsidRPr="00863A24">
            <w:t xml:space="preserve"> Use of Temporally Validated Machine Learning Models To Predict Outcomes of Percutaneous Nephrolithotomy Using Data from the British Association of Urological Surgeons Percutaneous Nephrolithotomy Audit. </w:t>
          </w:r>
          <w:r w:rsidRPr="00863A24">
            <w:rPr>
              <w:i/>
              <w:iCs/>
            </w:rPr>
            <w:t>Eur. Urol. Focus</w:t>
          </w:r>
          <w:r w:rsidRPr="00863A24">
            <w:t xml:space="preserve"> </w:t>
          </w:r>
          <w:r w:rsidRPr="00863A24">
            <w:rPr>
              <w:b/>
              <w:bCs/>
            </w:rPr>
            <w:t>10</w:t>
          </w:r>
          <w:r w:rsidRPr="00863A24">
            <w:t>, 290–297 (2024).</w:t>
          </w:r>
        </w:p>
        <w:p w14:paraId="13A6BE70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3. Ghani, K. R., Wolf, J. S. &amp; Wolf, J. S. What is the stone-free rate following flexible ureteroscopy for kidney stones? </w:t>
          </w:r>
          <w:r w:rsidRPr="00863A24">
            <w:rPr>
              <w:i/>
              <w:iCs/>
            </w:rPr>
            <w:t>Nat. Rev. Urol.</w:t>
          </w:r>
          <w:r w:rsidRPr="00863A24">
            <w:t xml:space="preserve"> </w:t>
          </w:r>
          <w:r w:rsidRPr="00863A24">
            <w:rPr>
              <w:b/>
              <w:bCs/>
            </w:rPr>
            <w:t>12</w:t>
          </w:r>
          <w:r w:rsidRPr="00863A24">
            <w:t>, 281–288 (2015).</w:t>
          </w:r>
        </w:p>
        <w:p w14:paraId="7EE47A11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4. Brain, E. </w:t>
          </w:r>
          <w:r w:rsidRPr="00863A24">
            <w:rPr>
              <w:i/>
              <w:iCs/>
            </w:rPr>
            <w:t>et al.</w:t>
          </w:r>
          <w:r w:rsidRPr="00863A24">
            <w:t xml:space="preserve"> Outcomes of alpha‐blockers as medical expulsive therapy following shockwave lithotripsy: a systematic review and meta‐analysis. </w:t>
          </w:r>
          <w:r w:rsidRPr="00863A24">
            <w:rPr>
              <w:i/>
              <w:iCs/>
            </w:rPr>
            <w:t>BJU Int.</w:t>
          </w:r>
          <w:r w:rsidRPr="00863A24">
            <w:t xml:space="preserve"> </w:t>
          </w:r>
          <w:r w:rsidRPr="00863A24">
            <w:rPr>
              <w:b/>
              <w:bCs/>
            </w:rPr>
            <w:t>131</w:t>
          </w:r>
          <w:r w:rsidRPr="00863A24">
            <w:t>, 424–433 (2023).</w:t>
          </w:r>
        </w:p>
        <w:p w14:paraId="1E2BE4E6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5. Dasgupta, R. </w:t>
          </w:r>
          <w:r w:rsidRPr="00863A24">
            <w:rPr>
              <w:i/>
              <w:iCs/>
            </w:rPr>
            <w:t>et al.</w:t>
          </w:r>
          <w:r w:rsidRPr="00863A24">
            <w:t xml:space="preserve"> Shockwave Lithotripsy Versus Ureteroscopic Treatment as Therapeutic Interventions for Stones of the Ureter (TISU): A Multicentre Randomised Controlled Non-inferiority Trial</w:t>
          </w:r>
          <w:r w:rsidRPr="00863A24">
            <w:rPr>
              <w:rFonts w:ascii="Segoe UI Symbol" w:hAnsi="Segoe UI Symbol" w:cs="Segoe UI Symbol"/>
            </w:rPr>
            <w:t>☆</w:t>
          </w:r>
          <w:r w:rsidRPr="00863A24">
            <w:t xml:space="preserve">. </w:t>
          </w:r>
          <w:r w:rsidRPr="00863A24">
            <w:rPr>
              <w:i/>
              <w:iCs/>
            </w:rPr>
            <w:t>Eur Urol</w:t>
          </w:r>
          <w:r w:rsidRPr="00863A24">
            <w:t xml:space="preserve"> </w:t>
          </w:r>
          <w:r w:rsidRPr="00863A24">
            <w:rPr>
              <w:b/>
              <w:bCs/>
            </w:rPr>
            <w:t>80</w:t>
          </w:r>
          <w:r w:rsidRPr="00863A24">
            <w:t>, 46–54 (2021).</w:t>
          </w:r>
        </w:p>
        <w:p w14:paraId="14F915A9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6. Shah, T. T. </w:t>
          </w:r>
          <w:r w:rsidRPr="00863A24">
            <w:rPr>
              <w:i/>
              <w:iCs/>
            </w:rPr>
            <w:t>et al.</w:t>
          </w:r>
          <w:r w:rsidRPr="00863A24">
            <w:t xml:space="preserve"> Factors associated with spontaneous stone passage in a contemporary cohort of patients presenting with acute ureteric colic: results from the Multi‐centre cohort study evaluating the role of Inflammatory Markers In patients presenting with acute ureteric Colic (MIMIC) study. </w:t>
          </w:r>
          <w:r w:rsidRPr="00863A24">
            <w:rPr>
              <w:i/>
              <w:iCs/>
            </w:rPr>
            <w:t>BJU Int.</w:t>
          </w:r>
          <w:r w:rsidRPr="00863A24">
            <w:t xml:space="preserve"> </w:t>
          </w:r>
          <w:r w:rsidRPr="00863A24">
            <w:rPr>
              <w:b/>
              <w:bCs/>
            </w:rPr>
            <w:t>124</w:t>
          </w:r>
          <w:r w:rsidRPr="00863A24">
            <w:t>, 504–513 (2019).</w:t>
          </w:r>
        </w:p>
        <w:p w14:paraId="32C0C086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7. Ganesan, V., De, S., Greene, D., Torricelli, F. C. M. &amp; Monga, M. Accuracy of ultrasonography for renal stone detection and size determination: is it good enough for management decisions? </w:t>
          </w:r>
          <w:r w:rsidRPr="00863A24">
            <w:rPr>
              <w:i/>
              <w:iCs/>
            </w:rPr>
            <w:t>BJU Int.</w:t>
          </w:r>
          <w:r w:rsidRPr="00863A24">
            <w:t xml:space="preserve"> </w:t>
          </w:r>
          <w:r w:rsidRPr="00863A24">
            <w:rPr>
              <w:b/>
              <w:bCs/>
            </w:rPr>
            <w:t>119</w:t>
          </w:r>
          <w:r w:rsidRPr="00863A24">
            <w:t>, 464–469 (2017).</w:t>
          </w:r>
        </w:p>
        <w:p w14:paraId="27A69D23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8. Renal and ureteric stones: assessment and management. </w:t>
          </w:r>
          <w:hyperlink r:id="rId11" w:history="1">
            <w:r w:rsidRPr="00863A24">
              <w:rPr>
                <w:rStyle w:val="Hyperlink"/>
              </w:rPr>
              <w:t>https://www.nice.org.uk/guidance/ng118/evidence/b-imaging-for-diagnosis-pdf-6653382735</w:t>
            </w:r>
          </w:hyperlink>
          <w:r w:rsidRPr="00863A24">
            <w:t>.</w:t>
          </w:r>
        </w:p>
        <w:p w14:paraId="3DE713FE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9. Fulgham, P. F., Assimos, D. G., Pearle, M. S. &amp; Preminger, G. M. Clinical Effectiveness Protocols for Imaging in the Management of Ureteral Calculous Disease: AUA Technology Assessment. </w:t>
          </w:r>
          <w:r w:rsidRPr="00863A24">
            <w:rPr>
              <w:i/>
              <w:iCs/>
            </w:rPr>
            <w:t>J. Urol.</w:t>
          </w:r>
          <w:r w:rsidRPr="00863A24">
            <w:t xml:space="preserve"> </w:t>
          </w:r>
          <w:r w:rsidRPr="00863A24">
            <w:rPr>
              <w:b/>
              <w:bCs/>
            </w:rPr>
            <w:t>189</w:t>
          </w:r>
          <w:r w:rsidRPr="00863A24">
            <w:t>, 1203–1213 (2013).</w:t>
          </w:r>
        </w:p>
        <w:p w14:paraId="64F6CDAA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10. Coursey, C. A. </w:t>
          </w:r>
          <w:r w:rsidRPr="00863A24">
            <w:rPr>
              <w:i/>
              <w:iCs/>
            </w:rPr>
            <w:t>et al.</w:t>
          </w:r>
          <w:r w:rsidRPr="00863A24">
            <w:t xml:space="preserve"> ACR Appropriateness Criteria® Acute Onset Flank Pain–Suspicion of Stone Disease. </w:t>
          </w:r>
          <w:r w:rsidRPr="00863A24">
            <w:rPr>
              <w:i/>
              <w:iCs/>
            </w:rPr>
            <w:t>Ultrasound Q.</w:t>
          </w:r>
          <w:r w:rsidRPr="00863A24">
            <w:t xml:space="preserve"> </w:t>
          </w:r>
          <w:r w:rsidRPr="00863A24">
            <w:rPr>
              <w:b/>
              <w:bCs/>
            </w:rPr>
            <w:t>28</w:t>
          </w:r>
          <w:r w:rsidRPr="00863A24">
            <w:t>, 227–233 (2012).</w:t>
          </w:r>
        </w:p>
        <w:p w14:paraId="6B3CDD27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11. Dhayat, N. A. </w:t>
          </w:r>
          <w:r w:rsidRPr="00863A24">
            <w:rPr>
              <w:i/>
              <w:iCs/>
            </w:rPr>
            <w:t>et al.</w:t>
          </w:r>
          <w:r w:rsidRPr="00863A24">
            <w:t xml:space="preserve"> Hydrochlorothiazide and Prevention of Kidney-Stone Recurrence. </w:t>
          </w:r>
          <w:r w:rsidRPr="00863A24">
            <w:rPr>
              <w:i/>
              <w:iCs/>
            </w:rPr>
            <w:t>N. Engl. J. Med.</w:t>
          </w:r>
          <w:r w:rsidRPr="00863A24">
            <w:t xml:space="preserve"> </w:t>
          </w:r>
          <w:r w:rsidRPr="00863A24">
            <w:rPr>
              <w:b/>
              <w:bCs/>
            </w:rPr>
            <w:t>388</w:t>
          </w:r>
          <w:r w:rsidRPr="00863A24">
            <w:t>, 781–791 (2023).</w:t>
          </w:r>
        </w:p>
        <w:p w14:paraId="18FD1EAD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12. Skolarikos, A. </w:t>
          </w:r>
          <w:r w:rsidRPr="00863A24">
            <w:rPr>
              <w:i/>
              <w:iCs/>
            </w:rPr>
            <w:t>et al.</w:t>
          </w:r>
          <w:r w:rsidRPr="00863A24">
            <w:t xml:space="preserve"> </w:t>
          </w:r>
          <w:r w:rsidRPr="00863A24">
            <w:rPr>
              <w:i/>
              <w:iCs/>
            </w:rPr>
            <w:t>EAU Guidelines on Urolithiasis</w:t>
          </w:r>
          <w:r w:rsidRPr="00863A24">
            <w:t>. (EAU Guidelines Office, Arnhem, The Netherlands).</w:t>
          </w:r>
        </w:p>
        <w:p w14:paraId="418E8FEA" w14:textId="77777777" w:rsidR="00863A24" w:rsidRPr="00863A24" w:rsidRDefault="00863A24">
          <w:pPr>
            <w:pStyle w:val="Bibliography2"/>
            <w:divId w:val="1922564867"/>
          </w:pPr>
          <w:r w:rsidRPr="00863A24">
            <w:t xml:space="preserve">13. Lombardo, R. </w:t>
          </w:r>
          <w:r w:rsidRPr="00863A24">
            <w:rPr>
              <w:i/>
              <w:iCs/>
            </w:rPr>
            <w:t>et al.</w:t>
          </w:r>
          <w:r w:rsidRPr="00863A24">
            <w:t xml:space="preserve"> Follow-up of urolithiasis patients after treatment: an algorithm from the EAU Urolithiasis Panel. </w:t>
          </w:r>
          <w:r w:rsidRPr="00863A24">
            <w:rPr>
              <w:i/>
              <w:iCs/>
            </w:rPr>
            <w:t>World J. Urol.</w:t>
          </w:r>
          <w:r w:rsidRPr="00863A24">
            <w:t xml:space="preserve"> </w:t>
          </w:r>
          <w:r w:rsidRPr="00863A24">
            <w:rPr>
              <w:b/>
              <w:bCs/>
            </w:rPr>
            <w:t>42</w:t>
          </w:r>
          <w:r w:rsidRPr="00863A24">
            <w:t>, 202 (2024).</w:t>
          </w:r>
        </w:p>
        <w:p w14:paraId="258E8324" w14:textId="1533DF46" w:rsidR="009A2F1A" w:rsidRDefault="00863A24" w:rsidP="00690FD4">
          <w:pPr>
            <w:pStyle w:val="ListParagraph"/>
          </w:pPr>
          <w:r w:rsidRPr="00863A24">
            <w:rPr>
              <w:rFonts w:eastAsia="Times New Roman"/>
            </w:rPr>
            <w:lastRenderedPageBreak/>
            <w:t> </w:t>
          </w:r>
        </w:p>
      </w:sdtContent>
    </w:sdt>
    <w:p w14:paraId="18FDC1CE" w14:textId="32A46D3B" w:rsidR="000635A9" w:rsidRDefault="000635A9" w:rsidP="00690FD4">
      <w:pPr>
        <w:pStyle w:val="ListParagraph"/>
      </w:pPr>
    </w:p>
    <w:sectPr w:rsidR="000635A9" w:rsidSect="00F26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57D2B" w14:textId="77777777" w:rsidR="003F1559" w:rsidRDefault="003F1559" w:rsidP="006C5A03">
      <w:r>
        <w:separator/>
      </w:r>
    </w:p>
  </w:endnote>
  <w:endnote w:type="continuationSeparator" w:id="0">
    <w:p w14:paraId="1B173BAD" w14:textId="77777777" w:rsidR="003F1559" w:rsidRDefault="003F1559" w:rsidP="006C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8364018"/>
      <w:docPartObj>
        <w:docPartGallery w:val="Page Numbers (Bottom of Page)"/>
        <w:docPartUnique/>
      </w:docPartObj>
    </w:sdtPr>
    <w:sdtContent>
      <w:p w14:paraId="3C6FA821" w14:textId="502D558A" w:rsidR="006C5A03" w:rsidRDefault="006C5A03" w:rsidP="001E49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DD2F63" w14:textId="77777777" w:rsidR="006C5A03" w:rsidRDefault="006C5A03" w:rsidP="006C5A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4215111"/>
      <w:docPartObj>
        <w:docPartGallery w:val="Page Numbers (Bottom of Page)"/>
        <w:docPartUnique/>
      </w:docPartObj>
    </w:sdtPr>
    <w:sdtContent>
      <w:p w14:paraId="3DB2AB92" w14:textId="2AE3C354" w:rsidR="006C5A03" w:rsidRDefault="006C5A03" w:rsidP="001E49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321740" w14:textId="77777777" w:rsidR="006C5A03" w:rsidRDefault="006C5A03" w:rsidP="006C5A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39BEB" w14:textId="77777777" w:rsidR="003F1559" w:rsidRDefault="003F1559" w:rsidP="006C5A03">
      <w:r>
        <w:separator/>
      </w:r>
    </w:p>
  </w:footnote>
  <w:footnote w:type="continuationSeparator" w:id="0">
    <w:p w14:paraId="281DFBFD" w14:textId="77777777" w:rsidR="003F1559" w:rsidRDefault="003F1559" w:rsidP="006C5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8B6"/>
    <w:multiLevelType w:val="hybridMultilevel"/>
    <w:tmpl w:val="3C84F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4183"/>
    <w:multiLevelType w:val="hybridMultilevel"/>
    <w:tmpl w:val="6046E5EA"/>
    <w:lvl w:ilvl="0" w:tplc="C91E2E4C">
      <w:start w:val="1"/>
      <w:numFmt w:val="decimal"/>
      <w:lvlText w:val="%1-"/>
      <w:lvlJc w:val="left"/>
      <w:pPr>
        <w:ind w:left="88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3567"/>
    <w:multiLevelType w:val="hybridMultilevel"/>
    <w:tmpl w:val="5CC6A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5332"/>
    <w:multiLevelType w:val="hybridMultilevel"/>
    <w:tmpl w:val="B9EE7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74764">
    <w:abstractNumId w:val="3"/>
  </w:num>
  <w:num w:numId="2" w16cid:durableId="270628127">
    <w:abstractNumId w:val="1"/>
  </w:num>
  <w:num w:numId="3" w16cid:durableId="465660922">
    <w:abstractNumId w:val="0"/>
  </w:num>
  <w:num w:numId="4" w16cid:durableId="1441996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0C"/>
    <w:rsid w:val="000000CA"/>
    <w:rsid w:val="000413E7"/>
    <w:rsid w:val="000520EB"/>
    <w:rsid w:val="000635A9"/>
    <w:rsid w:val="0007582B"/>
    <w:rsid w:val="00075E71"/>
    <w:rsid w:val="00090270"/>
    <w:rsid w:val="000B36AE"/>
    <w:rsid w:val="000B6F14"/>
    <w:rsid w:val="000E191A"/>
    <w:rsid w:val="000F060D"/>
    <w:rsid w:val="000F21CC"/>
    <w:rsid w:val="000F2F7B"/>
    <w:rsid w:val="00106A55"/>
    <w:rsid w:val="001071E9"/>
    <w:rsid w:val="00110616"/>
    <w:rsid w:val="001331E8"/>
    <w:rsid w:val="0016139A"/>
    <w:rsid w:val="00175ED9"/>
    <w:rsid w:val="001952CC"/>
    <w:rsid w:val="001B1D1A"/>
    <w:rsid w:val="001C2B78"/>
    <w:rsid w:val="001D6299"/>
    <w:rsid w:val="001E3B28"/>
    <w:rsid w:val="001F03DC"/>
    <w:rsid w:val="001F2D79"/>
    <w:rsid w:val="00203BC0"/>
    <w:rsid w:val="0020484D"/>
    <w:rsid w:val="002117DB"/>
    <w:rsid w:val="00224696"/>
    <w:rsid w:val="0024370F"/>
    <w:rsid w:val="002531D3"/>
    <w:rsid w:val="002833BF"/>
    <w:rsid w:val="00294330"/>
    <w:rsid w:val="002D1824"/>
    <w:rsid w:val="002D3BF2"/>
    <w:rsid w:val="002E3738"/>
    <w:rsid w:val="002F6785"/>
    <w:rsid w:val="003029AB"/>
    <w:rsid w:val="0031184A"/>
    <w:rsid w:val="00326856"/>
    <w:rsid w:val="003566B8"/>
    <w:rsid w:val="003A2C32"/>
    <w:rsid w:val="003B770C"/>
    <w:rsid w:val="003F04AA"/>
    <w:rsid w:val="003F1559"/>
    <w:rsid w:val="003F3279"/>
    <w:rsid w:val="00414E59"/>
    <w:rsid w:val="00453980"/>
    <w:rsid w:val="004576AD"/>
    <w:rsid w:val="004606A3"/>
    <w:rsid w:val="0046334A"/>
    <w:rsid w:val="004908DF"/>
    <w:rsid w:val="004A2F4F"/>
    <w:rsid w:val="004D187F"/>
    <w:rsid w:val="004D24AB"/>
    <w:rsid w:val="004E105F"/>
    <w:rsid w:val="004E2693"/>
    <w:rsid w:val="005031CB"/>
    <w:rsid w:val="005069E3"/>
    <w:rsid w:val="00515281"/>
    <w:rsid w:val="00534BCF"/>
    <w:rsid w:val="0053783C"/>
    <w:rsid w:val="00544533"/>
    <w:rsid w:val="00555F70"/>
    <w:rsid w:val="00556EA2"/>
    <w:rsid w:val="00573F5A"/>
    <w:rsid w:val="00592C94"/>
    <w:rsid w:val="005A66CE"/>
    <w:rsid w:val="005B4B48"/>
    <w:rsid w:val="005D7FA4"/>
    <w:rsid w:val="005F7BF3"/>
    <w:rsid w:val="00600874"/>
    <w:rsid w:val="0062310D"/>
    <w:rsid w:val="00645AEA"/>
    <w:rsid w:val="00650D6D"/>
    <w:rsid w:val="00656AB4"/>
    <w:rsid w:val="00690FD4"/>
    <w:rsid w:val="006B6D13"/>
    <w:rsid w:val="006C5A03"/>
    <w:rsid w:val="006F3E2A"/>
    <w:rsid w:val="006F7CFB"/>
    <w:rsid w:val="0070265B"/>
    <w:rsid w:val="00730723"/>
    <w:rsid w:val="00741DB5"/>
    <w:rsid w:val="00744589"/>
    <w:rsid w:val="00757074"/>
    <w:rsid w:val="00757525"/>
    <w:rsid w:val="00766D60"/>
    <w:rsid w:val="007C36EA"/>
    <w:rsid w:val="007D3B0A"/>
    <w:rsid w:val="0083203B"/>
    <w:rsid w:val="00852A03"/>
    <w:rsid w:val="008549A3"/>
    <w:rsid w:val="00863A24"/>
    <w:rsid w:val="008643F1"/>
    <w:rsid w:val="008703E8"/>
    <w:rsid w:val="00875974"/>
    <w:rsid w:val="00876329"/>
    <w:rsid w:val="00893F58"/>
    <w:rsid w:val="0089413A"/>
    <w:rsid w:val="008B78B3"/>
    <w:rsid w:val="00903525"/>
    <w:rsid w:val="009077F4"/>
    <w:rsid w:val="009220CA"/>
    <w:rsid w:val="0092248C"/>
    <w:rsid w:val="0092564F"/>
    <w:rsid w:val="00932BF5"/>
    <w:rsid w:val="00935D08"/>
    <w:rsid w:val="009430BC"/>
    <w:rsid w:val="009623C9"/>
    <w:rsid w:val="00972E94"/>
    <w:rsid w:val="00993B5A"/>
    <w:rsid w:val="009941AB"/>
    <w:rsid w:val="009A03A7"/>
    <w:rsid w:val="009A2F1A"/>
    <w:rsid w:val="009B510D"/>
    <w:rsid w:val="009B5578"/>
    <w:rsid w:val="009C0C98"/>
    <w:rsid w:val="009D77BF"/>
    <w:rsid w:val="009D79F2"/>
    <w:rsid w:val="00A13BF6"/>
    <w:rsid w:val="00A2490C"/>
    <w:rsid w:val="00A62FC5"/>
    <w:rsid w:val="00A70EE3"/>
    <w:rsid w:val="00A757FB"/>
    <w:rsid w:val="00A84C58"/>
    <w:rsid w:val="00A8574E"/>
    <w:rsid w:val="00AE1F9D"/>
    <w:rsid w:val="00AF5053"/>
    <w:rsid w:val="00B03011"/>
    <w:rsid w:val="00B21E1C"/>
    <w:rsid w:val="00B26D5B"/>
    <w:rsid w:val="00B316B6"/>
    <w:rsid w:val="00B41B95"/>
    <w:rsid w:val="00B42864"/>
    <w:rsid w:val="00B5111B"/>
    <w:rsid w:val="00B70F3A"/>
    <w:rsid w:val="00B85BBC"/>
    <w:rsid w:val="00BC460E"/>
    <w:rsid w:val="00BD327A"/>
    <w:rsid w:val="00BD5C9C"/>
    <w:rsid w:val="00C06C99"/>
    <w:rsid w:val="00C76164"/>
    <w:rsid w:val="00C779F9"/>
    <w:rsid w:val="00C80A67"/>
    <w:rsid w:val="00C8188D"/>
    <w:rsid w:val="00C92561"/>
    <w:rsid w:val="00C95E3C"/>
    <w:rsid w:val="00CD4F7A"/>
    <w:rsid w:val="00CE0477"/>
    <w:rsid w:val="00D15D8A"/>
    <w:rsid w:val="00D41149"/>
    <w:rsid w:val="00D4796F"/>
    <w:rsid w:val="00D74968"/>
    <w:rsid w:val="00D800BD"/>
    <w:rsid w:val="00D979AA"/>
    <w:rsid w:val="00DB5183"/>
    <w:rsid w:val="00DD283D"/>
    <w:rsid w:val="00DD2F59"/>
    <w:rsid w:val="00DE583F"/>
    <w:rsid w:val="00E11684"/>
    <w:rsid w:val="00E138EE"/>
    <w:rsid w:val="00E27C08"/>
    <w:rsid w:val="00E40C79"/>
    <w:rsid w:val="00E41B05"/>
    <w:rsid w:val="00E4798B"/>
    <w:rsid w:val="00E77087"/>
    <w:rsid w:val="00E91523"/>
    <w:rsid w:val="00EB4A55"/>
    <w:rsid w:val="00EB4B08"/>
    <w:rsid w:val="00EE6460"/>
    <w:rsid w:val="00EE76F6"/>
    <w:rsid w:val="00EF6192"/>
    <w:rsid w:val="00F26148"/>
    <w:rsid w:val="00F324EF"/>
    <w:rsid w:val="00F3352D"/>
    <w:rsid w:val="00F36274"/>
    <w:rsid w:val="00F449EA"/>
    <w:rsid w:val="00F654F7"/>
    <w:rsid w:val="00F72463"/>
    <w:rsid w:val="00F81032"/>
    <w:rsid w:val="00F8132A"/>
    <w:rsid w:val="00F838DB"/>
    <w:rsid w:val="00F97692"/>
    <w:rsid w:val="00FD271E"/>
    <w:rsid w:val="00FD326B"/>
    <w:rsid w:val="00FE180E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A181"/>
  <w15:chartTrackingRefBased/>
  <w15:docId w15:val="{E53A47FF-1936-FA44-9566-B113788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2F1A"/>
    <w:rPr>
      <w:color w:val="666666"/>
    </w:rPr>
  </w:style>
  <w:style w:type="paragraph" w:customStyle="1" w:styleId="Bibliography1">
    <w:name w:val="Bibliography1"/>
    <w:basedOn w:val="Normal"/>
    <w:rsid w:val="009A2F1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2F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C5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A03"/>
  </w:style>
  <w:style w:type="character" w:styleId="PageNumber">
    <w:name w:val="page number"/>
    <w:basedOn w:val="DefaultParagraphFont"/>
    <w:uiPriority w:val="99"/>
    <w:semiHidden/>
    <w:unhideWhenUsed/>
    <w:rsid w:val="006C5A03"/>
  </w:style>
  <w:style w:type="paragraph" w:styleId="Caption">
    <w:name w:val="caption"/>
    <w:basedOn w:val="Normal"/>
    <w:next w:val="Normal"/>
    <w:uiPriority w:val="35"/>
    <w:unhideWhenUsed/>
    <w:qFormat/>
    <w:rsid w:val="00F26148"/>
    <w:pPr>
      <w:spacing w:after="200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5B"/>
    <w:rPr>
      <w:b/>
      <w:bCs/>
      <w:sz w:val="20"/>
      <w:szCs w:val="20"/>
    </w:rPr>
  </w:style>
  <w:style w:type="paragraph" w:customStyle="1" w:styleId="Bibliography2">
    <w:name w:val="Bibliography2"/>
    <w:basedOn w:val="Normal"/>
    <w:rsid w:val="00863A24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ce.org.uk/guidance/ng118/evidence/b-imaging-for-diagnosis-pdf-665338273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AB5C6-A304-B04A-9048-70B853A7A73D}"/>
      </w:docPartPr>
      <w:docPartBody>
        <w:p w:rsidR="005273C8" w:rsidRDefault="00280EF1">
          <w:r w:rsidRPr="001E49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940D4B861B94B9C3BD50A91DD2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EC2D-27F8-0543-8DCC-E38C006D50B6}"/>
      </w:docPartPr>
      <w:docPartBody>
        <w:p w:rsidR="005273C8" w:rsidRDefault="00280EF1" w:rsidP="00280EF1">
          <w:pPr>
            <w:pStyle w:val="BC1940D4B861B94B9C3BD50A91DD257F"/>
          </w:pPr>
          <w:r w:rsidRPr="001E49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6A34FAEBD764ABEBB310ECF754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6308-625F-7B40-8CAA-D769DAC03C23}"/>
      </w:docPartPr>
      <w:docPartBody>
        <w:p w:rsidR="005273C8" w:rsidRDefault="00280EF1" w:rsidP="00280EF1">
          <w:pPr>
            <w:pStyle w:val="20E6A34FAEBD764ABEBB310ECF7545E9"/>
          </w:pPr>
          <w:r w:rsidRPr="001E49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C00E88DEB4264183E0A12D45148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A24C1-0B16-5E45-AA2C-E6E33278EAD6}"/>
      </w:docPartPr>
      <w:docPartBody>
        <w:p w:rsidR="005273C8" w:rsidRDefault="00280EF1" w:rsidP="00280EF1">
          <w:pPr>
            <w:pStyle w:val="94C00E88DEB4264183E0A12D45148675"/>
          </w:pPr>
          <w:r w:rsidRPr="001E49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1"/>
    <w:rsid w:val="000F2F7B"/>
    <w:rsid w:val="00280EF1"/>
    <w:rsid w:val="002F56FF"/>
    <w:rsid w:val="00515281"/>
    <w:rsid w:val="005273C8"/>
    <w:rsid w:val="005E4D22"/>
    <w:rsid w:val="006B6D13"/>
    <w:rsid w:val="00EC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F1"/>
    <w:rPr>
      <w:color w:val="666666"/>
    </w:rPr>
  </w:style>
  <w:style w:type="paragraph" w:customStyle="1" w:styleId="BC1940D4B861B94B9C3BD50A91DD257F">
    <w:name w:val="BC1940D4B861B94B9C3BD50A91DD257F"/>
    <w:rsid w:val="00280EF1"/>
  </w:style>
  <w:style w:type="paragraph" w:customStyle="1" w:styleId="20E6A34FAEBD764ABEBB310ECF7545E9">
    <w:name w:val="20E6A34FAEBD764ABEBB310ECF7545E9"/>
    <w:rsid w:val="00280EF1"/>
  </w:style>
  <w:style w:type="paragraph" w:customStyle="1" w:styleId="94C00E88DEB4264183E0A12D45148675">
    <w:name w:val="94C00E88DEB4264183E0A12D45148675"/>
    <w:rsid w:val="00280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9709D4-0603-974A-831C-D9CDDC5FFC73}">
  <we:reference id="55da0767-eb41-43c5-87ca-3799bace4589" version="1.0.1.0" store="EXCatalog" storeType="EXCatalog"/>
  <we:alternateReferences>
    <we:reference id="WA104380917" version="1.0.1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C3620-FDF1-A149-9035-D4C357DD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Geraghty</dc:creator>
  <cp:keywords/>
  <dc:description/>
  <cp:lastModifiedBy>Rob Geraghty</cp:lastModifiedBy>
  <cp:revision>13</cp:revision>
  <dcterms:created xsi:type="dcterms:W3CDTF">2025-05-21T12:39:00Z</dcterms:created>
  <dcterms:modified xsi:type="dcterms:W3CDTF">2025-05-23T14:23:00Z</dcterms:modified>
</cp:coreProperties>
</file>