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Pesquisa e atualização de preços</w:t>
      </w:r>
    </w:p>
    <w:p>
      <w:r>
        <w:t>Local: São José dos Campos/SP. Data da tentativa: 22/10/2026 (São Paulo). Não foi possível concluir a consulta online: os sites oficiais testados retornaram bloqueio de acesso (403 do proxy). Portanto, não há números de SINAPI, CUB, INCC, tarifas municipais ou juros atuais validados nesta entrega. Os valores do simulador são hipóteses, não resultados de pesquisa de mercado.</w:t>
      </w:r>
    </w:p>
    <w:p>
      <w:pPr>
        <w:pStyle w:val="Heading2"/>
      </w:pPr>
      <w:r>
        <w:t>Fontes prioritárias e como usar</w:t>
      </w:r>
    </w:p>
    <w:p>
      <w:r>
        <w:t>| Fonte oficial / institucional | O que buscar | Limite de uso |</w:t>
      </w:r>
    </w:p>
    <w:p>
      <w:r>
        <w:t>|---|---|---|</w:t>
      </w:r>
    </w:p>
    <w:p>
      <w:r>
        <w:t>| IBGE — SINAPI (https://www.ibge.gov.br/estatisticas/economicas/precos-e-custos/9270-sistema-nacional-de-pesquisa-de-custos-e-indices-da-construcao-civil.html) | série mensal, mês de referência, estado SP e metodologia | custo de referência não é preço final de uma casa específica |</w:t>
      </w:r>
    </w:p>
    <w:p>
      <w:r>
        <w:t>| CAIXA — SINAPI (https://www.caixa.gov.br/poder-publico/modernizacao-gestao/sinapi/Paginas/default.aspx) | composições e insumos, UF, regime aplicável | quantitativos e composições exigem profissional técnico |</w:t>
      </w:r>
    </w:p>
    <w:p>
      <w:r>
        <w:t>| SindusCon-SP (https://sindusconsp.com.br/) | CUB-SP do mês e padrão/tipologia correspondente; itens excluídos | não multiplicar cegamente por área como orçamento completo |</w:t>
      </w:r>
    </w:p>
    <w:p>
      <w:r>
        <w:t>| FGV IBRE (https://portalibre.fgv.br/) | INCC, metodologia e série contratualmente aplicável | índice não é cotação nem previsão; acesso à série pode ter restrições |</w:t>
      </w:r>
    </w:p>
    <w:p>
      <w:r>
        <w:t>| Prefeitura de São José dos Campos (https://www.sjc.sp.gov.br/) | zoneamento, aprovação, alvará, conclusão, ITBI, ISS, taxas, legislação e procedimentos | confirmar imóvel, uso, data e incidência com prefeitura/profissionais |</w:t>
      </w:r>
    </w:p>
    <w:p>
      <w:r>
        <w:t>| Receita Federal — construção civil (https://www.gov.br/receitafederal/pt-br/assuntos/construcao-civil) | CNO, SERO, contribuições e certidões | enquadramento muda obrigações; não estimar percentual único sem análise |</w:t>
      </w:r>
    </w:p>
    <w:p>
      <w:r>
        <w:t>| Banco Central (https://www.bcb.gov.br/) | CET, financiamento, consórcio e administradoras autorizadas | taxas públicas não garantem proposta individual |</w:t>
      </w:r>
    </w:p>
    <w:p>
      <w:r>
        <w:t>| CAIXA — construção (https://www.caixa.gov.br/voce/habitacao/financiamento/construcao/Paginas/default.aspx) | modalidades elegíveis, documentos, liberação, simulação e proposta | confirmar condições vigentes diretamente, sem presumir percentual financiável |</w:t>
      </w:r>
    </w:p>
    <w:p>
      <w:r>
        <w:t>| CAU-SP (https://www.causp.gov.br/) / CREA-SP (https://www.creasp.org.br/) | habilitação, atribuições e registros técnicos | honorários devem ser cotados com escopo definido |</w:t>
      </w:r>
    </w:p>
    <w:p>
      <w:r>
        <w:t>| Registro de imóveis eletrônico (https://registradores.onr.org.br/) | matrícula e serviços registrais aplicáveis | orçamento de emolumentos depende dos atos e tabela vigente |</w:t>
      </w:r>
    </w:p>
    <w:p>
      <w:r>
        <w:t>Os links são pontos de partida, sem confirmação de conteúdo nesta sessão. Não confundir fonte institucional com preço local comprovado.</w:t>
      </w:r>
    </w:p>
    <w:p>
      <w:pPr>
        <w:pStyle w:val="Heading2"/>
      </w:pPr>
      <w:r>
        <w:t>Ficha a preencher antes da reunião decisória</w:t>
      </w:r>
    </w:p>
    <w:p>
      <w:r>
        <w:t>Para cada preço: item, unidade, quantidade técnica, padrão/especificação, fornecedor, CNPJ/identificação, data-base, validade, frete, impostos, mão de obra, forma de pagamento, reajuste, exclusões e arquivo da proposta. Coletar pelo menos três propostas comparáveis quando viável. Para terreno, comparar localização, área, topografia, regularidade e infraestrutura; anúncios são preços pedidos, não transações realizadas.</w:t>
      </w:r>
    </w:p>
    <w:p>
      <w:r>
        <w:t>Para cada proposta bancária: instituição, modalidade, data/validade, avaliação, principal, crédito líquido, entrada, recursos mínimos próprios, prazo da obra, cronograma de liberação e medição, sistema de amortização, juros efetivos, indexador, CET oficial, seguros ao longo da idade/saldo, tarifas, garantias e hipóteses de amortização antecipada.</w:t>
      </w:r>
    </w:p>
    <w:p>
      <w:r>
        <w:t>Para cada grupo de consórcio: autorização da administradora, identificação do grupo, prazo remanescente, carta, administração total e distribuição, fundo de reserva, seguro, indexador, regras de sorteio/lance próprio/embutido, garantias, uso em construção, medições e devoluções. Histórico de lances não garante contemplação futura.</w:t>
      </w:r>
    </w:p>
    <w:p>
      <w:pPr>
        <w:pStyle w:val="Heading2"/>
      </w:pPr>
      <w:r>
        <w:t>Atualizar a ferramenta</w:t>
      </w:r>
    </w:p>
    <w:p>
      <w:r>
        <w:t>Substituir cidade/data-base e cada preço fictício; guardar propostas em pasta privada. Conferir o escopo do preço por m² para retirar duplicidades. Rever encargos de crédito fora do orçamento, contingência e reserva familiar. Não preencher uma taxa municipal, honorário ou preço do terreno com percentual genérico apresentado como regra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