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Planejamento financeiro da casa — São José dos Campos/SP</w:t>
      </w:r>
    </w:p>
    <w:p>
      <w:r>
        <w:t>Material para a economista e o casal. Versão inicial: 22/10/2026 (horário de São Paulo). Todas as premissas monetárias são fictícias e editáveis. Não são preços pesquisados, laudo, orçamento de engenharia, recomendação de crédito ou aprovação de financiamento. As fontes oficiais não puderam ser consultadas neste ambiente por restrição de rede. Antes de apresentar um orçamento como local e atualizado, complete a pesquisa descrita em fontes.md.</w:t>
      </w:r>
    </w:p>
    <w:p>
      <w:r>
        <w:t>A economista organiza capacidade financeira, alternativas e riscos. Arquitetos e engenheiros habilitados definem viabilidade técnica, projetos, quantitativos, especificações, responsabilidade e fiscalização conforme suas atribuições. O casal escolhe fornecedores, modalidade financeira, padrão da casa e autoriza todos os pagamentos. Não há gestão de recursos pela consultora.</w:t>
      </w:r>
    </w:p>
    <w:p>
      <w:pPr>
        <w:pStyle w:val="Heading2"/>
      </w:pPr>
      <w:r>
        <w:t>1. Exemplo comum às simulações</w:t>
      </w:r>
    </w:p>
    <w:p>
      <w:r>
        <w:t>Casa de 120 m², terreno de 250 m² em São José dos Campos, terreno hipotético de R$ 220 mil; construção de R$ 3.200/m², ou R$ 384 mil. Outros custos somam R$ 195 mil. Base sem terreno: R$ 579 mil; contingência de 15%: R$ 86.850; total sem terreno: R$ 665.850; com terreno: R$ 885.850. Limite desejado: R$ 900 mil. Portanto, restam apenas R$ 14.150 dentro do limite, antes do custo do crédito.</w:t>
      </w:r>
    </w:p>
    <w:p>
      <w:r>
        <w:t>Renda líquida: R$ 18 mil/mês; despesas essenciais: R$ 8 mil; reserva familiar de seis meses: R$ 48 mil; liquidez inicial: R$ 400 mil. Na compra com recursos próprios, necessidade incluindo reserva familiar: R$ 933.850; insuficiência inicial: R$ 533.850. Não confundir patrimônio em terreno com dinheiro disponível.</w:t>
      </w:r>
    </w:p>
    <w:p>
      <w:r>
        <w:t>O consórcio usa terreno existente para isolar a alternativa de crédito. Para incluir compra do terreno nesse cenário, adicione o desembolso do terreno ou elabore uma proposta de carta apta às duas finalidades, verificando regras da administradora. Não compare totais sem explicitar essa diferença patrimonial.</w:t>
      </w:r>
    </w:p>
    <w:p>
      <w:pPr>
        <w:pStyle w:val="Heading2"/>
      </w:pPr>
      <w:r>
        <w:t>2. Sequência de decisões e pontos de parada</w:t>
      </w:r>
    </w:p>
    <w:p>
      <w:r>
        <w:t>1. Diagnóstico: listar patrimônio, renda estável/variável, dívidas, FGTS potencialmente elegível, despesas, reserva familiar e limite de parcelas. Definir limite total e o que está dentro dele: terreno, móveis, juros, mudança etc. Testar perda temporária de renda.</w:t>
      </w:r>
    </w:p>
    <w:p>
      <w:r>
        <w:t>2. Terreno e viabilidade preliminar: verificar matrícula atualizada e ônus, titularidade, acesso, restrições ambientais, zoneamento, recuos, ocupação, infraestrutura, drenagem, topografia, solo e regras de condomínio. Consultar prefeitura e profissionais. Obter pré-análise bancária antes de sinal irreversível. Avaliação de crédito não substitui diligência jurídica e técnica.</w:t>
      </w:r>
    </w:p>
    <w:p>
      <w:r>
        <w:t>3. Definir a estratégia: em terreno + construção, a aquisição pode integrar a contratação do financiamento; não presumir compra à vista antecipada. No terreno próprio, verificar regularidade e garantia. No consórcio, não vincular início de obra a data certa de contemplação.</w:t>
      </w:r>
    </w:p>
    <w:p>
      <w:r>
        <w:t>4. Projetos e orçamento: arquitetura, estruturas, instalações elétricas/hidrossanitárias e outros projetos aplicáveis; compatibilização, quantitativos, memorial, cronograma físico-financeiro, propostas comparáveis e escopo dos contratos. Elaborar com profissionais; não escolher estrutura ou materiais por esta planilha.</w:t>
      </w:r>
    </w:p>
    <w:p>
      <w:r>
        <w:t>5. Aprovações e contratação: atender prefeitura, condomínio e concessionárias, registrar ART/RRT conforme serviços, obter alvará e demais autorizações aplicáveis antes de executar. Banco costuma exigir projetos, orçamento, responsáveis e documentos antes da contratação/liberação; a sequência documental depende da linha. ITBI e registro acompanham aquisição/transmissão, conforme fato gerador e orientação local; não presumir imposto único no início da obra.</w:t>
      </w:r>
    </w:p>
    <w:p>
      <w:r>
        <w:t>6. Preparação e execução: CNO quando aplicável, contratação formal, seguros exigidos, instalações de canteiro, segurança, licenças, resíduos e ligações temporárias. Pagar por marcos e conferir medições com responsável técnico. Banco pode liberar depois da medição, exigindo capital de giro próprio.</w:t>
      </w:r>
    </w:p>
    <w:p>
      <w:r>
        <w:t>7. Conclusão: vistorias, certificado municipal de conclusão/habite-se ou denominação local, regularização de contribuições previdenciárias via procedimentos aplicáveis, certidão necessária, averbação da construção, cadastro imobiliário/IPTU, ligações definitivas, entrega técnica e garantias. Exigências variam por enquadramento.</w:t>
      </w:r>
    </w:p>
    <w:p>
      <w:r>
        <w:t>8. Mudança e operação: móveis, equipamentos, mudança, condomínio, seguros, IPTU, manutenção e reparos. Manter reserva familiar recomposta.</w:t>
      </w:r>
    </w:p>
    <w:p>
      <w:pPr>
        <w:pStyle w:val="Heading2"/>
      </w:pPr>
      <w:r>
        <w:t>3. Inventário de custos para validar</w:t>
      </w:r>
    </w:p>
    <w:p>
      <w:r>
        <w:t>| Grupo | O que conferir na cotação/documentação |</w:t>
      </w:r>
    </w:p>
    <w:p>
      <w:r>
        <w:t>|---|---|</w:t>
      </w:r>
    </w:p>
    <w:p>
      <w:r>
        <w:t>| Terreno | preço, sinal, corretagem quando atribuída ao comprador, certidões, diligência jurídica, ônus, avaliação, ITBI, escritura ou instrumento aplicável e registro |</w:t>
      </w:r>
    </w:p>
    <w:p>
      <w:r>
        <w:t>| Condições do lote | levantamento, sondagem, limpeza, demolição autorizada, terraplenagem, contenção, drenagem e acesso; riscos especiais exigem orçamento técnico |</w:t>
      </w:r>
    </w:p>
    <w:p>
      <w:r>
        <w:t>| Projetos | arquitetura, complementares, compatibilização, alterações, detalhamento e aprovação; direitos/escopo e revisões em contrato |</w:t>
      </w:r>
    </w:p>
    <w:p>
      <w:r>
        <w:t>| Profissionais | ART/RRT aplicáveis, acompanhamento, fiscalização, administração/gerenciamento, visitas e medições; evitar sobreposição de honorários |</w:t>
      </w:r>
    </w:p>
    <w:p>
      <w:r>
        <w:t>| Prefeitura e órgãos | alvará, taxas de análise, ISS conforme incidência e retenções, licenças ambientais quando exigidas, resíduos, documentos de conclusão; verificar regras locais |</w:t>
      </w:r>
    </w:p>
    <w:p>
      <w:r>
        <w:t>| Construção | fundações, estrutura, vedação, cobertura, impermeabilização, instalações, esquadrias, revestimentos, louças, metais, pintura e mão de obra; orçamento por quantitativos |</w:t>
      </w:r>
    </w:p>
    <w:p>
      <w:r>
        <w:t>| Custos indiretos | canteiro, água/energia, ferramentas e locação, fretes, perdas, armazenamento, vigilância, segurança do trabalho, caçambas, limpeza, administração e tributos/BDI da proposta |</w:t>
      </w:r>
    </w:p>
    <w:p>
      <w:r>
        <w:t>| Pessoas e tributos | encargos trabalhistas/previdenciários, retenções, notas, CNO, regularização SERO quando aplicável; contratação de empresa não dispensa conferir responsabilidades |</w:t>
      </w:r>
    </w:p>
    <w:p>
      <w:r>
        <w:t>| Proteções | seguro riscos de engenharia/obra, responsabilidade civil quando aplicável; coberturas, franquias e exclusões; no financiamento conferir MIP/DFI e demais seguros contratuais |</w:t>
      </w:r>
    </w:p>
    <w:p>
      <w:r>
        <w:t>| Crédito | juros, indexador, avaliação, tarifas, seguros, vistorias/medições, registro da garantia, encargos na obra, tributos incidentes; conferir o que já entrou no CET |</w:t>
      </w:r>
    </w:p>
    <w:p>
      <w:r>
        <w:t>| Entrega | habite-se/conclusão, regularização fiscal e certidões, averbação, ligações definitivas, padrão de entrada, calçada, muro, portões, jardim e acessibilidade |</w:t>
      </w:r>
    </w:p>
    <w:p>
      <w:r>
        <w:t>| Vida da família | aluguel sobreposto, transporte, mudança, móveis planejados, eletrodomésticos, iluminação, cortinas, internet, IPTU/condomínio e manutenção |</w:t>
      </w:r>
    </w:p>
    <w:p>
      <w:r>
        <w:t>Não somar novamente acabamentos ou encargos já incluídos no preço por m²/contrato. A ferramenta permite editar categorias adicionais; o valor de m² não representa pacote universal.</w:t>
      </w:r>
    </w:p>
    <w:p>
      <w:pPr>
        <w:pStyle w:val="Heading2"/>
      </w:pPr>
      <w:r>
        <w:t>4. Quatro caminhos</w:t>
      </w:r>
    </w:p>
    <w:p>
      <w:pPr>
        <w:pStyle w:val="Heading3"/>
      </w:pPr>
      <w:r>
        <w:t>Recursos próprios</w:t>
      </w:r>
    </w:p>
    <w:p>
      <w:r>
        <w:t>Sem empréstimo, juros contratuais ou CET de crédito. Permite negociar pagamentos e evita garantia bancária, mas imobiliza liquidez e pode prolongar a obra. O custo de oportunidade é a rentabilidade líquida ajustada a risco que o dinheiro deixará de ter, não uma despesa do fornecedor. Compare rendimento líquido e disponibilidade; não trate retorno de investimento como garantido.</w:t>
      </w:r>
    </w:p>
    <w:p>
      <w:pPr>
        <w:pStyle w:val="Heading3"/>
      </w:pPr>
      <w:r>
        <w:t>Terreno próprio + financiamento de construção</w:t>
      </w:r>
    </w:p>
    <w:p>
      <w:r>
        <w:t>Terreno precisa ser aceito como garantia e estar regular. Crédito é aprovado por renda, avaliação, orçamento, projeto e regras da linha; não conte com 100% de todos os custos. Liberação por evolução/medição pode exigir antecipações próprias. Na fase de obra podem existir juros sobre valores liberados, atualização, seguros e tarifas; a amortização pode seguir outra fase contratual. Após liberação integral, compare SAC/Price e indexadores.</w:t>
      </w:r>
    </w:p>
    <w:p>
      <w:r>
        <w:t>Vantagens: antecipa execução e preserva parte da liquidez. Desvantagens: dívida longa, garantia, custos, restrições do projeto e descasamento entre pagamentos e liberações.</w:t>
      </w:r>
    </w:p>
    <w:p>
      <w:pPr>
        <w:pStyle w:val="Heading3"/>
      </w:pPr>
      <w:r>
        <w:t>Terreno + construção financiados</w:t>
      </w:r>
    </w:p>
    <w:p>
      <w:r>
        <w:t>Além dos riscos anteriores, aquisição do lote integra análise e documentação. A entrada não é apenas o percentual anunciado: some custos não financiáveis, diferença entre preço e avaliação, reservas e giro da obra. Confirmar elegibilidade do terreno, vendedor e empreendimento antes do sinal. Vantagem: integra operações. Desvantagem: maior endividamento e dependência da aprovação conjunta. Não presumir que todo financiamento permite essa combinação.</w:t>
      </w:r>
    </w:p>
    <w:p>
      <w:pPr>
        <w:pStyle w:val="Heading3"/>
      </w:pPr>
      <w:r>
        <w:t>Consórcio imobiliário</w:t>
      </w:r>
    </w:p>
    <w:p>
      <w:r>
        <w:t>Grupo administrado por instituição autorizada, com crédito liberado após contemplação por sorteio ou lance, cumprimento de garantias e condições contratuais. Não há prazo garantido para contemplação. A carta, as parcelas e o saldo podem ser reajustados conforme contrato. Há taxa de administração, eventual fundo de reserva, seguro e outros custos previstos. Verificar regra de devolução do fundo, exclusão e desistência.</w:t>
      </w:r>
    </w:p>
    <w:p>
      <w:r>
        <w:t>Lance próprio exige liquidez e, quando vencedor, normalmente antecipa obrigações segundo as regras do grupo. Lance embutido reduz o crédito disponível quando permitido. Não tratar lance como taxa adicional definitiva nem como garantia de contemplação. A ferramenta, por prudência, mostra lance próprio adicional sem abatimento futuro e avisa que essa aproximação não serve como proposta contratual; a hipótese inicial usa lance zero.</w:t>
      </w:r>
    </w:p>
    <w:p>
      <w:r>
        <w:t>Vantagens: disciplina de poupança e alternativa de compra programada. Desvantagens: espera incerta, reajustes, taxas e risco de manter aluguel enquanto aguarda. “Sem juros” não significa gratuito. Não chamar sua taxa de administração de CET nem comparar percentuais de prazos diferentes diretamente.</w:t>
      </w:r>
    </w:p>
    <w:p>
      <w:pPr>
        <w:pStyle w:val="Heading2"/>
      </w:pPr>
      <w:r>
        <w:t>5. CET, amortização e fórmulas</w:t>
      </w:r>
    </w:p>
    <w:p>
      <w:r>
        <w:t>Peça o CET oficial e sua planilha, taxa nominal/efetiva, indexador, seguros, avaliação, tarifas, custo na obra e cronograma para cada proposta. Compare mesma data, crédito líquido, prazo e hipóteses. CET inclui encargos previstos na operação conforme regulamentação; indexadores variáveis e custos externos exigem leitura específica da proposta. Não inventar CET para consórcio ou recursos próprios.</w:t>
      </w:r>
    </w:p>
    <w:p>
      <w:r>
        <w:t>A ferramenta usa taxa mensal equivalente (1 + taxa anual)^(1/12) − 1. SAC amortiza principal em parcelas constantes antes de eventual atualização; Price mantém prestação financeira constante sem indexação. Seguro e encargos fixos são somados. Com correção simulada, saldo e fluxo são atualizados mensalmente a uma taxa equivalente anual constante. Contratos reais podem aplicar atualização e seguros de outra forma.</w:t>
      </w:r>
    </w:p>
    <w:p>
      <w:r>
        <w:t>A “taxa implícita” é a taxa interna de retorno anualizada do fluxo mensal: crédito líquido na data zero e prestações nos meses seguintes. Não é o CET oficial, não modela dias exatos nem liberações parceladas, e não prova que despesas de terceiros foram incluídas. Para o CET real, usar datas e fluxos da instituição. Custos iniciais de crédito na ferramenta são exclusivos, para evitar duplicidade com registro e documentação no orçamento.</w:t>
      </w:r>
    </w:p>
    <w:p>
      <w:r>
        <w:t>Amortização extraordinária de financiamento pode reduzir prazo ou prestação conforme contrato e legislação. Solicitar duas simulações ao banco com a mesma data e valor: redução de prazo costuma reduzir juros futuros, mas preservar liquidez pode ser prioritário. FGTS depende de elegibilidade e regras vigentes. A ferramenta inicial não executa amortizações extras nem simula utilização de FGTS; use o cronograma bancário para isso.</w:t>
      </w:r>
    </w:p>
    <w:p>
      <w:pPr>
        <w:pStyle w:val="Heading2"/>
      </w:pPr>
      <w:r>
        <w:t>6. Reservas e fluxo de caixa</w:t>
      </w:r>
    </w:p>
    <w:p>
      <w:r>
        <w:t>- Contingência de obra: hipótese inicial de 15% sobre construção e adicionais, não sobre terreno. Não é margem estatística de erro nem recomendação técnica universal. Ajustar com maturidade do projeto, sondagem e contrato.</w:t>
      </w:r>
    </w:p>
    <w:p>
      <w:r>
        <w:t>- Reserva familiar: seis meses de despesas essenciais na hipótese, fora do custo da casa; calibrar conforme estabilidade de renda e dependentes.</w:t>
      </w:r>
    </w:p>
    <w:p>
      <w:r>
        <w:t>- Inflação/reajuste: hipótese de 5% ao ano para estresse; não previsão. SINAPI, CUB e INCC são referências diferentes; não aplicar índices cumulativamente à mesma despesa.</w:t>
      </w:r>
    </w:p>
    <w:p>
      <w:r>
        <w:t>- Capital de giro: separar datas de pagamento de fornecedor, liberação bancária e recebimento de renda. Manter planilha mensal real de entradas e saídas com a instituição antes de contratar.</w:t>
      </w:r>
    </w:p>
    <w:p>
      <w:r>
        <w:t>O estresse da ferramenta corrige a casa inteira até o horizonte escolhido e mantém o terreno fixo: é sensibilidade simplificada, não inflação de desembolsos por etapa. Teste atrasos de 6 e 12 meses e acrescente aluguel/encargos correspondentes. Compare orçamento com e sem terreno explicitamente. Valores nominais ao longo de décadas não equivalem a valor presente; comparar modalidade apenas pelo total nominal é insuficiente.</w:t>
      </w:r>
    </w:p>
    <w:p>
      <w:pPr>
        <w:pStyle w:val="Heading2"/>
      </w:pPr>
      <w:r>
        <w:t>7. Rotina de controle</w:t>
      </w:r>
    </w:p>
    <w:p>
      <w:r>
        <w:t>A cada mês, importar notas/recibos manualmente no controle, conciliar comprovantes bancários, classificar pago/a pagar e revisar escopo com o responsável técnico. O saldo de orçamento menos compromissos NÃO é estimativa de custo para terminar. Levantar custos a contratar e usar estimativa final = pago + contratado a pagar + custo a contratar + riscos remanescentes. A ferramenta não mede avanço físico nem projeta automaticamente custo a concluir.</w:t>
      </w:r>
    </w:p>
    <w:p>
      <w:r>
        <w:t>Reunião sugerida: revisar premissas; aprovar escopo e teto pelo casal; obter três cotações equivalentes; comparar duas ou mais propostas de crédito; revisar reservas; registrar a decisão do casal e seus motivos. Não tomar o limite de crédito do banco como orçamento recomendado.</w:t>
      </w:r>
    </w:p>
    <w:p>
      <w:pPr>
        <w:pStyle w:val="Heading2"/>
      </w:pPr>
      <w:r>
        <w:t>8. Entrega ao casal</w:t>
      </w:r>
    </w:p>
    <w:p>
      <w:r>
        <w:t>A aplicação funciona sem conta, sem biblioteca externa e sem servidor de dados. Pode ser entregue como pasta para abrir index.html ou hospedada em serviço estático para compartilhamento. Hospedagem não foi publicada. Dados ficam no navegador, sem sincronização ou backup automático. Exportar JSON após cada atualização; cada dispositivo deve importar a cópia atual. O CSV contém cronograma completo; impressão/PDF imprime a tela ativa. Não há edição simultânea ou controle de versões entre o casal.</w:t>
      </w:r>
    </w:p>
    <w:p>
      <w:r>
        <w:t>A versão inicial cobre orçamento, cenários simplificados e compromissos. Ainda exige cotações reais locais, validação técnica, cronograma de medições, propostas bancárias e regra contratual do consórcio antes de orientar uma decisão concreta.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