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1955800</wp:posOffset>
            </wp:positionV>
            <wp:extent cx="393700" cy="203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Esquemas Gráficos – Iluminación LED 74 VCC, Locomotoras EMD</w:t>
      </w:r>
    </w:p>
    <w:p>
      <w:pPr>
        <w:autoSpaceDN w:val="0"/>
        <w:autoSpaceDE w:val="0"/>
        <w:widowControl/>
        <w:spacing w:line="245" w:lineRule="auto" w:before="574" w:after="0"/>
        <w:ind w:left="180" w:right="432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 xml:space="preserve">Esquemas Gráficos – Sistema de Iluminación </w:t>
      </w: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>LED en red de 74 VCC, Locomotoras EMD</w:t>
      </w:r>
    </w:p>
    <w:p>
      <w:pPr>
        <w:autoSpaceDN w:val="0"/>
        <w:autoSpaceDE w:val="0"/>
        <w:widowControl/>
        <w:spacing w:line="240" w:lineRule="auto" w:before="388" w:after="0"/>
        <w:ind w:left="316" w:right="0" w:firstLine="0"/>
        <w:jc w:val="left"/>
      </w:pPr>
      <w:r>
        <w:rPr>
          <w:shd w:val="clear" w:color="auto" w:fill="f0efec"/>
          <w:w w:val="97.5"/>
          <w:rFonts w:ascii="Anthropic Sans Print" w:hAnsi="Anthropic Sans Print" w:eastAsia="Anthropic Sans Print"/>
          <w:b w:val="0"/>
          <w:i w:val="0"/>
          <w:color w:val="0B0B0B"/>
          <w:sz w:val="20"/>
        </w:rPr>
        <w:t>Oct 5, 2026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· </w:t>
      </w:r>
      <w:r>
        <w:rPr>
          <w:shd w:val="clear" w:color="auto" w:fill="f0efec"/>
          <w:w w:val="97.5"/>
          <w:rFonts w:ascii="Anthropic Sans Print" w:hAnsi="Anthropic Sans Print" w:eastAsia="Anthropic Sans Print"/>
          <w:b w:val="0"/>
          <w:i w:val="0"/>
          <w:color w:val="0B0B0B"/>
          <w:sz w:val="20"/>
        </w:rPr>
        <w:t>​@Ricardo</w:t>
      </w:r>
    </w:p>
    <w:p>
      <w:pPr>
        <w:autoSpaceDN w:val="0"/>
        <w:autoSpaceDE w:val="0"/>
        <w:widowControl/>
        <w:spacing w:line="264" w:lineRule="auto" w:before="196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Vistas gráficas del sistema propuesto en </w:t>
      </w:r>
      <w:r>
        <w:rPr>
          <w:w w:val="97.5"/>
          <w:rFonts w:ascii="Anthropic Sans Print" w:hAnsi="Anthropic Sans Print" w:eastAsia="Anthropic Sans Print"/>
          <w:b w:val="0"/>
          <w:i w:val="0"/>
          <w:color w:val="0B0B0B"/>
          <w:sz w:val="20"/>
        </w:rPr>
        <w:t>​Doc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: esquema eléctrico, esquema de control 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vista de componentes.</w:t>
      </w:r>
    </w:p>
    <w:p>
      <w:pPr>
        <w:autoSpaceDN w:val="0"/>
        <w:autoSpaceDE w:val="0"/>
        <w:widowControl/>
        <w:spacing w:line="240" w:lineRule="auto" w:before="570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1. Esquema eléctrico general</w:t>
      </w:r>
    </w:p>
    <w:p>
      <w:pPr>
        <w:autoSpaceDN w:val="0"/>
        <w:autoSpaceDE w:val="0"/>
        <w:widowControl/>
        <w:spacing w:line="271" w:lineRule="auto" w:before="202" w:after="0"/>
        <w:ind w:left="180" w:right="432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 red de 74 VCC, la batería, el generador auxiliar y el panel de cabina no cambian: cada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uno de los 8 circuitos de alumbrado existentes termina ahora en un MCI en lugar de una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ampolleta.</w:t>
      </w:r>
    </w:p>
    <w:p>
      <w:pPr>
        <w:autoSpaceDN w:val="0"/>
        <w:autoSpaceDE w:val="0"/>
        <w:widowControl/>
        <w:spacing w:line="240" w:lineRule="auto" w:before="1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5163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63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6" w:after="0"/>
        <w:ind w:left="180" w:right="0" w:firstLine="0"/>
        <w:jc w:val="left"/>
      </w:pPr>
      <w:r>
        <w:rPr>
          <w:w w:val="97.5"/>
          <w:rFonts w:ascii="Anthropic Sans Print" w:hAnsi="Anthropic Sans Print" w:eastAsia="Anthropic Sans Print"/>
          <w:b w:val="0"/>
          <w:i w:val="0"/>
          <w:color w:val="5E5D59"/>
          <w:sz w:val="20"/>
        </w:rPr>
        <w:t>Esquema eléctrico general · 8 circuitos por locomotora</w:t>
      </w:r>
    </w:p>
    <w:p>
      <w:pPr>
        <w:autoSpaceDN w:val="0"/>
        <w:autoSpaceDE w:val="0"/>
        <w:widowControl/>
        <w:spacing w:line="240" w:lineRule="auto" w:before="78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 of 5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Esquemas Gráficos – Iluminación LED 74 VCC, Locomotoras EMD</w:t>
      </w:r>
    </w:p>
    <w:p>
      <w:pPr>
        <w:autoSpaceDN w:val="0"/>
        <w:autoSpaceDE w:val="0"/>
        <w:widowControl/>
        <w:spacing w:line="271" w:lineRule="auto" w:before="618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Cada MCI se instala junto a sus luminarias y se conecta a los dos conductores (+ / −) que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ya llegan a ese punto. Su protección interna (fusible de 2 A, TVS y fusibles de rama de 1 A)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se detalla en la sección 3.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2. Esquema de control</w:t>
      </w:r>
    </w:p>
    <w:p>
      <w:pPr>
        <w:autoSpaceDN w:val="0"/>
        <w:autoSpaceDE w:val="0"/>
        <w:widowControl/>
        <w:spacing w:line="264" w:lineRule="auto" w:before="216" w:after="0"/>
        <w:ind w:left="180" w:right="576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No se agrega lógica de control nueva: cada interruptor de cabina existente enciende 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apaga su MCI, y el MCI entrega 24 V regulados a sus luminarias.</w:t>
      </w:r>
    </w:p>
    <w:p>
      <w:pPr>
        <w:autoSpaceDN w:val="0"/>
        <w:autoSpaceDE w:val="0"/>
        <w:widowControl/>
        <w:spacing w:line="240" w:lineRule="auto" w:before="40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2.1 Mando y atenuación</w:t>
      </w:r>
    </w:p>
    <w:p>
      <w:pPr>
        <w:autoSpaceDN w:val="0"/>
        <w:autoSpaceDE w:val="0"/>
        <w:widowControl/>
        <w:spacing w:line="240" w:lineRule="auto" w:before="1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96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6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6" w:after="0"/>
        <w:ind w:left="180" w:right="0" w:firstLine="0"/>
        <w:jc w:val="left"/>
      </w:pPr>
      <w:r>
        <w:rPr>
          <w:w w:val="97.5"/>
          <w:rFonts w:ascii="Anthropic Sans Print" w:hAnsi="Anthropic Sans Print" w:eastAsia="Anthropic Sans Print"/>
          <w:b w:val="0"/>
          <w:i w:val="0"/>
          <w:color w:val="5E5D59"/>
          <w:sz w:val="20"/>
        </w:rPr>
        <w:t>Esquema de control · circuito tipo y circuito de instrumentos</w:t>
      </w:r>
    </w:p>
    <w:p>
      <w:pPr>
        <w:autoSpaceDN w:val="0"/>
        <w:autoSpaceDE w:val="0"/>
        <w:widowControl/>
        <w:spacing w:line="271" w:lineRule="auto" w:before="206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 única modificación de mando está en instrumentos: el reóstato de 74 V se puentea y el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brillo se regula con un atenuador PWM a la salida de 24 V de MCI-06, comandado por un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potenciómetro en el panel.</w:t>
      </w:r>
    </w:p>
    <w:p>
      <w:pPr>
        <w:autoSpaceDN w:val="0"/>
        <w:autoSpaceDE w:val="0"/>
        <w:widowControl/>
        <w:spacing w:line="240" w:lineRule="auto" w:before="3456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2 of 5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Esquemas Gráficos – Iluminación LED 74 VCC, Locomotoras EMD</w:t>
      </w:r>
    </w:p>
    <w:p>
      <w:pPr>
        <w:autoSpaceDN w:val="0"/>
        <w:autoSpaceDE w:val="0"/>
        <w:widowControl/>
        <w:spacing w:line="240" w:lineRule="auto" w:before="58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2.2 Respuesta según el estado del motor</w:t>
      </w:r>
    </w:p>
    <w:p>
      <w:pPr>
        <w:autoSpaceDN w:val="0"/>
        <w:autoSpaceDE w:val="0"/>
        <w:widowControl/>
        <w:spacing w:line="240" w:lineRule="auto" w:before="1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259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6" w:after="0"/>
        <w:ind w:left="180" w:right="0" w:firstLine="0"/>
        <w:jc w:val="left"/>
      </w:pPr>
      <w:r>
        <w:rPr>
          <w:w w:val="97.5"/>
          <w:rFonts w:ascii="Anthropic Sans Print" w:hAnsi="Anthropic Sans Print" w:eastAsia="Anthropic Sans Print"/>
          <w:b w:val="0"/>
          <w:i w:val="0"/>
          <w:color w:val="5E5D59"/>
          <w:sz w:val="20"/>
        </w:rPr>
        <w:t>Respuesta según el estado del motor · 4 estados</w:t>
      </w:r>
    </w:p>
    <w:p>
      <w:pPr>
        <w:autoSpaceDN w:val="0"/>
        <w:autoSpaceDE w:val="0"/>
        <w:widowControl/>
        <w:spacing w:line="264" w:lineRule="auto" w:before="206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El brillo es el mismo con el motor detenido o en marcha. Solo durante el giro de arranque, si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la red cae bajo 40 V, el MCI puede apagarse un instante y se reenciende solo.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3. Vista de componentes</w:t>
      </w:r>
    </w:p>
    <w:p>
      <w:pPr>
        <w:autoSpaceDN w:val="0"/>
        <w:autoSpaceDE w:val="0"/>
        <w:widowControl/>
        <w:spacing w:line="264" w:lineRule="auto" w:before="202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Cada MCI es una caja de aluminio con cinco componentes, y cada luminaria es un perfil de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aluminio con tira LED montado dentro de la carcasa existente.</w:t>
      </w:r>
    </w:p>
    <w:p>
      <w:pPr>
        <w:autoSpaceDN w:val="0"/>
        <w:autoSpaceDE w:val="0"/>
        <w:widowControl/>
        <w:spacing w:line="240" w:lineRule="auto" w:before="671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3 of 5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Esquemas Gráficos – Iluminación LED 74 VCC, Locomotoras EMD</w:t>
      </w:r>
    </w:p>
    <w:p>
      <w:pPr>
        <w:autoSpaceDN w:val="0"/>
        <w:autoSpaceDE w:val="0"/>
        <w:widowControl/>
        <w:spacing w:line="240" w:lineRule="auto" w:before="58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3.1 Caja MCI</w:t>
      </w:r>
    </w:p>
    <w:p>
      <w:pPr>
        <w:autoSpaceDN w:val="0"/>
        <w:autoSpaceDE w:val="0"/>
        <w:widowControl/>
        <w:spacing w:line="240" w:lineRule="auto" w:before="1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3439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3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6" w:after="0"/>
        <w:ind w:left="180" w:right="0" w:firstLine="0"/>
        <w:jc w:val="left"/>
      </w:pPr>
      <w:r>
        <w:rPr>
          <w:w w:val="97.5"/>
          <w:rFonts w:ascii="Anthropic Sans Print" w:hAnsi="Anthropic Sans Print" w:eastAsia="Anthropic Sans Print"/>
          <w:b w:val="0"/>
          <w:i w:val="0"/>
          <w:color w:val="5E5D59"/>
          <w:sz w:val="20"/>
        </w:rPr>
        <w:t>Caja MCI · vista superior con tapa retirada</w:t>
      </w:r>
    </w:p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La energía entra a 74 V por la izquierda, cruza el convertidor y sale a 24 V por la derecha. El</w:t>
      </w:r>
    </w:p>
    <w:p>
      <w:pPr>
        <w:autoSpaceDN w:val="0"/>
        <w:autoSpaceDE w:val="0"/>
        <w:widowControl/>
        <w:spacing w:line="240" w:lineRule="auto" w:before="60" w:after="402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TVS va en paralelo con la entrada y el atenuador PWM se agrega solo en MCI-06.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487"/>
        <w:gridCol w:w="3487"/>
        <w:gridCol w:w="3487"/>
      </w:tblGrid>
      <w:tr>
        <w:trPr>
          <w:trHeight w:hRule="exact" w:val="526"/>
        </w:trPr>
        <w:tc>
          <w:tcPr>
            <w:tcW w:type="dxa" w:w="242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Componente</w:t>
            </w:r>
          </w:p>
        </w:tc>
        <w:tc>
          <w:tcPr>
            <w:tcW w:type="dxa" w:w="502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Especificación</w:t>
            </w:r>
          </w:p>
        </w:tc>
        <w:tc>
          <w:tcPr>
            <w:tcW w:type="dxa" w:w="261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Cantidad por caja</w:t>
            </w:r>
          </w:p>
        </w:tc>
      </w:tr>
      <w:tr>
        <w:trPr>
          <w:trHeight w:hRule="exact" w:val="854"/>
        </w:trPr>
        <w:tc>
          <w:tcPr>
            <w:tcW w:type="dxa" w:w="242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Bornes de entrada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X1</w:t>
            </w:r>
          </w:p>
        </w:tc>
        <w:tc>
          <w:tcPr>
            <w:tcW w:type="dxa" w:w="502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Portafusible seccionable, fusible retardado 2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A, ≥ 125 VCC</w:t>
            </w:r>
          </w:p>
        </w:tc>
        <w:tc>
          <w:tcPr>
            <w:tcW w:type="dxa" w:w="2610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 juego (+ / −)</w:t>
            </w:r>
          </w:p>
        </w:tc>
      </w:tr>
      <w:tr>
        <w:trPr>
          <w:trHeight w:hRule="exact" w:val="510"/>
        </w:trPr>
        <w:tc>
          <w:tcPr>
            <w:tcW w:type="dxa" w:w="242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Supresor TVS</w:t>
            </w:r>
          </w:p>
        </w:tc>
        <w:tc>
          <w:tcPr>
            <w:tcW w:type="dxa" w:w="502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Bidireccional, 5 kW, 110 V de trabajo</w:t>
            </w:r>
          </w:p>
        </w:tc>
        <w:tc>
          <w:tcPr>
            <w:tcW w:type="dxa" w:w="2610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</w:t>
            </w:r>
          </w:p>
        </w:tc>
      </w:tr>
      <w:tr>
        <w:trPr>
          <w:trHeight w:hRule="exact" w:val="526"/>
        </w:trPr>
        <w:tc>
          <w:tcPr>
            <w:tcW w:type="dxa" w:w="2428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Convertidor DC/DC</w:t>
            </w:r>
          </w:p>
        </w:tc>
        <w:tc>
          <w:tcPr>
            <w:tcW w:type="dxa" w:w="5026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40–160 VCC → 24 VCC, 30 W, EN 50155</w:t>
            </w:r>
          </w:p>
        </w:tc>
        <w:tc>
          <w:tcPr>
            <w:tcW w:type="dxa" w:w="2610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</w:t>
            </w:r>
          </w:p>
        </w:tc>
      </w:tr>
      <w:tr>
        <w:trPr>
          <w:trHeight w:hRule="exact" w:val="524"/>
        </w:trPr>
        <w:tc>
          <w:tcPr>
            <w:tcW w:type="dxa" w:w="2428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Bornes de salida X2</w:t>
            </w:r>
          </w:p>
        </w:tc>
        <w:tc>
          <w:tcPr>
            <w:tcW w:type="dxa" w:w="5026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Portafusibles con fusible 1 A</w:t>
            </w:r>
          </w:p>
        </w:tc>
        <w:tc>
          <w:tcPr>
            <w:tcW w:type="dxa" w:w="261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 por rama</w:t>
            </w:r>
          </w:p>
        </w:tc>
      </w:tr>
      <w:tr>
        <w:trPr>
          <w:trHeight w:hRule="exact" w:val="856"/>
        </w:trPr>
        <w:tc>
          <w:tcPr>
            <w:tcW w:type="dxa" w:w="2428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Prensaestopas</w:t>
            </w:r>
          </w:p>
        </w:tc>
        <w:tc>
          <w:tcPr>
            <w:tcW w:type="dxa" w:w="5026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Metálicos M16, IP65</w:t>
            </w:r>
          </w:p>
        </w:tc>
        <w:tc>
          <w:tcPr>
            <w:tcW w:type="dxa" w:w="261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 de entrada + 1 por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rama</w:t>
            </w:r>
          </w:p>
        </w:tc>
      </w:tr>
      <w:tr>
        <w:trPr>
          <w:trHeight w:hRule="exact" w:val="524"/>
        </w:trPr>
        <w:tc>
          <w:tcPr>
            <w:tcW w:type="dxa" w:w="2428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Atenuador PWM</w:t>
            </w:r>
          </w:p>
        </w:tc>
        <w:tc>
          <w:tcPr>
            <w:tcW w:type="dxa" w:w="5026"/>
            <w:tcBorders>
              <w:start w:sz="5.599999999999909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24 VCC, ≥ 2 kHz</w:t>
            </w:r>
          </w:p>
        </w:tc>
        <w:tc>
          <w:tcPr>
            <w:tcW w:type="dxa" w:w="2610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Solo en MCI-06</w:t>
            </w:r>
          </w:p>
        </w:tc>
      </w:tr>
    </w:tbl>
    <w:p>
      <w:pPr>
        <w:autoSpaceDN w:val="0"/>
        <w:autoSpaceDE w:val="0"/>
        <w:widowControl/>
        <w:spacing w:line="240" w:lineRule="auto" w:before="2618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4 of 5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Esquemas Gráficos – Iluminación LED 74 VCC, Locomotoras EMD</w:t>
      </w:r>
    </w:p>
    <w:p>
      <w:pPr>
        <w:autoSpaceDN w:val="0"/>
        <w:autoSpaceDE w:val="0"/>
        <w:widowControl/>
        <w:spacing w:line="240" w:lineRule="auto" w:before="58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3.2 Luminaria LED</w:t>
      </w:r>
    </w:p>
    <w:p>
      <w:pPr>
        <w:autoSpaceDN w:val="0"/>
        <w:autoSpaceDE w:val="0"/>
        <w:widowControl/>
        <w:spacing w:line="240" w:lineRule="auto" w:before="1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6" w:after="0"/>
        <w:ind w:left="180" w:right="0" w:firstLine="0"/>
        <w:jc w:val="left"/>
      </w:pPr>
      <w:r>
        <w:rPr>
          <w:w w:val="97.5"/>
          <w:rFonts w:ascii="Anthropic Sans Print" w:hAnsi="Anthropic Sans Print" w:eastAsia="Anthropic Sans Print"/>
          <w:b w:val="0"/>
          <w:i w:val="0"/>
          <w:color w:val="5E5D59"/>
          <w:sz w:val="20"/>
        </w:rPr>
        <w:t>Luminaria LED tipo · corte del perfil y montaje en numerador</w:t>
      </w:r>
    </w:p>
    <w:p>
      <w:pPr>
        <w:autoSpaceDN w:val="0"/>
        <w:autoSpaceDE w:val="0"/>
        <w:widowControl/>
        <w:spacing w:line="240" w:lineRule="auto" w:before="206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Dos perfiles por numerador iluminan el panel desde atrás. El difusor evita que se vean los</w:t>
      </w:r>
    </w:p>
    <w:p>
      <w:pPr>
        <w:autoSpaceDN w:val="0"/>
        <w:autoSpaceDE w:val="0"/>
        <w:widowControl/>
        <w:spacing w:line="240" w:lineRule="auto" w:before="60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puntos de LED y el perfil conduce el calor hacia la carcasa.</w:t>
      </w:r>
    </w:p>
    <w:p>
      <w:pPr>
        <w:autoSpaceDN w:val="0"/>
        <w:autoSpaceDE w:val="0"/>
        <w:widowControl/>
        <w:spacing w:line="240" w:lineRule="auto" w:before="740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5 of 5</w:t>
      </w:r>
    </w:p>
    <w:sectPr w:rsidR="00FC693F" w:rsidRPr="0006063C" w:rsidSect="00034616">
      <w:pgSz w:w="12240" w:h="15840"/>
      <w:pgMar w:top="146" w:right="880" w:bottom="1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