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45" w:lineRule="auto" w:before="574" w:after="0"/>
        <w:ind w:left="180" w:right="144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 xml:space="preserve">Memoria de Cálculo – Sistema de Iluminación 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 xml:space="preserve">LED alimentado desde la red de control de 74 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>VCC en Locomotoras Diésel</w:t>
      </w:r>
      <w:r>
        <w:rPr>
          <w:rFonts w:ascii="DejaVu Serif" w:hAnsi="DejaVu Serif" w:eastAsia="DejaVu Serif"/>
          <w:b w:val="0"/>
          <w:i w:val="0"/>
          <w:color w:val="1F1E1D"/>
          <w:sz w:val="48"/>
        </w:rPr>
        <w:t>‑</w:t>
      </w: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>Eléctricas EMD</w:t>
      </w:r>
    </w:p>
    <w:p>
      <w:pPr>
        <w:autoSpaceDN w:val="0"/>
        <w:autoSpaceDE w:val="0"/>
        <w:widowControl/>
        <w:spacing w:line="240" w:lineRule="auto" w:before="372" w:after="0"/>
        <w:ind w:left="316" w:right="0" w:firstLine="0"/>
        <w:jc w:val="left"/>
      </w:pPr>
      <w:r>
        <w:rPr>
          <w:shd w:val="clear" w:color="auto" w:fill="f0efec"/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Oct 5, 2026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· </w:t>
      </w:r>
      <w:r>
        <w:rPr>
          <w:shd w:val="clear" w:color="auto" w:fill="f0efec"/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​@Ricardo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1. Objeto, alcance y resumen</w:t>
      </w:r>
    </w:p>
    <w:p>
      <w:pPr>
        <w:autoSpaceDN w:val="0"/>
        <w:autoSpaceDE w:val="0"/>
        <w:widowControl/>
        <w:spacing w:line="278" w:lineRule="auto" w:before="218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 propone alimentar la iluminación LED desde los mismos dos conductores (+ / −) de 74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VCC que hoy llegan a cada ampolleta, intercalando un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Módulo Conversor de Iluminación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(MCI)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: un convertidor DC/DC aislado de grado ferroviario (entrada 40–160 VCC, salida 24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VCC regulada) que alimenta tiras LED de 24 V. Así la luz es idéntica con el motor detenido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(≈ 66 V) o en marcha (≈ 74 V) y desaparece la dependencia de ampolletas de 74 V.</w:t>
      </w:r>
    </w:p>
    <w:p>
      <w:pPr>
        <w:autoSpaceDN w:val="0"/>
        <w:autoSpaceDE w:val="0"/>
        <w:widowControl/>
        <w:spacing w:line="271" w:lineRule="auto" w:before="210" w:after="0"/>
        <w:ind w:left="180" w:right="432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Objeto.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Dimensionar, especificar y justificar técnicamente el sistema de conversión 74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VCC → 24 VCC y las luminarias LED que reemplazan a las ampolletas incandescentes de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numeradores y luces de señalización.</w:t>
      </w:r>
    </w:p>
    <w:p>
      <w:pPr>
        <w:autoSpaceDN w:val="0"/>
        <w:autoSpaceDE w:val="0"/>
        <w:widowControl/>
        <w:spacing w:line="240" w:lineRule="auto" w:before="194" w:after="0"/>
        <w:ind w:left="180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Alcance.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210" w:after="0"/>
        <w:ind w:left="240" w:right="100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Locomotoras diésel-eléctricas EMD, unidades N.º 49 y N.º 50 (modelo exacto 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confirmar en terreno).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72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Circuitos incluidos: numeradores, luces de clase/marcadoras y de culata, luces de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cabina, luces de instrumentos y luces de estribos.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Fuera de alcance (confirmado): focos principales y luces de zanja de alta intensidad.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No se resuelven con tira LED; se recomienda lámpara LED PAR-56 de 74 VCC para uso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ferroviario (ver sección 8).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1584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No se modifica la batería, el generador auxiliar, el regulador de voltaje ni los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interruptores de cabina existentes.</w:t>
      </w:r>
    </w:p>
    <w:p>
      <w:pPr>
        <w:autoSpaceDN w:val="0"/>
        <w:autoSpaceDE w:val="0"/>
        <w:widowControl/>
        <w:spacing w:line="240" w:lineRule="auto" w:before="196" w:after="418"/>
        <w:ind w:left="180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Resultados principales (por locomotora).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5230"/>
        <w:gridCol w:w="5230"/>
      </w:tblGrid>
      <w:tr>
        <w:trPr>
          <w:trHeight w:hRule="exact" w:val="524"/>
        </w:trPr>
        <w:tc>
          <w:tcPr>
            <w:tcW w:type="dxa" w:w="4994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Parámetro</w:t>
            </w:r>
          </w:p>
        </w:tc>
        <w:tc>
          <w:tcPr>
            <w:tcW w:type="dxa" w:w="50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Valor</w:t>
            </w:r>
          </w:p>
        </w:tc>
      </w:tr>
      <w:tr>
        <w:trPr>
          <w:trHeight w:hRule="exact" w:val="526"/>
        </w:trPr>
        <w:tc>
          <w:tcPr>
            <w:tcW w:type="dxa" w:w="4994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Carga LED total instalada</w:t>
            </w:r>
          </w:p>
        </w:tc>
        <w:tc>
          <w:tcPr>
            <w:tcW w:type="dxa" w:w="50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97 W</w:t>
            </w:r>
          </w:p>
        </w:tc>
      </w:tr>
      <w:tr>
        <w:trPr>
          <w:trHeight w:hRule="exact" w:val="840"/>
        </w:trPr>
        <w:tc>
          <w:tcPr>
            <w:tcW w:type="dxa" w:w="4994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Potencia absorbida desde la red de 74 VCC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</w:t>
            </w:r>
            <w:r>
              <w:rPr>
                <w:w w:val="98.08695419974948"/>
                <w:rFonts w:ascii="DejaVu Sans" w:hAnsi="DejaVu Sans" w:eastAsia="DejaVu Sans"/>
                <w:b w:val="0"/>
                <w:i w:val="0"/>
                <w:color w:val="1F1E1D"/>
                <w:sz w:val="23"/>
              </w:rPr>
              <w:t>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 = 85 %)</w:t>
            </w:r>
          </w:p>
        </w:tc>
        <w:tc>
          <w:tcPr>
            <w:tcW w:type="dxa" w:w="5070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114 W</w:t>
            </w:r>
          </w:p>
        </w:tc>
      </w:tr>
    </w:tbl>
    <w:p>
      <w:pPr>
        <w:autoSpaceDN w:val="0"/>
        <w:autoSpaceDE w:val="0"/>
        <w:widowControl/>
        <w:spacing w:line="240" w:lineRule="auto" w:before="92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5230"/>
        <w:gridCol w:w="5230"/>
      </w:tblGrid>
      <w:tr>
        <w:trPr>
          <w:trHeight w:hRule="exact" w:val="524"/>
        </w:trPr>
        <w:tc>
          <w:tcPr>
            <w:tcW w:type="dxa" w:w="4994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Parámetro</w:t>
            </w:r>
          </w:p>
        </w:tc>
        <w:tc>
          <w:tcPr>
            <w:tcW w:type="dxa" w:w="507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Valor</w:t>
            </w:r>
          </w:p>
        </w:tc>
      </w:tr>
      <w:tr>
        <w:trPr>
          <w:trHeight w:hRule="exact" w:val="840"/>
        </w:trPr>
        <w:tc>
          <w:tcPr>
            <w:tcW w:type="dxa" w:w="4994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Corriente total de entrada a 74 V / 66 V /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50,4 V</w:t>
            </w:r>
          </w:p>
        </w:tc>
        <w:tc>
          <w:tcPr>
            <w:tcW w:type="dxa" w:w="507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1,54 A / 1,73 A / 2,26 A</w:t>
            </w:r>
          </w:p>
        </w:tc>
      </w:tr>
      <w:tr>
        <w:trPr>
          <w:trHeight w:hRule="exact" w:val="524"/>
        </w:trPr>
        <w:tc>
          <w:tcPr>
            <w:tcW w:type="dxa" w:w="4994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Módulos MCI-30 (30 W, 24 VCC)</w:t>
            </w:r>
          </w:p>
        </w:tc>
        <w:tc>
          <w:tcPr>
            <w:tcW w:type="dxa" w:w="507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 instalados + 1 de repuesto</w:t>
            </w:r>
          </w:p>
        </w:tc>
      </w:tr>
      <w:tr>
        <w:trPr>
          <w:trHeight w:hRule="exact" w:val="856"/>
        </w:trPr>
        <w:tc>
          <w:tcPr>
            <w:tcW w:type="dxa" w:w="4994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Tensión LED</w:t>
            </w:r>
          </w:p>
        </w:tc>
        <w:tc>
          <w:tcPr>
            <w:tcW w:type="dxa" w:w="50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0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24 VCC regulada ± 1 %, independiente del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estado del motor</w:t>
            </w:r>
          </w:p>
        </w:tc>
      </w:tr>
      <w:tr>
        <w:trPr>
          <w:trHeight w:hRule="exact" w:val="524"/>
        </w:trPr>
        <w:tc>
          <w:tcPr>
            <w:tcW w:type="dxa" w:w="4994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Vida útil esperada LED (L70)</w:t>
            </w:r>
          </w:p>
        </w:tc>
        <w:tc>
          <w:tcPr>
            <w:tcW w:type="dxa" w:w="50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≥ 30 000 h vs. ≈ 1 000 h de la ampolleta</w:t>
            </w:r>
          </w:p>
        </w:tc>
      </w:tr>
    </w:tbl>
    <w:p>
      <w:pPr>
        <w:autoSpaceDN w:val="0"/>
        <w:autoSpaceDE w:val="0"/>
        <w:widowControl/>
        <w:spacing w:line="240" w:lineRule="auto" w:before="678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2. Antecedentes del sistema eléctrico de control</w:t>
      </w:r>
    </w:p>
    <w:p>
      <w:pPr>
        <w:autoSpaceDN w:val="0"/>
        <w:autoSpaceDE w:val="0"/>
        <w:widowControl/>
        <w:spacing w:line="276" w:lineRule="auto" w:before="202" w:after="418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 red de control de las locomotoras EMD es de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64 VCC nominales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: una batería de plomo-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ácido de 32 celdas (8 monoblocks de 8 V) que el generador auxiliar mantiene en flotación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74 VCC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cuando el motor diésel está en marcha. Toda la iluminación cuelga de esta red,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por lo que sus ampolletas ven dos tensiones distintas según el estado del motor.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615"/>
        <w:gridCol w:w="2615"/>
        <w:gridCol w:w="2615"/>
        <w:gridCol w:w="2615"/>
      </w:tblGrid>
      <w:tr>
        <w:trPr>
          <w:trHeight w:hRule="exact" w:val="856"/>
        </w:trPr>
        <w:tc>
          <w:tcPr>
            <w:tcW w:type="dxa" w:w="313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Estado de la locomotora</w:t>
            </w:r>
          </w:p>
        </w:tc>
        <w:tc>
          <w:tcPr>
            <w:tcW w:type="dxa" w:w="2534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Tensión en la red</w:t>
            </w:r>
          </w:p>
        </w:tc>
        <w:tc>
          <w:tcPr>
            <w:tcW w:type="dxa" w:w="151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Tensión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por celda</w:t>
            </w:r>
          </w:p>
        </w:tc>
        <w:tc>
          <w:tcPr>
            <w:tcW w:type="dxa" w:w="288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Origen</w:t>
            </w:r>
          </w:p>
        </w:tc>
      </w:tr>
      <w:tr>
        <w:trPr>
          <w:trHeight w:hRule="exact" w:val="840"/>
        </w:trPr>
        <w:tc>
          <w:tcPr>
            <w:tcW w:type="dxa" w:w="313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Motor detenido, batería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cargada en reposo</w:t>
            </w:r>
          </w:p>
        </w:tc>
        <w:tc>
          <w:tcPr>
            <w:tcW w:type="dxa" w:w="2534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64–67 V (medido: 66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V)</w:t>
            </w:r>
          </w:p>
        </w:tc>
        <w:tc>
          <w:tcPr>
            <w:tcW w:type="dxa" w:w="151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2,00–2,09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</w:t>
            </w:r>
          </w:p>
        </w:tc>
        <w:tc>
          <w:tcPr>
            <w:tcW w:type="dxa" w:w="288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Batería</w:t>
            </w:r>
          </w:p>
        </w:tc>
      </w:tr>
      <w:tr>
        <w:trPr>
          <w:trHeight w:hRule="exact" w:val="854"/>
        </w:trPr>
        <w:tc>
          <w:tcPr>
            <w:tcW w:type="dxa" w:w="313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Motor en marcha, carga en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flotación</w:t>
            </w:r>
          </w:p>
        </w:tc>
        <w:tc>
          <w:tcPr>
            <w:tcW w:type="dxa" w:w="2534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73–75 V (medido: 74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V)</w:t>
            </w:r>
          </w:p>
        </w:tc>
        <w:tc>
          <w:tcPr>
            <w:tcW w:type="dxa" w:w="151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2,30 V</w:t>
            </w:r>
          </w:p>
        </w:tc>
        <w:tc>
          <w:tcPr>
            <w:tcW w:type="dxa" w:w="288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6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Generador auxiliar +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regulador</w:t>
            </w:r>
          </w:p>
        </w:tc>
      </w:tr>
      <w:tr>
        <w:trPr>
          <w:trHeight w:hRule="exact" w:val="856"/>
        </w:trPr>
        <w:tc>
          <w:tcPr>
            <w:tcW w:type="dxa" w:w="313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Batería descargada (fin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descarga)</w:t>
            </w:r>
          </w:p>
        </w:tc>
        <w:tc>
          <w:tcPr>
            <w:tcW w:type="dxa" w:w="2534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≈ 56 V</w:t>
            </w:r>
          </w:p>
        </w:tc>
        <w:tc>
          <w:tcPr>
            <w:tcW w:type="dxa" w:w="151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1,75 V</w:t>
            </w:r>
          </w:p>
        </w:tc>
        <w:tc>
          <w:tcPr>
            <w:tcW w:type="dxa" w:w="288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Batería</w:t>
            </w:r>
          </w:p>
        </w:tc>
      </w:tr>
      <w:tr>
        <w:trPr>
          <w:trHeight w:hRule="exact" w:val="840"/>
        </w:trPr>
        <w:tc>
          <w:tcPr>
            <w:tcW w:type="dxa" w:w="3136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Arranque del motor diésel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(giro)</w:t>
            </w:r>
          </w:p>
        </w:tc>
        <w:tc>
          <w:tcPr>
            <w:tcW w:type="dxa" w:w="2534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caída breve hasta ≈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 V</w:t>
            </w:r>
          </w:p>
        </w:tc>
        <w:tc>
          <w:tcPr>
            <w:tcW w:type="dxa" w:w="1514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—</w:t>
            </w:r>
          </w:p>
        </w:tc>
        <w:tc>
          <w:tcPr>
            <w:tcW w:type="dxa" w:w="2880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Batería con corriente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arranque &gt; 300 A</w:t>
            </w:r>
          </w:p>
        </w:tc>
      </w:tr>
      <w:tr>
        <w:trPr>
          <w:trHeight w:hRule="exact" w:val="1184"/>
        </w:trPr>
        <w:tc>
          <w:tcPr>
            <w:tcW w:type="dxa" w:w="3136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8" w:right="86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Falla del regulador /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transitorios de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conmutación</w:t>
            </w:r>
          </w:p>
        </w:tc>
        <w:tc>
          <w:tcPr>
            <w:tcW w:type="dxa" w:w="2534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6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hasta ≈ 90 V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sostenido, picos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mayores</w:t>
            </w:r>
          </w:p>
        </w:tc>
        <w:tc>
          <w:tcPr>
            <w:tcW w:type="dxa" w:w="1514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—</w:t>
            </w:r>
          </w:p>
        </w:tc>
        <w:tc>
          <w:tcPr>
            <w:tcW w:type="dxa" w:w="2880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Contactores, bobinas,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regulador</w:t>
            </w:r>
          </w:p>
        </w:tc>
      </w:tr>
    </w:tbl>
    <w:p>
      <w:pPr>
        <w:autoSpaceDN w:val="0"/>
        <w:autoSpaceDE w:val="0"/>
        <w:widowControl/>
        <w:spacing w:line="264" w:lineRule="auto" w:before="316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Estos valores son típicos de la red EMD; los de arranque y falla deben confirmarse con un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registro de tensión en las unidades 49 y 50.</w:t>
      </w:r>
    </w:p>
    <w:p>
      <w:pPr>
        <w:autoSpaceDN w:val="0"/>
        <w:autoSpaceDE w:val="0"/>
        <w:widowControl/>
        <w:spacing w:line="240" w:lineRule="auto" w:before="158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40" w:lineRule="auto" w:before="588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2.1 Por qué fallan las ampolletas de 74 V</w:t>
      </w:r>
    </w:p>
    <w:p>
      <w:pPr>
        <w:autoSpaceDN w:val="0"/>
        <w:autoSpaceDE w:val="0"/>
        <w:widowControl/>
        <w:spacing w:line="264" w:lineRule="auto" w:before="202" w:after="0"/>
        <w:ind w:left="172" w:right="72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 ampolleta incandescente es muy sensible a la tensión. Las relaciones empíricas de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diseño de iluminación son: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94" w:after="0"/>
        <w:ind w:left="2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Vida útil: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L / L</w:t>
      </w:r>
      <w:r>
        <w:rPr>
          <w:rFonts w:ascii="DejaVu Sans" w:hAnsi="DejaVu Sans" w:eastAsia="DejaVu Sans"/>
          <w:b/>
          <w:i w:val="0"/>
          <w:color w:val="1F1E1D"/>
          <w:sz w:val="24"/>
        </w:rPr>
        <w:t>ₙ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 = (V</w:t>
      </w:r>
      <w:r>
        <w:rPr>
          <w:rFonts w:ascii="DejaVu Sans" w:hAnsi="DejaVu Sans" w:eastAsia="DejaVu Sans"/>
          <w:b/>
          <w:i w:val="0"/>
          <w:color w:val="1F1E1D"/>
          <w:sz w:val="24"/>
        </w:rPr>
        <w:t>ₙ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 / V) ^ 13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Flujo luminoso: </w:t>
      </w:r>
      <w:r>
        <w:rPr>
          <w:rFonts w:ascii="DejaVu Sans" w:hAnsi="DejaVu Sans" w:eastAsia="DejaVu Sans"/>
          <w:b/>
          <w:i w:val="0"/>
          <w:color w:val="1F1E1D"/>
          <w:sz w:val="24"/>
        </w:rPr>
        <w:t>Φ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 / </w:t>
      </w:r>
      <w:r>
        <w:rPr>
          <w:rFonts w:ascii="DejaVu Sans" w:hAnsi="DejaVu Sans" w:eastAsia="DejaVu Sans"/>
          <w:b/>
          <w:i w:val="0"/>
          <w:color w:val="1F1E1D"/>
          <w:sz w:val="24"/>
        </w:rPr>
        <w:t>Φₙ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 = (V / V</w:t>
      </w:r>
      <w:r>
        <w:rPr>
          <w:rFonts w:ascii="DejaVu Sans" w:hAnsi="DejaVu Sans" w:eastAsia="DejaVu Sans"/>
          <w:b/>
          <w:i w:val="0"/>
          <w:color w:val="1F1E1D"/>
          <w:sz w:val="24"/>
        </w:rPr>
        <w:t>ₙ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) ^ 3,4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Potencia: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P / P</w:t>
      </w:r>
      <w:r>
        <w:rPr>
          <w:rFonts w:ascii="DejaVu Sans" w:hAnsi="DejaVu Sans" w:eastAsia="DejaVu Sans"/>
          <w:b/>
          <w:i w:val="0"/>
          <w:color w:val="1F1E1D"/>
          <w:sz w:val="24"/>
        </w:rPr>
        <w:t>ₙ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 = (V / V</w:t>
      </w:r>
      <w:r>
        <w:rPr>
          <w:rFonts w:ascii="DejaVu Sans" w:hAnsi="DejaVu Sans" w:eastAsia="DejaVu Sans"/>
          <w:b/>
          <w:i w:val="0"/>
          <w:color w:val="1F1E1D"/>
          <w:sz w:val="24"/>
        </w:rPr>
        <w:t>ₙ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) ^ 1,6</w:t>
      </w:r>
    </w:p>
    <w:p>
      <w:pPr>
        <w:autoSpaceDN w:val="0"/>
        <w:autoSpaceDE w:val="0"/>
        <w:widowControl/>
        <w:spacing w:line="264" w:lineRule="auto" w:before="210" w:after="418"/>
        <w:ind w:left="172" w:right="72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donde L es la vida útil, </w:t>
      </w:r>
      <w:r>
        <w:rPr>
          <w:rFonts w:ascii="DejaVu Sans" w:hAnsi="DejaVu Sans" w:eastAsia="DejaVu Sans"/>
          <w:b w:val="0"/>
          <w:i w:val="0"/>
          <w:color w:val="1F1E1D"/>
          <w:sz w:val="24"/>
        </w:rPr>
        <w:t>Φ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el flujo luminoso, P la potencia y el subíndice n indica el valor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nominal (V n = 74 V).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611"/>
        <w:gridCol w:w="2611"/>
        <w:gridCol w:w="2611"/>
        <w:gridCol w:w="2611"/>
      </w:tblGrid>
      <w:tr>
        <w:trPr>
          <w:trHeight w:hRule="exact" w:val="840"/>
        </w:trPr>
        <w:tc>
          <w:tcPr>
            <w:tcW w:type="dxa" w:w="364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Tensión aplicada</w:t>
            </w:r>
          </w:p>
        </w:tc>
        <w:tc>
          <w:tcPr>
            <w:tcW w:type="dxa" w:w="186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50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Vida útil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relativa</w:t>
            </w:r>
          </w:p>
        </w:tc>
        <w:tc>
          <w:tcPr>
            <w:tcW w:type="dxa" w:w="241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Flujo luminoso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relativo</w:t>
            </w:r>
          </w:p>
        </w:tc>
        <w:tc>
          <w:tcPr>
            <w:tcW w:type="dxa" w:w="214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Efecto</w:t>
            </w:r>
          </w:p>
        </w:tc>
      </w:tr>
      <w:tr>
        <w:trPr>
          <w:trHeight w:hRule="exact" w:val="856"/>
        </w:trPr>
        <w:tc>
          <w:tcPr>
            <w:tcW w:type="dxa" w:w="364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66 V (motor detenido)</w:t>
            </w:r>
          </w:p>
        </w:tc>
        <w:tc>
          <w:tcPr>
            <w:tcW w:type="dxa" w:w="186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443 %</w:t>
            </w:r>
          </w:p>
        </w:tc>
        <w:tc>
          <w:tcPr>
            <w:tcW w:type="dxa" w:w="241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68 %</w:t>
            </w:r>
          </w:p>
        </w:tc>
        <w:tc>
          <w:tcPr>
            <w:tcW w:type="dxa" w:w="214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0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Luz 32 % más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débil</w:t>
            </w:r>
          </w:p>
        </w:tc>
      </w:tr>
      <w:tr>
        <w:trPr>
          <w:trHeight w:hRule="exact" w:val="854"/>
        </w:trPr>
        <w:tc>
          <w:tcPr>
            <w:tcW w:type="dxa" w:w="364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74 V (motor en marcha)</w:t>
            </w:r>
          </w:p>
        </w:tc>
        <w:tc>
          <w:tcPr>
            <w:tcW w:type="dxa" w:w="186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241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100 %</w:t>
            </w:r>
          </w:p>
        </w:tc>
        <w:tc>
          <w:tcPr>
            <w:tcW w:type="dxa" w:w="214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0" w:right="86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Condición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nominal</w:t>
            </w:r>
          </w:p>
        </w:tc>
      </w:tr>
      <w:tr>
        <w:trPr>
          <w:trHeight w:hRule="exact" w:val="840"/>
        </w:trPr>
        <w:tc>
          <w:tcPr>
            <w:tcW w:type="dxa" w:w="364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77 V (+4 %, tolerancia del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regulador)</w:t>
            </w:r>
          </w:p>
        </w:tc>
        <w:tc>
          <w:tcPr>
            <w:tcW w:type="dxa" w:w="186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60 %</w:t>
            </w:r>
          </w:p>
        </w:tc>
        <w:tc>
          <w:tcPr>
            <w:tcW w:type="dxa" w:w="24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115 %</w:t>
            </w:r>
          </w:p>
        </w:tc>
        <w:tc>
          <w:tcPr>
            <w:tcW w:type="dxa" w:w="214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Vida 40 % menor</w:t>
            </w:r>
          </w:p>
        </w:tc>
      </w:tr>
      <w:tr>
        <w:trPr>
          <w:trHeight w:hRule="exact" w:val="526"/>
        </w:trPr>
        <w:tc>
          <w:tcPr>
            <w:tcW w:type="dxa" w:w="364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80 V (+8 %)</w:t>
            </w:r>
          </w:p>
        </w:tc>
        <w:tc>
          <w:tcPr>
            <w:tcW w:type="dxa" w:w="186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36 %</w:t>
            </w:r>
          </w:p>
        </w:tc>
        <w:tc>
          <w:tcPr>
            <w:tcW w:type="dxa" w:w="241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130 %</w:t>
            </w:r>
          </w:p>
        </w:tc>
        <w:tc>
          <w:tcPr>
            <w:tcW w:type="dxa" w:w="214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Vida 64 % menor</w:t>
            </w:r>
          </w:p>
        </w:tc>
      </w:tr>
    </w:tbl>
    <w:p>
      <w:pPr>
        <w:autoSpaceDN w:val="0"/>
        <w:autoSpaceDE w:val="0"/>
        <w:widowControl/>
        <w:spacing w:line="276" w:lineRule="auto" w:before="330" w:after="0"/>
        <w:ind w:left="17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 esto se suma la vibración del bastidor, que rompe el filamento caliente. Una ampolleta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 64 V (más fácil de conseguir) instalada como reemplazo duraría solo (64/74)^13 ≈ 15 %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 su vida nominal en marcha. Ninguna ampolleta resuelve a la vez las dos tensiones; un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convertidor regulado sí.</w:t>
      </w:r>
    </w:p>
    <w:p>
      <w:pPr>
        <w:autoSpaceDN w:val="0"/>
        <w:autoSpaceDE w:val="0"/>
        <w:widowControl/>
        <w:spacing w:line="240" w:lineRule="auto" w:before="556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3. Bases de diseño y normativa</w:t>
      </w:r>
    </w:p>
    <w:p>
      <w:pPr>
        <w:autoSpaceDN w:val="0"/>
        <w:autoSpaceDE w:val="0"/>
        <w:widowControl/>
        <w:spacing w:line="271" w:lineRule="auto" w:before="202" w:after="0"/>
        <w:ind w:left="17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Todo equipo conectado a la red de 74 VCC se diseña para la clase de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72 V nominales de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EN 50155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, la clase normalizada más cercana a la red EMD. Eso exige funcionar entre 50,4 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90 V en forma continua y tolerar 43,2 V y 100,8 V en forma transitoria.</w:t>
      </w:r>
    </w:p>
    <w:p>
      <w:pPr>
        <w:autoSpaceDN w:val="0"/>
        <w:autoSpaceDE w:val="0"/>
        <w:widowControl/>
        <w:spacing w:line="240" w:lineRule="auto" w:before="272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3 of 18</w:t>
      </w:r>
    </w:p>
    <w:p>
      <w:pPr>
        <w:sectPr>
          <w:pgSz w:w="12240" w:h="15840"/>
          <w:pgMar w:top="146" w:right="888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40" w:lineRule="auto" w:before="588" w:after="364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3.1 Normativa aplicable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5230"/>
        <w:gridCol w:w="5230"/>
      </w:tblGrid>
      <w:tr>
        <w:trPr>
          <w:trHeight w:hRule="exact" w:val="524"/>
        </w:trPr>
        <w:tc>
          <w:tcPr>
            <w:tcW w:type="dxa" w:w="5054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Norma</w:t>
            </w:r>
          </w:p>
        </w:tc>
        <w:tc>
          <w:tcPr>
            <w:tcW w:type="dxa" w:w="501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Aplicación en este proyecto</w:t>
            </w:r>
          </w:p>
        </w:tc>
      </w:tr>
      <w:tr>
        <w:trPr>
          <w:trHeight w:hRule="exact" w:val="856"/>
        </w:trPr>
        <w:tc>
          <w:tcPr>
            <w:tcW w:type="dxa" w:w="5054"/>
            <w:tcBorders>
              <w:start w:sz="6.399999999999977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EN 50155 – Equipos electrónicos en material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rodante</w:t>
            </w:r>
          </w:p>
        </w:tc>
        <w:tc>
          <w:tcPr>
            <w:tcW w:type="dxa" w:w="5010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Rango de tensión, interrupciones,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temperatura y ensayos del convertidor</w:t>
            </w:r>
          </w:p>
        </w:tc>
      </w:tr>
      <w:tr>
        <w:trPr>
          <w:trHeight w:hRule="exact" w:val="1172"/>
        </w:trPr>
        <w:tc>
          <w:tcPr>
            <w:tcW w:type="dxa" w:w="5054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EN 50121-3-2 – Compatibilidad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electromagnética, aparatos de material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rodante</w:t>
            </w:r>
          </w:p>
        </w:tc>
        <w:tc>
          <w:tcPr>
            <w:tcW w:type="dxa" w:w="501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Emisión e inmunidad (ráfagas,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sobretensiones) del convertidor</w:t>
            </w:r>
          </w:p>
        </w:tc>
      </w:tr>
      <w:tr>
        <w:trPr>
          <w:trHeight w:hRule="exact" w:val="854"/>
        </w:trPr>
        <w:tc>
          <w:tcPr>
            <w:tcW w:type="dxa" w:w="5054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IEC 61373 – Vibración y choque en material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rodante</w:t>
            </w:r>
          </w:p>
        </w:tc>
        <w:tc>
          <w:tcPr>
            <w:tcW w:type="dxa" w:w="501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Montaje en caja de la locomotora: categoría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1, clase B</w:t>
            </w:r>
          </w:p>
        </w:tc>
      </w:tr>
      <w:tr>
        <w:trPr>
          <w:trHeight w:hRule="exact" w:val="854"/>
        </w:trPr>
        <w:tc>
          <w:tcPr>
            <w:tcW w:type="dxa" w:w="5054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EN 45545-2 – Protección contra el fuego,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materiales</w:t>
            </w:r>
          </w:p>
        </w:tc>
        <w:tc>
          <w:tcPr>
            <w:tcW w:type="dxa" w:w="501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Cajas, perfiles, difusores y cables</w:t>
            </w:r>
          </w:p>
        </w:tc>
      </w:tr>
      <w:tr>
        <w:trPr>
          <w:trHeight w:hRule="exact" w:val="840"/>
        </w:trPr>
        <w:tc>
          <w:tcPr>
            <w:tcW w:type="dxa" w:w="5054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EN 50306 / EN 50264 – Cables para material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rodante</w:t>
            </w:r>
          </w:p>
        </w:tc>
        <w:tc>
          <w:tcPr>
            <w:tcW w:type="dxa" w:w="501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Conductores libres de halógenos, baja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emisión de humo</w:t>
            </w:r>
          </w:p>
        </w:tc>
      </w:tr>
      <w:tr>
        <w:trPr>
          <w:trHeight w:hRule="exact" w:val="526"/>
        </w:trPr>
        <w:tc>
          <w:tcPr>
            <w:tcW w:type="dxa" w:w="5054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IEC 60529 – Grados de protección IP</w:t>
            </w:r>
          </w:p>
        </w:tc>
        <w:tc>
          <w:tcPr>
            <w:tcW w:type="dxa" w:w="501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Cajas MCI y luminarias exteriores</w:t>
            </w:r>
          </w:p>
        </w:tc>
      </w:tr>
    </w:tbl>
    <w:p>
      <w:pPr>
        <w:autoSpaceDN w:val="0"/>
        <w:autoSpaceDE w:val="0"/>
        <w:widowControl/>
        <w:spacing w:line="264" w:lineRule="auto" w:before="330" w:after="0"/>
        <w:ind w:left="180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Pliego RIC de la SEC rige instalaciones fijas y no aplica al material rodante; se usa solo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como referencia de buenas prácticas de ejecución.</w:t>
      </w:r>
    </w:p>
    <w:p>
      <w:pPr>
        <w:autoSpaceDN w:val="0"/>
        <w:autoSpaceDE w:val="0"/>
        <w:widowControl/>
        <w:spacing w:line="240" w:lineRule="auto" w:before="406" w:after="364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3.2 Criterios de cálculo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5230"/>
        <w:gridCol w:w="5230"/>
      </w:tblGrid>
      <w:tr>
        <w:trPr>
          <w:trHeight w:hRule="exact" w:val="526"/>
        </w:trPr>
        <w:tc>
          <w:tcPr>
            <w:tcW w:type="dxa" w:w="4470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Criterio</w:t>
            </w:r>
          </w:p>
        </w:tc>
        <w:tc>
          <w:tcPr>
            <w:tcW w:type="dxa" w:w="559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Valor de diseño</w:t>
            </w:r>
          </w:p>
        </w:tc>
      </w:tr>
      <w:tr>
        <w:trPr>
          <w:trHeight w:hRule="exact" w:val="524"/>
        </w:trPr>
        <w:tc>
          <w:tcPr>
            <w:tcW w:type="dxa" w:w="4470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Tensión nominal de referencia, Un</w:t>
            </w:r>
          </w:p>
        </w:tc>
        <w:tc>
          <w:tcPr>
            <w:tcW w:type="dxa" w:w="55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72 V (clase EN 50155)</w:t>
            </w:r>
          </w:p>
        </w:tc>
      </w:tr>
      <w:tr>
        <w:trPr>
          <w:trHeight w:hRule="exact" w:val="856"/>
        </w:trPr>
        <w:tc>
          <w:tcPr>
            <w:tcW w:type="dxa" w:w="4470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Rango continuo de entrada (0,7–1,25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Un)</w:t>
            </w:r>
          </w:p>
        </w:tc>
        <w:tc>
          <w:tcPr>
            <w:tcW w:type="dxa" w:w="559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50,4–90 V</w:t>
            </w:r>
          </w:p>
        </w:tc>
      </w:tr>
      <w:tr>
        <w:trPr>
          <w:trHeight w:hRule="exact" w:val="510"/>
        </w:trPr>
        <w:tc>
          <w:tcPr>
            <w:tcW w:type="dxa" w:w="4470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Fluctuación mínima, 0,1 s (0,6 Un)</w:t>
            </w:r>
          </w:p>
        </w:tc>
        <w:tc>
          <w:tcPr>
            <w:tcW w:type="dxa" w:w="5594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43,2 V</w:t>
            </w:r>
          </w:p>
        </w:tc>
      </w:tr>
      <w:tr>
        <w:trPr>
          <w:trHeight w:hRule="exact" w:val="524"/>
        </w:trPr>
        <w:tc>
          <w:tcPr>
            <w:tcW w:type="dxa" w:w="4470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Sobretensión máxima, 1 s (1,4 Un)</w:t>
            </w:r>
          </w:p>
        </w:tc>
        <w:tc>
          <w:tcPr>
            <w:tcW w:type="dxa" w:w="5594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100,8 V</w:t>
            </w:r>
          </w:p>
        </w:tc>
      </w:tr>
      <w:tr>
        <w:trPr>
          <w:trHeight w:hRule="exact" w:val="856"/>
        </w:trPr>
        <w:tc>
          <w:tcPr>
            <w:tcW w:type="dxa" w:w="4470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Interrupciones de alimentación</w:t>
            </w:r>
          </w:p>
        </w:tc>
        <w:tc>
          <w:tcPr>
            <w:tcW w:type="dxa" w:w="5594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Clase S1: se acepta apagado momentáneo durante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el arranque del motor</w:t>
            </w:r>
          </w:p>
        </w:tc>
      </w:tr>
      <w:tr>
        <w:trPr>
          <w:trHeight w:hRule="exact" w:val="840"/>
        </w:trPr>
        <w:tc>
          <w:tcPr>
            <w:tcW w:type="dxa" w:w="4470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Temperatura ambiente de diseño</w:t>
            </w:r>
          </w:p>
        </w:tc>
        <w:tc>
          <w:tcPr>
            <w:tcW w:type="dxa" w:w="5594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−10 a +55 °C en cabina y cajas; hasta +70 °C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dentro de carcasas expuestas al sol</w:t>
            </w:r>
          </w:p>
        </w:tc>
      </w:tr>
      <w:tr>
        <w:trPr>
          <w:trHeight w:hRule="exact" w:val="524"/>
        </w:trPr>
        <w:tc>
          <w:tcPr>
            <w:tcW w:type="dxa" w:w="4470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Tensión de salida para LED</w:t>
            </w:r>
          </w:p>
        </w:tc>
        <w:tc>
          <w:tcPr>
            <w:tcW w:type="dxa" w:w="5594"/>
            <w:tcBorders>
              <w:start w:sz="5.599999999999909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24 VCC regulada</w:t>
            </w:r>
          </w:p>
        </w:tc>
      </w:tr>
    </w:tbl>
    <w:p>
      <w:pPr>
        <w:autoSpaceDN w:val="0"/>
        <w:autoSpaceDE w:val="0"/>
        <w:widowControl/>
        <w:spacing w:line="240" w:lineRule="auto" w:before="758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4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5230"/>
        <w:gridCol w:w="5230"/>
      </w:tblGrid>
      <w:tr>
        <w:trPr>
          <w:trHeight w:hRule="exact" w:val="524"/>
        </w:trPr>
        <w:tc>
          <w:tcPr>
            <w:tcW w:type="dxa" w:w="4470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Criterio</w:t>
            </w:r>
          </w:p>
        </w:tc>
        <w:tc>
          <w:tcPr>
            <w:tcW w:type="dxa" w:w="5594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Valor de diseño</w:t>
            </w:r>
          </w:p>
        </w:tc>
      </w:tr>
      <w:tr>
        <w:trPr>
          <w:trHeight w:hRule="exact" w:val="524"/>
        </w:trPr>
        <w:tc>
          <w:tcPr>
            <w:tcW w:type="dxa" w:w="4470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Carga máxima del convertidor</w:t>
            </w:r>
          </w:p>
        </w:tc>
        <w:tc>
          <w:tcPr>
            <w:tcW w:type="dxa" w:w="5594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≤ 80 % de su potencia nominal</w:t>
            </w:r>
          </w:p>
        </w:tc>
      </w:tr>
      <w:tr>
        <w:trPr>
          <w:trHeight w:hRule="exact" w:val="512"/>
        </w:trPr>
        <w:tc>
          <w:tcPr>
            <w:tcW w:type="dxa" w:w="4470"/>
            <w:tcBorders>
              <w:start w:sz="6.399999999999977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Caída de tensión en circuitos de 24 V</w:t>
            </w:r>
          </w:p>
        </w:tc>
        <w:tc>
          <w:tcPr>
            <w:tcW w:type="dxa" w:w="5594"/>
            <w:tcBorders>
              <w:start w:sz="5.599999999999909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≤ 3 %</w:t>
            </w:r>
          </w:p>
        </w:tc>
      </w:tr>
      <w:tr>
        <w:trPr>
          <w:trHeight w:hRule="exact" w:val="856"/>
        </w:trPr>
        <w:tc>
          <w:tcPr>
            <w:tcW w:type="dxa" w:w="4470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Dimensionamiento de fusibles</w:t>
            </w:r>
          </w:p>
        </w:tc>
        <w:tc>
          <w:tcPr>
            <w:tcW w:type="dxa" w:w="559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115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 fusible ≥ 1,25 × I máxima del circuito y ≤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capacidad del conductor</w:t>
            </w:r>
          </w:p>
        </w:tc>
      </w:tr>
      <w:tr>
        <w:trPr>
          <w:trHeight w:hRule="exact" w:val="524"/>
        </w:trPr>
        <w:tc>
          <w:tcPr>
            <w:tcW w:type="dxa" w:w="4470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Aislamiento galvánico entrada/salida</w:t>
            </w:r>
          </w:p>
        </w:tc>
        <w:tc>
          <w:tcPr>
            <w:tcW w:type="dxa" w:w="55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≥ 3 kVCC</w:t>
            </w:r>
          </w:p>
        </w:tc>
      </w:tr>
      <w:tr>
        <w:trPr>
          <w:trHeight w:hRule="exact" w:val="856"/>
        </w:trPr>
        <w:tc>
          <w:tcPr>
            <w:tcW w:type="dxa" w:w="4470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Puesta a masa</w:t>
            </w:r>
          </w:p>
        </w:tc>
        <w:tc>
          <w:tcPr>
            <w:tcW w:type="dxa" w:w="559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Ningún polo de 74 V ni de 24 V se conecta al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chasis</w:t>
            </w:r>
          </w:p>
        </w:tc>
      </w:tr>
      <w:tr>
        <w:trPr>
          <w:trHeight w:hRule="exact" w:val="508"/>
        </w:trPr>
        <w:tc>
          <w:tcPr>
            <w:tcW w:type="dxa" w:w="4470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Vida útil LED</w:t>
            </w:r>
          </w:p>
        </w:tc>
        <w:tc>
          <w:tcPr>
            <w:tcW w:type="dxa" w:w="559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L70 ≥ 30 000 h con temperatura de placa ≤ 60 °C</w:t>
            </w:r>
          </w:p>
        </w:tc>
      </w:tr>
    </w:tbl>
    <w:p>
      <w:pPr>
        <w:autoSpaceDN w:val="0"/>
        <w:autoSpaceDE w:val="0"/>
        <w:widowControl/>
        <w:spacing w:line="271" w:lineRule="auto" w:before="332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 red de control de la locomotora se trata como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red flotante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: el aislamiento galvánico del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convertidor impide que una falla a masa en una luminaria afecte a la red de 74 V o al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detector de tierra.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4. Arquitectura de la solución</w:t>
      </w:r>
    </w:p>
    <w:p>
      <w:pPr>
        <w:autoSpaceDN w:val="0"/>
        <w:autoSpaceDE w:val="0"/>
        <w:widowControl/>
        <w:spacing w:line="271" w:lineRule="auto" w:before="216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 adopta una arquitectura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distribuida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: un MCI por cada circuito de alumbrado existente,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instalado junto a sus luminarias y alimentado por los mismos dos conductores que hoy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llegan a la ampolleta.</w:t>
      </w:r>
    </w:p>
    <w:p>
      <w:pPr>
        <w:autoSpaceDN w:val="0"/>
        <w:autoSpaceDE w:val="0"/>
        <w:widowControl/>
        <w:spacing w:line="240" w:lineRule="auto" w:before="650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5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00800" cy="40665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6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52" w:after="0"/>
        <w:ind w:left="180" w:right="0" w:firstLine="0"/>
        <w:jc w:val="left"/>
      </w:pPr>
      <w:r>
        <w:rPr>
          <w:w w:val="97.5"/>
          <w:rFonts w:ascii="Anthropic Sans Print" w:hAnsi="Anthropic Sans Print" w:eastAsia="Anthropic Sans Print"/>
          <w:b w:val="0"/>
          <w:i w:val="0"/>
          <w:color w:val="5E5D59"/>
          <w:sz w:val="20"/>
        </w:rPr>
        <w:t>Esquema unifilar del MCI · 1 de 8 módulos por locomotora</w:t>
      </w:r>
    </w:p>
    <w:p>
      <w:pPr>
        <w:autoSpaceDN w:val="0"/>
        <w:autoSpaceDE w:val="0"/>
        <w:widowControl/>
        <w:spacing w:line="271" w:lineRule="auto" w:before="192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 energía pasa por el interruptor existente, se protege con fusible y TVS, cruza la barrera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 aislamiento del convertidor y sale a 24 V regulados hacia cada rama de luminaria con su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propio fusible.</w:t>
      </w:r>
    </w:p>
    <w:p>
      <w:pPr>
        <w:autoSpaceDN w:val="0"/>
        <w:autoSpaceDE w:val="0"/>
        <w:widowControl/>
        <w:spacing w:line="264" w:lineRule="auto" w:before="194" w:after="0"/>
        <w:ind w:left="144" w:right="864" w:firstLine="0"/>
        <w:jc w:val="center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Se elige salida de 24 V (y no 12 V) porque reduce a la mitad la corriente y la caída de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tensión, y porque es la tensión más común en tiras LED IP67 y equipos ferroviarios.</w:t>
      </w:r>
    </w:p>
    <w:p>
      <w:pPr>
        <w:autoSpaceDN w:val="0"/>
        <w:autoSpaceDE w:val="0"/>
        <w:widowControl/>
        <w:spacing w:line="240" w:lineRule="auto" w:before="422" w:after="366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4.1 Alternativas evaluadas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615"/>
        <w:gridCol w:w="2615"/>
        <w:gridCol w:w="2615"/>
        <w:gridCol w:w="2615"/>
      </w:tblGrid>
      <w:tr>
        <w:trPr>
          <w:trHeight w:hRule="exact" w:val="524"/>
        </w:trPr>
        <w:tc>
          <w:tcPr>
            <w:tcW w:type="dxa" w:w="2564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Alternativa</w:t>
            </w:r>
          </w:p>
        </w:tc>
        <w:tc>
          <w:tcPr>
            <w:tcW w:type="dxa" w:w="2626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Ventaja</w:t>
            </w:r>
          </w:p>
        </w:tc>
        <w:tc>
          <w:tcPr>
            <w:tcW w:type="dxa" w:w="2564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Desventaja</w:t>
            </w:r>
          </w:p>
        </w:tc>
        <w:tc>
          <w:tcPr>
            <w:tcW w:type="dxa" w:w="231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Decisión</w:t>
            </w:r>
          </w:p>
        </w:tc>
      </w:tr>
      <w:tr>
        <w:trPr>
          <w:trHeight w:hRule="exact" w:val="1500"/>
        </w:trPr>
        <w:tc>
          <w:tcPr>
            <w:tcW w:type="dxa" w:w="2564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A. Mantener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ampolletas de 74 V</w:t>
            </w:r>
          </w:p>
        </w:tc>
        <w:tc>
          <w:tcPr>
            <w:tcW w:type="dxa" w:w="2626"/>
            <w:tcBorders>
              <w:start w:sz="6.400000000000091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Sin intervención</w:t>
            </w:r>
          </w:p>
        </w:tc>
        <w:tc>
          <w:tcPr>
            <w:tcW w:type="dxa" w:w="2564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2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Escasas, vida corta,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luz 32 % más débil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 el motor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detenido</w:t>
            </w:r>
          </w:p>
        </w:tc>
        <w:tc>
          <w:tcPr>
            <w:tcW w:type="dxa" w:w="231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Descartada</w:t>
            </w:r>
          </w:p>
        </w:tc>
      </w:tr>
    </w:tbl>
    <w:p>
      <w:pPr>
        <w:autoSpaceDN w:val="0"/>
        <w:autoSpaceDE w:val="0"/>
        <w:widowControl/>
        <w:spacing w:line="240" w:lineRule="auto" w:before="2348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6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615"/>
        <w:gridCol w:w="2615"/>
        <w:gridCol w:w="2615"/>
        <w:gridCol w:w="2615"/>
      </w:tblGrid>
      <w:tr>
        <w:trPr>
          <w:trHeight w:hRule="exact" w:val="524"/>
        </w:trPr>
        <w:tc>
          <w:tcPr>
            <w:tcW w:type="dxa" w:w="2564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Alternativa</w:t>
            </w:r>
          </w:p>
        </w:tc>
        <w:tc>
          <w:tcPr>
            <w:tcW w:type="dxa" w:w="2626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Ventaja</w:t>
            </w:r>
          </w:p>
        </w:tc>
        <w:tc>
          <w:tcPr>
            <w:tcW w:type="dxa" w:w="2564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Desventaja</w:t>
            </w:r>
          </w:p>
        </w:tc>
        <w:tc>
          <w:tcPr>
            <w:tcW w:type="dxa" w:w="231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Decisión</w:t>
            </w:r>
          </w:p>
        </w:tc>
      </w:tr>
      <w:tr>
        <w:trPr>
          <w:trHeight w:hRule="exact" w:val="1832"/>
        </w:trPr>
        <w:tc>
          <w:tcPr>
            <w:tcW w:type="dxa" w:w="2564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B. Tira LED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conectada directo 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74 V con resistencia</w:t>
            </w:r>
          </w:p>
        </w:tc>
        <w:tc>
          <w:tcPr>
            <w:tcW w:type="dxa" w:w="2626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Bajo costo</w:t>
            </w:r>
          </w:p>
        </w:tc>
        <w:tc>
          <w:tcPr>
            <w:tcW w:type="dxa" w:w="2564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2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Brillo varía con la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tensión, resistencia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caliente, sin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protección contra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transitorios</w:t>
            </w:r>
          </w:p>
        </w:tc>
        <w:tc>
          <w:tcPr>
            <w:tcW w:type="dxa" w:w="231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Descartada</w:t>
            </w:r>
          </w:p>
        </w:tc>
      </w:tr>
      <w:tr>
        <w:trPr>
          <w:trHeight w:hRule="exact" w:val="2158"/>
        </w:trPr>
        <w:tc>
          <w:tcPr>
            <w:tcW w:type="dxa" w:w="256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C. Un convertidor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central y una red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nueva de 24 V</w:t>
            </w:r>
          </w:p>
        </w:tc>
        <w:tc>
          <w:tcPr>
            <w:tcW w:type="dxa" w:w="2626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 solo equipo</w:t>
            </w:r>
          </w:p>
        </w:tc>
        <w:tc>
          <w:tcPr>
            <w:tcW w:type="dxa" w:w="2564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2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Cableado nuevo a lo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largo de la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locomotora, falla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única deja todo 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oscuras, hay que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rehacer los mandos</w:t>
            </w:r>
          </w:p>
        </w:tc>
        <w:tc>
          <w:tcPr>
            <w:tcW w:type="dxa" w:w="231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Descartada</w:t>
            </w:r>
          </w:p>
        </w:tc>
      </w:tr>
      <w:tr>
        <w:trPr>
          <w:trHeight w:hRule="exact" w:val="1830"/>
        </w:trPr>
        <w:tc>
          <w:tcPr>
            <w:tcW w:type="dxa" w:w="256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D. MCI distribuido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por circuito</w:t>
            </w:r>
          </w:p>
        </w:tc>
        <w:tc>
          <w:tcPr>
            <w:tcW w:type="dxa" w:w="2626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Conserva mandos 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cableado; una falla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afecta un solo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circuito; un único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repuesto</w:t>
            </w:r>
          </w:p>
        </w:tc>
        <w:tc>
          <w:tcPr>
            <w:tcW w:type="dxa" w:w="2564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Ocho unidades por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locomotora</w:t>
            </w:r>
          </w:p>
        </w:tc>
        <w:tc>
          <w:tcPr>
            <w:tcW w:type="dxa" w:w="231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/>
                <w:i w:val="0"/>
                <w:color w:val="1F1E1D"/>
                <w:sz w:val="23"/>
              </w:rPr>
              <w:t>Adoptada</w:t>
            </w:r>
          </w:p>
        </w:tc>
      </w:tr>
      <w:tr>
        <w:trPr>
          <w:trHeight w:hRule="exact" w:val="1170"/>
        </w:trPr>
        <w:tc>
          <w:tcPr>
            <w:tcW w:type="dxa" w:w="256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8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E. Lámpara LED PAR-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56 de 74 V con driver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integrado</w:t>
            </w:r>
          </w:p>
        </w:tc>
        <w:tc>
          <w:tcPr>
            <w:tcW w:type="dxa" w:w="2626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Reemplazo directo</w:t>
            </w:r>
          </w:p>
        </w:tc>
        <w:tc>
          <w:tcPr>
            <w:tcW w:type="dxa" w:w="2564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2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Solo existe en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formato de foco</w:t>
            </w:r>
          </w:p>
        </w:tc>
        <w:tc>
          <w:tcPr>
            <w:tcW w:type="dxa" w:w="231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Adoptada solo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para focos y luces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 zanja</w:t>
            </w:r>
          </w:p>
        </w:tc>
      </w:tr>
    </w:tbl>
    <w:p>
      <w:pPr>
        <w:autoSpaceDN w:val="0"/>
        <w:autoSpaceDE w:val="0"/>
        <w:widowControl/>
        <w:spacing w:line="240" w:lineRule="auto" w:before="678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5. Memoria de cálculo</w:t>
      </w:r>
    </w:p>
    <w:p>
      <w:pPr>
        <w:autoSpaceDN w:val="0"/>
        <w:autoSpaceDE w:val="0"/>
        <w:widowControl/>
        <w:spacing w:line="278" w:lineRule="auto" w:before="216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Ocho módulos MCI-30 cubren los 97 W de carga LED por locomotora con un factor de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carga máximo de 77 %, caída de tensión ≤ 1 % y una corriente total de 1,54 A desde la red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 74 V. Las longitudes y cantidades usadas son un inventario tipo, salvo los 4 </w:t>
      </w:r>
      <w:r>
        <w:br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numeradores por locomotora (2 por extremo), ya confirmados: si en terreno difieren, 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recalcula con las mismas fórmulas.</w:t>
      </w:r>
    </w:p>
    <w:p>
      <w:pPr>
        <w:autoSpaceDN w:val="0"/>
        <w:autoSpaceDE w:val="0"/>
        <w:widowControl/>
        <w:spacing w:line="240" w:lineRule="auto" w:before="40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5.1 Ventana de tensión de entrada</w:t>
      </w:r>
    </w:p>
    <w:p>
      <w:pPr>
        <w:autoSpaceDN w:val="0"/>
        <w:autoSpaceDE w:val="0"/>
        <w:widowControl/>
        <w:spacing w:line="264" w:lineRule="auto" w:before="202" w:after="15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convertidor seleccionado (familia Mean Well RSD-30H-24, ver sección 6) acepta 40–160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VCC. Los márgenes contra los límites EN 50155 de la clase 72 V son: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5230"/>
        <w:gridCol w:w="5230"/>
      </w:tblGrid>
      <w:tr>
        <w:trPr>
          <w:trHeight w:hRule="exact" w:val="840"/>
        </w:trPr>
        <w:tc>
          <w:tcPr>
            <w:tcW w:type="dxa" w:w="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50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34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508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5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60" w:after="0"/>
              <w:ind w:left="96" w:right="2016" w:firstLine="0"/>
              <w:jc w:val="left"/>
            </w:pP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Margen inferior: </w:t>
            </w:r>
            <w:r>
              <w:rPr>
                <w:rFonts w:ascii="Anthropic Sans Print" w:hAnsi="Anthropic Sans Print" w:eastAsia="Anthropic Sans Print"/>
                <w:b/>
                <w:i w:val="0"/>
                <w:color w:val="1F1E1D"/>
                <w:sz w:val="24"/>
              </w:rPr>
              <w:t xml:space="preserve">M(inf) = (43,2 − 40) / 43,2 = 7,4 % </w:t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Margen superior: </w:t>
            </w:r>
            <w:r>
              <w:rPr>
                <w:rFonts w:ascii="Anthropic Sans Print" w:hAnsi="Anthropic Sans Print" w:eastAsia="Anthropic Sans Print"/>
                <w:b/>
                <w:i w:val="0"/>
                <w:color w:val="1F1E1D"/>
                <w:sz w:val="24"/>
              </w:rPr>
              <w:t>M(sup) = (160 − 100,8) / 160 = 37 %</w:t>
            </w:r>
          </w:p>
        </w:tc>
      </w:tr>
    </w:tbl>
    <w:p>
      <w:pPr>
        <w:autoSpaceDN w:val="0"/>
        <w:autoSpaceDE w:val="0"/>
        <w:widowControl/>
        <w:spacing w:line="240" w:lineRule="auto" w:before="1206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7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40" w:lineRule="auto" w:before="5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400800" cy="3362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6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150" w:after="0"/>
        <w:ind w:left="180" w:right="0" w:firstLine="0"/>
        <w:jc w:val="left"/>
      </w:pPr>
      <w:r>
        <w:rPr>
          <w:w w:val="97.5"/>
          <w:rFonts w:ascii="Anthropic Sans Print" w:hAnsi="Anthropic Sans Print" w:eastAsia="Anthropic Sans Print"/>
          <w:b w:val="0"/>
          <w:i w:val="0"/>
          <w:color w:val="5E5D59"/>
          <w:sz w:val="20"/>
        </w:rPr>
        <w:t>Valores de las secciones 2 y 3 de esta memoria · ventana según catálogo RSD-30H-24</w:t>
      </w:r>
    </w:p>
    <w:p>
      <w:pPr>
        <w:autoSpaceDN w:val="0"/>
        <w:autoSpaceDE w:val="0"/>
        <w:widowControl/>
        <w:spacing w:line="271" w:lineRule="auto" w:before="192" w:after="0"/>
        <w:ind w:left="180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margen superior es amplio (59 V sobre el transitorio máximo de 100,8 V). El inferior 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estrecho: durante el giro de arranque el MCI puede apagarse un instante y se recupera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solo, lo que es aceptable para alumbrado.</w:t>
      </w:r>
    </w:p>
    <w:p>
      <w:pPr>
        <w:autoSpaceDN w:val="0"/>
        <w:autoSpaceDE w:val="0"/>
        <w:widowControl/>
        <w:spacing w:line="240" w:lineRule="auto" w:before="7476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8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40" w:lineRule="auto" w:before="588" w:after="364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5.2 Carga LED por punto de luz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092"/>
        <w:gridCol w:w="2092"/>
        <w:gridCol w:w="2092"/>
        <w:gridCol w:w="2092"/>
        <w:gridCol w:w="2092"/>
      </w:tblGrid>
      <w:tr>
        <w:trPr>
          <w:trHeight w:hRule="exact" w:val="856"/>
        </w:trPr>
        <w:tc>
          <w:tcPr>
            <w:tcW w:type="dxa" w:w="2596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Grupo</w:t>
            </w:r>
          </w:p>
        </w:tc>
        <w:tc>
          <w:tcPr>
            <w:tcW w:type="dxa" w:w="1288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Cantidad</w:t>
            </w:r>
          </w:p>
        </w:tc>
        <w:tc>
          <w:tcPr>
            <w:tcW w:type="dxa" w:w="2790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Solución LED (24 VCC)</w:t>
            </w:r>
          </w:p>
        </w:tc>
        <w:tc>
          <w:tcPr>
            <w:tcW w:type="dxa" w:w="1756"/>
            <w:tcBorders>
              <w:start w:sz="5.599999999999909" w:val="single" w:color="#E7E4DB"/>
              <w:top w:sz="6.399999999999977" w:val="single" w:color="#E7E4DB"/>
              <w:end w:sz="5.599999999999909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Potencia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unitaria (W)</w:t>
            </w:r>
          </w:p>
        </w:tc>
        <w:tc>
          <w:tcPr>
            <w:tcW w:type="dxa" w:w="1634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Potencia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total (W)</w:t>
            </w:r>
          </w:p>
        </w:tc>
      </w:tr>
      <w:tr>
        <w:trPr>
          <w:trHeight w:hRule="exact" w:val="856"/>
        </w:trPr>
        <w:tc>
          <w:tcPr>
            <w:tcW w:type="dxa" w:w="259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Numeradores</w:t>
            </w:r>
          </w:p>
        </w:tc>
        <w:tc>
          <w:tcPr>
            <w:tcW w:type="dxa" w:w="1288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279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2 tramos × 0,6 m de tira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9,6 W/m tras el difusor</w:t>
            </w:r>
          </w:p>
        </w:tc>
        <w:tc>
          <w:tcPr>
            <w:tcW w:type="dxa" w:w="175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11,5</w:t>
            </w:r>
          </w:p>
        </w:tc>
        <w:tc>
          <w:tcPr>
            <w:tcW w:type="dxa" w:w="163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46,1</w:t>
            </w:r>
          </w:p>
        </w:tc>
      </w:tr>
      <w:tr>
        <w:trPr>
          <w:trHeight w:hRule="exact" w:val="840"/>
        </w:trPr>
        <w:tc>
          <w:tcPr>
            <w:tcW w:type="dxa" w:w="259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Cabina</w:t>
            </w:r>
          </w:p>
        </w:tc>
        <w:tc>
          <w:tcPr>
            <w:tcW w:type="dxa" w:w="1288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</w:t>
            </w:r>
          </w:p>
        </w:tc>
        <w:tc>
          <w:tcPr>
            <w:tcW w:type="dxa" w:w="279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0,8 m de tira 14,4 W/m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 perfil con difusor</w:t>
            </w:r>
          </w:p>
        </w:tc>
        <w:tc>
          <w:tcPr>
            <w:tcW w:type="dxa" w:w="175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11,5</w:t>
            </w:r>
          </w:p>
        </w:tc>
        <w:tc>
          <w:tcPr>
            <w:tcW w:type="dxa" w:w="163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23,0</w:t>
            </w:r>
          </w:p>
        </w:tc>
      </w:tr>
      <w:tr>
        <w:trPr>
          <w:trHeight w:hRule="exact" w:val="854"/>
        </w:trPr>
        <w:tc>
          <w:tcPr>
            <w:tcW w:type="dxa" w:w="259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Clase/marcadoras 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culata</w:t>
            </w:r>
          </w:p>
        </w:tc>
        <w:tc>
          <w:tcPr>
            <w:tcW w:type="dxa" w:w="1288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279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Módulo LED de 3 W del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color del lente</w:t>
            </w:r>
          </w:p>
        </w:tc>
        <w:tc>
          <w:tcPr>
            <w:tcW w:type="dxa" w:w="175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3,0</w:t>
            </w:r>
          </w:p>
        </w:tc>
        <w:tc>
          <w:tcPr>
            <w:tcW w:type="dxa" w:w="163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12,0</w:t>
            </w:r>
          </w:p>
        </w:tc>
      </w:tr>
      <w:tr>
        <w:trPr>
          <w:trHeight w:hRule="exact" w:val="854"/>
        </w:trPr>
        <w:tc>
          <w:tcPr>
            <w:tcW w:type="dxa" w:w="259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Estribos</w:t>
            </w:r>
          </w:p>
        </w:tc>
        <w:tc>
          <w:tcPr>
            <w:tcW w:type="dxa" w:w="1288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279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0,3 m de tira IP67 9,6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W/m</w:t>
            </w:r>
          </w:p>
        </w:tc>
        <w:tc>
          <w:tcPr>
            <w:tcW w:type="dxa" w:w="1756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2,9</w:t>
            </w:r>
          </w:p>
        </w:tc>
        <w:tc>
          <w:tcPr>
            <w:tcW w:type="dxa" w:w="1634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11,5</w:t>
            </w:r>
          </w:p>
        </w:tc>
      </w:tr>
      <w:tr>
        <w:trPr>
          <w:trHeight w:hRule="exact" w:val="840"/>
        </w:trPr>
        <w:tc>
          <w:tcPr>
            <w:tcW w:type="dxa" w:w="259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Instrumentos</w:t>
            </w:r>
          </w:p>
        </w:tc>
        <w:tc>
          <w:tcPr>
            <w:tcW w:type="dxa" w:w="1288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</w:t>
            </w:r>
          </w:p>
        </w:tc>
        <w:tc>
          <w:tcPr>
            <w:tcW w:type="dxa" w:w="279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0,15 m de tira 4,8 W/m,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blanco cálido</w:t>
            </w:r>
          </w:p>
        </w:tc>
        <w:tc>
          <w:tcPr>
            <w:tcW w:type="dxa" w:w="175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0,7</w:t>
            </w:r>
          </w:p>
        </w:tc>
        <w:tc>
          <w:tcPr>
            <w:tcW w:type="dxa" w:w="163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4,3</w:t>
            </w:r>
          </w:p>
        </w:tc>
      </w:tr>
      <w:tr>
        <w:trPr>
          <w:trHeight w:hRule="exact" w:val="526"/>
        </w:trPr>
        <w:tc>
          <w:tcPr>
            <w:tcW w:type="dxa" w:w="259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/>
                <w:i w:val="0"/>
                <w:color w:val="1F1E1D"/>
                <w:sz w:val="23"/>
              </w:rPr>
              <w:t>Total por locomotora</w:t>
            </w:r>
          </w:p>
        </w:tc>
        <w:tc>
          <w:tcPr>
            <w:tcW w:type="dxa" w:w="1288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2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/>
                <w:i w:val="0"/>
                <w:color w:val="1F1E1D"/>
                <w:sz w:val="23"/>
              </w:rPr>
              <w:t>20</w:t>
            </w:r>
          </w:p>
        </w:tc>
        <w:tc>
          <w:tcPr>
            <w:tcW w:type="dxa" w:w="279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6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4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/>
                <w:i w:val="0"/>
                <w:color w:val="1F1E1D"/>
                <w:sz w:val="23"/>
              </w:rPr>
              <w:t>97,0</w:t>
            </w:r>
          </w:p>
        </w:tc>
      </w:tr>
    </w:tbl>
    <w:p>
      <w:pPr>
        <w:autoSpaceDN w:val="0"/>
        <w:autoSpaceDE w:val="0"/>
        <w:widowControl/>
        <w:spacing w:line="278" w:lineRule="auto" w:before="330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Criterio lumínico: el flujo LED debe igualar o superar al de la ampolleta. Una tira de 9,6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W/m entrega ≈ 900 lm/m (≈ 95 lm/W), contra ≈ 12 lm/W de una ampolleta de 74 V, de modo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que cada numerador (1,2 m ≈ 1 100 lm) supera con holgura a la ampolleta original. Las luces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 clase usan LED del mismo color que el lente: una tira blanca detrás de un lente rojo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pierde la mayor parte de su luz.</w:t>
      </w:r>
    </w:p>
    <w:p>
      <w:pPr>
        <w:autoSpaceDN w:val="0"/>
        <w:autoSpaceDE w:val="0"/>
        <w:widowControl/>
        <w:spacing w:line="240" w:lineRule="auto" w:before="40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5.3 Asignación de módulos y factor de carga</w:t>
      </w:r>
    </w:p>
    <w:p>
      <w:pPr>
        <w:autoSpaceDN w:val="0"/>
        <w:autoSpaceDE w:val="0"/>
        <w:widowControl/>
        <w:spacing w:line="271" w:lineRule="auto" w:before="202" w:after="134"/>
        <w:ind w:left="180" w:right="576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Cada circuito existente (con su interruptor de cabina) alimenta su propio MCI, ubicado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junto a sus luminarias. Así se conservan los mandos actuales y no se tiende cableado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nuevo a lo largo de la locomotora.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5230"/>
        <w:gridCol w:w="5230"/>
      </w:tblGrid>
      <w:tr>
        <w:trPr>
          <w:trHeight w:hRule="exact" w:val="1260"/>
        </w:trPr>
        <w:tc>
          <w:tcPr>
            <w:tcW w:type="dxa" w:w="3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635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6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3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635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6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autoSpaceDE w:val="0"/>
              <w:widowControl/>
              <w:spacing w:line="240" w:lineRule="auto" w:before="32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635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6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5" w:lineRule="auto" w:before="60" w:after="0"/>
              <w:ind w:left="96" w:right="2016" w:firstLine="0"/>
              <w:jc w:val="left"/>
            </w:pP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Factor de carga: </w:t>
            </w:r>
            <w:r>
              <w:rPr>
                <w:rFonts w:ascii="Anthropic Sans Print" w:hAnsi="Anthropic Sans Print" w:eastAsia="Anthropic Sans Print"/>
                <w:b/>
                <w:i w:val="0"/>
                <w:color w:val="1F1E1D"/>
                <w:sz w:val="24"/>
              </w:rPr>
              <w:t xml:space="preserve">FC = P(LED) / P(nom) ≤ 0,80 </w:t>
            </w:r>
            <w:r>
              <w:br/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Corriente de salida: </w:t>
            </w:r>
            <w:r>
              <w:rPr>
                <w:rFonts w:ascii="Anthropic Sans Print" w:hAnsi="Anthropic Sans Print" w:eastAsia="Anthropic Sans Print"/>
                <w:b/>
                <w:i w:val="0"/>
                <w:color w:val="1F1E1D"/>
                <w:sz w:val="24"/>
              </w:rPr>
              <w:t xml:space="preserve">I(sal) = P(LED) / 24 V </w:t>
            </w:r>
            <w:r>
              <w:br/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Corriente de entrada: </w:t>
            </w:r>
            <w:r>
              <w:rPr>
                <w:rFonts w:ascii="Anthropic Sans Print" w:hAnsi="Anthropic Sans Print" w:eastAsia="Anthropic Sans Print"/>
                <w:b/>
                <w:i w:val="0"/>
                <w:color w:val="1F1E1D"/>
                <w:sz w:val="24"/>
              </w:rPr>
              <w:t>I(ent) = P(LED) / (</w:t>
            </w:r>
            <w:r>
              <w:rPr>
                <w:rFonts w:ascii="DejaVu Sans" w:hAnsi="DejaVu Sans" w:eastAsia="DejaVu Sans"/>
                <w:b/>
                <w:i w:val="0"/>
                <w:color w:val="1F1E1D"/>
                <w:sz w:val="24"/>
              </w:rPr>
              <w:t>η</w:t>
            </w:r>
            <w:r>
              <w:rPr>
                <w:rFonts w:ascii="Anthropic Sans Print" w:hAnsi="Anthropic Sans Print" w:eastAsia="Anthropic Sans Print"/>
                <w:b/>
                <w:i w:val="0"/>
                <w:color w:val="1F1E1D"/>
                <w:sz w:val="24"/>
              </w:rPr>
              <w:t xml:space="preserve"> · V(ent))</w:t>
            </w:r>
          </w:p>
        </w:tc>
      </w:tr>
    </w:tbl>
    <w:p>
      <w:pPr>
        <w:autoSpaceDN w:val="0"/>
        <w:autoSpaceDE w:val="0"/>
        <w:widowControl/>
        <w:spacing w:line="240" w:lineRule="auto" w:before="150" w:after="0"/>
        <w:ind w:left="180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con P n = 30 W y </w:t>
      </w:r>
      <w:r>
        <w:rPr>
          <w:rFonts w:ascii="DejaVu Sans" w:hAnsi="DejaVu Sans" w:eastAsia="DejaVu Sans"/>
          <w:b w:val="0"/>
          <w:i w:val="0"/>
          <w:color w:val="1F1E1D"/>
          <w:sz w:val="24"/>
        </w:rPr>
        <w:t>η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= 0,85 (valor conservador; el catálogo indica 89 % a plena carga).</w:t>
      </w:r>
    </w:p>
    <w:p>
      <w:pPr>
        <w:autoSpaceDN w:val="0"/>
        <w:autoSpaceDE w:val="0"/>
        <w:widowControl/>
        <w:spacing w:line="240" w:lineRule="auto" w:before="215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9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82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1494"/>
        <w:gridCol w:w="1494"/>
        <w:gridCol w:w="1494"/>
        <w:gridCol w:w="1494"/>
        <w:gridCol w:w="1494"/>
        <w:gridCol w:w="1494"/>
        <w:gridCol w:w="1494"/>
      </w:tblGrid>
      <w:tr>
        <w:trPr>
          <w:trHeight w:hRule="exact" w:val="704"/>
        </w:trPr>
        <w:tc>
          <w:tcPr>
            <w:tcW w:type="dxa" w:w="90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Módulo</w:t>
            </w:r>
          </w:p>
        </w:tc>
        <w:tc>
          <w:tcPr>
            <w:tcW w:type="dxa" w:w="282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Circuito</w:t>
            </w:r>
          </w:p>
        </w:tc>
        <w:tc>
          <w:tcPr>
            <w:tcW w:type="dxa" w:w="96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8" w:right="288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P LED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(W)</w:t>
            </w:r>
          </w:p>
        </w:tc>
        <w:tc>
          <w:tcPr>
            <w:tcW w:type="dxa" w:w="990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92" w:right="144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I salida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(A)</w:t>
            </w:r>
          </w:p>
        </w:tc>
        <w:tc>
          <w:tcPr>
            <w:tcW w:type="dxa" w:w="1274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92" w:right="288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Factor de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carga</w:t>
            </w:r>
          </w:p>
        </w:tc>
        <w:tc>
          <w:tcPr>
            <w:tcW w:type="dxa" w:w="150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2" w:right="144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I entrada a 74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V (A)</w:t>
            </w:r>
          </w:p>
        </w:tc>
        <w:tc>
          <w:tcPr>
            <w:tcW w:type="dxa" w:w="1620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 xml:space="preserve">I entrada a 50,4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V (A)</w:t>
            </w:r>
          </w:p>
        </w:tc>
      </w:tr>
      <w:tr>
        <w:trPr>
          <w:trHeight w:hRule="exact" w:val="420"/>
        </w:trPr>
        <w:tc>
          <w:tcPr>
            <w:tcW w:type="dxa" w:w="90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MCI-01</w:t>
            </w:r>
          </w:p>
        </w:tc>
        <w:tc>
          <w:tcPr>
            <w:tcW w:type="dxa" w:w="282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Numeradores frontales</w:t>
            </w:r>
          </w:p>
        </w:tc>
        <w:tc>
          <w:tcPr>
            <w:tcW w:type="dxa" w:w="96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23,0</w:t>
            </w:r>
          </w:p>
        </w:tc>
        <w:tc>
          <w:tcPr>
            <w:tcW w:type="dxa" w:w="990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0,96</w:t>
            </w:r>
          </w:p>
        </w:tc>
        <w:tc>
          <w:tcPr>
            <w:tcW w:type="dxa" w:w="1274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77 %</w:t>
            </w:r>
          </w:p>
        </w:tc>
        <w:tc>
          <w:tcPr>
            <w:tcW w:type="dxa" w:w="150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0,37</w:t>
            </w:r>
          </w:p>
        </w:tc>
        <w:tc>
          <w:tcPr>
            <w:tcW w:type="dxa" w:w="1620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0,54</w:t>
            </w:r>
          </w:p>
        </w:tc>
      </w:tr>
      <w:tr>
        <w:trPr>
          <w:trHeight w:hRule="exact" w:val="420"/>
        </w:trPr>
        <w:tc>
          <w:tcPr>
            <w:tcW w:type="dxa" w:w="90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MCI-02</w:t>
            </w:r>
          </w:p>
        </w:tc>
        <w:tc>
          <w:tcPr>
            <w:tcW w:type="dxa" w:w="282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Numeradores traseros</w:t>
            </w:r>
          </w:p>
        </w:tc>
        <w:tc>
          <w:tcPr>
            <w:tcW w:type="dxa" w:w="96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23,0</w:t>
            </w:r>
          </w:p>
        </w:tc>
        <w:tc>
          <w:tcPr>
            <w:tcW w:type="dxa" w:w="990"/>
            <w:tcBorders>
              <w:start w:sz="6.400000000000091" w:val="single" w:color="#E7E4DB"/>
              <w:top w:sz="6.399999999999977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0,96</w:t>
            </w:r>
          </w:p>
        </w:tc>
        <w:tc>
          <w:tcPr>
            <w:tcW w:type="dxa" w:w="1274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77 %</w:t>
            </w:r>
          </w:p>
        </w:tc>
        <w:tc>
          <w:tcPr>
            <w:tcW w:type="dxa" w:w="150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0,37</w:t>
            </w:r>
          </w:p>
        </w:tc>
        <w:tc>
          <w:tcPr>
            <w:tcW w:type="dxa" w:w="1620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0,54</w:t>
            </w:r>
          </w:p>
        </w:tc>
      </w:tr>
      <w:tr>
        <w:trPr>
          <w:trHeight w:hRule="exact" w:val="420"/>
        </w:trPr>
        <w:tc>
          <w:tcPr>
            <w:tcW w:type="dxa" w:w="90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MCI-03</w:t>
            </w:r>
          </w:p>
        </w:tc>
        <w:tc>
          <w:tcPr>
            <w:tcW w:type="dxa" w:w="282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Clase/marcadoras frontales</w:t>
            </w:r>
          </w:p>
        </w:tc>
        <w:tc>
          <w:tcPr>
            <w:tcW w:type="dxa" w:w="96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6,0</w:t>
            </w:r>
          </w:p>
        </w:tc>
        <w:tc>
          <w:tcPr>
            <w:tcW w:type="dxa" w:w="99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0,25</w:t>
            </w:r>
          </w:p>
        </w:tc>
        <w:tc>
          <w:tcPr>
            <w:tcW w:type="dxa" w:w="127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20 %</w:t>
            </w:r>
          </w:p>
        </w:tc>
        <w:tc>
          <w:tcPr>
            <w:tcW w:type="dxa" w:w="150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0,10</w:t>
            </w:r>
          </w:p>
        </w:tc>
        <w:tc>
          <w:tcPr>
            <w:tcW w:type="dxa" w:w="162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0,14</w:t>
            </w:r>
          </w:p>
        </w:tc>
      </w:tr>
      <w:tr>
        <w:trPr>
          <w:trHeight w:hRule="exact" w:val="704"/>
        </w:trPr>
        <w:tc>
          <w:tcPr>
            <w:tcW w:type="dxa" w:w="90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MCI-04</w:t>
            </w:r>
          </w:p>
        </w:tc>
        <w:tc>
          <w:tcPr>
            <w:tcW w:type="dxa" w:w="282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4" w:after="0"/>
              <w:ind w:left="86" w:right="144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Clase/marcadoras traseras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y culata</w:t>
            </w:r>
          </w:p>
        </w:tc>
        <w:tc>
          <w:tcPr>
            <w:tcW w:type="dxa" w:w="96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6,0</w:t>
            </w:r>
          </w:p>
        </w:tc>
        <w:tc>
          <w:tcPr>
            <w:tcW w:type="dxa" w:w="99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0,25</w:t>
            </w:r>
          </w:p>
        </w:tc>
        <w:tc>
          <w:tcPr>
            <w:tcW w:type="dxa" w:w="127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20 %</w:t>
            </w:r>
          </w:p>
        </w:tc>
        <w:tc>
          <w:tcPr>
            <w:tcW w:type="dxa" w:w="150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0,10</w:t>
            </w:r>
          </w:p>
        </w:tc>
        <w:tc>
          <w:tcPr>
            <w:tcW w:type="dxa" w:w="162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0,14</w:t>
            </w:r>
          </w:p>
        </w:tc>
      </w:tr>
      <w:tr>
        <w:trPr>
          <w:trHeight w:hRule="exact" w:val="420"/>
        </w:trPr>
        <w:tc>
          <w:tcPr>
            <w:tcW w:type="dxa" w:w="90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MCI-05</w:t>
            </w:r>
          </w:p>
        </w:tc>
        <w:tc>
          <w:tcPr>
            <w:tcW w:type="dxa" w:w="28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Cabina</w:t>
            </w:r>
          </w:p>
        </w:tc>
        <w:tc>
          <w:tcPr>
            <w:tcW w:type="dxa" w:w="96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23,0</w:t>
            </w:r>
          </w:p>
        </w:tc>
        <w:tc>
          <w:tcPr>
            <w:tcW w:type="dxa" w:w="99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0,96</w:t>
            </w:r>
          </w:p>
        </w:tc>
        <w:tc>
          <w:tcPr>
            <w:tcW w:type="dxa" w:w="127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77 %</w:t>
            </w:r>
          </w:p>
        </w:tc>
        <w:tc>
          <w:tcPr>
            <w:tcW w:type="dxa" w:w="150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0,37</w:t>
            </w:r>
          </w:p>
        </w:tc>
        <w:tc>
          <w:tcPr>
            <w:tcW w:type="dxa" w:w="162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0,54</w:t>
            </w:r>
          </w:p>
        </w:tc>
      </w:tr>
      <w:tr>
        <w:trPr>
          <w:trHeight w:hRule="exact" w:val="708"/>
        </w:trPr>
        <w:tc>
          <w:tcPr>
            <w:tcW w:type="dxa" w:w="90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MCI-06</w:t>
            </w:r>
          </w:p>
        </w:tc>
        <w:tc>
          <w:tcPr>
            <w:tcW w:type="dxa" w:w="28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76" w:after="0"/>
              <w:ind w:left="86" w:right="1008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 xml:space="preserve">Instrumentos (con 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atenuador PWM)</w:t>
            </w:r>
          </w:p>
        </w:tc>
        <w:tc>
          <w:tcPr>
            <w:tcW w:type="dxa" w:w="96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4,3</w:t>
            </w:r>
          </w:p>
        </w:tc>
        <w:tc>
          <w:tcPr>
            <w:tcW w:type="dxa" w:w="99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0,18</w:t>
            </w:r>
          </w:p>
        </w:tc>
        <w:tc>
          <w:tcPr>
            <w:tcW w:type="dxa" w:w="127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14 %</w:t>
            </w:r>
          </w:p>
        </w:tc>
        <w:tc>
          <w:tcPr>
            <w:tcW w:type="dxa" w:w="150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8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0,07</w:t>
            </w:r>
          </w:p>
        </w:tc>
        <w:tc>
          <w:tcPr>
            <w:tcW w:type="dxa" w:w="162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6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0,10</w:t>
            </w:r>
          </w:p>
        </w:tc>
      </w:tr>
      <w:tr>
        <w:trPr>
          <w:trHeight w:hRule="exact" w:val="418"/>
        </w:trPr>
        <w:tc>
          <w:tcPr>
            <w:tcW w:type="dxa" w:w="90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MCI-07</w:t>
            </w:r>
          </w:p>
        </w:tc>
        <w:tc>
          <w:tcPr>
            <w:tcW w:type="dxa" w:w="28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Estribos frontales</w:t>
            </w:r>
          </w:p>
        </w:tc>
        <w:tc>
          <w:tcPr>
            <w:tcW w:type="dxa" w:w="96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5,8</w:t>
            </w:r>
          </w:p>
        </w:tc>
        <w:tc>
          <w:tcPr>
            <w:tcW w:type="dxa" w:w="99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0,24</w:t>
            </w:r>
          </w:p>
        </w:tc>
        <w:tc>
          <w:tcPr>
            <w:tcW w:type="dxa" w:w="127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19 %</w:t>
            </w:r>
          </w:p>
        </w:tc>
        <w:tc>
          <w:tcPr>
            <w:tcW w:type="dxa" w:w="150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0,09</w:t>
            </w:r>
          </w:p>
        </w:tc>
        <w:tc>
          <w:tcPr>
            <w:tcW w:type="dxa" w:w="162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0,13</w:t>
            </w:r>
          </w:p>
        </w:tc>
      </w:tr>
      <w:tr>
        <w:trPr>
          <w:trHeight w:hRule="exact" w:val="420"/>
        </w:trPr>
        <w:tc>
          <w:tcPr>
            <w:tcW w:type="dxa" w:w="90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MCI-08</w:t>
            </w:r>
          </w:p>
        </w:tc>
        <w:tc>
          <w:tcPr>
            <w:tcW w:type="dxa" w:w="28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Estribos traseros</w:t>
            </w:r>
          </w:p>
        </w:tc>
        <w:tc>
          <w:tcPr>
            <w:tcW w:type="dxa" w:w="96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5,8</w:t>
            </w:r>
          </w:p>
        </w:tc>
        <w:tc>
          <w:tcPr>
            <w:tcW w:type="dxa" w:w="99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0,24</w:t>
            </w:r>
          </w:p>
        </w:tc>
        <w:tc>
          <w:tcPr>
            <w:tcW w:type="dxa" w:w="127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19 %</w:t>
            </w:r>
          </w:p>
        </w:tc>
        <w:tc>
          <w:tcPr>
            <w:tcW w:type="dxa" w:w="150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0,09</w:t>
            </w:r>
          </w:p>
        </w:tc>
        <w:tc>
          <w:tcPr>
            <w:tcW w:type="dxa" w:w="162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0,13</w:t>
            </w:r>
          </w:p>
        </w:tc>
      </w:tr>
      <w:tr>
        <w:trPr>
          <w:trHeight w:hRule="exact" w:val="420"/>
        </w:trPr>
        <w:tc>
          <w:tcPr>
            <w:tcW w:type="dxa" w:w="90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Total</w:t>
            </w:r>
          </w:p>
        </w:tc>
        <w:tc>
          <w:tcPr>
            <w:tcW w:type="dxa" w:w="28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97,0</w:t>
            </w:r>
          </w:p>
        </w:tc>
        <w:tc>
          <w:tcPr>
            <w:tcW w:type="dxa" w:w="990"/>
            <w:tcBorders>
              <w:start w:sz="6.400000000000091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4,04</w:t>
            </w:r>
          </w:p>
        </w:tc>
        <w:tc>
          <w:tcPr>
            <w:tcW w:type="dxa" w:w="127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0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1,54</w:t>
            </w:r>
          </w:p>
        </w:tc>
        <w:tc>
          <w:tcPr>
            <w:tcW w:type="dxa" w:w="162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2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/>
                <w:i w:val="0"/>
                <w:color w:val="1F1E1D"/>
                <w:sz w:val="20"/>
              </w:rPr>
              <w:t>2,26</w:t>
            </w:r>
          </w:p>
        </w:tc>
      </w:tr>
    </w:tbl>
    <w:p>
      <w:pPr>
        <w:autoSpaceDN w:val="0"/>
        <w:autoSpaceDE w:val="0"/>
        <w:widowControl/>
        <w:spacing w:line="278" w:lineRule="auto" w:before="332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Reducción por temperatura.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El RSD-30 entrega el 100 % de carga hasta +55 °C en aire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libre y solo el 60 % (18 W) a +70 °C, salvo que su placa base se fije a una superficie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metálica, con lo que entrega el 100 % hasta +70 °C. Los módulos MCI-01, MCI-02 y MCI-05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(23 W)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deben montarse con su placa base atornillada a la pared metálica de la caja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, con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pasta térmica.</w:t>
      </w:r>
    </w:p>
    <w:p>
      <w:pPr>
        <w:autoSpaceDN w:val="0"/>
        <w:autoSpaceDE w:val="0"/>
        <w:widowControl/>
        <w:spacing w:line="240" w:lineRule="auto" w:before="40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5.4 Consumo desde la red de 74 V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202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Potencia de entrada: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P(ent) = </w:t>
      </w:r>
      <w:r>
        <w:rPr>
          <w:rFonts w:ascii="DejaVu Sans" w:hAnsi="DejaVu Sans" w:eastAsia="DejaVu Sans"/>
          <w:b/>
          <w:i w:val="0"/>
          <w:color w:val="1F1E1D"/>
          <w:sz w:val="24"/>
        </w:rPr>
        <w:t>Σ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 P(LED) / </w:t>
      </w:r>
      <w:r>
        <w:rPr>
          <w:rFonts w:ascii="DejaVu Sans" w:hAnsi="DejaVu Sans" w:eastAsia="DejaVu Sans"/>
          <w:b/>
          <w:i w:val="0"/>
          <w:color w:val="1F1E1D"/>
          <w:sz w:val="24"/>
        </w:rPr>
        <w:t>η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 = 97,0 / 0,85 = 114 W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Corriente a 74 V: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I(ent) = 114 W / 74 V = 1,54 A</w:t>
      </w:r>
    </w:p>
    <w:p>
      <w:pPr>
        <w:autoSpaceDN w:val="0"/>
        <w:autoSpaceDE w:val="0"/>
        <w:widowControl/>
        <w:spacing w:line="278" w:lineRule="auto" w:before="210" w:after="0"/>
        <w:ind w:left="180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Con el motor detenido (66 V) la corriente sube a 1,73 A y en el peor caso transitorio (43,2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V) a 2,64 A; la potencia absorbida es la misma en todos los casos. Las pérdidas de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conversión totales son ≈ 17 W. La carga incandescente actual de estos 20 puntos debe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medirse circuito por circuito antes del cambio para cuantificar el ahorro; con motor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detenido, toda la diferencia es descarga de batería evitada.</w:t>
      </w:r>
    </w:p>
    <w:p>
      <w:pPr>
        <w:autoSpaceDN w:val="0"/>
        <w:autoSpaceDE w:val="0"/>
        <w:widowControl/>
        <w:spacing w:line="240" w:lineRule="auto" w:before="40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5.5 Protecciones</w:t>
      </w:r>
    </w:p>
    <w:p>
      <w:pPr>
        <w:autoSpaceDN w:val="0"/>
        <w:autoSpaceDE w:val="0"/>
        <w:widowControl/>
        <w:spacing w:line="240" w:lineRule="auto" w:before="202" w:after="0"/>
        <w:ind w:left="180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Lado 74 V (entrada de cada MCI).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94" w:after="0"/>
        <w:ind w:left="24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Fusible: I f ≥ 1,25 × I ent,máx = 1,25 × 0,63 A = 0,78 A. Se adopta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fusible retardado de 2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, con tensión asignada ≥ 125 VCC certificada en corriente continua, en borne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portafusible seccionable. El retardo absorbe la corriente de conexión del condensador</w:t>
      </w:r>
    </w:p>
    <w:p>
      <w:pPr>
        <w:autoSpaceDN w:val="0"/>
        <w:autoSpaceDE w:val="0"/>
        <w:widowControl/>
        <w:spacing w:line="240" w:lineRule="auto" w:before="92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10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40" w:lineRule="auto" w:before="618" w:after="0"/>
        <w:ind w:left="508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 entrada.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Supresor de sobretensión: diodo TVS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bidireccional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, tensión de trabajo ≥ 110 V (sobre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1,4 Un = 100,8 V), 5 kW (serie 5KP110CA o equivalente), aguas abajo del fusible. Su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tensión de fijación se coordina con la protección interna del convertidor según la nota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 aplicación del fabricante.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115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Polaridad inversa: la cubre el propio RSD-30; el TVS bidireccional evita que una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conexión invertida funda el fusible.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interruptor existente del circuito en el panel de cabina se mantiene como protección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 respaldo y mando.</w:t>
      </w:r>
    </w:p>
    <w:p>
      <w:pPr>
        <w:autoSpaceDN w:val="0"/>
        <w:autoSpaceDE w:val="0"/>
        <w:widowControl/>
        <w:spacing w:line="240" w:lineRule="auto" w:before="210" w:after="0"/>
        <w:ind w:left="172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Lado 24 V (salida).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94" w:after="0"/>
        <w:ind w:left="232" w:right="144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convertidor limita la corriente entre 105 y 135 % de su carga nominal y se rearma solo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al despejarse la falla.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Cada rama de luminaria lleva fusible propio: I f ≥ 1,25 × I rama. Con la rama mayor de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0,48 A (un numerador o una luz de cabina) se adopta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fusible de 1 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en todas las ramas.</w:t>
      </w:r>
    </w:p>
    <w:p>
      <w:pPr>
        <w:autoSpaceDN w:val="0"/>
        <w:autoSpaceDE w:val="0"/>
        <w:widowControl/>
        <w:spacing w:line="240" w:lineRule="auto" w:before="406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5.6 Conductores y caída de tensión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202" w:after="0"/>
        <w:ind w:left="2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Caída de tensión: </w:t>
      </w:r>
      <w:r>
        <w:rPr>
          <w:rFonts w:ascii="DejaVu Sans" w:hAnsi="DejaVu Sans" w:eastAsia="DejaVu Sans"/>
          <w:b/>
          <w:i w:val="0"/>
          <w:color w:val="1F1E1D"/>
          <w:sz w:val="24"/>
        </w:rPr>
        <w:t>Δ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V = 2 · L · I · </w:t>
      </w:r>
      <w:r>
        <w:rPr>
          <w:rFonts w:ascii="DejaVu Sans" w:hAnsi="DejaVu Sans" w:eastAsia="DejaVu Sans"/>
          <w:b/>
          <w:i w:val="0"/>
          <w:color w:val="1F1E1D"/>
          <w:sz w:val="24"/>
        </w:rPr>
        <w:t>ρ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(70) / S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72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Resistividad del cobre a 70 °C: </w:t>
      </w:r>
      <w:r>
        <w:rPr>
          <w:rFonts w:ascii="DejaVu Sans" w:hAnsi="DejaVu Sans" w:eastAsia="DejaVu Sans"/>
          <w:b/>
          <w:i w:val="0"/>
          <w:color w:val="1F1E1D"/>
          <w:sz w:val="24"/>
        </w:rPr>
        <w:t>ρ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(70) = </w:t>
      </w:r>
      <w:r>
        <w:rPr>
          <w:rFonts w:ascii="DejaVu Sans" w:hAnsi="DejaVu Sans" w:eastAsia="DejaVu Sans"/>
          <w:b/>
          <w:i w:val="0"/>
          <w:color w:val="1F1E1D"/>
          <w:sz w:val="24"/>
        </w:rPr>
        <w:t>ρ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(20) · [1 + </w:t>
      </w:r>
      <w:r>
        <w:rPr>
          <w:rFonts w:ascii="DejaVu Sans" w:hAnsi="DejaVu Sans" w:eastAsia="DejaVu Sans"/>
          <w:b/>
          <w:i w:val="0"/>
          <w:color w:val="1F1E1D"/>
          <w:sz w:val="24"/>
        </w:rPr>
        <w:t>α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 · (70 − 20)] = 0,01724 × 1,197 =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0,0206 Ω·mm²/m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60"/>
        <w:ind w:left="232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Derivación de 74 V al MCI: 1,5 mm² tipo EN 50306, mínimo por resistencia mecánica (la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corriente es &lt; 1 A).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.00000000000003" w:type="dxa"/>
      </w:tblPr>
      <w:tblGrid>
        <w:gridCol w:w="5222"/>
        <w:gridCol w:w="5222"/>
      </w:tblGrid>
      <w:tr>
        <w:trPr>
          <w:trHeight w:hRule="exact" w:val="420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7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3500" cy="635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00" cy="63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96" w:right="0" w:firstLine="0"/>
              <w:jc w:val="left"/>
            </w:pP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>Circuitos de 24 V: 1,0 mm² tipo EN 50306, par trenzado.</w:t>
            </w:r>
          </w:p>
        </w:tc>
      </w:tr>
    </w:tbl>
    <w:p>
      <w:pPr>
        <w:autoSpaceDN w:val="0"/>
        <w:autoSpaceDE w:val="0"/>
        <w:widowControl/>
        <w:spacing w:line="35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741"/>
        <w:gridCol w:w="1741"/>
        <w:gridCol w:w="1741"/>
        <w:gridCol w:w="1741"/>
        <w:gridCol w:w="1741"/>
        <w:gridCol w:w="1741"/>
      </w:tblGrid>
      <w:tr>
        <w:trPr>
          <w:trHeight w:hRule="exact" w:val="420"/>
        </w:trPr>
        <w:tc>
          <w:tcPr>
            <w:tcW w:type="dxa" w:w="253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Módulo</w:t>
            </w:r>
          </w:p>
        </w:tc>
        <w:tc>
          <w:tcPr>
            <w:tcW w:type="dxa" w:w="1634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Recorrido L (m)</w:t>
            </w:r>
          </w:p>
        </w:tc>
        <w:tc>
          <w:tcPr>
            <w:tcW w:type="dxa" w:w="72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I (A)</w:t>
            </w:r>
          </w:p>
        </w:tc>
        <w:tc>
          <w:tcPr>
            <w:tcW w:type="dxa" w:w="93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S (mm²)</w:t>
            </w:r>
          </w:p>
        </w:tc>
        <w:tc>
          <w:tcPr>
            <w:tcW w:type="dxa" w:w="810"/>
            <w:tcBorders>
              <w:start w:sz="6.400000000000091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DejaVu Sans" w:hAnsi="DejaVu Sans" w:eastAsia="DejaVu Sans"/>
                <w:b w:val="0"/>
                <w:i w:val="0"/>
                <w:color w:val="52514E"/>
                <w:sz w:val="20"/>
              </w:rPr>
              <w:t>Δ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V (V)</w:t>
            </w:r>
          </w:p>
        </w:tc>
        <w:tc>
          <w:tcPr>
            <w:tcW w:type="dxa" w:w="870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DejaVu Sans" w:hAnsi="DejaVu Sans" w:eastAsia="DejaVu Sans"/>
                <w:b w:val="0"/>
                <w:i w:val="0"/>
                <w:color w:val="52514E"/>
                <w:sz w:val="20"/>
              </w:rPr>
              <w:t>Δ</w:t>
            </w: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52514E"/>
                <w:sz w:val="20"/>
              </w:rPr>
              <w:t>V (%)</w:t>
            </w:r>
          </w:p>
        </w:tc>
      </w:tr>
      <w:tr>
        <w:trPr>
          <w:trHeight w:hRule="exact" w:val="420"/>
        </w:trPr>
        <w:tc>
          <w:tcPr>
            <w:tcW w:type="dxa" w:w="2536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MCI-05 Cabina</w:t>
            </w:r>
          </w:p>
        </w:tc>
        <w:tc>
          <w:tcPr>
            <w:tcW w:type="dxa" w:w="1634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6</w:t>
            </w:r>
          </w:p>
        </w:tc>
        <w:tc>
          <w:tcPr>
            <w:tcW w:type="dxa" w:w="720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0,96</w:t>
            </w:r>
          </w:p>
        </w:tc>
        <w:tc>
          <w:tcPr>
            <w:tcW w:type="dxa" w:w="93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1,0</w:t>
            </w:r>
          </w:p>
        </w:tc>
        <w:tc>
          <w:tcPr>
            <w:tcW w:type="dxa" w:w="810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0,24</w:t>
            </w:r>
          </w:p>
        </w:tc>
        <w:tc>
          <w:tcPr>
            <w:tcW w:type="dxa" w:w="87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0,99</w:t>
            </w:r>
          </w:p>
        </w:tc>
      </w:tr>
      <w:tr>
        <w:trPr>
          <w:trHeight w:hRule="exact" w:val="420"/>
        </w:trPr>
        <w:tc>
          <w:tcPr>
            <w:tcW w:type="dxa" w:w="2536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0" w:right="0" w:firstLine="0"/>
              <w:jc w:val="center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MCI-01 / 02 Numeradores</w:t>
            </w:r>
          </w:p>
        </w:tc>
        <w:tc>
          <w:tcPr>
            <w:tcW w:type="dxa" w:w="1634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4</w:t>
            </w:r>
          </w:p>
        </w:tc>
        <w:tc>
          <w:tcPr>
            <w:tcW w:type="dxa" w:w="720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0,96</w:t>
            </w:r>
          </w:p>
        </w:tc>
        <w:tc>
          <w:tcPr>
            <w:tcW w:type="dxa" w:w="93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1,0</w:t>
            </w:r>
          </w:p>
        </w:tc>
        <w:tc>
          <w:tcPr>
            <w:tcW w:type="dxa" w:w="810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0,16</w:t>
            </w:r>
          </w:p>
        </w:tc>
        <w:tc>
          <w:tcPr>
            <w:tcW w:type="dxa" w:w="87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0,66</w:t>
            </w:r>
          </w:p>
        </w:tc>
      </w:tr>
      <w:tr>
        <w:trPr>
          <w:trHeight w:hRule="exact" w:val="420"/>
        </w:trPr>
        <w:tc>
          <w:tcPr>
            <w:tcW w:type="dxa" w:w="2536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MCI-07 / 08 Estribos</w:t>
            </w:r>
          </w:p>
        </w:tc>
        <w:tc>
          <w:tcPr>
            <w:tcW w:type="dxa" w:w="1634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5</w:t>
            </w:r>
          </w:p>
        </w:tc>
        <w:tc>
          <w:tcPr>
            <w:tcW w:type="dxa" w:w="720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0,24</w:t>
            </w:r>
          </w:p>
        </w:tc>
        <w:tc>
          <w:tcPr>
            <w:tcW w:type="dxa" w:w="93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1,0</w:t>
            </w:r>
          </w:p>
        </w:tc>
        <w:tc>
          <w:tcPr>
            <w:tcW w:type="dxa" w:w="810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0,05</w:t>
            </w:r>
          </w:p>
        </w:tc>
        <w:tc>
          <w:tcPr>
            <w:tcW w:type="dxa" w:w="87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0,21</w:t>
            </w:r>
          </w:p>
        </w:tc>
      </w:tr>
      <w:tr>
        <w:trPr>
          <w:trHeight w:hRule="exact" w:val="420"/>
        </w:trPr>
        <w:tc>
          <w:tcPr>
            <w:tcW w:type="dxa" w:w="2536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MCI-03 / 04 Clase</w:t>
            </w:r>
          </w:p>
        </w:tc>
        <w:tc>
          <w:tcPr>
            <w:tcW w:type="dxa" w:w="1634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</w:t>
            </w:r>
          </w:p>
        </w:tc>
        <w:tc>
          <w:tcPr>
            <w:tcW w:type="dxa" w:w="720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0,25</w:t>
            </w:r>
          </w:p>
        </w:tc>
        <w:tc>
          <w:tcPr>
            <w:tcW w:type="dxa" w:w="93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1,0</w:t>
            </w:r>
          </w:p>
        </w:tc>
        <w:tc>
          <w:tcPr>
            <w:tcW w:type="dxa" w:w="810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0,03</w:t>
            </w:r>
          </w:p>
        </w:tc>
        <w:tc>
          <w:tcPr>
            <w:tcW w:type="dxa" w:w="87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0,13</w:t>
            </w:r>
          </w:p>
        </w:tc>
      </w:tr>
      <w:tr>
        <w:trPr>
          <w:trHeight w:hRule="exact" w:val="420"/>
        </w:trPr>
        <w:tc>
          <w:tcPr>
            <w:tcW w:type="dxa" w:w="2536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8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MCI-06 Instrumentos</w:t>
            </w:r>
          </w:p>
        </w:tc>
        <w:tc>
          <w:tcPr>
            <w:tcW w:type="dxa" w:w="1634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3</w:t>
            </w:r>
          </w:p>
        </w:tc>
        <w:tc>
          <w:tcPr>
            <w:tcW w:type="dxa" w:w="720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0,18</w:t>
            </w:r>
          </w:p>
        </w:tc>
        <w:tc>
          <w:tcPr>
            <w:tcW w:type="dxa" w:w="93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0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1,0</w:t>
            </w:r>
          </w:p>
        </w:tc>
        <w:tc>
          <w:tcPr>
            <w:tcW w:type="dxa" w:w="810"/>
            <w:tcBorders>
              <w:start w:sz="6.400000000000091" w:val="single" w:color="#E7E4DB"/>
              <w:top w:sz="6.399999999999636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84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0,02</w:t>
            </w:r>
          </w:p>
        </w:tc>
        <w:tc>
          <w:tcPr>
            <w:tcW w:type="dxa" w:w="870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4" w:after="0"/>
              <w:ind w:left="96" w:right="0" w:firstLine="0"/>
              <w:jc w:val="left"/>
            </w:pPr>
            <w:r>
              <w:rPr>
                <w:w w:val="98.4000015258789"/>
                <w:rFonts w:ascii="Anthropic Sans Print" w:hAnsi="Anthropic Sans Print" w:eastAsia="Anthropic Sans Print"/>
                <w:b w:val="0"/>
                <w:i w:val="0"/>
                <w:color w:val="1F1E1D"/>
                <w:sz w:val="20"/>
              </w:rPr>
              <w:t>0,09</w:t>
            </w:r>
          </w:p>
        </w:tc>
      </w:tr>
    </w:tbl>
    <w:p>
      <w:pPr>
        <w:autoSpaceDN w:val="0"/>
        <w:autoSpaceDE w:val="0"/>
        <w:widowControl/>
        <w:spacing w:line="271" w:lineRule="auto" w:before="330" w:after="0"/>
        <w:ind w:left="172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Todos los circuitos quedan bajo el 3 % admitido. Con 1,0 mm² y 0,96 A el recorrido máximo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admisible es L máx = 0,72 × 1,0 / (2 × 0,96 × 0,0206) = 18 m, por lo que el criterio se cumple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con holgura aunque los recorridos reales sean mayores.</w:t>
      </w:r>
    </w:p>
    <w:p>
      <w:pPr>
        <w:autoSpaceDN w:val="0"/>
        <w:autoSpaceDE w:val="0"/>
        <w:widowControl/>
        <w:spacing w:line="240" w:lineRule="auto" w:before="131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11 of 18</w:t>
      </w:r>
    </w:p>
    <w:p>
      <w:pPr>
        <w:sectPr>
          <w:pgSz w:w="12240" w:h="15840"/>
          <w:pgMar w:top="146" w:right="888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40" w:lineRule="auto" w:before="588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5.7 Balance térmico</w:t>
      </w:r>
    </w:p>
    <w:p>
      <w:pPr>
        <w:autoSpaceDN w:val="0"/>
        <w:autoSpaceDE w:val="0"/>
        <w:widowControl/>
        <w:spacing w:line="240" w:lineRule="auto" w:before="202" w:after="0"/>
        <w:ind w:left="172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Convertidor en su caja.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94" w:after="0"/>
        <w:ind w:left="2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Pérdidas: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P(pérd) = P(LED) · (1/</w:t>
      </w:r>
      <w:r>
        <w:rPr>
          <w:rFonts w:ascii="DejaVu Sans" w:hAnsi="DejaVu Sans" w:eastAsia="DejaVu Sans"/>
          <w:b/>
          <w:i w:val="0"/>
          <w:color w:val="1F1E1D"/>
          <w:sz w:val="24"/>
        </w:rPr>
        <w:t>η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 xml:space="preserve"> − 1) = 23 × (1/0,85 − 1) = 4,1 W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Calentamiento: </w:t>
      </w:r>
      <w:r>
        <w:rPr>
          <w:rFonts w:ascii="DejaVu Sans" w:hAnsi="DejaVu Sans" w:eastAsia="DejaVu Sans"/>
          <w:b/>
          <w:i w:val="0"/>
          <w:color w:val="1F1E1D"/>
          <w:sz w:val="24"/>
        </w:rPr>
        <w:t>Δ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T = P(pérd) / (h · A) = 4,1 / (6 × 0,072) = 9,4 K</w:t>
      </w:r>
    </w:p>
    <w:p>
      <w:pPr>
        <w:autoSpaceDN w:val="0"/>
        <w:autoSpaceDE w:val="0"/>
        <w:widowControl/>
        <w:spacing w:line="271" w:lineRule="auto" w:before="210" w:after="0"/>
        <w:ind w:left="17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con una caja de aluminio de 160 × 120 × 60 mm (A = 0,072 m²) y h = 6 W/m²K en convección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natural. A 55 °C exteriores el interior llega a ≈ 64 °C: sobre el límite de plena carga en aire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libre, lo que confirma la exigencia de montar la placa base sobre metal (sección 5.3).</w:t>
      </w:r>
    </w:p>
    <w:p>
      <w:pPr>
        <w:autoSpaceDN w:val="0"/>
        <w:autoSpaceDE w:val="0"/>
        <w:widowControl/>
        <w:spacing w:line="276" w:lineRule="auto" w:before="210" w:after="0"/>
        <w:ind w:left="172" w:right="144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Tira LED en perfil de aluminio.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De los 9,6 W/m, ≈ 70 % se disipa como calor (6,7 W/m). Con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un perfil de resistencia térmica ≈ 2,1 K·m/W el calentamiento es ≈ 14 K: la placa LED llega 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≈ 69 °C con 55 °C de ambiente. Se especifica tira con temperatura de placa admisible ≥ 75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°C; en servicio nocturno (ambiente ≤ 35 °C) la placa queda bajo 50 °C.</w:t>
      </w:r>
    </w:p>
    <w:p>
      <w:pPr>
        <w:autoSpaceDN w:val="0"/>
        <w:autoSpaceDE w:val="0"/>
        <w:widowControl/>
        <w:spacing w:line="240" w:lineRule="auto" w:before="406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5.8 Atenuación y resistencias en serie</w:t>
      </w:r>
    </w:p>
    <w:p>
      <w:pPr>
        <w:autoSpaceDN w:val="0"/>
        <w:autoSpaceDE w:val="0"/>
        <w:widowControl/>
        <w:spacing w:line="271" w:lineRule="auto" w:before="202" w:after="0"/>
        <w:ind w:left="172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Un reóstato o una resistencia en serie en el lado de 74 V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no atenúa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un LED alimentado por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convertidor: el convertidor regula hasta que su entrada cae bajo 40 V y luego se apaga 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reenciende, produciendo parpadeo. Por eso: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94" w:after="0"/>
        <w:ind w:left="232" w:right="576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reóstato de luces de instrumentos se puentea y se reemplaza por un atenuador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PWM de 24 VCC a la salida de MCI-06, con frecuencia ≥ 2 kHz para evitar parpadeo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visible.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Antes de conectar cada MCI se verifica que el circuito no tenga resistencias de caída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ni reóstatos aguas arriba; si los hay, se puentean.</w:t>
      </w:r>
    </w:p>
    <w:p>
      <w:pPr>
        <w:autoSpaceDN w:val="0"/>
        <w:autoSpaceDE w:val="0"/>
        <w:widowControl/>
        <w:spacing w:line="240" w:lineRule="auto" w:before="572" w:after="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6. Especificación técnica y lista de materiales</w:t>
      </w:r>
    </w:p>
    <w:p>
      <w:pPr>
        <w:autoSpaceDN w:val="0"/>
        <w:autoSpaceDE w:val="0"/>
        <w:widowControl/>
        <w:spacing w:line="271" w:lineRule="auto" w:before="202" w:after="0"/>
        <w:ind w:left="172" w:right="72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El sistema se arma con un solo modelo de convertidor y tres tipos de tira LED, para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simplificar repuestos y mantenimiento. Las marcas citadas son referencia; se acepta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cualquier equivalente que cumpla la columna «Exigido».</w:t>
      </w:r>
    </w:p>
    <w:p>
      <w:pPr>
        <w:autoSpaceDN w:val="0"/>
        <w:autoSpaceDE w:val="0"/>
        <w:widowControl/>
        <w:spacing w:line="240" w:lineRule="auto" w:before="406" w:after="380"/>
        <w:ind w:left="172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6.1 Convertidor DC/DC (núcleo del MCI)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481"/>
        <w:gridCol w:w="3481"/>
        <w:gridCol w:w="3481"/>
      </w:tblGrid>
      <w:tr>
        <w:trPr>
          <w:trHeight w:hRule="exact" w:val="840"/>
        </w:trPr>
        <w:tc>
          <w:tcPr>
            <w:tcW w:type="dxa" w:w="2504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Parámetro</w:t>
            </w:r>
          </w:p>
        </w:tc>
        <w:tc>
          <w:tcPr>
            <w:tcW w:type="dxa" w:w="3840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Exigido</w:t>
            </w:r>
          </w:p>
        </w:tc>
        <w:tc>
          <w:tcPr>
            <w:tcW w:type="dxa" w:w="3720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6.399999999999636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Referencia: Mean Well RSD-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30H-24 (según catálogo)</w:t>
            </w:r>
          </w:p>
        </w:tc>
      </w:tr>
      <w:tr>
        <w:trPr>
          <w:trHeight w:hRule="exact" w:val="526"/>
        </w:trPr>
        <w:tc>
          <w:tcPr>
            <w:tcW w:type="dxa" w:w="2504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Rango de entrada</w:t>
            </w:r>
          </w:p>
        </w:tc>
        <w:tc>
          <w:tcPr>
            <w:tcW w:type="dxa" w:w="3840"/>
            <w:tcBorders>
              <w:start w:sz="6.400000000000091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Cubre 43,2–100,8 VCC</w:t>
            </w:r>
          </w:p>
        </w:tc>
        <w:tc>
          <w:tcPr>
            <w:tcW w:type="dxa" w:w="3720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40–160 VCC (4:1)</w:t>
            </w:r>
          </w:p>
        </w:tc>
      </w:tr>
    </w:tbl>
    <w:p>
      <w:pPr>
        <w:autoSpaceDN w:val="0"/>
        <w:autoSpaceDE w:val="0"/>
        <w:widowControl/>
        <w:spacing w:line="240" w:lineRule="auto" w:before="1132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12 of 18</w:t>
      </w:r>
    </w:p>
    <w:p>
      <w:pPr>
        <w:sectPr>
          <w:pgSz w:w="12240" w:h="15840"/>
          <w:pgMar w:top="146" w:right="888" w:bottom="150" w:left="9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3487"/>
        <w:gridCol w:w="3487"/>
        <w:gridCol w:w="3487"/>
      </w:tblGrid>
      <w:tr>
        <w:trPr>
          <w:trHeight w:hRule="exact" w:val="856"/>
        </w:trPr>
        <w:tc>
          <w:tcPr>
            <w:tcW w:type="dxa" w:w="2504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Parámetro</w:t>
            </w:r>
          </w:p>
        </w:tc>
        <w:tc>
          <w:tcPr>
            <w:tcW w:type="dxa" w:w="384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Exigido</w:t>
            </w:r>
          </w:p>
        </w:tc>
        <w:tc>
          <w:tcPr>
            <w:tcW w:type="dxa" w:w="3720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6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Referencia: Mean Well RSD-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30H-24 (según catálogo)</w:t>
            </w:r>
          </w:p>
        </w:tc>
      </w:tr>
      <w:tr>
        <w:trPr>
          <w:trHeight w:hRule="exact" w:val="508"/>
        </w:trPr>
        <w:tc>
          <w:tcPr>
            <w:tcW w:type="dxa" w:w="2504"/>
            <w:tcBorders>
              <w:start w:sz="6.399999999999977" w:val="single" w:color="#E7E4DB"/>
              <w:top w:sz="5.600000000000023" w:val="single" w:color="#E7E4DB"/>
              <w:end w:sz="6.400000000000091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Salida</w:t>
            </w:r>
          </w:p>
        </w:tc>
        <w:tc>
          <w:tcPr>
            <w:tcW w:type="dxa" w:w="3840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24 VCC, ≥ 1,0 A</w:t>
            </w:r>
          </w:p>
        </w:tc>
        <w:tc>
          <w:tcPr>
            <w:tcW w:type="dxa" w:w="3720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6.399999999999977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4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24 VCC, 1,25 A, 30 W</w:t>
            </w:r>
          </w:p>
        </w:tc>
      </w:tr>
      <w:tr>
        <w:trPr>
          <w:trHeight w:hRule="exact" w:val="856"/>
        </w:trPr>
        <w:tc>
          <w:tcPr>
            <w:tcW w:type="dxa" w:w="2504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Eficiencia a plena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carga</w:t>
            </w:r>
          </w:p>
        </w:tc>
        <w:tc>
          <w:tcPr>
            <w:tcW w:type="dxa" w:w="384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≥ 85 %</w:t>
            </w:r>
          </w:p>
        </w:tc>
        <w:tc>
          <w:tcPr>
            <w:tcW w:type="dxa" w:w="3720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89 %</w:t>
            </w:r>
          </w:p>
        </w:tc>
      </w:tr>
      <w:tr>
        <w:trPr>
          <w:trHeight w:hRule="exact" w:val="856"/>
        </w:trPr>
        <w:tc>
          <w:tcPr>
            <w:tcW w:type="dxa" w:w="25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Aislamiento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entrada/salida</w:t>
            </w:r>
          </w:p>
        </w:tc>
        <w:tc>
          <w:tcPr>
            <w:tcW w:type="dxa" w:w="384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≥ 3 kVCC</w:t>
            </w:r>
          </w:p>
        </w:tc>
        <w:tc>
          <w:tcPr>
            <w:tcW w:type="dxa" w:w="372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 kVCC</w:t>
            </w:r>
          </w:p>
        </w:tc>
      </w:tr>
      <w:tr>
        <w:trPr>
          <w:trHeight w:hRule="exact" w:val="1168"/>
        </w:trPr>
        <w:tc>
          <w:tcPr>
            <w:tcW w:type="dxa" w:w="250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Temperatura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operación</w:t>
            </w:r>
          </w:p>
        </w:tc>
        <w:tc>
          <w:tcPr>
            <w:tcW w:type="dxa" w:w="384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−25 a +70 °C</w:t>
            </w:r>
          </w:p>
        </w:tc>
        <w:tc>
          <w:tcPr>
            <w:tcW w:type="dxa" w:w="372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5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−40 a +70 °C (100 % hasta +55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°C; hasta +70 °C con placa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base)</w:t>
            </w:r>
          </w:p>
        </w:tc>
      </w:tr>
      <w:tr>
        <w:trPr>
          <w:trHeight w:hRule="exact" w:val="1186"/>
        </w:trPr>
        <w:tc>
          <w:tcPr>
            <w:tcW w:type="dxa" w:w="25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Protecciones</w:t>
            </w:r>
          </w:p>
        </w:tc>
        <w:tc>
          <w:tcPr>
            <w:tcW w:type="dxa" w:w="384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Cortocircuito, sobrecarga,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sobretensión de salida, polaridad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inversa</w:t>
            </w:r>
          </w:p>
        </w:tc>
        <w:tc>
          <w:tcPr>
            <w:tcW w:type="dxa" w:w="372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Las cuatro</w:t>
            </w:r>
          </w:p>
        </w:tc>
      </w:tr>
      <w:tr>
        <w:trPr>
          <w:trHeight w:hRule="exact" w:val="1170"/>
        </w:trPr>
        <w:tc>
          <w:tcPr>
            <w:tcW w:type="dxa" w:w="2504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Normas</w:t>
            </w:r>
          </w:p>
        </w:tc>
        <w:tc>
          <w:tcPr>
            <w:tcW w:type="dxa" w:w="384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8" w:after="0"/>
              <w:ind w:left="156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EN 50155, EN 50121-3-2, IEC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61373, EN 45545-2</w:t>
            </w:r>
          </w:p>
        </w:tc>
        <w:tc>
          <w:tcPr>
            <w:tcW w:type="dxa" w:w="3720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EN 50155 y EN 45545-2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declaradas; confirmar las otras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 la ficha vigente</w:t>
            </w:r>
          </w:p>
        </w:tc>
      </w:tr>
      <w:tr>
        <w:trPr>
          <w:trHeight w:hRule="exact" w:val="524"/>
        </w:trPr>
        <w:tc>
          <w:tcPr>
            <w:tcW w:type="dxa" w:w="2504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Dimensiones</w:t>
            </w:r>
          </w:p>
        </w:tc>
        <w:tc>
          <w:tcPr>
            <w:tcW w:type="dxa" w:w="384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—</w:t>
            </w:r>
          </w:p>
        </w:tc>
        <w:tc>
          <w:tcPr>
            <w:tcW w:type="dxa" w:w="3720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113 × 60 × 25 mm</w:t>
            </w:r>
          </w:p>
        </w:tc>
      </w:tr>
    </w:tbl>
    <w:p>
      <w:pPr>
        <w:autoSpaceDN w:val="0"/>
        <w:autoSpaceDE w:val="0"/>
        <w:widowControl/>
        <w:spacing w:line="240" w:lineRule="auto" w:before="528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6.2 Tiras y módulos LED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202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Tensión 24 VCC, LED SMD 2835. Se prefiere tira con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regulador de corriente constante</w:t>
      </w:r>
    </w:p>
    <w:p>
      <w:pPr>
        <w:autoSpaceDN w:val="0"/>
        <w:autoSpaceDE w:val="0"/>
        <w:widowControl/>
        <w:spacing w:line="240" w:lineRule="auto" w:before="60" w:after="0"/>
        <w:ind w:left="516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por segmento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, que mantiene el brillo aunque varíe la tensión.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Exterior (numeradores, estribos, clase): IP67 en silicona extruida. Interior (cabina,</w:t>
      </w:r>
    </w:p>
    <w:p>
      <w:pPr>
        <w:autoSpaceDN w:val="0"/>
        <w:autoSpaceDE w:val="0"/>
        <w:widowControl/>
        <w:spacing w:line="240" w:lineRule="auto" w:before="60" w:after="0"/>
        <w:ind w:left="51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instrumentos): IP20 dentro de perfil cerrado.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Temperatura de color 4000 K en numeradores, estribos y cabina; 3000 K en</w:t>
      </w:r>
    </w:p>
    <w:p>
      <w:pPr>
        <w:autoSpaceDN w:val="0"/>
        <w:autoSpaceDE w:val="0"/>
        <w:widowControl/>
        <w:spacing w:line="240" w:lineRule="auto" w:before="60" w:after="0"/>
        <w:ind w:left="51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instrumentos. Índice de reproducción cromática ≥ 80.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Temperatura de placa admisible ≥ 75 °C; vida L70 ≥ 30 000 h.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Montaje en perfil de aluminio con difusor de policarbonato, fijado con clips y tornillos:</w:t>
      </w:r>
    </w:p>
    <w:p>
      <w:pPr>
        <w:autoSpaceDN w:val="0"/>
        <w:autoSpaceDE w:val="0"/>
        <w:widowControl/>
        <w:spacing w:line="240" w:lineRule="auto" w:before="60" w:after="0"/>
        <w:ind w:left="51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el adhesivo de la tira no basta frente a la vibración.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Uniones soldadas con termorretráctil con adhesivo, o conector IP67 con traba. No se</w:t>
      </w:r>
    </w:p>
    <w:p>
      <w:pPr>
        <w:autoSpaceDN w:val="0"/>
        <w:autoSpaceDE w:val="0"/>
        <w:widowControl/>
        <w:spacing w:line="240" w:lineRule="auto" w:before="60" w:after="0"/>
        <w:ind w:left="51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usan conectores de presión.</w:t>
      </w:r>
    </w:p>
    <w:p>
      <w:pPr>
        <w:autoSpaceDN w:val="0"/>
        <w:autoSpaceDE w:val="0"/>
        <w:widowControl/>
        <w:spacing w:line="240" w:lineRule="auto" w:before="197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13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40" w:lineRule="auto" w:before="588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6.3 Caja del MCI</w:t>
      </w:r>
    </w:p>
    <w:p>
      <w:pPr>
        <w:autoSpaceDN w:val="0"/>
        <w:autoSpaceDE w:val="0"/>
        <w:widowControl/>
        <w:spacing w:line="276" w:lineRule="auto" w:before="202" w:after="0"/>
        <w:ind w:left="180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Caja de aluminio IP65 de 160 × 120 × 60 mm, prensaestopas metálicos M16, y en su interior: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borne portafusible seccionable de entrada (2 A), TVS, convertidor con placa base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atornillada a la pared con pasta térmica, y bornes portafusibles de salida (1 A). Cada caja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lleva placa con su código (MCI-01 a MCI-08), circuito y tensiones.</w:t>
      </w:r>
    </w:p>
    <w:p>
      <w:pPr>
        <w:autoSpaceDN w:val="0"/>
        <w:autoSpaceDE w:val="0"/>
        <w:widowControl/>
        <w:spacing w:line="240" w:lineRule="auto" w:before="406" w:after="38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6.4 Lista de materiales por locomotora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615"/>
        <w:gridCol w:w="2615"/>
        <w:gridCol w:w="2615"/>
        <w:gridCol w:w="2615"/>
      </w:tblGrid>
      <w:tr>
        <w:trPr>
          <w:trHeight w:hRule="exact" w:val="512"/>
        </w:trPr>
        <w:tc>
          <w:tcPr>
            <w:tcW w:type="dxa" w:w="796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Ítem</w:t>
            </w:r>
          </w:p>
        </w:tc>
        <w:tc>
          <w:tcPr>
            <w:tcW w:type="dxa" w:w="5714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Descripción</w:t>
            </w:r>
          </w:p>
        </w:tc>
        <w:tc>
          <w:tcPr>
            <w:tcW w:type="dxa" w:w="228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Cantidad</w:t>
            </w:r>
          </w:p>
        </w:tc>
        <w:tc>
          <w:tcPr>
            <w:tcW w:type="dxa" w:w="1064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Unidad</w:t>
            </w:r>
          </w:p>
        </w:tc>
      </w:tr>
      <w:tr>
        <w:trPr>
          <w:trHeight w:hRule="exact" w:val="854"/>
        </w:trPr>
        <w:tc>
          <w:tcPr>
            <w:tcW w:type="dxa" w:w="796"/>
            <w:tcBorders>
              <w:start w:sz="6.399999999999977" w:val="single" w:color="#E7E4DB"/>
              <w:top w:sz="5.599999999999909" w:val="single" w:color="#E7E4DB"/>
              <w:end w:sz="5.600000000000023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</w:t>
            </w:r>
          </w:p>
        </w:tc>
        <w:tc>
          <w:tcPr>
            <w:tcW w:type="dxa" w:w="5714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Convertidor DC/DC ferroviario 40–160 VCC / 24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VCC, 30 W (RSD-30H-24 o equivalente)</w:t>
            </w:r>
          </w:p>
        </w:tc>
        <w:tc>
          <w:tcPr>
            <w:tcW w:type="dxa" w:w="2280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 (8 + 1 repuesto)</w:t>
            </w:r>
          </w:p>
        </w:tc>
        <w:tc>
          <w:tcPr>
            <w:tcW w:type="dxa" w:w="1064"/>
            <w:tcBorders>
              <w:start w:sz="5.599999999999909" w:val="single" w:color="#E7E4DB"/>
              <w:top w:sz="5.599999999999909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</w:t>
            </w:r>
          </w:p>
        </w:tc>
      </w:tr>
      <w:tr>
        <w:trPr>
          <w:trHeight w:hRule="exact" w:val="854"/>
        </w:trPr>
        <w:tc>
          <w:tcPr>
            <w:tcW w:type="dxa" w:w="796"/>
            <w:tcBorders>
              <w:start w:sz="6.399999999999977" w:val="single" w:color="#E7E4DB"/>
              <w:top w:sz="5.599999999999909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</w:t>
            </w:r>
          </w:p>
        </w:tc>
        <w:tc>
          <w:tcPr>
            <w:tcW w:type="dxa" w:w="5714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Caja de aluminio IP65, 160 × 120 × 60 mm, con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prensaestopas M16</w:t>
            </w:r>
          </w:p>
        </w:tc>
        <w:tc>
          <w:tcPr>
            <w:tcW w:type="dxa" w:w="2280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</w:t>
            </w:r>
          </w:p>
        </w:tc>
        <w:tc>
          <w:tcPr>
            <w:tcW w:type="dxa" w:w="1064"/>
            <w:tcBorders>
              <w:start w:sz="5.599999999999909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</w:t>
            </w:r>
          </w:p>
        </w:tc>
      </w:tr>
      <w:tr>
        <w:trPr>
          <w:trHeight w:hRule="exact" w:val="840"/>
        </w:trPr>
        <w:tc>
          <w:tcPr>
            <w:tcW w:type="dxa" w:w="796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3</w:t>
            </w:r>
          </w:p>
        </w:tc>
        <w:tc>
          <w:tcPr>
            <w:tcW w:type="dxa" w:w="5714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100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Borne portafusible seccionable con fusible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retardado 2 A, ≥ 125 VCC</w:t>
            </w:r>
          </w:p>
        </w:tc>
        <w:tc>
          <w:tcPr>
            <w:tcW w:type="dxa" w:w="228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</w:t>
            </w:r>
          </w:p>
        </w:tc>
        <w:tc>
          <w:tcPr>
            <w:tcW w:type="dxa" w:w="1064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</w:t>
            </w:r>
          </w:p>
        </w:tc>
      </w:tr>
      <w:tr>
        <w:trPr>
          <w:trHeight w:hRule="exact" w:val="856"/>
        </w:trPr>
        <w:tc>
          <w:tcPr>
            <w:tcW w:type="dxa" w:w="796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4</w:t>
            </w:r>
          </w:p>
        </w:tc>
        <w:tc>
          <w:tcPr>
            <w:tcW w:type="dxa" w:w="5714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Diodo TVS bidireccional 5 kW, tensión de trabajo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110 V (5KP110CA o equivalente)</w:t>
            </w:r>
          </w:p>
        </w:tc>
        <w:tc>
          <w:tcPr>
            <w:tcW w:type="dxa" w:w="228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 (8 + 2 repuesto)</w:t>
            </w:r>
          </w:p>
        </w:tc>
        <w:tc>
          <w:tcPr>
            <w:tcW w:type="dxa" w:w="1064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</w:t>
            </w:r>
          </w:p>
        </w:tc>
      </w:tr>
      <w:tr>
        <w:trPr>
          <w:trHeight w:hRule="exact" w:val="524"/>
        </w:trPr>
        <w:tc>
          <w:tcPr>
            <w:tcW w:type="dxa" w:w="796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</w:t>
            </w:r>
          </w:p>
        </w:tc>
        <w:tc>
          <w:tcPr>
            <w:tcW w:type="dxa" w:w="5714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Borne portafusible de 24 V con fusible 1 A</w:t>
            </w:r>
          </w:p>
        </w:tc>
        <w:tc>
          <w:tcPr>
            <w:tcW w:type="dxa" w:w="228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15</w:t>
            </w:r>
          </w:p>
        </w:tc>
        <w:tc>
          <w:tcPr>
            <w:tcW w:type="dxa" w:w="1064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</w:t>
            </w:r>
          </w:p>
        </w:tc>
      </w:tr>
      <w:tr>
        <w:trPr>
          <w:trHeight w:hRule="exact" w:val="526"/>
        </w:trPr>
        <w:tc>
          <w:tcPr>
            <w:tcW w:type="dxa" w:w="796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</w:t>
            </w:r>
          </w:p>
        </w:tc>
        <w:tc>
          <w:tcPr>
            <w:tcW w:type="dxa" w:w="5714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Tira LED 24 V, 9,6 W/m, IP67, 4000 K</w:t>
            </w:r>
          </w:p>
        </w:tc>
        <w:tc>
          <w:tcPr>
            <w:tcW w:type="dxa" w:w="228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</w:t>
            </w:r>
          </w:p>
        </w:tc>
        <w:tc>
          <w:tcPr>
            <w:tcW w:type="dxa" w:w="1064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</w:t>
            </w:r>
          </w:p>
        </w:tc>
      </w:tr>
      <w:tr>
        <w:trPr>
          <w:trHeight w:hRule="exact" w:val="510"/>
        </w:trPr>
        <w:tc>
          <w:tcPr>
            <w:tcW w:type="dxa" w:w="796"/>
            <w:tcBorders>
              <w:start w:sz="6.399999999999977" w:val="single" w:color="#E7E4DB"/>
              <w:top w:sz="5.599999999999909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7</w:t>
            </w:r>
          </w:p>
        </w:tc>
        <w:tc>
          <w:tcPr>
            <w:tcW w:type="dxa" w:w="5714"/>
            <w:tcBorders>
              <w:start w:sz="5.600000000000023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Tira LED 24 V, 14,4 W/m, 4000 K</w:t>
            </w:r>
          </w:p>
        </w:tc>
        <w:tc>
          <w:tcPr>
            <w:tcW w:type="dxa" w:w="2280"/>
            <w:tcBorders>
              <w:start w:sz="5.599999999999909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</w:t>
            </w:r>
          </w:p>
        </w:tc>
        <w:tc>
          <w:tcPr>
            <w:tcW w:type="dxa" w:w="1064"/>
            <w:tcBorders>
              <w:start w:sz="5.599999999999909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</w:t>
            </w:r>
          </w:p>
        </w:tc>
      </w:tr>
      <w:tr>
        <w:trPr>
          <w:trHeight w:hRule="exact" w:val="524"/>
        </w:trPr>
        <w:tc>
          <w:tcPr>
            <w:tcW w:type="dxa" w:w="796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8</w:t>
            </w:r>
          </w:p>
        </w:tc>
        <w:tc>
          <w:tcPr>
            <w:tcW w:type="dxa" w:w="5714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Tira LED 24 V, 4,8 W/m, 3000 K</w:t>
            </w:r>
          </w:p>
        </w:tc>
        <w:tc>
          <w:tcPr>
            <w:tcW w:type="dxa" w:w="228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</w:t>
            </w:r>
          </w:p>
        </w:tc>
        <w:tc>
          <w:tcPr>
            <w:tcW w:type="dxa" w:w="1064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</w:t>
            </w:r>
          </w:p>
        </w:tc>
      </w:tr>
      <w:tr>
        <w:trPr>
          <w:trHeight w:hRule="exact" w:val="526"/>
        </w:trPr>
        <w:tc>
          <w:tcPr>
            <w:tcW w:type="dxa" w:w="796"/>
            <w:tcBorders>
              <w:start w:sz="6.399999999999977" w:val="single" w:color="#E7E4DB"/>
              <w:top w:sz="6.400000000000091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</w:t>
            </w:r>
          </w:p>
        </w:tc>
        <w:tc>
          <w:tcPr>
            <w:tcW w:type="dxa" w:w="5714"/>
            <w:tcBorders>
              <w:start w:sz="5.600000000000023" w:val="single" w:color="#E7E4DB"/>
              <w:top w:sz="6.400000000000091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Módulo LED 24 V, 3 W, color según lente de clase</w:t>
            </w:r>
          </w:p>
        </w:tc>
        <w:tc>
          <w:tcPr>
            <w:tcW w:type="dxa" w:w="2280"/>
            <w:tcBorders>
              <w:start w:sz="5.599999999999909" w:val="single" w:color="#E7E4DB"/>
              <w:top w:sz="6.400000000000091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5 (4 + 1 repuesto)</w:t>
            </w:r>
          </w:p>
        </w:tc>
        <w:tc>
          <w:tcPr>
            <w:tcW w:type="dxa" w:w="1064"/>
            <w:tcBorders>
              <w:start w:sz="5.599999999999909" w:val="single" w:color="#E7E4DB"/>
              <w:top w:sz="6.400000000000091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</w:t>
            </w:r>
          </w:p>
        </w:tc>
      </w:tr>
      <w:tr>
        <w:trPr>
          <w:trHeight w:hRule="exact" w:val="524"/>
        </w:trPr>
        <w:tc>
          <w:tcPr>
            <w:tcW w:type="dxa" w:w="796"/>
            <w:tcBorders>
              <w:start w:sz="6.399999999999977" w:val="single" w:color="#E7E4DB"/>
              <w:top w:sz="5.600000000000364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</w:t>
            </w:r>
          </w:p>
        </w:tc>
        <w:tc>
          <w:tcPr>
            <w:tcW w:type="dxa" w:w="5714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Perfil de aluminio con difusor de policarbonato</w:t>
            </w:r>
          </w:p>
        </w:tc>
        <w:tc>
          <w:tcPr>
            <w:tcW w:type="dxa" w:w="2280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</w:t>
            </w:r>
          </w:p>
        </w:tc>
        <w:tc>
          <w:tcPr>
            <w:tcW w:type="dxa" w:w="1064"/>
            <w:tcBorders>
              <w:start w:sz="5.599999999999909" w:val="single" w:color="#E7E4DB"/>
              <w:top w:sz="5.600000000000364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</w:t>
            </w:r>
          </w:p>
        </w:tc>
      </w:tr>
      <w:tr>
        <w:trPr>
          <w:trHeight w:hRule="exact" w:val="840"/>
        </w:trPr>
        <w:tc>
          <w:tcPr>
            <w:tcW w:type="dxa" w:w="796"/>
            <w:tcBorders>
              <w:start w:sz="6.399999999999977" w:val="single" w:color="#E7E4DB"/>
              <w:top w:sz="5.600000000000364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11</w:t>
            </w:r>
          </w:p>
        </w:tc>
        <w:tc>
          <w:tcPr>
            <w:tcW w:type="dxa" w:w="5714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144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Atenuador PWM 24 VCC, ≥ 2 kHz, con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potenciómetro de panel</w:t>
            </w:r>
          </w:p>
        </w:tc>
        <w:tc>
          <w:tcPr>
            <w:tcW w:type="dxa" w:w="2280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</w:t>
            </w:r>
          </w:p>
        </w:tc>
        <w:tc>
          <w:tcPr>
            <w:tcW w:type="dxa" w:w="1064"/>
            <w:tcBorders>
              <w:start w:sz="5.599999999999909" w:val="single" w:color="#E7E4DB"/>
              <w:top w:sz="5.600000000000364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</w:t>
            </w:r>
          </w:p>
        </w:tc>
      </w:tr>
      <w:tr>
        <w:trPr>
          <w:trHeight w:hRule="exact" w:val="526"/>
        </w:trPr>
        <w:tc>
          <w:tcPr>
            <w:tcW w:type="dxa" w:w="796"/>
            <w:tcBorders>
              <w:start w:sz="6.399999999999977" w:val="single" w:color="#E7E4DB"/>
              <w:top w:sz="5.600000000000364" w:val="single" w:color="#E7E4DB"/>
              <w:end w:sz="5.600000000000023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12</w:t>
            </w:r>
          </w:p>
        </w:tc>
        <w:tc>
          <w:tcPr>
            <w:tcW w:type="dxa" w:w="5714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Cable EN 50306, 1,5 mm² (derivaciones de 74 V)</w:t>
            </w:r>
          </w:p>
        </w:tc>
        <w:tc>
          <w:tcPr>
            <w:tcW w:type="dxa" w:w="2280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20</w:t>
            </w:r>
          </w:p>
        </w:tc>
        <w:tc>
          <w:tcPr>
            <w:tcW w:type="dxa" w:w="1064"/>
            <w:tcBorders>
              <w:start w:sz="5.599999999999909" w:val="single" w:color="#E7E4DB"/>
              <w:top w:sz="5.600000000000364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</w:t>
            </w:r>
          </w:p>
        </w:tc>
      </w:tr>
      <w:tr>
        <w:trPr>
          <w:trHeight w:hRule="exact" w:val="854"/>
        </w:trPr>
        <w:tc>
          <w:tcPr>
            <w:tcW w:type="dxa" w:w="796"/>
            <w:tcBorders>
              <w:start w:sz="6.399999999999977" w:val="single" w:color="#E7E4DB"/>
              <w:top w:sz="6.399999999999636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13</w:t>
            </w:r>
          </w:p>
        </w:tc>
        <w:tc>
          <w:tcPr>
            <w:tcW w:type="dxa" w:w="5714"/>
            <w:tcBorders>
              <w:start w:sz="5.600000000000023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Cable EN 50306, 1,0 mm², par trenzado (circuitos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 24 V)</w:t>
            </w:r>
          </w:p>
        </w:tc>
        <w:tc>
          <w:tcPr>
            <w:tcW w:type="dxa" w:w="2280"/>
            <w:tcBorders>
              <w:start w:sz="5.599999999999909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60</w:t>
            </w:r>
          </w:p>
        </w:tc>
        <w:tc>
          <w:tcPr>
            <w:tcW w:type="dxa" w:w="1064"/>
            <w:tcBorders>
              <w:start w:sz="5.599999999999909" w:val="single" w:color="#E7E4DB"/>
              <w:top w:sz="6.39999999999963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</w:t>
            </w:r>
          </w:p>
        </w:tc>
      </w:tr>
      <w:tr>
        <w:trPr>
          <w:trHeight w:hRule="exact" w:val="840"/>
        </w:trPr>
        <w:tc>
          <w:tcPr>
            <w:tcW w:type="dxa" w:w="796"/>
            <w:tcBorders>
              <w:start w:sz="6.399999999999977" w:val="single" w:color="#E7E4DB"/>
              <w:top w:sz="5.600000000000364" w:val="single" w:color="#E7E4DB"/>
              <w:end w:sz="5.600000000000023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14</w:t>
            </w:r>
          </w:p>
        </w:tc>
        <w:tc>
          <w:tcPr>
            <w:tcW w:type="dxa" w:w="5714"/>
            <w:tcBorders>
              <w:start w:sz="5.600000000000023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Terminales, punteras, termorretráctil con adhesivo,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abrazaderas y pasta térmica</w:t>
            </w:r>
          </w:p>
        </w:tc>
        <w:tc>
          <w:tcPr>
            <w:tcW w:type="dxa" w:w="2280"/>
            <w:tcBorders>
              <w:start w:sz="5.599999999999909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</w:t>
            </w:r>
          </w:p>
        </w:tc>
        <w:tc>
          <w:tcPr>
            <w:tcW w:type="dxa" w:w="1064"/>
            <w:tcBorders>
              <w:start w:sz="5.599999999999909" w:val="single" w:color="#E7E4DB"/>
              <w:top w:sz="5.600000000000364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lote</w:t>
            </w:r>
          </w:p>
        </w:tc>
      </w:tr>
    </w:tbl>
    <w:p>
      <w:pPr>
        <w:autoSpaceDN w:val="0"/>
        <w:autoSpaceDE w:val="0"/>
        <w:widowControl/>
        <w:spacing w:line="240" w:lineRule="auto" w:before="1208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14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64" w:lineRule="auto" w:before="618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Las cantidades de tira y perfil incluyen ≈ 20 % de holgura sobre el inventario tipo y deben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ajustarse a las medidas reales de cada luminaria.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7. Instalación, pruebas y puesta en servicio</w:t>
      </w:r>
    </w:p>
    <w:p>
      <w:pPr>
        <w:autoSpaceDN w:val="0"/>
        <w:autoSpaceDE w:val="0"/>
        <w:widowControl/>
        <w:spacing w:line="264" w:lineRule="auto" w:before="216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La instalación se hace primero en la unidad N.º 49 como piloto; tras 30 días de servicio sin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observaciones se replica en la N.º 50.</w:t>
      </w:r>
    </w:p>
    <w:p>
      <w:pPr>
        <w:autoSpaceDN w:val="0"/>
        <w:autoSpaceDE w:val="0"/>
        <w:widowControl/>
        <w:spacing w:line="240" w:lineRule="auto" w:before="40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7.1 Secuencia de instalación</w:t>
      </w:r>
    </w:p>
    <w:p>
      <w:pPr>
        <w:autoSpaceDN w:val="0"/>
        <w:tabs>
          <w:tab w:pos="516" w:val="left"/>
        </w:tabs>
        <w:autoSpaceDE w:val="0"/>
        <w:widowControl/>
        <w:spacing w:line="264" w:lineRule="auto" w:before="202" w:after="0"/>
        <w:ind w:left="254" w:right="14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1. Con las ampolletas aún instaladas, medir y registrar la tensión de red (motor detenido 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en marcha) y la corriente de cada circuito con pinza de CC. Es la línea base del ahorro.</w:t>
      </w:r>
    </w:p>
    <w:p>
      <w:pPr>
        <w:autoSpaceDN w:val="0"/>
        <w:tabs>
          <w:tab w:pos="516" w:val="left"/>
        </w:tabs>
        <w:autoSpaceDE w:val="0"/>
        <w:widowControl/>
        <w:spacing w:line="264" w:lineRule="auto" w:before="120" w:after="0"/>
        <w:ind w:left="254" w:right="72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2. Detener la locomotora, abrir el interruptor de batería y el interruptor del circuito, 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aplicar bloqueo y etiquetado.</w:t>
      </w:r>
    </w:p>
    <w:p>
      <w:pPr>
        <w:autoSpaceDN w:val="0"/>
        <w:tabs>
          <w:tab w:pos="516" w:val="left"/>
        </w:tabs>
        <w:autoSpaceDE w:val="0"/>
        <w:widowControl/>
        <w:spacing w:line="264" w:lineRule="auto" w:before="120" w:after="0"/>
        <w:ind w:left="254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3. Retirar las ampolletas y portalámparas. Verificar que no haya resistencias en serie ni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reóstatos en el circuito (sección 5.8).</w:t>
      </w:r>
    </w:p>
    <w:p>
      <w:pPr>
        <w:autoSpaceDN w:val="0"/>
        <w:tabs>
          <w:tab w:pos="516" w:val="left"/>
        </w:tabs>
        <w:autoSpaceDE w:val="0"/>
        <w:widowControl/>
        <w:spacing w:line="264" w:lineRule="auto" w:before="120" w:after="0"/>
        <w:ind w:left="254" w:right="432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4. Fijar la caja del MCI cerca de sus luminarias, lejos del escape, radiadores y chorros de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agua de lavado.</w:t>
      </w:r>
    </w:p>
    <w:p>
      <w:pPr>
        <w:autoSpaceDN w:val="0"/>
        <w:tabs>
          <w:tab w:pos="516" w:val="left"/>
        </w:tabs>
        <w:autoSpaceDE w:val="0"/>
        <w:widowControl/>
        <w:spacing w:line="264" w:lineRule="auto" w:before="120" w:after="0"/>
        <w:ind w:left="254" w:right="576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5. Conectar los dos conductores existentes (+ y −) al borne de entrada, respetando y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marcando la polaridad. Ningún polo al chasis.</w:t>
      </w:r>
    </w:p>
    <w:p>
      <w:pPr>
        <w:autoSpaceDN w:val="0"/>
        <w:tabs>
          <w:tab w:pos="516" w:val="left"/>
        </w:tabs>
        <w:autoSpaceDE w:val="0"/>
        <w:widowControl/>
        <w:spacing w:line="264" w:lineRule="auto" w:before="120" w:after="0"/>
        <w:ind w:left="254" w:right="864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6. Montar perfiles y tiras, tender los circuitos de 24 V en par trenzado y colocar los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fusibles de rama.</w:t>
      </w:r>
    </w:p>
    <w:p>
      <w:pPr>
        <w:autoSpaceDN w:val="0"/>
        <w:autoSpaceDE w:val="0"/>
        <w:widowControl/>
        <w:spacing w:line="240" w:lineRule="auto" w:before="120" w:after="0"/>
        <w:ind w:left="254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7. Ejecutar la prueba de aislamiento antes de energizar (tabla 7.2).</w:t>
      </w:r>
    </w:p>
    <w:p>
      <w:pPr>
        <w:autoSpaceDN w:val="0"/>
        <w:autoSpaceDE w:val="0"/>
        <w:widowControl/>
        <w:spacing w:line="240" w:lineRule="auto" w:before="120" w:after="0"/>
        <w:ind w:left="254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8. Energizar y completar el protocolo de pruebas.</w:t>
      </w:r>
    </w:p>
    <w:p>
      <w:pPr>
        <w:autoSpaceDN w:val="0"/>
        <w:autoSpaceDE w:val="0"/>
        <w:widowControl/>
        <w:spacing w:line="240" w:lineRule="auto" w:before="406" w:after="38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7.2 Protocolo de pruebas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3487"/>
        <w:gridCol w:w="3487"/>
        <w:gridCol w:w="3487"/>
      </w:tblGrid>
      <w:tr>
        <w:trPr>
          <w:trHeight w:hRule="exact" w:val="510"/>
        </w:trPr>
        <w:tc>
          <w:tcPr>
            <w:tcW w:type="dxa" w:w="2836"/>
            <w:tcBorders>
              <w:start w:sz="6.399999999999977" w:val="single" w:color="#E7E4DB"/>
              <w:top w:sz="6.399999999999636" w:val="single" w:color="#E7E4DB"/>
              <w:end w:sz="5.599999999999909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Prueba</w:t>
            </w:r>
          </w:p>
        </w:tc>
        <w:tc>
          <w:tcPr>
            <w:tcW w:type="dxa" w:w="3704"/>
            <w:tcBorders>
              <w:start w:sz="5.599999999999909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Método</w:t>
            </w:r>
          </w:p>
        </w:tc>
        <w:tc>
          <w:tcPr>
            <w:tcW w:type="dxa" w:w="3524"/>
            <w:tcBorders>
              <w:start w:sz="6.400000000000091" w:val="single" w:color="#E7E4DB"/>
              <w:top w:sz="6.399999999999636" w:val="single" w:color="#E7E4DB"/>
              <w:end w:sz="6.399999999999636" w:val="single" w:color="#E7E4DB"/>
              <w:bottom w:sz="5.600000000000364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Criterio de aceptación</w:t>
            </w:r>
          </w:p>
        </w:tc>
      </w:tr>
      <w:tr>
        <w:trPr>
          <w:trHeight w:hRule="exact" w:val="856"/>
        </w:trPr>
        <w:tc>
          <w:tcPr>
            <w:tcW w:type="dxa" w:w="2836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Banco, cada MCI antes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 instalar</w:t>
            </w:r>
          </w:p>
        </w:tc>
        <w:tc>
          <w:tcPr>
            <w:tcW w:type="dxa" w:w="3704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Fuente CC variable de 40 a 100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</w:t>
            </w:r>
          </w:p>
        </w:tc>
        <w:tc>
          <w:tcPr>
            <w:tcW w:type="dxa" w:w="352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Salida 24 V ± 1 % entre 43 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100 V, sin parpadeo</w:t>
            </w:r>
          </w:p>
        </w:tc>
      </w:tr>
      <w:tr>
        <w:trPr>
          <w:trHeight w:hRule="exact" w:val="1170"/>
        </w:trPr>
        <w:tc>
          <w:tcPr>
            <w:tcW w:type="dxa" w:w="2836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100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Resistencia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aislamiento</w:t>
            </w:r>
          </w:p>
        </w:tc>
        <w:tc>
          <w:tcPr>
            <w:tcW w:type="dxa" w:w="3704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8" w:after="0"/>
              <w:ind w:left="146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Megóhmetro 500 VCC entre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cada circuito (+ y − unidos) 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chasis</w:t>
            </w:r>
          </w:p>
        </w:tc>
        <w:tc>
          <w:tcPr>
            <w:tcW w:type="dxa" w:w="352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≥ 20 MΩ</w:t>
            </w:r>
          </w:p>
        </w:tc>
      </w:tr>
    </w:tbl>
    <w:p>
      <w:pPr>
        <w:autoSpaceDN w:val="0"/>
        <w:autoSpaceDE w:val="0"/>
        <w:widowControl/>
        <w:spacing w:line="240" w:lineRule="auto" w:before="182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15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3487"/>
        <w:gridCol w:w="3487"/>
        <w:gridCol w:w="3487"/>
      </w:tblGrid>
      <w:tr>
        <w:trPr>
          <w:trHeight w:hRule="exact" w:val="524"/>
        </w:trPr>
        <w:tc>
          <w:tcPr>
            <w:tcW w:type="dxa" w:w="2836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Prueba</w:t>
            </w:r>
          </w:p>
        </w:tc>
        <w:tc>
          <w:tcPr>
            <w:tcW w:type="dxa" w:w="3704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Método</w:t>
            </w:r>
          </w:p>
        </w:tc>
        <w:tc>
          <w:tcPr>
            <w:tcW w:type="dxa" w:w="3524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Criterio de aceptación</w:t>
            </w:r>
          </w:p>
        </w:tc>
      </w:tr>
      <w:tr>
        <w:trPr>
          <w:trHeight w:hRule="exact" w:val="1172"/>
        </w:trPr>
        <w:tc>
          <w:tcPr>
            <w:tcW w:type="dxa" w:w="2836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Tensión de entrada 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polaridad</w:t>
            </w:r>
          </w:p>
        </w:tc>
        <w:tc>
          <w:tcPr>
            <w:tcW w:type="dxa" w:w="3704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Multímetro en bornes del MCI</w:t>
            </w:r>
          </w:p>
        </w:tc>
        <w:tc>
          <w:tcPr>
            <w:tcW w:type="dxa" w:w="3524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64–67 V motor detenido; 73–75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V en marcha; polaridad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correcta</w:t>
            </w:r>
          </w:p>
        </w:tc>
      </w:tr>
      <w:tr>
        <w:trPr>
          <w:trHeight w:hRule="exact" w:val="852"/>
        </w:trPr>
        <w:tc>
          <w:tcPr>
            <w:tcW w:type="dxa" w:w="283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Tensión en la luminaria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más lejana</w:t>
            </w:r>
          </w:p>
        </w:tc>
        <w:tc>
          <w:tcPr>
            <w:tcW w:type="dxa" w:w="370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Multímetro con carga</w:t>
            </w:r>
          </w:p>
        </w:tc>
        <w:tc>
          <w:tcPr>
            <w:tcW w:type="dxa" w:w="352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≥ 23,3 V (caída ≤ 3 %)</w:t>
            </w:r>
          </w:p>
        </w:tc>
      </w:tr>
      <w:tr>
        <w:trPr>
          <w:trHeight w:hRule="exact" w:val="856"/>
        </w:trPr>
        <w:tc>
          <w:tcPr>
            <w:tcW w:type="dxa" w:w="283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Corriente de entrada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por MCI</w:t>
            </w:r>
          </w:p>
        </w:tc>
        <w:tc>
          <w:tcPr>
            <w:tcW w:type="dxa" w:w="370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Pinza de CC a 74 V</w:t>
            </w:r>
          </w:p>
        </w:tc>
        <w:tc>
          <w:tcPr>
            <w:tcW w:type="dxa" w:w="352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Dentro de ± 15 % del valor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la tabla 5.3</w:t>
            </w:r>
          </w:p>
        </w:tc>
      </w:tr>
      <w:tr>
        <w:trPr>
          <w:trHeight w:hRule="exact" w:val="840"/>
        </w:trPr>
        <w:tc>
          <w:tcPr>
            <w:tcW w:type="dxa" w:w="283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Arranque del motor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diésel</w:t>
            </w:r>
          </w:p>
        </w:tc>
        <w:tc>
          <w:tcPr>
            <w:tcW w:type="dxa" w:w="370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Observación durante el giro</w:t>
            </w:r>
          </w:p>
        </w:tc>
        <w:tc>
          <w:tcPr>
            <w:tcW w:type="dxa" w:w="352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Los MCI se recuperan solos;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ningún fusible fundido</w:t>
            </w:r>
          </w:p>
        </w:tc>
      </w:tr>
      <w:tr>
        <w:trPr>
          <w:trHeight w:hRule="exact" w:val="856"/>
        </w:trPr>
        <w:tc>
          <w:tcPr>
            <w:tcW w:type="dxa" w:w="283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Detector de tierra de la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locomotora</w:t>
            </w:r>
          </w:p>
        </w:tc>
        <w:tc>
          <w:tcPr>
            <w:tcW w:type="dxa" w:w="370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Indicador de falla a tierra</w:t>
            </w:r>
          </w:p>
        </w:tc>
        <w:tc>
          <w:tcPr>
            <w:tcW w:type="dxa" w:w="352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Sin indicación con todos los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circuitos encendidos</w:t>
            </w:r>
          </w:p>
        </w:tc>
      </w:tr>
      <w:tr>
        <w:trPr>
          <w:trHeight w:hRule="exact" w:val="840"/>
        </w:trPr>
        <w:tc>
          <w:tcPr>
            <w:tcW w:type="dxa" w:w="283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Temperatura</w:t>
            </w:r>
          </w:p>
        </w:tc>
        <w:tc>
          <w:tcPr>
            <w:tcW w:type="dxa" w:w="370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Cámara termográfica tras 2 h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encendido</w:t>
            </w:r>
          </w:p>
        </w:tc>
        <w:tc>
          <w:tcPr>
            <w:tcW w:type="dxa" w:w="352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Caja MCI ≤ 70 °C; placa LED ≤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75 °C</w:t>
            </w:r>
          </w:p>
        </w:tc>
      </w:tr>
      <w:tr>
        <w:trPr>
          <w:trHeight w:hRule="exact" w:val="854"/>
        </w:trPr>
        <w:tc>
          <w:tcPr>
            <w:tcW w:type="dxa" w:w="283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100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Atenuación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instrumentos</w:t>
            </w:r>
          </w:p>
        </w:tc>
        <w:tc>
          <w:tcPr>
            <w:tcW w:type="dxa" w:w="370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Recorrer el potenciómetro</w:t>
            </w:r>
          </w:p>
        </w:tc>
        <w:tc>
          <w:tcPr>
            <w:tcW w:type="dxa" w:w="352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86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Regulación continua sin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parpadeo</w:t>
            </w:r>
          </w:p>
        </w:tc>
      </w:tr>
      <w:tr>
        <w:trPr>
          <w:trHeight w:hRule="exact" w:val="1170"/>
        </w:trPr>
        <w:tc>
          <w:tcPr>
            <w:tcW w:type="dxa" w:w="283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Numeradores</w:t>
            </w:r>
          </w:p>
        </w:tc>
        <w:tc>
          <w:tcPr>
            <w:tcW w:type="dxa" w:w="370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6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Inspección nocturna</w:t>
            </w:r>
          </w:p>
        </w:tc>
        <w:tc>
          <w:tcPr>
            <w:tcW w:type="dxa" w:w="352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Números legibles, iluminación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uniforme, sin puntos LED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visibles</w:t>
            </w:r>
          </w:p>
        </w:tc>
      </w:tr>
      <w:tr>
        <w:trPr>
          <w:trHeight w:hRule="exact" w:val="856"/>
        </w:trPr>
        <w:tc>
          <w:tcPr>
            <w:tcW w:type="dxa" w:w="283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Vibración</w:t>
            </w:r>
          </w:p>
        </w:tc>
        <w:tc>
          <w:tcPr>
            <w:tcW w:type="dxa" w:w="370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6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Inspección a los 30 días 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servicio</w:t>
            </w:r>
          </w:p>
        </w:tc>
        <w:tc>
          <w:tcPr>
            <w:tcW w:type="dxa" w:w="352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86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Sin fijaciones sueltas ni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uniones agrietadas</w:t>
            </w:r>
          </w:p>
        </w:tc>
      </w:tr>
    </w:tbl>
    <w:p>
      <w:pPr>
        <w:autoSpaceDN w:val="0"/>
        <w:autoSpaceDE w:val="0"/>
        <w:widowControl/>
        <w:spacing w:line="240" w:lineRule="auto" w:before="52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7.3 Mantenimiento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202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Inspección visual trimestral de cajas, prensaestopas, perfiles y fusibles.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Mantener en bodega un MCI completo de repuesto por locomotora: el cambio es de</w:t>
      </w:r>
    </w:p>
    <w:p>
      <w:pPr>
        <w:autoSpaceDN w:val="0"/>
        <w:autoSpaceDE w:val="0"/>
        <w:widowControl/>
        <w:spacing w:line="240" w:lineRule="auto" w:before="60" w:after="0"/>
        <w:ind w:left="51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bornes y no requiere herramientas especiales.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Registrar fallas por código de módulo para evaluar la confiabilidad del sistema.</w:t>
      </w:r>
    </w:p>
    <w:p>
      <w:pPr>
        <w:autoSpaceDN w:val="0"/>
        <w:autoSpaceDE w:val="0"/>
        <w:widowControl/>
        <w:spacing w:line="240" w:lineRule="auto" w:before="55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8. Conclusiones y recomendaciones</w:t>
      </w:r>
    </w:p>
    <w:p>
      <w:pPr>
        <w:autoSpaceDN w:val="0"/>
        <w:autoSpaceDE w:val="0"/>
        <w:widowControl/>
        <w:spacing w:line="240" w:lineRule="auto" w:before="216" w:after="0"/>
        <w:ind w:left="180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La conversión es técnicamente viable con equipos estándar de grado ferroviario: ocho</w:t>
      </w:r>
    </w:p>
    <w:p>
      <w:pPr>
        <w:autoSpaceDN w:val="0"/>
        <w:autoSpaceDE w:val="0"/>
        <w:widowControl/>
        <w:spacing w:line="240" w:lineRule="auto" w:before="60" w:after="0"/>
        <w:ind w:left="180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MCI-30 por locomotora entregan 24 V estables a 97 W de LED en todo el rango de la red</w:t>
      </w:r>
    </w:p>
    <w:p>
      <w:pPr>
        <w:autoSpaceDN w:val="0"/>
        <w:autoSpaceDE w:val="0"/>
        <w:widowControl/>
        <w:spacing w:line="240" w:lineRule="auto" w:before="60" w:after="0"/>
        <w:ind w:left="180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(40–160 V), con márgenes de carga, tensión y temperatura verificados en la sección 5.</w:t>
      </w:r>
    </w:p>
    <w:p>
      <w:pPr>
        <w:autoSpaceDN w:val="0"/>
        <w:autoSpaceDE w:val="0"/>
        <w:widowControl/>
        <w:spacing w:line="240" w:lineRule="auto" w:before="77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16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autoSpaceDE w:val="0"/>
        <w:widowControl/>
        <w:spacing w:line="240" w:lineRule="auto" w:before="588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8.1 Recomendaciones</w:t>
      </w:r>
    </w:p>
    <w:p>
      <w:pPr>
        <w:autoSpaceDN w:val="0"/>
        <w:autoSpaceDE w:val="0"/>
        <w:widowControl/>
        <w:spacing w:line="271" w:lineRule="auto" w:before="202" w:after="0"/>
        <w:ind w:left="516" w:right="288" w:hanging="262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1.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Registrar la tensión de red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de la unidad 49 durante una semana con un registrador de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datos (mínimo en arranque y máximo en marcha) para confirmar los valores de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sección 2 antes de comprar.</w:t>
      </w:r>
    </w:p>
    <w:p>
      <w:pPr>
        <w:autoSpaceDN w:val="0"/>
        <w:autoSpaceDE w:val="0"/>
        <w:widowControl/>
        <w:spacing w:line="276" w:lineRule="auto" w:before="120" w:after="0"/>
        <w:ind w:left="516" w:right="288" w:hanging="262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2. </w:t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Focos principales y luces de zanja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: no usar tira LED. Reemplazarlos por lámparas LED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PAR-56 de 74/75 VCC diseñadas para locomotora, de 40–50 W, en lugar de las </w:t>
      </w:r>
      <w:r>
        <w:br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halógenas PAR-56 de 350 W; existen modelos que declaran aprobación FRA y 60 000 h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 vida, como </w:t>
      </w:r>
      <w:r>
        <w:rPr>
          <w:u w:val="single" w:color="2978d5"/>
          <w:rFonts w:ascii="Anthropic Sans Print" w:hAnsi="Anthropic Sans Print" w:eastAsia="Anthropic Sans Print"/>
          <w:b w:val="0"/>
          <w:i w:val="0"/>
          <w:color w:val="2A78D6"/>
          <w:sz w:val="24"/>
        </w:rPr>
        <w:hyperlink r:id="rId21" w:history="1">
          <w:r>
            <w:rPr>
              <w:rStyle w:val="Hyperlink"/>
            </w:rPr>
            <w:t>Railhead KE-PAR56</w:t>
          </w:r>
        </w:hyperlink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.</w:t>
      </w:r>
    </w:p>
    <w:p>
      <w:pPr>
        <w:autoSpaceDN w:val="0"/>
        <w:autoSpaceDE w:val="0"/>
        <w:widowControl/>
        <w:spacing w:line="271" w:lineRule="auto" w:before="120" w:after="0"/>
        <w:ind w:left="516" w:right="432" w:hanging="262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3. Confirmar el modelo EMD exacto de las unidades 49 y 50 y levantar el inventario real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de luminarias, potencias de ampolleta y longitudes de recorrido; con esos datos 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actualizan las tablas 5.2, 5.3 y 5.6.</w:t>
      </w:r>
    </w:p>
    <w:p>
      <w:pPr>
        <w:autoSpaceDN w:val="0"/>
        <w:tabs>
          <w:tab w:pos="516" w:val="left"/>
        </w:tabs>
        <w:autoSpaceDE w:val="0"/>
        <w:widowControl/>
        <w:spacing w:line="264" w:lineRule="auto" w:before="120" w:after="0"/>
        <w:ind w:left="254" w:right="72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4. Verificar en terreno que la red de 74 V sea flotante y que el detector de tierra de la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locomotora no señale falla antes y después de la instalación.</w:t>
      </w:r>
    </w:p>
    <w:p>
      <w:pPr>
        <w:autoSpaceDN w:val="0"/>
        <w:tabs>
          <w:tab w:pos="516" w:val="left"/>
        </w:tabs>
        <w:autoSpaceDE w:val="0"/>
        <w:widowControl/>
        <w:spacing w:line="264" w:lineRule="auto" w:before="120" w:after="0"/>
        <w:ind w:left="254" w:right="576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5. Pedir al proveedor de perfiles, difusores y cajas la certificación EN 45545-2 o, en su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defecto, material autoextinguible UL 94 V-0.</w:t>
      </w:r>
    </w:p>
    <w:p>
      <w:pPr>
        <w:autoSpaceDN w:val="0"/>
        <w:autoSpaceDE w:val="0"/>
        <w:widowControl/>
        <w:spacing w:line="240" w:lineRule="auto" w:before="406" w:after="142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8.2 Pendientes de confirmar en terreno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5230"/>
        <w:gridCol w:w="5230"/>
      </w:tblGrid>
      <w:tr>
        <w:trPr>
          <w:trHeight w:hRule="exact" w:val="810"/>
        </w:trPr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340"/>
            </w:tblGrid>
            <w:tr>
              <w:trPr>
                <w:trHeight w:hRule="exact" w:val="166"/>
              </w:trPr>
              <w:tc>
                <w:tcPr>
                  <w:tcW w:type="dxa" w:w="164"/>
                  <w:tcBorders/>
                  <w:shd w:fill="a8a8a8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340"/>
            </w:tblGrid>
            <w:tr>
              <w:trPr>
                <w:trHeight w:hRule="exact" w:val="146"/>
              </w:trPr>
              <w:tc>
                <w:tcPr>
                  <w:tcW w:type="dxa" w:w="164"/>
                  <w:tcBorders/>
                  <w:shd w:fill="a8a8a8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8" w:lineRule="auto" w:before="60" w:after="0"/>
              <w:ind w:left="96" w:right="0" w:firstLine="0"/>
              <w:jc w:val="left"/>
            </w:pP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Modelo EMD de las unidades 49 y 50 </w:t>
            </w:r>
            <w:r>
              <w:br/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>Inventario real de las demás luminarias (numeradores confirmados: 4) y potencia de las</w:t>
            </w:r>
          </w:p>
        </w:tc>
      </w:tr>
    </w:tbl>
    <w:p>
      <w:pPr>
        <w:autoSpaceDN w:val="0"/>
        <w:autoSpaceDE w:val="0"/>
        <w:widowControl/>
        <w:spacing w:line="240" w:lineRule="auto" w:before="30" w:after="60"/>
        <w:ind w:left="516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ampolletas actuales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0.0" w:type="dxa"/>
      </w:tblPr>
      <w:tblGrid>
        <w:gridCol w:w="5230"/>
        <w:gridCol w:w="5230"/>
      </w:tblGrid>
      <w:tr>
        <w:trPr>
          <w:trHeight w:hRule="exact" w:val="1260"/>
        </w:trPr>
        <w:tc>
          <w:tcPr>
            <w:tcW w:type="dxa" w:w="3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340"/>
            </w:tblGrid>
            <w:tr>
              <w:trPr>
                <w:trHeight w:hRule="exact" w:val="166"/>
              </w:trPr>
              <w:tc>
                <w:tcPr>
                  <w:tcW w:type="dxa" w:w="164"/>
                  <w:tcBorders/>
                  <w:shd w:fill="a8a8a8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340"/>
            </w:tblGrid>
            <w:tr>
              <w:trPr>
                <w:trHeight w:hRule="exact" w:val="166"/>
              </w:trPr>
              <w:tc>
                <w:tcPr>
                  <w:tcW w:type="dxa" w:w="164"/>
                  <w:tcBorders/>
                  <w:shd w:fill="a8a8a8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5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0.0" w:type="dxa"/>
            </w:tblPr>
            <w:tblGrid>
              <w:gridCol w:w="340"/>
            </w:tblGrid>
            <w:tr>
              <w:trPr>
                <w:trHeight w:hRule="exact" w:val="146"/>
              </w:trPr>
              <w:tc>
                <w:tcPr>
                  <w:tcW w:type="dxa" w:w="164"/>
                  <w:tcBorders/>
                  <w:shd w:fill="a8a8a8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3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5" w:lineRule="auto" w:before="60" w:after="0"/>
              <w:ind w:left="96" w:right="576" w:firstLine="0"/>
              <w:jc w:val="left"/>
            </w:pP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Longitudes reales de recorrido de cada circuito </w:t>
            </w:r>
            <w:r>
              <w:br/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 xml:space="preserve">Existencia de reóstatos o resistencias en serie en los circuitos de alumbrado </w:t>
            </w:r>
            <w:r>
              <w:rPr>
                <w:rFonts w:ascii="Anthropic Sans Print" w:hAnsi="Anthropic Sans Print" w:eastAsia="Anthropic Sans Print"/>
                <w:b w:val="0"/>
                <w:i w:val="0"/>
                <w:color w:val="1F1E1D"/>
                <w:sz w:val="24"/>
              </w:rPr>
              <w:t>Registro de tensión de red (arranque y marcha)</w:t>
            </w:r>
          </w:p>
        </w:tc>
      </w:tr>
    </w:tbl>
    <w:p>
      <w:pPr>
        <w:autoSpaceDN w:val="0"/>
        <w:autoSpaceDE w:val="0"/>
        <w:widowControl/>
        <w:spacing w:line="240" w:lineRule="auto" w:before="346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27"/>
        </w:rPr>
        <w:t>8.3 Referencias</w:t>
      </w:r>
    </w:p>
    <w:p>
      <w:pPr>
        <w:autoSpaceDN w:val="0"/>
        <w:autoSpaceDE w:val="0"/>
        <w:widowControl/>
        <w:spacing w:line="264" w:lineRule="auto" w:before="202" w:after="0"/>
        <w:ind w:left="180" w:right="72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Fuentes identificadas mediante búsqueda; los datos de fabricante deben verificarse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contra la ficha técnica vigente antes de la compra.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210" w:after="0"/>
        <w:ind w:left="24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u w:val="single" w:color="2978d5"/>
          <w:rFonts w:ascii="Anthropic Sans Print" w:hAnsi="Anthropic Sans Print" w:eastAsia="Anthropic Sans Print"/>
          <w:b w:val="0"/>
          <w:i w:val="0"/>
          <w:color w:val="2A78D6"/>
          <w:sz w:val="24"/>
        </w:rPr>
        <w:hyperlink r:id="rId22" w:history="1">
          <w:r>
            <w:rPr>
              <w:rStyle w:val="Hyperlink"/>
            </w:rPr>
            <w:t>Mean Well RSD-30H-24, ficha de distribuidor (RS Components)</w:t>
          </w:r>
        </w:hyperlink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: entrada 40–160 VCC,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24 V / 1,25 A, 30 W.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432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u w:val="single" w:color="2978d5"/>
          <w:rFonts w:ascii="Anthropic Sans Print" w:hAnsi="Anthropic Sans Print" w:eastAsia="Anthropic Sans Print"/>
          <w:b w:val="0"/>
          <w:i w:val="0"/>
          <w:color w:val="2A78D6"/>
          <w:sz w:val="24"/>
        </w:rPr>
        <w:hyperlink r:id="rId23" w:history="1">
          <w:r>
            <w:rPr>
              <w:rStyle w:val="Hyperlink"/>
            </w:rPr>
            <w:t>Requisitos eléctricos EN 50155 (Helios Power Solutions)</w:t>
          </w:r>
        </w:hyperlink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: rangos 0,7–1,25 Un y 0,6–1,4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Un, clases de interrupción S1–S3.</w:t>
      </w:r>
    </w:p>
    <w:p>
      <w:pPr>
        <w:autoSpaceDN w:val="0"/>
        <w:tabs>
          <w:tab w:pos="516" w:val="left"/>
        </w:tabs>
        <w:autoSpaceDE w:val="0"/>
        <w:widowControl/>
        <w:spacing w:line="240" w:lineRule="auto" w:before="120" w:after="0"/>
        <w:ind w:left="240" w:right="288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63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635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u w:val="single" w:color="2978d5"/>
          <w:rFonts w:ascii="Anthropic Sans Print" w:hAnsi="Anthropic Sans Print" w:eastAsia="Anthropic Sans Print"/>
          <w:b w:val="0"/>
          <w:i w:val="0"/>
          <w:color w:val="2A78D6"/>
          <w:sz w:val="24"/>
        </w:rPr>
        <w:hyperlink r:id="rId24" w:history="1">
          <w:r>
            <w:rPr>
              <w:rStyle w:val="Hyperlink"/>
            </w:rPr>
            <w:t>Red de 64/74 VCC en locomotoras EMD (foro Trains.com)</w:t>
          </w:r>
        </w:hyperlink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: batería de 32 celdas y carga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 74 V.</w:t>
      </w:r>
    </w:p>
    <w:p>
      <w:pPr>
        <w:autoSpaceDN w:val="0"/>
        <w:autoSpaceDE w:val="0"/>
        <w:widowControl/>
        <w:spacing w:line="240" w:lineRule="auto" w:before="1296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17 of 18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Memoria de Cálculo – Iluminación LED en red de 74 VCC, Locomotoras EMD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618" w:after="0"/>
        <w:ind w:left="2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u w:val="single" w:color="2978d5"/>
          <w:rFonts w:ascii="Anthropic Sans Print" w:hAnsi="Anthropic Sans Print" w:eastAsia="Anthropic Sans Print"/>
          <w:b w:val="0"/>
          <w:i w:val="0"/>
          <w:color w:val="2A78D6"/>
          <w:sz w:val="24"/>
        </w:rPr>
        <w:hyperlink r:id="rId25" w:history="1">
          <w:r>
            <w:rPr>
              <w:rStyle w:val="Hyperlink"/>
            </w:rPr>
            <w:t>Fórmulas de lámparas incandescentes (ControlBooth)</w:t>
          </w:r>
        </w:hyperlink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: exponentes de vida y flujo</w:t>
      </w:r>
    </w:p>
    <w:p>
      <w:pPr>
        <w:autoSpaceDN w:val="0"/>
        <w:autoSpaceDE w:val="0"/>
        <w:widowControl/>
        <w:spacing w:line="240" w:lineRule="auto" w:before="60" w:after="0"/>
        <w:ind w:left="508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luminoso.</w:t>
      </w:r>
    </w:p>
    <w:p>
      <w:pPr>
        <w:autoSpaceDN w:val="0"/>
        <w:tabs>
          <w:tab w:pos="508" w:val="left"/>
        </w:tabs>
        <w:autoSpaceDE w:val="0"/>
        <w:widowControl/>
        <w:spacing w:line="240" w:lineRule="auto" w:before="120" w:after="0"/>
        <w:ind w:left="2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500" cy="508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00" cy="508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u w:val="single" w:color="2978d5"/>
          <w:rFonts w:ascii="Anthropic Sans Print" w:hAnsi="Anthropic Sans Print" w:eastAsia="Anthropic Sans Print"/>
          <w:b w:val="0"/>
          <w:i w:val="0"/>
          <w:color w:val="2A78D6"/>
          <w:sz w:val="24"/>
        </w:rPr>
        <w:hyperlink r:id="rId21" w:history="1">
          <w:r>
            <w:rPr>
              <w:rStyle w:val="Hyperlink"/>
            </w:rPr>
            <w:t>Railhead KE-PAR56 LED</w:t>
          </w:r>
        </w:hyperlink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: lámpara LED PAR-56 de 74 V / 32 V para focos y luces de zanja.</w:t>
      </w:r>
    </w:p>
    <w:p>
      <w:pPr>
        <w:autoSpaceDN w:val="0"/>
        <w:autoSpaceDE w:val="0"/>
        <w:widowControl/>
        <w:spacing w:line="240" w:lineRule="auto" w:before="210" w:after="0"/>
        <w:ind w:left="172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Firma y timbre del ingeniero responsable: ______________________</w:t>
      </w:r>
    </w:p>
    <w:p>
      <w:pPr>
        <w:autoSpaceDN w:val="0"/>
        <w:autoSpaceDE w:val="0"/>
        <w:widowControl/>
        <w:spacing w:line="240" w:lineRule="auto" w:before="12756" w:after="0"/>
        <w:ind w:left="0" w:right="20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18 of 18</w:t>
      </w:r>
    </w:p>
    <w:sectPr w:rsidR="00FC693F" w:rsidRPr="0006063C" w:rsidSect="00034616">
      <w:pgSz w:w="12240" w:h="15840"/>
      <w:pgMar w:top="146" w:right="888" w:bottom="150" w:left="90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hyperlink" Target="https://railheadcorp.com/product/ke-par56-32v-led" TargetMode="External"/><Relationship Id="rId22" Type="http://schemas.openxmlformats.org/officeDocument/2006/relationships/hyperlink" Target="https://uk.rs-online.com/web/p/dc-dc-converters/1408109" TargetMode="External"/><Relationship Id="rId23" Type="http://schemas.openxmlformats.org/officeDocument/2006/relationships/hyperlink" Target="https://www.heliosps.com/knowledgebase/electrical-requirements-en50155" TargetMode="External"/><Relationship Id="rId24" Type="http://schemas.openxmlformats.org/officeDocument/2006/relationships/hyperlink" Target="https://forum.trains.com/t/74-vdc-what-were-they-thinking/130478" TargetMode="External"/><Relationship Id="rId25" Type="http://schemas.openxmlformats.org/officeDocument/2006/relationships/hyperlink" Target="https://www.controlbooth.com/wiki/Collaborative+Articles:Mathematical+Formulas+for+Ligh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