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7vibg77ngqz" w:id="0"/>
      <w:bookmarkEnd w:id="0"/>
      <w:r w:rsidDel="00000000" w:rsidR="00000000" w:rsidRPr="00000000">
        <w:rPr/>
        <w:drawing>
          <wp:inline distB="0" distT="0" distL="0" distR="0">
            <wp:extent cx="6400800" cy="2641600"/>
            <wp:effectExtent b="0" l="0" r="0" t="0"/>
            <wp:docPr id="5"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64008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Title"/>
        <w:rPr/>
      </w:pPr>
      <w:r w:rsidDel="00000000" w:rsidR="00000000" w:rsidRPr="00000000">
        <w:rPr>
          <w:rtl w:val="0"/>
        </w:rPr>
        <w:t xml:space="preserve">Haliburton Enterprises</w:t>
      </w:r>
    </w:p>
    <w:p w:rsidR="00000000" w:rsidDel="00000000" w:rsidP="00000000" w:rsidRDefault="00000000" w:rsidRPr="00000000" w14:paraId="0000000A">
      <w:pPr>
        <w:pStyle w:val="Title"/>
        <w:rPr/>
      </w:pPr>
      <w:r w:rsidDel="00000000" w:rsidR="00000000" w:rsidRPr="00000000">
        <w:rPr>
          <w:rtl w:val="0"/>
        </w:rPr>
        <w:t xml:space="preserve">Security Assessment Findings Report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i w:val="0"/>
          <w:smallCaps w:val="0"/>
          <w:strike w:val="0"/>
          <w:color w:val="000000"/>
          <w:sz w:val="36"/>
          <w:szCs w:val="36"/>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36"/>
          <w:szCs w:val="36"/>
          <w:u w:val="none"/>
          <w:shd w:fill="auto" w:val="clear"/>
          <w:vertAlign w:val="baseline"/>
          <w:rtl w:val="0"/>
        </w:rPr>
        <w:t xml:space="preserve">Business Confidential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i w:val="0"/>
          <w:smallCaps w:val="1"/>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1"/>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1"/>
          <w:smallCaps w:val="0"/>
          <w:strike w:val="0"/>
          <w:color w:val="000000"/>
          <w:sz w:val="24"/>
          <w:szCs w:val="24"/>
          <w:u w:val="none"/>
          <w:shd w:fill="auto" w:val="clear"/>
          <w:vertAlign w:val="baseline"/>
          <w:rtl w:val="0"/>
        </w:rPr>
        <w:t xml:space="preserve">Date: </w:t>
      </w:r>
      <w:r w:rsidDel="00000000" w:rsidR="00000000" w:rsidRPr="00000000">
        <w:rPr>
          <w:i w:val="1"/>
          <w:rtl w:val="0"/>
        </w:rPr>
        <w:t xml:space="preserve">June 12</w:t>
      </w:r>
      <w:r w:rsidDel="00000000" w:rsidR="00000000" w:rsidRPr="00000000">
        <w:rPr>
          <w:rFonts w:ascii="Libre Franklin" w:cs="Libre Franklin" w:eastAsia="Libre Franklin" w:hAnsi="Libre Franklin"/>
          <w:b w:val="0"/>
          <w:i w:val="1"/>
          <w:smallCaps w:val="0"/>
          <w:strike w:val="0"/>
          <w:color w:val="000000"/>
          <w:sz w:val="24"/>
          <w:szCs w:val="24"/>
          <w:u w:val="none"/>
          <w:shd w:fill="auto" w:val="clear"/>
          <w:vertAlign w:val="superscript"/>
          <w:rtl w:val="0"/>
        </w:rPr>
        <w:t xml:space="preserve">th</w:t>
      </w:r>
      <w:r w:rsidDel="00000000" w:rsidR="00000000" w:rsidRPr="00000000">
        <w:rPr>
          <w:rFonts w:ascii="Libre Franklin" w:cs="Libre Franklin" w:eastAsia="Libre Franklin" w:hAnsi="Libre Franklin"/>
          <w:b w:val="0"/>
          <w:i w:val="1"/>
          <w:smallCaps w:val="0"/>
          <w:strike w:val="0"/>
          <w:color w:val="000000"/>
          <w:sz w:val="24"/>
          <w:szCs w:val="24"/>
          <w:u w:val="none"/>
          <w:shd w:fill="auto" w:val="clear"/>
          <w:vertAlign w:val="baseline"/>
          <w:rtl w:val="0"/>
        </w:rPr>
        <w:t xml:space="preserve">, 20</w:t>
      </w:r>
      <w:r w:rsidDel="00000000" w:rsidR="00000000" w:rsidRPr="00000000">
        <w:rPr>
          <w:i w:val="1"/>
          <w:rtl w:val="0"/>
        </w:rPr>
        <w:t xml:space="preserve">25</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1"/>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1"/>
          <w:smallCaps w:val="0"/>
          <w:strike w:val="0"/>
          <w:color w:val="000000"/>
          <w:sz w:val="24"/>
          <w:szCs w:val="24"/>
          <w:u w:val="none"/>
          <w:shd w:fill="auto" w:val="clear"/>
          <w:vertAlign w:val="baseline"/>
          <w:rtl w:val="0"/>
        </w:rPr>
        <w:t xml:space="preserve">Project: 897-19</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1"/>
          <w:smallCaps w:val="0"/>
          <w:strike w:val="0"/>
          <w:color w:val="000000"/>
          <w:sz w:val="24"/>
          <w:szCs w:val="24"/>
          <w:u w:val="none"/>
          <w:shd w:fill="auto" w:val="clear"/>
          <w:vertAlign w:val="baseline"/>
        </w:rPr>
        <w:sectPr>
          <w:headerReference r:id="rId7" w:type="first"/>
          <w:footerReference r:id="rId8" w:type="default"/>
          <w:footerReference r:id="rId9" w:type="first"/>
          <w:pgSz w:h="15840" w:w="12240" w:orient="portrait"/>
          <w:pgMar w:bottom="1440" w:top="1440" w:left="1080" w:right="1080" w:header="432" w:footer="720"/>
          <w:pgNumType w:start="1"/>
          <w:titlePg w:val="1"/>
        </w:sectPr>
      </w:pPr>
      <w:r w:rsidDel="00000000" w:rsidR="00000000" w:rsidRPr="00000000">
        <w:rPr>
          <w:rFonts w:ascii="Libre Franklin" w:cs="Libre Franklin" w:eastAsia="Libre Franklin" w:hAnsi="Libre Franklin"/>
          <w:b w:val="0"/>
          <w:i w:val="1"/>
          <w:smallCaps w:val="0"/>
          <w:strike w:val="0"/>
          <w:color w:val="000000"/>
          <w:sz w:val="24"/>
          <w:szCs w:val="24"/>
          <w:u w:val="none"/>
          <w:shd w:fill="auto" w:val="clear"/>
          <w:vertAlign w:val="baseline"/>
          <w:rtl w:val="0"/>
        </w:rPr>
        <w:t xml:space="preserve">Version 1.0</w:t>
      </w:r>
    </w:p>
    <w:p w:rsidR="00000000" w:rsidDel="00000000" w:rsidP="00000000" w:rsidRDefault="00000000" w:rsidRPr="00000000" w14:paraId="0000001E">
      <w:pPr>
        <w:pStyle w:val="Heading1"/>
        <w:jc w:val="center"/>
        <w:rPr>
          <w:b w:val="0"/>
        </w:rPr>
      </w:pPr>
      <w:bookmarkStart w:colFirst="0" w:colLast="0" w:name="_bhrhjs93f2hy" w:id="1"/>
      <w:bookmarkEnd w:id="1"/>
      <w:r w:rsidDel="00000000" w:rsidR="00000000" w:rsidRPr="00000000">
        <w:rPr>
          <w:b w:val="0"/>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bhrhjs93f2hy">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g7aacwm3os8d">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Confidentiality Statement</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xupd18ol67wc">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Disclaimer</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735q0w3uw19">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Contact Information</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chj9h4nozkau">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Assessment Overview</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e6u65gdwy84f">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Assessment Components</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agi05h4qhv4c">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External Penetration Test</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53t5flt733nc">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Finding Severity Ratings</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w9b0tyv7usn7">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wa3wcgolv8pl">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Scope Exclusions</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cdm27fc18qcx">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Client Allowances</w:t>
              <w:tab/>
              <w:t xml:space="preserve">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1j66ces9js5">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Executive Summary</w:t>
              <w:tab/>
              <w:t xml:space="preserve">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95t9h7nwavaq">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Attack Summary</w:t>
              <w:tab/>
              <w:t xml:space="preserve">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e69syyfy11du">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Security Strengths</w:t>
              <w:tab/>
              <w:t xml:space="preserve">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u1eogrer69mg">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SIEM alerts of vulnerability scans</w:t>
              <w:tab/>
              <w:t xml:space="preserve">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f78oxhc5aby8">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Security Weaknesses</w:t>
              <w:tab/>
              <w:t xml:space="preserve">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dkufqipyltp8">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Missing Multi-Factor Authentication</w:t>
              <w:tab/>
              <w:t xml:space="preserve">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ymvyr3tjad">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Weak Password Policy</w:t>
              <w:tab/>
              <w:t xml:space="preserve">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xt68tt0wxhy">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Unrestricted Logon Attempts</w:t>
              <w:tab/>
              <w:t xml:space="preserve">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x5jcgkxlntc8">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Vulnerabilities by Impact</w:t>
              <w:tab/>
              <w:t xml:space="preserve">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bek2xq9frkyn">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External Penetration Test Findings</w:t>
              <w:tab/>
              <w:t xml:space="preserve">10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60" w:before="0" w:line="240" w:lineRule="auto"/>
            <w:ind w:left="403"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by067snkiwkq">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Insufficient Lockout Policy – Outlook Web App (Critical)</w:t>
              <w:tab/>
              <w:t xml:space="preserve">10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60" w:before="0" w:line="240" w:lineRule="auto"/>
            <w:ind w:left="403"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lgkcl37kr60">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Additional Reports and Scans (Informational)</w:t>
              <w:tab/>
              <w:t xml:space="preserve">13</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sectPr>
          <w:headerReference r:id="rId10" w:type="default"/>
          <w:type w:val="nextPage"/>
          <w:pgSz w:h="15840" w:w="12240" w:orient="portrait"/>
          <w:pgMar w:bottom="1440" w:top="1440" w:left="1080" w:right="1080" w:header="720" w:footer="720"/>
        </w:sectPr>
      </w:pPr>
      <w:r w:rsidDel="00000000" w:rsidR="00000000" w:rsidRPr="00000000">
        <w:rPr>
          <w:rtl w:val="0"/>
        </w:rPr>
      </w:r>
    </w:p>
    <w:p w:rsidR="00000000" w:rsidDel="00000000" w:rsidP="00000000" w:rsidRDefault="00000000" w:rsidRPr="00000000" w14:paraId="00000038">
      <w:pPr>
        <w:pStyle w:val="Heading1"/>
        <w:rPr/>
      </w:pPr>
      <w:bookmarkStart w:colFirst="0" w:colLast="0" w:name="_g7aacwm3os8d" w:id="2"/>
      <w:bookmarkEnd w:id="2"/>
      <w:r w:rsidDel="00000000" w:rsidR="00000000" w:rsidRPr="00000000">
        <w:rPr>
          <w:rtl w:val="0"/>
        </w:rPr>
        <w:t xml:space="preserve">Confidentiality Statement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This document is the exclusive property of Demo Company (DC) and TCM Security (TCMS). </w:t>
      </w:r>
      <w:r w:rsidDel="00000000" w:rsidR="00000000" w:rsidRPr="00000000">
        <w:rPr>
          <w:color w:val="000000"/>
          <w:rtl w:val="0"/>
        </w:rPr>
        <w:t xml:space="preserve">This document contains proprietary and confidential information. Duplication, redistribution, or use, in whole or in part, in any form, requires consent of both DC and TCMS.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TCMS may share this document with auditors under non-disclosure agreements to demonstrate penetration test requirement compliance.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xupd18ol67wc" w:id="3"/>
      <w:bookmarkEnd w:id="3"/>
      <w:r w:rsidDel="00000000" w:rsidR="00000000" w:rsidRPr="00000000">
        <w:rPr>
          <w:rtl w:val="0"/>
        </w:rPr>
        <w:t xml:space="preserve">Disclaimer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tl w:val="0"/>
        </w:rPr>
        <w:t xml:space="preserve">A penetration test is considered a snapshot in time.  The findings and recommendations reflect the information gathered during the assessment and not any changes or modifications made outside of that period.</w:t>
      </w:r>
    </w:p>
    <w:p w:rsidR="00000000" w:rsidDel="00000000" w:rsidP="00000000" w:rsidRDefault="00000000" w:rsidRPr="00000000" w14:paraId="00000041">
      <w:pPr>
        <w:spacing w:after="120" w:lineRule="auto"/>
        <w:rPr>
          <w:color w:val="000000"/>
        </w:rPr>
      </w:pPr>
      <w:r w:rsidDel="00000000" w:rsidR="00000000" w:rsidRPr="00000000">
        <w:rPr>
          <w:rtl w:val="0"/>
        </w:rPr>
        <w:t xml:space="preserve">Time-limited engagements do not allow for a full evaluation of all security controls. TCMS prioritized the assessment to identify the weakest security controls an attacker would exploit. </w:t>
      </w:r>
      <w:r w:rsidDel="00000000" w:rsidR="00000000" w:rsidRPr="00000000">
        <w:rPr>
          <w:color w:val="000000"/>
          <w:rtl w:val="0"/>
        </w:rPr>
        <w:t xml:space="preserve">TCMS recommends conducting similar assessments on an annual basis by internal or third-party assessors to ensure the continued success of the controls.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bookmarkStart w:colFirst="0" w:colLast="0" w:name="_735q0w3uw19" w:id="4"/>
      <w:bookmarkEnd w:id="4"/>
      <w:r w:rsidDel="00000000" w:rsidR="00000000" w:rsidRPr="00000000">
        <w:rPr>
          <w:rtl w:val="0"/>
        </w:rPr>
        <w:t xml:space="preserve">Contact Information</w:t>
      </w:r>
    </w:p>
    <w:tbl>
      <w:tblPr>
        <w:tblStyle w:val="Table1"/>
        <w:tblW w:w="10080.0" w:type="dxa"/>
        <w:jc w:val="left"/>
        <w:tblLayout w:type="fixed"/>
        <w:tblLook w:val="0000"/>
      </w:tblPr>
      <w:tblGrid>
        <w:gridCol w:w="1872"/>
        <w:gridCol w:w="8208"/>
        <w:tblGridChange w:id="0">
          <w:tblGrid>
            <w:gridCol w:w="1872"/>
            <w:gridCol w:w="8208"/>
          </w:tblGrid>
        </w:tblGridChange>
      </w:tblGrid>
      <w:tr>
        <w:trPr>
          <w:cantSplit w:val="1"/>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tbl>
      <w:tblPr>
        <w:tblStyle w:val="Table2"/>
        <w:tblW w:w="100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970"/>
        <w:gridCol w:w="4950"/>
        <w:tblGridChange w:id="0">
          <w:tblGrid>
            <w:gridCol w:w="2160"/>
            <w:gridCol w:w="2970"/>
            <w:gridCol w:w="4950"/>
          </w:tblGrid>
        </w:tblGridChange>
      </w:tblGrid>
      <w:tr>
        <w:trPr>
          <w:cantSplit w:val="1"/>
          <w:tblHeader w:val="0"/>
        </w:trPr>
        <w:tc>
          <w:tcPr>
            <w:tcBorders>
              <w:bottom w:color="000000" w:space="0" w:sz="4" w:val="single"/>
            </w:tcBorders>
            <w:shd w:fill="7f7f7f" w:val="clear"/>
            <w:tcMar>
              <w:left w:w="58.0" w:type="dxa"/>
              <w:right w:w="58.0" w:type="dxa"/>
            </w:tcM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Name</w:t>
            </w:r>
          </w:p>
        </w:tc>
        <w:tc>
          <w:tcPr>
            <w:tcBorders>
              <w:bottom w:color="000000" w:space="0" w:sz="4" w:val="single"/>
            </w:tcBorders>
            <w:shd w:fill="7f7f7f" w:val="clear"/>
            <w:tcMar>
              <w:left w:w="58.0" w:type="dxa"/>
              <w:right w:w="58.0" w:type="dxa"/>
            </w:tcM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Title</w:t>
            </w:r>
          </w:p>
        </w:tc>
        <w:tc>
          <w:tcPr>
            <w:tcBorders>
              <w:bottom w:color="000000" w:space="0" w:sz="4" w:val="single"/>
            </w:tcBorders>
            <w:shd w:fill="7f7f7f" w:val="clear"/>
            <w:tcMar>
              <w:left w:w="58.0" w:type="dxa"/>
              <w:right w:w="58.0" w:type="dxa"/>
            </w:tcM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Contact Information</w:t>
            </w:r>
          </w:p>
        </w:tc>
      </w:tr>
      <w:tr>
        <w:trPr>
          <w:cantSplit w:val="1"/>
          <w:tblHeader w:val="0"/>
        </w:trPr>
        <w:tc>
          <w:tcPr>
            <w:gridSpan w:val="3"/>
            <w:shd w:fill="d9d9d9" w:val="clear"/>
            <w:tcMar>
              <w:left w:w="58.0" w:type="dxa"/>
              <w:right w:w="58.0" w:type="dxa"/>
            </w:tcMar>
            <w:vAlign w:val="center"/>
          </w:tcPr>
          <w:p w:rsidR="00000000" w:rsidDel="00000000" w:rsidP="00000000" w:rsidRDefault="00000000" w:rsidRPr="00000000" w14:paraId="0000004A">
            <w:pPr>
              <w:rPr>
                <w:b w:val="1"/>
              </w:rPr>
            </w:pPr>
            <w:r w:rsidDel="00000000" w:rsidR="00000000" w:rsidRPr="00000000">
              <w:rPr>
                <w:b w:val="1"/>
                <w:rtl w:val="0"/>
              </w:rPr>
              <w:t xml:space="preserve">Haliburton Enterprises</w:t>
            </w:r>
          </w:p>
        </w:tc>
      </w:tr>
      <w:tr>
        <w:trPr>
          <w:cantSplit w:val="1"/>
          <w:tblHeader w:val="0"/>
        </w:trPr>
        <w:tc>
          <w:tcPr>
            <w:tcMar>
              <w:left w:w="58.0" w:type="dxa"/>
              <w:right w:w="58.0" w:type="dxa"/>
            </w:tcMar>
            <w:vAlign w:val="center"/>
          </w:tcPr>
          <w:p w:rsidR="00000000" w:rsidDel="00000000" w:rsidP="00000000" w:rsidRDefault="00000000" w:rsidRPr="00000000" w14:paraId="0000004D">
            <w:pPr>
              <w:rPr/>
            </w:pPr>
            <w:r w:rsidDel="00000000" w:rsidR="00000000" w:rsidRPr="00000000">
              <w:rPr>
                <w:rtl w:val="0"/>
              </w:rPr>
              <w:t xml:space="preserve">John Smith</w:t>
            </w:r>
          </w:p>
        </w:tc>
        <w:tc>
          <w:tcPr>
            <w:tcMar>
              <w:left w:w="58.0" w:type="dxa"/>
              <w:right w:w="58.0" w:type="dxa"/>
            </w:tcMar>
            <w:vAlign w:val="center"/>
          </w:tcPr>
          <w:p w:rsidR="00000000" w:rsidDel="00000000" w:rsidP="00000000" w:rsidRDefault="00000000" w:rsidRPr="00000000" w14:paraId="0000004E">
            <w:pPr>
              <w:rPr/>
            </w:pPr>
            <w:r w:rsidDel="00000000" w:rsidR="00000000" w:rsidRPr="00000000">
              <w:rPr>
                <w:rtl w:val="0"/>
              </w:rPr>
              <w:t xml:space="preserve">VP, Information Security (CISO)</w:t>
            </w:r>
          </w:p>
        </w:tc>
        <w:tc>
          <w:tcPr>
            <w:tcMar>
              <w:left w:w="58.0" w:type="dxa"/>
              <w:right w:w="58.0" w:type="dxa"/>
            </w:tcMar>
            <w:vAlign w:val="center"/>
          </w:tcPr>
          <w:p w:rsidR="00000000" w:rsidDel="00000000" w:rsidP="00000000" w:rsidRDefault="00000000" w:rsidRPr="00000000" w14:paraId="0000004F">
            <w:pPr>
              <w:rPr/>
            </w:pPr>
            <w:r w:rsidDel="00000000" w:rsidR="00000000" w:rsidRPr="00000000">
              <w:rPr>
                <w:rtl w:val="0"/>
              </w:rPr>
              <w:t xml:space="preserve">Office: (555) 555-5555</w:t>
            </w:r>
          </w:p>
          <w:p w:rsidR="00000000" w:rsidDel="00000000" w:rsidP="00000000" w:rsidRDefault="00000000" w:rsidRPr="00000000" w14:paraId="00000050">
            <w:pPr>
              <w:rPr/>
            </w:pPr>
            <w:r w:rsidDel="00000000" w:rsidR="00000000" w:rsidRPr="00000000">
              <w:rPr>
                <w:rtl w:val="0"/>
              </w:rPr>
              <w:t xml:space="preserve">Email: </w:t>
            </w:r>
            <w:hyperlink r:id="rId11">
              <w:r w:rsidDel="00000000" w:rsidR="00000000" w:rsidRPr="00000000">
                <w:rPr>
                  <w:color w:val="0563c1"/>
                  <w:u w:val="single"/>
                  <w:rtl w:val="0"/>
                </w:rPr>
                <w:t xml:space="preserve">john.smith@demo.com</w:t>
              </w:r>
            </w:hyperlink>
            <w:r w:rsidDel="00000000" w:rsidR="00000000" w:rsidRPr="00000000">
              <w:rPr>
                <w:rtl w:val="0"/>
              </w:rPr>
            </w:r>
          </w:p>
        </w:tc>
      </w:tr>
      <w:tr>
        <w:trPr>
          <w:cantSplit w:val="1"/>
          <w:tblHeader w:val="0"/>
        </w:trPr>
        <w:tc>
          <w:tcPr>
            <w:tcMar>
              <w:left w:w="58.0" w:type="dxa"/>
              <w:right w:w="58.0" w:type="dxa"/>
            </w:tcMar>
            <w:vAlign w:val="center"/>
          </w:tcPr>
          <w:p w:rsidR="00000000" w:rsidDel="00000000" w:rsidP="00000000" w:rsidRDefault="00000000" w:rsidRPr="00000000" w14:paraId="00000051">
            <w:pPr>
              <w:rPr/>
            </w:pPr>
            <w:r w:rsidDel="00000000" w:rsidR="00000000" w:rsidRPr="00000000">
              <w:rPr>
                <w:rtl w:val="0"/>
              </w:rPr>
              <w:t xml:space="preserve">Jim Smith</w:t>
            </w:r>
          </w:p>
        </w:tc>
        <w:tc>
          <w:tcPr>
            <w:tcMar>
              <w:left w:w="58.0" w:type="dxa"/>
              <w:right w:w="58.0" w:type="dxa"/>
            </w:tcMar>
            <w:vAlign w:val="center"/>
          </w:tcPr>
          <w:p w:rsidR="00000000" w:rsidDel="00000000" w:rsidP="00000000" w:rsidRDefault="00000000" w:rsidRPr="00000000" w14:paraId="00000052">
            <w:pPr>
              <w:rPr/>
            </w:pPr>
            <w:r w:rsidDel="00000000" w:rsidR="00000000" w:rsidRPr="00000000">
              <w:rPr>
                <w:rtl w:val="0"/>
              </w:rPr>
              <w:t xml:space="preserve">IT Manager</w:t>
            </w:r>
          </w:p>
        </w:tc>
        <w:tc>
          <w:tcPr>
            <w:tcMar>
              <w:left w:w="58.0" w:type="dxa"/>
              <w:right w:w="58.0" w:type="dxa"/>
            </w:tcMar>
            <w:vAlign w:val="center"/>
          </w:tcPr>
          <w:p w:rsidR="00000000" w:rsidDel="00000000" w:rsidP="00000000" w:rsidRDefault="00000000" w:rsidRPr="00000000" w14:paraId="00000053">
            <w:pPr>
              <w:rPr/>
            </w:pPr>
            <w:r w:rsidDel="00000000" w:rsidR="00000000" w:rsidRPr="00000000">
              <w:rPr>
                <w:rtl w:val="0"/>
              </w:rPr>
              <w:t xml:space="preserve">Office: (555) 555-5555</w:t>
            </w:r>
          </w:p>
          <w:p w:rsidR="00000000" w:rsidDel="00000000" w:rsidP="00000000" w:rsidRDefault="00000000" w:rsidRPr="00000000" w14:paraId="00000054">
            <w:pPr>
              <w:rPr/>
            </w:pPr>
            <w:r w:rsidDel="00000000" w:rsidR="00000000" w:rsidRPr="00000000">
              <w:rPr>
                <w:rtl w:val="0"/>
              </w:rPr>
              <w:t xml:space="preserve">Email: </w:t>
            </w:r>
            <w:hyperlink r:id="rId12">
              <w:r w:rsidDel="00000000" w:rsidR="00000000" w:rsidRPr="00000000">
                <w:rPr>
                  <w:color w:val="0563c1"/>
                  <w:u w:val="single"/>
                  <w:rtl w:val="0"/>
                </w:rPr>
                <w:t xml:space="preserve">jim.smith@demo.com</w:t>
              </w:r>
            </w:hyperlink>
            <w:r w:rsidDel="00000000" w:rsidR="00000000" w:rsidRPr="00000000">
              <w:rPr>
                <w:color w:val="0563c1"/>
                <w:u w:val="single"/>
                <w:rtl w:val="0"/>
              </w:rPr>
              <w:t xml:space="preserve"> </w:t>
            </w:r>
            <w:r w:rsidDel="00000000" w:rsidR="00000000" w:rsidRPr="00000000">
              <w:rPr>
                <w:rtl w:val="0"/>
              </w:rPr>
            </w:r>
          </w:p>
        </w:tc>
      </w:tr>
      <w:tr>
        <w:trPr>
          <w:cantSplit w:val="1"/>
          <w:tblHeader w:val="0"/>
        </w:trPr>
        <w:tc>
          <w:tcPr>
            <w:tcMar>
              <w:left w:w="58.0" w:type="dxa"/>
              <w:right w:w="58.0" w:type="dxa"/>
            </w:tcMar>
            <w:vAlign w:val="center"/>
          </w:tcPr>
          <w:p w:rsidR="00000000" w:rsidDel="00000000" w:rsidP="00000000" w:rsidRDefault="00000000" w:rsidRPr="00000000" w14:paraId="00000055">
            <w:pPr>
              <w:rPr/>
            </w:pPr>
            <w:r w:rsidDel="00000000" w:rsidR="00000000" w:rsidRPr="00000000">
              <w:rPr>
                <w:rtl w:val="0"/>
              </w:rPr>
              <w:t xml:space="preserve">Joe Smith</w:t>
            </w:r>
          </w:p>
        </w:tc>
        <w:tc>
          <w:tcPr>
            <w:tcMar>
              <w:left w:w="58.0" w:type="dxa"/>
              <w:right w:w="58.0" w:type="dxa"/>
            </w:tcMar>
            <w:vAlign w:val="center"/>
          </w:tcPr>
          <w:p w:rsidR="00000000" w:rsidDel="00000000" w:rsidP="00000000" w:rsidRDefault="00000000" w:rsidRPr="00000000" w14:paraId="00000056">
            <w:pPr>
              <w:rPr/>
            </w:pPr>
            <w:r w:rsidDel="00000000" w:rsidR="00000000" w:rsidRPr="00000000">
              <w:rPr>
                <w:rtl w:val="0"/>
              </w:rPr>
              <w:t xml:space="preserve">Network Engineer</w:t>
            </w:r>
          </w:p>
        </w:tc>
        <w:tc>
          <w:tcPr>
            <w:tcMar>
              <w:left w:w="58.0" w:type="dxa"/>
              <w:right w:w="58.0" w:type="dxa"/>
            </w:tcMar>
            <w:vAlign w:val="center"/>
          </w:tcPr>
          <w:p w:rsidR="00000000" w:rsidDel="00000000" w:rsidP="00000000" w:rsidRDefault="00000000" w:rsidRPr="00000000" w14:paraId="00000057">
            <w:pPr>
              <w:rPr/>
            </w:pPr>
            <w:r w:rsidDel="00000000" w:rsidR="00000000" w:rsidRPr="00000000">
              <w:rPr>
                <w:rtl w:val="0"/>
              </w:rPr>
              <w:t xml:space="preserve">Office: (555) 555-5555</w:t>
            </w:r>
          </w:p>
          <w:p w:rsidR="00000000" w:rsidDel="00000000" w:rsidP="00000000" w:rsidRDefault="00000000" w:rsidRPr="00000000" w14:paraId="00000058">
            <w:pPr>
              <w:rPr/>
            </w:pPr>
            <w:r w:rsidDel="00000000" w:rsidR="00000000" w:rsidRPr="00000000">
              <w:rPr>
                <w:rtl w:val="0"/>
              </w:rPr>
              <w:t xml:space="preserve">Email: </w:t>
            </w:r>
            <w:hyperlink r:id="rId13">
              <w:r w:rsidDel="00000000" w:rsidR="00000000" w:rsidRPr="00000000">
                <w:rPr>
                  <w:color w:val="0563c1"/>
                  <w:u w:val="single"/>
                  <w:rtl w:val="0"/>
                </w:rPr>
                <w:t xml:space="preserve">joe.smith@demo.com</w:t>
              </w:r>
            </w:hyperlink>
            <w:r w:rsidDel="00000000" w:rsidR="00000000" w:rsidRPr="00000000">
              <w:rPr>
                <w:color w:val="0563c1"/>
                <w:u w:val="single"/>
                <w:rtl w:val="0"/>
              </w:rPr>
              <w:t xml:space="preserve"> </w:t>
            </w:r>
            <w:r w:rsidDel="00000000" w:rsidR="00000000" w:rsidRPr="00000000">
              <w:rPr>
                <w:rtl w:val="0"/>
              </w:rPr>
            </w:r>
          </w:p>
        </w:tc>
      </w:tr>
      <w:tr>
        <w:trPr>
          <w:cantSplit w:val="1"/>
          <w:tblHeader w:val="0"/>
        </w:trPr>
        <w:tc>
          <w:tcPr>
            <w:gridSpan w:val="3"/>
            <w:shd w:fill="d9d9d9" w:val="clear"/>
            <w:tcMar>
              <w:left w:w="58.0" w:type="dxa"/>
              <w:right w:w="58.0" w:type="dxa"/>
            </w:tcMar>
            <w:vAlign w:val="center"/>
          </w:tcPr>
          <w:p w:rsidR="00000000" w:rsidDel="00000000" w:rsidP="00000000" w:rsidRDefault="00000000" w:rsidRPr="00000000" w14:paraId="00000059">
            <w:pPr>
              <w:rPr>
                <w:b w:val="1"/>
              </w:rPr>
            </w:pPr>
            <w:r w:rsidDel="00000000" w:rsidR="00000000" w:rsidRPr="00000000">
              <w:rPr>
                <w:b w:val="1"/>
                <w:rtl w:val="0"/>
              </w:rPr>
              <w:t xml:space="preserve">TCM Security </w:t>
            </w:r>
          </w:p>
        </w:tc>
      </w:tr>
      <w:tr>
        <w:trPr>
          <w:cantSplit w:val="1"/>
          <w:tblHeader w:val="0"/>
        </w:trPr>
        <w:tc>
          <w:tcPr>
            <w:tcMar>
              <w:left w:w="58.0" w:type="dxa"/>
              <w:right w:w="58.0" w:type="dxa"/>
            </w:tcM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Heath Adams</w:t>
            </w:r>
          </w:p>
        </w:tc>
        <w:tc>
          <w:tcPr>
            <w:tcMar>
              <w:left w:w="58.0" w:type="dxa"/>
              <w:right w:w="58.0" w:type="dxa"/>
            </w:tcM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Lead Penetration Tester</w:t>
            </w:r>
          </w:p>
        </w:tc>
        <w:tc>
          <w:tcPr>
            <w:tcMar>
              <w:left w:w="58.0" w:type="dxa"/>
              <w:right w:w="58.0" w:type="dxa"/>
            </w:tcM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Office: (555) 555-5555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Email: </w:t>
            </w:r>
            <w:hyperlink r:id="rId14">
              <w:r w:rsidDel="00000000" w:rsidR="00000000" w:rsidRPr="00000000">
                <w:rPr>
                  <w:rFonts w:ascii="Libre Franklin" w:cs="Libre Franklin" w:eastAsia="Libre Franklin" w:hAnsi="Libre Franklin"/>
                  <w:b w:val="0"/>
                  <w:i w:val="0"/>
                  <w:smallCaps w:val="0"/>
                  <w:strike w:val="0"/>
                  <w:color w:val="0563c1"/>
                  <w:sz w:val="24"/>
                  <w:szCs w:val="24"/>
                  <w:u w:val="single"/>
                  <w:shd w:fill="auto" w:val="clear"/>
                  <w:vertAlign w:val="baseline"/>
                  <w:rtl w:val="0"/>
                </w:rPr>
                <w:t xml:space="preserve">hadams@tcm-sec.com</w:t>
              </w:r>
            </w:hyperlink>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 </w:t>
            </w:r>
          </w:p>
        </w:tc>
      </w:tr>
      <w:tr>
        <w:trPr>
          <w:cantSplit w:val="1"/>
          <w:tblHeader w:val="0"/>
        </w:trPr>
        <w:tc>
          <w:tcPr>
            <w:tcMar>
              <w:left w:w="58.0" w:type="dxa"/>
              <w:right w:w="58.0" w:type="dxa"/>
            </w:tcM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Bob Adams</w:t>
            </w:r>
          </w:p>
        </w:tc>
        <w:tc>
          <w:tcPr>
            <w:tcMar>
              <w:left w:w="58.0" w:type="dxa"/>
              <w:right w:w="58.0" w:type="dxa"/>
            </w:tcM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Penetration Tester</w:t>
            </w:r>
          </w:p>
        </w:tc>
        <w:tc>
          <w:tcPr>
            <w:tcMar>
              <w:left w:w="58.0" w:type="dxa"/>
              <w:right w:w="58.0" w:type="dxa"/>
            </w:tcM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Office: (555) 555-5555</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Email: </w:t>
            </w:r>
            <w:hyperlink r:id="rId15">
              <w:r w:rsidDel="00000000" w:rsidR="00000000" w:rsidRPr="00000000">
                <w:rPr>
                  <w:rFonts w:ascii="Libre Franklin" w:cs="Libre Franklin" w:eastAsia="Libre Franklin" w:hAnsi="Libre Franklin"/>
                  <w:b w:val="0"/>
                  <w:i w:val="0"/>
                  <w:smallCaps w:val="0"/>
                  <w:strike w:val="0"/>
                  <w:color w:val="0563c1"/>
                  <w:sz w:val="24"/>
                  <w:szCs w:val="24"/>
                  <w:u w:val="single"/>
                  <w:shd w:fill="auto" w:val="clear"/>
                  <w:vertAlign w:val="baseline"/>
                  <w:rtl w:val="0"/>
                </w:rPr>
                <w:t xml:space="preserve">badams@tcm-sec.com</w:t>
              </w:r>
            </w:hyperlink>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 </w:t>
            </w:r>
          </w:p>
        </w:tc>
      </w:tr>
      <w:tr>
        <w:trPr>
          <w:cantSplit w:val="1"/>
          <w:tblHeader w:val="0"/>
        </w:trPr>
        <w:tc>
          <w:tcPr>
            <w:tcMar>
              <w:left w:w="58.0" w:type="dxa"/>
              <w:right w:w="58.0" w:type="dxa"/>
            </w:tcM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Rob Adams</w:t>
            </w:r>
          </w:p>
        </w:tc>
        <w:tc>
          <w:tcPr>
            <w:tcMar>
              <w:left w:w="58.0" w:type="dxa"/>
              <w:right w:w="58.0" w:type="dxa"/>
            </w:tcM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Account Manager</w:t>
            </w:r>
          </w:p>
        </w:tc>
        <w:tc>
          <w:tcPr>
            <w:tcMar>
              <w:left w:w="58.0" w:type="dxa"/>
              <w:right w:w="58.0" w:type="dxa"/>
            </w:tcM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Office: (555) 555-5555</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Email: </w:t>
            </w:r>
            <w:hyperlink r:id="rId16">
              <w:r w:rsidDel="00000000" w:rsidR="00000000" w:rsidRPr="00000000">
                <w:rPr>
                  <w:rFonts w:ascii="Libre Franklin" w:cs="Libre Franklin" w:eastAsia="Libre Franklin" w:hAnsi="Libre Franklin"/>
                  <w:b w:val="0"/>
                  <w:i w:val="0"/>
                  <w:smallCaps w:val="0"/>
                  <w:strike w:val="0"/>
                  <w:color w:val="0563c1"/>
                  <w:sz w:val="24"/>
                  <w:szCs w:val="24"/>
                  <w:u w:val="single"/>
                  <w:shd w:fill="auto" w:val="clear"/>
                  <w:vertAlign w:val="baseline"/>
                  <w:rtl w:val="0"/>
                </w:rPr>
                <w:t xml:space="preserve">radams@tcm-sec.com</w:t>
              </w:r>
            </w:hyperlink>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68">
      <w:pPr>
        <w:rPr/>
        <w:sectPr>
          <w:headerReference r:id="rId17" w:type="default"/>
          <w:headerReference r:id="rId18" w:type="first"/>
          <w:footerReference r:id="rId19" w:type="default"/>
          <w:type w:val="nextPage"/>
          <w:pgSz w:h="15840" w:w="12240" w:orient="portrait"/>
          <w:pgMar w:bottom="1440" w:top="1440" w:left="1080" w:right="1080" w:header="720" w:footer="720"/>
        </w:sectPr>
      </w:pPr>
      <w:r w:rsidDel="00000000" w:rsidR="00000000" w:rsidRPr="00000000">
        <w:rPr>
          <w:rtl w:val="0"/>
        </w:rPr>
      </w:r>
    </w:p>
    <w:p w:rsidR="00000000" w:rsidDel="00000000" w:rsidP="00000000" w:rsidRDefault="00000000" w:rsidRPr="00000000" w14:paraId="00000069">
      <w:pPr>
        <w:pStyle w:val="Heading1"/>
        <w:rPr/>
      </w:pPr>
      <w:bookmarkStart w:colFirst="0" w:colLast="0" w:name="_chj9h4nozkau" w:id="5"/>
      <w:bookmarkEnd w:id="5"/>
      <w:r w:rsidDel="00000000" w:rsidR="00000000" w:rsidRPr="00000000">
        <w:rPr>
          <w:rtl w:val="0"/>
        </w:rPr>
        <w:t xml:space="preserve">Assessment Overview</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tl w:val="0"/>
        </w:rPr>
        <w:t xml:space="preserve">From May 20</w:t>
      </w:r>
      <w:r w:rsidDel="00000000" w:rsidR="00000000" w:rsidRPr="00000000">
        <w:rPr>
          <w:vertAlign w:val="superscript"/>
          <w:rtl w:val="0"/>
        </w:rPr>
        <w:t xml:space="preserve">th</w:t>
      </w:r>
      <w:r w:rsidDel="00000000" w:rsidR="00000000" w:rsidRPr="00000000">
        <w:rPr>
          <w:rtl w:val="0"/>
        </w:rPr>
        <w:t xml:space="preserve">, 2019 to May 29</w:t>
      </w:r>
      <w:r w:rsidDel="00000000" w:rsidR="00000000" w:rsidRPr="00000000">
        <w:rPr>
          <w:vertAlign w:val="superscript"/>
          <w:rtl w:val="0"/>
        </w:rPr>
        <w:t xml:space="preserve">th</w:t>
      </w:r>
      <w:r w:rsidDel="00000000" w:rsidR="00000000" w:rsidRPr="00000000">
        <w:rPr>
          <w:rtl w:val="0"/>
        </w:rPr>
        <w:t xml:space="preserve">, 2019, DC engaged TCMS to evaluate the security posture of its infrastructure compared to current industry best practices that included an external penetration test.  All testing performed is based on the NIST </w:t>
      </w:r>
      <w:r w:rsidDel="00000000" w:rsidR="00000000" w:rsidRPr="00000000">
        <w:rPr>
          <w:i w:val="1"/>
          <w:rtl w:val="0"/>
        </w:rPr>
        <w:t xml:space="preserve">SP 800-115 Technical Guide to Information Security Testing and Assessment, OWASP Testing Guide (v4), and customized testing frameworks</w:t>
      </w:r>
      <w:r w:rsidDel="00000000" w:rsidR="00000000" w:rsidRPr="00000000">
        <w:rPr>
          <w:rtl w:val="0"/>
        </w:rPr>
        <w:t xml:space="preserve">. </w:t>
      </w:r>
    </w:p>
    <w:p w:rsidR="00000000" w:rsidDel="00000000" w:rsidP="00000000" w:rsidRDefault="00000000" w:rsidRPr="00000000" w14:paraId="0000006C">
      <w:pPr>
        <w:spacing w:after="120" w:lineRule="auto"/>
        <w:rPr/>
      </w:pPr>
      <w:r w:rsidDel="00000000" w:rsidR="00000000" w:rsidRPr="00000000">
        <w:rPr>
          <w:rtl w:val="0"/>
        </w:rPr>
        <w:t xml:space="preserve">Phases of penetration testing activities include the following:</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Planning – Customer goals are gathered and rules of engagement obtained.</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Discovery – Perform scanning and enumeration to identify potential vulnerabilities, weak areas, and exploits.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Attack – Confirm potential vulnerabilities through exploitation and perform additional discovery upon new access.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Reporting – Document all found vulnerabilities and exploits, failed attempts, and company strengths and weaknesses.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120" w:lineRule="auto"/>
        <w:jc w:val="center"/>
        <w:rPr/>
      </w:pPr>
      <w:r w:rsidDel="00000000" w:rsidR="00000000" w:rsidRPr="00000000">
        <w:rPr/>
        <w:drawing>
          <wp:inline distB="0" distT="0" distL="0" distR="0">
            <wp:extent cx="3120145" cy="1709801"/>
            <wp:effectExtent b="0" l="0" r="0" t="0"/>
            <wp:docPr id="7"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120145" cy="170980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tl w:val="0"/>
        </w:rPr>
      </w:r>
    </w:p>
    <w:p w:rsidR="00000000" w:rsidDel="00000000" w:rsidP="00000000" w:rsidRDefault="00000000" w:rsidRPr="00000000" w14:paraId="00000074">
      <w:pPr>
        <w:pStyle w:val="Heading1"/>
        <w:rPr/>
      </w:pPr>
      <w:bookmarkStart w:colFirst="0" w:colLast="0" w:name="_e6u65gdwy84f" w:id="6"/>
      <w:bookmarkEnd w:id="6"/>
      <w:r w:rsidDel="00000000" w:rsidR="00000000" w:rsidRPr="00000000">
        <w:rPr>
          <w:rtl w:val="0"/>
        </w:rPr>
        <w:t xml:space="preserve">Assessment Components</w:t>
      </w:r>
    </w:p>
    <w:p w:rsidR="00000000" w:rsidDel="00000000" w:rsidP="00000000" w:rsidRDefault="00000000" w:rsidRPr="00000000" w14:paraId="00000075">
      <w:pPr>
        <w:pStyle w:val="Heading2"/>
        <w:rPr/>
      </w:pPr>
      <w:bookmarkStart w:colFirst="0" w:colLast="0" w:name="_agi05h4qhv4c" w:id="7"/>
      <w:bookmarkEnd w:id="7"/>
      <w:r w:rsidDel="00000000" w:rsidR="00000000" w:rsidRPr="00000000">
        <w:rPr>
          <w:rtl w:val="0"/>
        </w:rPr>
        <w:t xml:space="preserve">External Penetration Test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160" w:line="259" w:lineRule="auto"/>
        <w:rPr>
          <w:rFonts w:ascii="Century Gothic" w:cs="Century Gothic" w:eastAsia="Century Gothic" w:hAnsi="Century Gothic"/>
          <w:b w:val="1"/>
          <w:color w:val="000000"/>
          <w:sz w:val="36"/>
          <w:szCs w:val="36"/>
        </w:rPr>
      </w:pPr>
      <w:r w:rsidDel="00000000" w:rsidR="00000000" w:rsidRPr="00000000">
        <w:rPr>
          <w:rtl w:val="0"/>
        </w:rPr>
        <w:t xml:space="preserve">An external penetration test emulates the role of an attacker attempting to gain access to an internal network without internal resources or inside knowledge.  A TCMS engineer attempts to gather sensitive information through open-source intelligence (OSINT), including employee information, historical breached passwords, and more that can be leveraged against external systems to gain internal network access.  The engineer also performs scanning and enumeration to identify potential vulnerabilities in hopes of exploitation.</w:t>
      </w: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pPr>
      <w:bookmarkStart w:colFirst="0" w:colLast="0" w:name="_53t5flt733nc" w:id="8"/>
      <w:bookmarkEnd w:id="8"/>
      <w:r w:rsidDel="00000000" w:rsidR="00000000" w:rsidRPr="00000000">
        <w:rPr>
          <w:rtl w:val="0"/>
        </w:rPr>
        <w:t xml:space="preserve">Finding Severity Ratings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color w:val="000000"/>
          <w:rtl w:val="0"/>
        </w:rPr>
        <w:t xml:space="preserve">The following table defines levels of severity and corresponding CVSS score range that are used throughout the document to assess vulnerability and risk impact.</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tbl>
      <w:tblPr>
        <w:tblStyle w:val="Table3"/>
        <w:tblW w:w="10074.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4"/>
        <w:gridCol w:w="1620"/>
        <w:gridCol w:w="6570"/>
        <w:tblGridChange w:id="0">
          <w:tblGrid>
            <w:gridCol w:w="1884"/>
            <w:gridCol w:w="1620"/>
            <w:gridCol w:w="6570"/>
          </w:tblGrid>
        </w:tblGridChange>
      </w:tblGrid>
      <w:tr>
        <w:trPr>
          <w:cantSplit w:val="0"/>
          <w:trHeight w:val="170" w:hRule="atLeast"/>
          <w:tblHeader w:val="1"/>
        </w:trPr>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Severity</w:t>
            </w:r>
          </w:p>
        </w:tc>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CVSS V3 Score Range</w:t>
            </w:r>
          </w:p>
        </w:tc>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Definition</w:t>
            </w:r>
          </w:p>
        </w:tc>
      </w:tr>
      <w:tr>
        <w:trPr>
          <w:cantSplit w:val="0"/>
          <w:trHeight w:val="709" w:hRule="atLeast"/>
          <w:tblHeader w:val="0"/>
        </w:trPr>
        <w:tc>
          <w:tcPr>
            <w:tcBorders>
              <w:top w:color="000000" w:space="0" w:sz="4" w:val="single"/>
              <w:left w:color="000000" w:space="0" w:sz="4" w:val="single"/>
              <w:bottom w:color="000000" w:space="0" w:sz="4" w:val="single"/>
              <w:right w:color="000000" w:space="0" w:sz="4" w:val="single"/>
            </w:tcBorders>
            <w:shd w:fill="c00000" w:val="cle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4"/>
                <w:szCs w:val="24"/>
                <w:u w:val="none"/>
                <w:shd w:fill="auto" w:val="clear"/>
                <w:vertAlign w:val="baseline"/>
                <w:rtl w:val="0"/>
              </w:rPr>
              <w:t xml:space="preserve">Critical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0"/>
                <w:szCs w:val="20"/>
                <w:u w:val="none"/>
                <w:shd w:fill="auto" w:val="clear"/>
                <w:vertAlign w:val="baseline"/>
                <w:rtl w:val="0"/>
              </w:rPr>
              <w:t xml:space="preserve">9.0-10.0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Exploitation is straightforward and usually results in system-level compromise.  It is advised to form a plan of action and patch immediately.</w:t>
            </w:r>
          </w:p>
        </w:tc>
      </w:tr>
      <w:tr>
        <w:trPr>
          <w:cantSplit w:val="0"/>
          <w:trHeight w:val="699" w:hRule="atLeast"/>
          <w:tblHeader w:val="0"/>
        </w:trPr>
        <w:tc>
          <w:tcPr>
            <w:tcBorders>
              <w:top w:color="000000" w:space="0" w:sz="4" w:val="single"/>
              <w:left w:color="000000" w:space="0" w:sz="4" w:val="single"/>
              <w:bottom w:color="000000" w:space="0" w:sz="4" w:val="single"/>
              <w:right w:color="000000" w:space="0" w:sz="4" w:val="single"/>
            </w:tcBorders>
            <w:shd w:fill="ff0000" w:val="cle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4"/>
                <w:szCs w:val="24"/>
                <w:u w:val="none"/>
                <w:shd w:fill="auto" w:val="clear"/>
                <w:vertAlign w:val="baseline"/>
                <w:rtl w:val="0"/>
              </w:rPr>
              <w:t xml:space="preserve">High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0"/>
                <w:szCs w:val="20"/>
                <w:u w:val="none"/>
                <w:shd w:fill="auto" w:val="clear"/>
                <w:vertAlign w:val="baseline"/>
                <w:rtl w:val="0"/>
              </w:rPr>
              <w:t xml:space="preserve">7.0-8.9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Exploitation is more difficult but could cause elevated privileges and potentially a loss of data or downtime.  It is advised to form a plan of action and patch as soon as possible.</w:t>
            </w:r>
          </w:p>
        </w:tc>
      </w:tr>
      <w:tr>
        <w:trPr>
          <w:cantSplit w:val="0"/>
          <w:trHeight w:val="709" w:hRule="atLeast"/>
          <w:tblHeader w:val="0"/>
        </w:trPr>
        <w:tc>
          <w:tcPr>
            <w:tcBorders>
              <w:top w:color="000000" w:space="0" w:sz="4" w:val="single"/>
              <w:left w:color="000000" w:space="0" w:sz="4" w:val="single"/>
              <w:bottom w:color="000000" w:space="0" w:sz="4" w:val="single"/>
              <w:right w:color="000000" w:space="0" w:sz="4" w:val="single"/>
            </w:tcBorders>
            <w:shd w:fill="ffc000" w:val="clea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4"/>
                <w:szCs w:val="24"/>
                <w:u w:val="none"/>
                <w:shd w:fill="auto" w:val="clear"/>
                <w:vertAlign w:val="baseline"/>
                <w:rtl w:val="0"/>
              </w:rPr>
              <w:t xml:space="preserve">Moderate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0"/>
                <w:szCs w:val="20"/>
                <w:u w:val="none"/>
                <w:shd w:fill="auto" w:val="clear"/>
                <w:vertAlign w:val="baseline"/>
                <w:rtl w:val="0"/>
              </w:rPr>
              <w:t xml:space="preserve">4.0-6.9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Vulnerabilities exist but are not exploitable or require extra steps such as social engineering.  It is advised to form a plan of action and patch after high-priority issues have been resolved.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4"/>
                <w:szCs w:val="24"/>
                <w:u w:val="none"/>
                <w:shd w:fill="auto" w:val="clear"/>
                <w:vertAlign w:val="baseline"/>
                <w:rtl w:val="0"/>
              </w:rPr>
              <w:t xml:space="preserve">Low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0"/>
                <w:szCs w:val="20"/>
                <w:u w:val="none"/>
                <w:shd w:fill="auto" w:val="clear"/>
                <w:vertAlign w:val="baseline"/>
                <w:rtl w:val="0"/>
              </w:rPr>
              <w:t xml:space="preserve">0.1-3.9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Vulnerabilities are non-exploitable but would reduce an organization’s attack surface.  It is advised to form a plan of action and patch during the next maintenance window.</w:t>
            </w:r>
          </w:p>
        </w:tc>
      </w:tr>
      <w:tr>
        <w:trPr>
          <w:cantSplit w:val="0"/>
          <w:trHeight w:val="709" w:hRule="atLeast"/>
          <w:tblHeader w:val="0"/>
        </w:trPr>
        <w:tc>
          <w:tcPr>
            <w:tcBorders>
              <w:top w:color="000000" w:space="0" w:sz="4" w:val="single"/>
              <w:left w:color="000000" w:space="0" w:sz="4" w:val="single"/>
              <w:bottom w:color="000000" w:space="0" w:sz="4" w:val="single"/>
              <w:right w:color="000000" w:space="0" w:sz="4" w:val="single"/>
            </w:tcBorders>
            <w:shd w:fill="0070c0" w:val="cle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4"/>
                <w:szCs w:val="24"/>
                <w:u w:val="none"/>
                <w:shd w:fill="auto" w:val="clear"/>
                <w:vertAlign w:val="baseline"/>
                <w:rtl w:val="0"/>
              </w:rPr>
              <w:t xml:space="preserve">Informational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0"/>
                <w:szCs w:val="20"/>
                <w:u w:val="none"/>
                <w:shd w:fill="auto" w:val="clear"/>
                <w:vertAlign w:val="baseline"/>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No vulnerability exists.  Additional information is provided regarding items noticed during testing, strong controls, and additional documentation.</w:t>
            </w:r>
          </w:p>
        </w:tc>
      </w:tr>
    </w:tbl>
    <w:p w:rsidR="00000000" w:rsidDel="00000000" w:rsidP="00000000" w:rsidRDefault="00000000" w:rsidRPr="00000000" w14:paraId="0000008F">
      <w:pPr>
        <w:pStyle w:val="Heading1"/>
        <w:rPr/>
      </w:pPr>
      <w:r w:rsidDel="00000000" w:rsidR="00000000" w:rsidRPr="00000000">
        <w:rPr>
          <w:rtl w:val="0"/>
        </w:rPr>
      </w:r>
    </w:p>
    <w:p w:rsidR="00000000" w:rsidDel="00000000" w:rsidP="00000000" w:rsidRDefault="00000000" w:rsidRPr="00000000" w14:paraId="00000090">
      <w:pPr>
        <w:spacing w:after="160" w:line="259" w:lineRule="auto"/>
        <w:rPr>
          <w:rFonts w:ascii="Century Gothic" w:cs="Century Gothic" w:eastAsia="Century Gothic" w:hAnsi="Century Gothic"/>
          <w:b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rPr/>
      </w:pPr>
      <w:bookmarkStart w:colFirst="0" w:colLast="0" w:name="_w9b0tyv7usn7" w:id="9"/>
      <w:bookmarkEnd w:id="9"/>
      <w:r w:rsidDel="00000000" w:rsidR="00000000" w:rsidRPr="00000000">
        <w:rPr>
          <w:rtl w:val="0"/>
        </w:rPr>
        <w:t xml:space="preserve">Scope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tbl>
      <w:tblPr>
        <w:tblStyle w:val="Table4"/>
        <w:tblW w:w="956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29"/>
        <w:gridCol w:w="5540"/>
        <w:tblGridChange w:id="0">
          <w:tblGrid>
            <w:gridCol w:w="4029"/>
            <w:gridCol w:w="5540"/>
          </w:tblGrid>
        </w:tblGridChange>
      </w:tblGrid>
      <w:tr>
        <w:trPr>
          <w:cantSplit w:val="1"/>
          <w:trHeight w:val="406" w:hRule="atLeast"/>
          <w:tblHeader w:val="0"/>
        </w:trPr>
        <w:tc>
          <w:tcPr>
            <w:tcBorders>
              <w:bottom w:color="000000" w:space="0" w:sz="4" w:val="single"/>
            </w:tcBorders>
            <w:shd w:fill="7f7f7f" w:val="clear"/>
            <w:tcMar>
              <w:left w:w="58.0" w:type="dxa"/>
              <w:right w:w="58.0" w:type="dxa"/>
            </w:tcMa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Assessment</w:t>
            </w:r>
          </w:p>
        </w:tc>
        <w:tc>
          <w:tcPr>
            <w:tcBorders>
              <w:bottom w:color="000000" w:space="0" w:sz="4" w:val="single"/>
            </w:tcBorders>
            <w:shd w:fill="7f7f7f" w:val="clear"/>
            <w:tcMar>
              <w:left w:w="58.0" w:type="dxa"/>
              <w:right w:w="58.0" w:type="dxa"/>
            </w:tcM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Details</w:t>
            </w:r>
          </w:p>
        </w:tc>
      </w:tr>
      <w:tr>
        <w:trPr>
          <w:cantSplit w:val="1"/>
          <w:trHeight w:val="744" w:hRule="atLeast"/>
          <w:tblHeader w:val="0"/>
        </w:trPr>
        <w:tc>
          <w:tcPr>
            <w:tcMar>
              <w:left w:w="58.0" w:type="dxa"/>
              <w:right w:w="58.0" w:type="dxa"/>
            </w:tcMar>
            <w:vAlign w:val="center"/>
          </w:tcPr>
          <w:p w:rsidR="00000000" w:rsidDel="00000000" w:rsidP="00000000" w:rsidRDefault="00000000" w:rsidRPr="00000000" w14:paraId="00000096">
            <w:pPr>
              <w:rPr/>
            </w:pPr>
            <w:r w:rsidDel="00000000" w:rsidR="00000000" w:rsidRPr="00000000">
              <w:rPr>
                <w:rtl w:val="0"/>
              </w:rPr>
              <w:t xml:space="preserve">External Penetration Test</w:t>
            </w:r>
          </w:p>
        </w:tc>
        <w:tc>
          <w:tcPr>
            <w:tcMar>
              <w:left w:w="58.0" w:type="dxa"/>
              <w:right w:w="58.0" w:type="dxa"/>
            </w:tcMar>
            <w:vAlign w:val="center"/>
          </w:tcPr>
          <w:p w:rsidR="00000000" w:rsidDel="00000000" w:rsidP="00000000" w:rsidRDefault="00000000" w:rsidRPr="00000000" w14:paraId="00000097">
            <w:pPr>
              <w:rPr/>
            </w:pPr>
            <w:r w:rsidDel="00000000" w:rsidR="00000000" w:rsidRPr="00000000">
              <w:rPr>
                <w:rtl w:val="0"/>
              </w:rPr>
              <w:t xml:space="preserve">192.168.0.0/24, </w:t>
            </w:r>
          </w:p>
          <w:p w:rsidR="00000000" w:rsidDel="00000000" w:rsidP="00000000" w:rsidRDefault="00000000" w:rsidRPr="00000000" w14:paraId="00000098">
            <w:pPr>
              <w:rPr/>
            </w:pPr>
            <w:r w:rsidDel="00000000" w:rsidR="00000000" w:rsidRPr="00000000">
              <w:rPr>
                <w:rtl w:val="0"/>
              </w:rPr>
              <w:t xml:space="preserve">192.168.1.0/24</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Full scope information provided in “</w:t>
      </w:r>
      <w:r w:rsidDel="00000000" w:rsidR="00000000" w:rsidRPr="00000000">
        <w:rPr>
          <w:b w:val="1"/>
          <w:rtl w:val="0"/>
        </w:rPr>
        <w:t xml:space="preserve">Haliburton Enterprises</w:t>
      </w:r>
      <w:r w:rsidDel="00000000" w:rsidR="00000000" w:rsidRPr="00000000">
        <w:rPr>
          <w:rFonts w:ascii="Libre Franklin" w:cs="Libre Franklin" w:eastAsia="Libre Franklin" w:hAnsi="Libre Franklin"/>
          <w:b w:val="1"/>
          <w:i w:val="0"/>
          <w:smallCaps w:val="0"/>
          <w:strike w:val="0"/>
          <w:color w:val="000000"/>
          <w:sz w:val="24"/>
          <w:szCs w:val="24"/>
          <w:u w:val="none"/>
          <w:shd w:fill="auto" w:val="clear"/>
          <w:vertAlign w:val="baseline"/>
          <w:rtl w:val="0"/>
        </w:rPr>
        <w:t xml:space="preserve">-867-19 Full Findings.xslx”</w:t>
      </w:r>
      <w:r w:rsidDel="00000000" w:rsidR="00000000" w:rsidRPr="00000000">
        <w:rPr>
          <w:rtl w:val="0"/>
        </w:rPr>
      </w:r>
    </w:p>
    <w:p w:rsidR="00000000" w:rsidDel="00000000" w:rsidP="00000000" w:rsidRDefault="00000000" w:rsidRPr="00000000" w14:paraId="0000009B">
      <w:pPr>
        <w:pStyle w:val="Heading2"/>
        <w:rPr/>
      </w:pPr>
      <w:bookmarkStart w:colFirst="0" w:colLast="0" w:name="_wa3wcgolv8pl" w:id="10"/>
      <w:bookmarkEnd w:id="10"/>
      <w:r w:rsidDel="00000000" w:rsidR="00000000" w:rsidRPr="00000000">
        <w:rPr>
          <w:rtl w:val="0"/>
        </w:rPr>
        <w:t xml:space="preserve">Scope Exclusions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color w:val="000000"/>
          <w:rtl w:val="0"/>
        </w:rPr>
        <w:t xml:space="preserve">Per client request, TCMS did not perform any Denial of Service attacks during testing.</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bookmarkStart w:colFirst="0" w:colLast="0" w:name="_cdm27fc18qcx" w:id="11"/>
      <w:bookmarkEnd w:id="11"/>
      <w:r w:rsidDel="00000000" w:rsidR="00000000" w:rsidRPr="00000000">
        <w:rPr>
          <w:rtl w:val="0"/>
        </w:rPr>
        <w:t xml:space="preserve">Client Allowances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color w:val="000000"/>
          <w:rtl w:val="0"/>
        </w:rPr>
        <w:t xml:space="preserve">DC did not provide any allowances to assist the testing.</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160" w:line="259" w:lineRule="auto"/>
        <w:rPr>
          <w:rFonts w:ascii="Century Gothic" w:cs="Century Gothic" w:eastAsia="Century Gothic" w:hAnsi="Century Gothic"/>
          <w:b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rPr/>
      </w:pPr>
      <w:bookmarkStart w:colFirst="0" w:colLast="0" w:name="_31j66ces9js5" w:id="12"/>
      <w:bookmarkEnd w:id="12"/>
      <w:r w:rsidDel="00000000" w:rsidR="00000000" w:rsidRPr="00000000">
        <w:rPr>
          <w:rtl w:val="0"/>
        </w:rPr>
        <w:t xml:space="preserve">Executive Summary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rtl w:val="0"/>
        </w:rPr>
        <w:t xml:space="preserve">TCMS evaluated DC’s external security posture through an external network penetration test from May 20</w:t>
      </w:r>
      <w:r w:rsidDel="00000000" w:rsidR="00000000" w:rsidRPr="00000000">
        <w:rPr>
          <w:vertAlign w:val="superscript"/>
          <w:rtl w:val="0"/>
        </w:rPr>
        <w:t xml:space="preserve">th</w:t>
      </w:r>
      <w:r w:rsidDel="00000000" w:rsidR="00000000" w:rsidRPr="00000000">
        <w:rPr>
          <w:rtl w:val="0"/>
        </w:rPr>
        <w:t xml:space="preserve">, 2019 to May 29</w:t>
      </w:r>
      <w:r w:rsidDel="00000000" w:rsidR="00000000" w:rsidRPr="00000000">
        <w:rPr>
          <w:vertAlign w:val="superscript"/>
          <w:rtl w:val="0"/>
        </w:rPr>
        <w:t xml:space="preserve">th</w:t>
      </w:r>
      <w:r w:rsidDel="00000000" w:rsidR="00000000" w:rsidRPr="00000000">
        <w:rPr>
          <w:rtl w:val="0"/>
        </w:rPr>
        <w:t xml:space="preserve">, 2019.  By leveraging a series of attacks, TCMS found critical level vulnerabilities that allowed full internal network access to the DC headquarter office.  It is highly recommended that DC address these vulnerabilities as soon as possible as the vulnerabilities are easily found through basic reconnaissance and exploitable without much effort.</w:t>
      </w:r>
    </w:p>
    <w:p w:rsidR="00000000" w:rsidDel="00000000" w:rsidP="00000000" w:rsidRDefault="00000000" w:rsidRPr="00000000" w14:paraId="000000A7">
      <w:pPr>
        <w:pStyle w:val="Heading2"/>
        <w:rPr/>
      </w:pPr>
      <w:bookmarkStart w:colFirst="0" w:colLast="0" w:name="_95t9h7nwavaq" w:id="13"/>
      <w:bookmarkEnd w:id="13"/>
      <w:r w:rsidDel="00000000" w:rsidR="00000000" w:rsidRPr="00000000">
        <w:rPr>
          <w:rtl w:val="0"/>
        </w:rPr>
        <w:t xml:space="preserve">Attack Summary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rtl w:val="0"/>
        </w:rPr>
        <w:t xml:space="preserve">The following table describes how TCMS gained internal network access, step by step:</w:t>
      </w:r>
    </w:p>
    <w:tbl>
      <w:tblPr>
        <w:tblStyle w:val="Table5"/>
        <w:tblW w:w="10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5"/>
        <w:gridCol w:w="4457"/>
        <w:gridCol w:w="5032"/>
        <w:tblGridChange w:id="0">
          <w:tblGrid>
            <w:gridCol w:w="575"/>
            <w:gridCol w:w="4457"/>
            <w:gridCol w:w="5032"/>
          </w:tblGrid>
        </w:tblGridChange>
      </w:tblGrid>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 w:right="0" w:firstLine="0"/>
              <w:jc w:val="center"/>
              <w:rPr>
                <w:rFonts w:ascii="Libre Franklin" w:cs="Libre Franklin" w:eastAsia="Libre Franklin" w:hAnsi="Libre Franklin"/>
                <w:b w:val="1"/>
                <w:i w:val="0"/>
                <w:smallCaps w:val="0"/>
                <w:strike w:val="0"/>
                <w:color w:val="ffffff"/>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ffffff"/>
                <w:sz w:val="22"/>
                <w:szCs w:val="22"/>
                <w:u w:val="none"/>
                <w:shd w:fill="auto" w:val="clear"/>
                <w:vertAlign w:val="baseline"/>
                <w:rtl w:val="0"/>
              </w:rPr>
              <w:t xml:space="preserve">Step</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i w:val="0"/>
                <w:smallCaps w:val="0"/>
                <w:strike w:val="0"/>
                <w:color w:val="ffffff"/>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ffffff"/>
                <w:sz w:val="22"/>
                <w:szCs w:val="22"/>
                <w:u w:val="none"/>
                <w:shd w:fill="auto" w:val="clear"/>
                <w:vertAlign w:val="baseline"/>
                <w:rtl w:val="0"/>
              </w:rPr>
              <w:t xml:space="preserve">Action</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i w:val="0"/>
                <w:smallCaps w:val="0"/>
                <w:strike w:val="0"/>
                <w:color w:val="ffffff"/>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ffffff"/>
                <w:sz w:val="22"/>
                <w:szCs w:val="22"/>
                <w:u w:val="none"/>
                <w:shd w:fill="auto" w:val="clear"/>
                <w:vertAlign w:val="baseline"/>
                <w:rtl w:val="0"/>
              </w:rPr>
              <w:t xml:space="preserve">Recommendation</w:t>
            </w:r>
          </w:p>
        </w:tc>
      </w:tr>
      <w:tr>
        <w:trPr>
          <w:cantSplit w:val="0"/>
          <w:trHeight w:val="79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ind w:left="-120" w:firstLine="0"/>
              <w:jc w:val="center"/>
              <w:rPr>
                <w:color w:val="000000"/>
                <w:sz w:val="22"/>
                <w:szCs w:val="22"/>
              </w:rPr>
            </w:pPr>
            <w:r w:rsidDel="00000000" w:rsidR="00000000" w:rsidRPr="00000000">
              <w:rPr>
                <w:color w:val="000000"/>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rPr>
                <w:color w:val="000000"/>
                <w:sz w:val="22"/>
                <w:szCs w:val="22"/>
              </w:rPr>
            </w:pPr>
            <w:r w:rsidDel="00000000" w:rsidR="00000000" w:rsidRPr="00000000">
              <w:rPr>
                <w:color w:val="000000"/>
                <w:sz w:val="22"/>
                <w:szCs w:val="22"/>
                <w:rtl w:val="0"/>
              </w:rPr>
              <w:t xml:space="preserve">Obtained historical breached account credentials to leverage against all company login pages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keepNext w:val="1"/>
              <w:rPr>
                <w:sz w:val="22"/>
                <w:szCs w:val="22"/>
              </w:rPr>
            </w:pPr>
            <w:r w:rsidDel="00000000" w:rsidR="00000000" w:rsidRPr="00000000">
              <w:rPr>
                <w:sz w:val="22"/>
                <w:szCs w:val="22"/>
                <w:rtl w:val="0"/>
              </w:rPr>
              <w:t xml:space="preserve">Discourage employees from using work e-mails and usernames as login credentials to other services unless necessary</w:t>
            </w:r>
          </w:p>
          <w:p w:rsidR="00000000" w:rsidDel="00000000" w:rsidP="00000000" w:rsidRDefault="00000000" w:rsidRPr="00000000" w14:paraId="000000B0">
            <w:pPr>
              <w:rPr>
                <w:color w:val="000000"/>
                <w:sz w:val="22"/>
                <w:szCs w:val="22"/>
              </w:rPr>
            </w:pPr>
            <w:r w:rsidDel="00000000" w:rsidR="00000000" w:rsidRPr="00000000">
              <w:rPr>
                <w:rtl w:val="0"/>
              </w:rPr>
            </w:r>
          </w:p>
        </w:tc>
      </w:tr>
      <w:tr>
        <w:trPr>
          <w:cantSplit w:val="0"/>
          <w:trHeight w:val="159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ind w:left="-120" w:firstLine="0"/>
              <w:jc w:val="center"/>
              <w:rPr>
                <w:color w:val="000000"/>
                <w:sz w:val="22"/>
                <w:szCs w:val="22"/>
              </w:rPr>
            </w:pPr>
            <w:r w:rsidDel="00000000" w:rsidR="00000000" w:rsidRPr="00000000">
              <w:rPr>
                <w:color w:val="000000"/>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rPr>
                <w:color w:val="000000"/>
                <w:sz w:val="22"/>
                <w:szCs w:val="22"/>
              </w:rPr>
            </w:pPr>
            <w:r w:rsidDel="00000000" w:rsidR="00000000" w:rsidRPr="00000000">
              <w:rPr>
                <w:color w:val="000000"/>
                <w:sz w:val="22"/>
                <w:szCs w:val="22"/>
                <w:rtl w:val="0"/>
              </w:rPr>
              <w:t xml:space="preserve">Attempted a “credential stuffing” attack against Outlook Web Access (OWA), which was unsuccessful.  However, OWA provided username enumeration, which allowed TCMS to gather a list of valid usernames to leverage in further attacks.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rPr>
                <w:color w:val="000000"/>
                <w:sz w:val="22"/>
                <w:szCs w:val="22"/>
              </w:rPr>
            </w:pPr>
            <w:r w:rsidDel="00000000" w:rsidR="00000000" w:rsidRPr="00000000">
              <w:rPr>
                <w:sz w:val="22"/>
                <w:szCs w:val="22"/>
                <w:rtl w:val="0"/>
              </w:rPr>
              <w:t xml:space="preserve">Synchronize valid and invalid account messages.</w:t>
            </w:r>
            <w:r w:rsidDel="00000000" w:rsidR="00000000" w:rsidRPr="00000000">
              <w:rPr>
                <w:rtl w:val="0"/>
              </w:rPr>
            </w:r>
          </w:p>
        </w:tc>
      </w:tr>
      <w:tr>
        <w:trPr>
          <w:cantSplit w:val="0"/>
          <w:trHeight w:val="47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ind w:left="-120" w:firstLine="0"/>
              <w:jc w:val="center"/>
              <w:rPr>
                <w:color w:val="000000"/>
                <w:sz w:val="22"/>
                <w:szCs w:val="22"/>
              </w:rPr>
            </w:pPr>
            <w:r w:rsidDel="00000000" w:rsidR="00000000" w:rsidRPr="00000000">
              <w:rPr>
                <w:color w:val="000000"/>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rPr>
                <w:color w:val="000000"/>
                <w:sz w:val="22"/>
                <w:szCs w:val="22"/>
              </w:rPr>
            </w:pPr>
            <w:r w:rsidDel="00000000" w:rsidR="00000000" w:rsidRPr="00000000">
              <w:rPr>
                <w:color w:val="000000"/>
                <w:sz w:val="22"/>
                <w:szCs w:val="22"/>
                <w:rtl w:val="0"/>
              </w:rPr>
              <w:t xml:space="preserve">Performed a “password spraying” attack against OWA using the usernames discovered in step 2.  TCMS used the password of Summer2018! (season + year + special character) against all valid accounts and gained access into the OWA application.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keepNext w:val="1"/>
              <w:rPr>
                <w:sz w:val="22"/>
                <w:szCs w:val="22"/>
              </w:rPr>
            </w:pPr>
            <w:r w:rsidDel="00000000" w:rsidR="00000000" w:rsidRPr="00000000">
              <w:rPr>
                <w:sz w:val="22"/>
                <w:szCs w:val="22"/>
                <w:rtl w:val="0"/>
              </w:rPr>
              <w:t xml:space="preserve">OWA permitted authenticated with valid credentials.  TCMS recommends DC implement Multi-Factor Authentication (MFA) on all external services.</w:t>
            </w:r>
          </w:p>
          <w:p w:rsidR="00000000" w:rsidDel="00000000" w:rsidP="00000000" w:rsidRDefault="00000000" w:rsidRPr="00000000" w14:paraId="000000B7">
            <w:pPr>
              <w:keepNext w:val="1"/>
              <w:rPr>
                <w:sz w:val="22"/>
                <w:szCs w:val="22"/>
              </w:rPr>
            </w:pPr>
            <w:r w:rsidDel="00000000" w:rsidR="00000000" w:rsidRPr="00000000">
              <w:rPr>
                <w:rtl w:val="0"/>
              </w:rPr>
            </w:r>
          </w:p>
          <w:p w:rsidR="00000000" w:rsidDel="00000000" w:rsidP="00000000" w:rsidRDefault="00000000" w:rsidRPr="00000000" w14:paraId="000000B8">
            <w:pPr>
              <w:keepNext w:val="1"/>
              <w:rPr>
                <w:sz w:val="22"/>
                <w:szCs w:val="22"/>
              </w:rPr>
            </w:pPr>
            <w:r w:rsidDel="00000000" w:rsidR="00000000" w:rsidRPr="00000000">
              <w:rPr>
                <w:sz w:val="22"/>
                <w:szCs w:val="22"/>
                <w:rtl w:val="0"/>
              </w:rPr>
              <w:t xml:space="preserve">OWA permitted unlimited login attempts.  TCMS recommends DC restrict logon attempts against their service.</w:t>
            </w:r>
          </w:p>
          <w:p w:rsidR="00000000" w:rsidDel="00000000" w:rsidP="00000000" w:rsidRDefault="00000000" w:rsidRPr="00000000" w14:paraId="000000B9">
            <w:pPr>
              <w:keepNext w:val="1"/>
              <w:rPr>
                <w:sz w:val="22"/>
                <w:szCs w:val="22"/>
              </w:rPr>
            </w:pPr>
            <w:r w:rsidDel="00000000" w:rsidR="00000000" w:rsidRPr="00000000">
              <w:rPr>
                <w:rtl w:val="0"/>
              </w:rPr>
            </w:r>
          </w:p>
          <w:p w:rsidR="00000000" w:rsidDel="00000000" w:rsidP="00000000" w:rsidRDefault="00000000" w:rsidRPr="00000000" w14:paraId="000000BA">
            <w:pPr>
              <w:keepNext w:val="1"/>
              <w:rPr>
                <w:sz w:val="22"/>
                <w:szCs w:val="22"/>
              </w:rPr>
            </w:pPr>
            <w:r w:rsidDel="00000000" w:rsidR="00000000" w:rsidRPr="00000000">
              <w:rPr>
                <w:sz w:val="22"/>
                <w:szCs w:val="22"/>
                <w:rtl w:val="0"/>
              </w:rPr>
              <w:t xml:space="preserve">TCMS recommends an improved password policy of: 1) 14 characters or longer 2) Use different passwords for each account accessed. 3) Do not use words and proper names in passwords, regardless of language</w:t>
            </w:r>
          </w:p>
          <w:p w:rsidR="00000000" w:rsidDel="00000000" w:rsidP="00000000" w:rsidRDefault="00000000" w:rsidRPr="00000000" w14:paraId="000000B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1"/>
              <w:rPr>
                <w:sz w:val="22"/>
                <w:szCs w:val="22"/>
              </w:rPr>
            </w:pPr>
            <w:r w:rsidDel="00000000" w:rsidR="00000000" w:rsidRPr="00000000">
              <w:rPr>
                <w:sz w:val="22"/>
                <w:szCs w:val="22"/>
                <w:rtl w:val="0"/>
              </w:rPr>
              <w:t xml:space="preserve">Additionally, TCMS recommends that DC: </w:t>
            </w:r>
          </w:p>
          <w:p w:rsidR="00000000" w:rsidDel="00000000" w:rsidP="00000000" w:rsidRDefault="00000000" w:rsidRPr="00000000" w14:paraId="000000BD">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Train employees on how to create a proper password</w:t>
            </w:r>
          </w:p>
        </w:tc>
      </w:tr>
      <w:tr>
        <w:trPr>
          <w:cantSplit w:val="0"/>
          <w:trHeight w:val="131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ind w:left="-120" w:firstLine="0"/>
              <w:jc w:val="center"/>
              <w:rPr>
                <w:color w:val="000000"/>
                <w:sz w:val="22"/>
                <w:szCs w:val="22"/>
              </w:rPr>
            </w:pPr>
            <w:r w:rsidDel="00000000" w:rsidR="00000000" w:rsidRPr="00000000">
              <w:rPr>
                <w:color w:val="000000"/>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rPr>
                <w:color w:val="000000"/>
                <w:sz w:val="22"/>
                <w:szCs w:val="22"/>
              </w:rPr>
            </w:pPr>
            <w:r w:rsidDel="00000000" w:rsidR="00000000" w:rsidRPr="00000000">
              <w:rPr>
                <w:color w:val="000000"/>
                <w:sz w:val="22"/>
                <w:szCs w:val="22"/>
                <w:rtl w:val="0"/>
              </w:rPr>
              <w:t xml:space="preserve">Leveraged valid credentials to log into VPN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keepNext w:val="1"/>
              <w:rPr>
                <w:sz w:val="22"/>
                <w:szCs w:val="22"/>
              </w:rPr>
            </w:pPr>
            <w:r w:rsidDel="00000000" w:rsidR="00000000" w:rsidRPr="00000000">
              <w:rPr>
                <w:sz w:val="22"/>
                <w:szCs w:val="22"/>
                <w:rtl w:val="0"/>
              </w:rPr>
              <w:t xml:space="preserve">OWA permitted authenticated with valid credentials.  TCMS recommends DC implement Multi-Factor Authentication (MFA) on all external services.</w:t>
            </w:r>
          </w:p>
          <w:p w:rsidR="00000000" w:rsidDel="00000000" w:rsidP="00000000" w:rsidRDefault="00000000" w:rsidRPr="00000000" w14:paraId="000000C1">
            <w:pPr>
              <w:keepNext w:val="1"/>
              <w:rPr>
                <w:sz w:val="22"/>
                <w:szCs w:val="22"/>
              </w:rPr>
            </w:pPr>
            <w:r w:rsidDel="00000000" w:rsidR="00000000" w:rsidRPr="00000000">
              <w:rPr>
                <w:rtl w:val="0"/>
              </w:rPr>
            </w:r>
          </w:p>
        </w:tc>
      </w:tr>
    </w:tbl>
    <w:p w:rsidR="00000000" w:rsidDel="00000000" w:rsidP="00000000" w:rsidRDefault="00000000" w:rsidRPr="00000000" w14:paraId="000000C2">
      <w:pPr>
        <w:pStyle w:val="Heading1"/>
        <w:rPr/>
      </w:pPr>
      <w:bookmarkStart w:colFirst="0" w:colLast="0" w:name="_e69syyfy11du" w:id="14"/>
      <w:bookmarkEnd w:id="14"/>
      <w:r w:rsidDel="00000000" w:rsidR="00000000" w:rsidRPr="00000000">
        <w:rPr>
          <w:rtl w:val="0"/>
        </w:rPr>
        <w:t xml:space="preserve">Security Strengths</w:t>
      </w:r>
    </w:p>
    <w:p w:rsidR="00000000" w:rsidDel="00000000" w:rsidP="00000000" w:rsidRDefault="00000000" w:rsidRPr="00000000" w14:paraId="000000C3">
      <w:pPr>
        <w:pStyle w:val="Heading2"/>
        <w:rPr/>
      </w:pPr>
      <w:bookmarkStart w:colFirst="0" w:colLast="0" w:name="_u1eogrer69mg" w:id="15"/>
      <w:bookmarkEnd w:id="15"/>
      <w:r w:rsidDel="00000000" w:rsidR="00000000" w:rsidRPr="00000000">
        <w:rPr>
          <w:rtl w:val="0"/>
        </w:rPr>
        <w:t xml:space="preserve">SIEM alerts of vulnerability scans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120" w:lineRule="auto"/>
        <w:rPr/>
      </w:pPr>
      <w:r w:rsidDel="00000000" w:rsidR="00000000" w:rsidRPr="00000000">
        <w:rPr>
          <w:rtl w:val="0"/>
        </w:rPr>
        <w:t xml:space="preserve">During the assessment, the DC security team alerted TCMS engineers of detected vulnerability scanning against their systems.  The team was successfully able to identify the TCMS engineer’s attacker IP address within minutes of scanning and was capable of blacklisting TCMS from further scanning actions.</w:t>
      </w:r>
    </w:p>
    <w:p w:rsidR="00000000" w:rsidDel="00000000" w:rsidP="00000000" w:rsidRDefault="00000000" w:rsidRPr="00000000" w14:paraId="000000C6">
      <w:pPr>
        <w:spacing w:after="120" w:lineRule="auto"/>
        <w:rPr/>
      </w:pPr>
      <w:r w:rsidDel="00000000" w:rsidR="00000000" w:rsidRPr="00000000">
        <w:rPr>
          <w:rtl w:val="0"/>
        </w:rPr>
      </w:r>
    </w:p>
    <w:p w:rsidR="00000000" w:rsidDel="00000000" w:rsidP="00000000" w:rsidRDefault="00000000" w:rsidRPr="00000000" w14:paraId="000000C7">
      <w:pPr>
        <w:pStyle w:val="Heading1"/>
        <w:rPr/>
      </w:pPr>
      <w:bookmarkStart w:colFirst="0" w:colLast="0" w:name="_f78oxhc5aby8" w:id="16"/>
      <w:bookmarkEnd w:id="16"/>
      <w:r w:rsidDel="00000000" w:rsidR="00000000" w:rsidRPr="00000000">
        <w:rPr>
          <w:rtl w:val="0"/>
        </w:rPr>
        <w:t xml:space="preserve">Security Weaknesses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pPr>
      <w:bookmarkStart w:colFirst="0" w:colLast="0" w:name="_dkufqipyltp8" w:id="17"/>
      <w:bookmarkEnd w:id="17"/>
      <w:r w:rsidDel="00000000" w:rsidR="00000000" w:rsidRPr="00000000">
        <w:rPr>
          <w:rtl w:val="0"/>
        </w:rPr>
        <w:t xml:space="preserve">Missing Multi-Factor Authentication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rtl w:val="0"/>
        </w:rPr>
        <w:t xml:space="preserve">TCMS leveraged multiple attacks against DC login forms using valid credentials harvested through open-source intelligence.  Successful logins included employee e-mail accounts through Outlook Web Access and internal access via Active Directory login on the VPN.  The use of multi-factor authentication would have prevented full access and required TCMS to utilize additional attack methods to gain internal network access.</w:t>
      </w:r>
    </w:p>
    <w:p w:rsidR="00000000" w:rsidDel="00000000" w:rsidP="00000000" w:rsidRDefault="00000000" w:rsidRPr="00000000" w14:paraId="000000CC">
      <w:pPr>
        <w:pStyle w:val="Heading2"/>
        <w:rPr/>
      </w:pPr>
      <w:bookmarkStart w:colFirst="0" w:colLast="0" w:name="_tymvyr3tjad" w:id="18"/>
      <w:bookmarkEnd w:id="18"/>
      <w:r w:rsidDel="00000000" w:rsidR="00000000" w:rsidRPr="00000000">
        <w:rPr>
          <w:rtl w:val="0"/>
        </w:rPr>
        <w:t xml:space="preserve">Weak Password Policy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rtl w:val="0"/>
        </w:rPr>
        <w:t xml:space="preserve">TCMS successfully performed password guessing attacks against DC login forms, providing internal network access.  A predictable password format of Summer2018! (season + year + special character) was attempted and successful.  </w:t>
      </w:r>
    </w:p>
    <w:p w:rsidR="00000000" w:rsidDel="00000000" w:rsidP="00000000" w:rsidRDefault="00000000" w:rsidRPr="00000000" w14:paraId="000000CF">
      <w:pPr>
        <w:pStyle w:val="Heading2"/>
        <w:rPr/>
      </w:pPr>
      <w:bookmarkStart w:colFirst="0" w:colLast="0" w:name="_4xt68tt0wxhy" w:id="19"/>
      <w:bookmarkEnd w:id="19"/>
      <w:r w:rsidDel="00000000" w:rsidR="00000000" w:rsidRPr="00000000">
        <w:rPr>
          <w:rtl w:val="0"/>
        </w:rPr>
        <w:t xml:space="preserve">Unrestricted Logon Attempts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tl w:val="0"/>
        </w:rPr>
        <w:t xml:space="preserve">During the assessment, TCMS performed multiple brute-force attacks against login forms found on the external network.  For all logins, unlimited attempts were allowed, which permitted an eventual successful login on the Outlook Web Access application.  </w:t>
      </w:r>
    </w:p>
    <w:p w:rsidR="00000000" w:rsidDel="00000000" w:rsidP="00000000" w:rsidRDefault="00000000" w:rsidRPr="00000000" w14:paraId="000000D2">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tl w:val="0"/>
        </w:rPr>
      </w:r>
    </w:p>
    <w:p w:rsidR="00000000" w:rsidDel="00000000" w:rsidP="00000000" w:rsidRDefault="00000000" w:rsidRPr="00000000" w14:paraId="000000D4">
      <w:pPr>
        <w:pStyle w:val="Heading1"/>
        <w:rPr/>
      </w:pPr>
      <w:bookmarkStart w:colFirst="0" w:colLast="0" w:name="_x5jcgkxlntc8" w:id="20"/>
      <w:bookmarkEnd w:id="20"/>
      <w:r w:rsidDel="00000000" w:rsidR="00000000" w:rsidRPr="00000000">
        <w:rPr>
          <w:rtl w:val="0"/>
        </w:rPr>
        <w:t xml:space="preserve">Vulnerabilities by Impact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tl w:val="0"/>
        </w:rPr>
        <w:t xml:space="preserve">The following chart illustrates the vulnerabilities found by impact: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jc w:val="center"/>
        <w:rPr/>
        <w:sectPr>
          <w:headerReference r:id="rId21" w:type="default"/>
          <w:headerReference r:id="rId22" w:type="first"/>
          <w:footerReference r:id="rId23" w:type="default"/>
          <w:type w:val="nextPage"/>
          <w:pgSz w:h="15840" w:w="12240" w:orient="portrait"/>
          <w:pgMar w:bottom="1440" w:top="1440" w:left="1080" w:right="1080" w:header="720" w:footer="720"/>
        </w:sectPr>
      </w:pPr>
      <w:r w:rsidDel="00000000" w:rsidR="00000000" w:rsidRPr="00000000">
        <w:rPr/>
        <w:drawing>
          <wp:inline distB="0" distT="0" distL="0" distR="0">
            <wp:extent cx="5057775" cy="3638550"/>
            <wp:effectExtent b="0" l="0" r="0" t="0"/>
            <wp:docPr id="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057775" cy="3638550"/>
                    </a:xfrm>
                    <a:prstGeom prst="rect"/>
                    <a:ln/>
                  </pic:spPr>
                </pic:pic>
              </a:graphicData>
            </a:graphic>
          </wp:inline>
        </w:drawing>
      </w:r>
      <w:r w:rsidDel="00000000" w:rsidR="00000000" w:rsidRPr="00000000">
        <w:rPr>
          <w:rtl w:val="0"/>
        </w:rPr>
      </w:r>
    </w:p>
    <w:bookmarkStart w:colFirst="0" w:colLast="0" w:name="i24at9jk4vqe" w:id="21"/>
    <w:bookmarkEnd w:id="21"/>
    <w:p w:rsidR="00000000" w:rsidDel="00000000" w:rsidP="00000000" w:rsidRDefault="00000000" w:rsidRPr="00000000" w14:paraId="000000D9">
      <w:pPr>
        <w:pStyle w:val="Heading2"/>
        <w:rPr/>
      </w:pPr>
      <w:bookmarkStart w:colFirst="0" w:colLast="0" w:name="_bek2xq9frkyn" w:id="22"/>
      <w:bookmarkEnd w:id="22"/>
      <w:r w:rsidDel="00000000" w:rsidR="00000000" w:rsidRPr="00000000">
        <w:rPr>
          <w:rtl w:val="0"/>
        </w:rPr>
        <w:t xml:space="preserve">External Penetration Test Findings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4"/>
          <w:szCs w:val="24"/>
          <w:u w:val="none"/>
          <w:shd w:fill="auto" w:val="clear"/>
          <w:vertAlign w:val="baseline"/>
        </w:rPr>
      </w:pPr>
      <w:bookmarkStart w:colFirst="0" w:colLast="0" w:name="_by067snkiwkq" w:id="23"/>
      <w:bookmarkEnd w:id="23"/>
      <w:r w:rsidDel="00000000" w:rsidR="00000000" w:rsidRPr="00000000">
        <w:rPr>
          <w:rFonts w:ascii="Libre Franklin" w:cs="Libre Franklin" w:eastAsia="Libre Franklin" w:hAnsi="Libre Franklin"/>
          <w:b w:val="1"/>
          <w:i w:val="0"/>
          <w:smallCaps w:val="0"/>
          <w:strike w:val="0"/>
          <w:color w:val="000000"/>
          <w:sz w:val="24"/>
          <w:szCs w:val="24"/>
          <w:u w:val="none"/>
          <w:shd w:fill="auto" w:val="clear"/>
          <w:vertAlign w:val="baseline"/>
          <w:rtl w:val="0"/>
        </w:rPr>
        <w:t xml:space="preserve">Insufficient Lockout Policy – Outlook Web App (Critical)</w:t>
      </w:r>
    </w:p>
    <w:tbl>
      <w:tblPr>
        <w:tblStyle w:val="Table6"/>
        <w:tblW w:w="100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208"/>
        <w:tblGridChange w:id="0">
          <w:tblGrid>
            <w:gridCol w:w="1872"/>
            <w:gridCol w:w="8208"/>
          </w:tblGrid>
        </w:tblGridChange>
      </w:tblGrid>
      <w:tr>
        <w:trPr>
          <w:cantSplit w:val="0"/>
          <w:tblHeader w:val="0"/>
        </w:trPr>
        <w:tc>
          <w:tcPr>
            <w:shd w:fill="d0cece" w:val="cle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0" w:hanging="36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Description:</w:t>
            </w:r>
          </w:p>
        </w:tc>
        <w:tc>
          <w:tcPr>
            <w:shd w:fill="auto" w:val="clear"/>
          </w:tcPr>
          <w:p w:rsidR="00000000" w:rsidDel="00000000" w:rsidP="00000000" w:rsidRDefault="00000000" w:rsidRPr="00000000" w14:paraId="000000DD">
            <w:pPr>
              <w:keepNext w:val="1"/>
              <w:rPr/>
            </w:pPr>
            <w:r w:rsidDel="00000000" w:rsidR="00000000" w:rsidRPr="00000000">
              <w:rPr>
                <w:rtl w:val="0"/>
              </w:rPr>
              <w:t xml:space="preserve">DC allowed unlimited logon attempts against their Outlook Web App (OWA) services. This configuration allowed brute force and password guessing attacks in which TCMS used to gain access to DC’s internal network.</w:t>
            </w:r>
          </w:p>
        </w:tc>
      </w:tr>
      <w:tr>
        <w:trPr>
          <w:cantSplit w:val="0"/>
          <w:tblHeader w:val="0"/>
        </w:trPr>
        <w:tc>
          <w:tcPr>
            <w:shd w:fill="d0cece" w:val="cle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0" w:hanging="36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Impact:</w:t>
            </w:r>
          </w:p>
        </w:tc>
        <w:tc>
          <w:tcPr>
            <w:shd w:fill="auto" w:val="clear"/>
          </w:tcPr>
          <w:p w:rsidR="00000000" w:rsidDel="00000000" w:rsidP="00000000" w:rsidRDefault="00000000" w:rsidRPr="00000000" w14:paraId="000000DF">
            <w:pPr>
              <w:keepNext w:val="1"/>
              <w:rPr>
                <w:color w:val="000000"/>
              </w:rPr>
            </w:pPr>
            <w:r w:rsidDel="00000000" w:rsidR="00000000" w:rsidRPr="00000000">
              <w:rPr>
                <w:color w:val="000000"/>
                <w:rtl w:val="0"/>
              </w:rPr>
              <w:t xml:space="preserve">Critical</w:t>
            </w:r>
          </w:p>
        </w:tc>
      </w:tr>
      <w:tr>
        <w:trPr>
          <w:cantSplit w:val="0"/>
          <w:tblHeader w:val="0"/>
        </w:trPr>
        <w:tc>
          <w:tcPr>
            <w:shd w:fill="d0cece" w:val="cle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0" w:hanging="36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System:</w:t>
            </w:r>
          </w:p>
        </w:tc>
        <w:tc>
          <w:tcPr>
            <w:shd w:fill="auto" w:val="clear"/>
          </w:tcPr>
          <w:p w:rsidR="00000000" w:rsidDel="00000000" w:rsidP="00000000" w:rsidRDefault="00000000" w:rsidRPr="00000000" w14:paraId="000000E1">
            <w:pPr>
              <w:keepNext w:val="1"/>
              <w:rPr>
                <w:color w:val="000000"/>
              </w:rPr>
            </w:pPr>
            <w:r w:rsidDel="00000000" w:rsidR="00000000" w:rsidRPr="00000000">
              <w:rPr>
                <w:color w:val="000000"/>
                <w:rtl w:val="0"/>
              </w:rPr>
              <w:t xml:space="preserve">192.168.0.5</w:t>
            </w:r>
          </w:p>
        </w:tc>
      </w:tr>
      <w:tr>
        <w:trPr>
          <w:cantSplit w:val="0"/>
          <w:trHeight w:val="413" w:hRule="atLeast"/>
          <w:tblHeader w:val="0"/>
        </w:trPr>
        <w:tc>
          <w:tcPr>
            <w:shd w:fill="d0cece" w:val="cle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0" w:hanging="36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References:</w:t>
            </w:r>
          </w:p>
        </w:tc>
        <w:tc>
          <w:tcPr>
            <w:shd w:fill="auto" w:val="cle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1080" w:right="0" w:hanging="360"/>
              <w:jc w:val="left"/>
              <w:rPr>
                <w:rFonts w:ascii="Libre Franklin" w:cs="Libre Franklin" w:eastAsia="Libre Franklin" w:hAnsi="Libre Franklin"/>
                <w:b w:val="0"/>
                <w:i w:val="0"/>
                <w:smallCaps w:val="0"/>
                <w:strike w:val="0"/>
                <w:color w:val="0563c1"/>
                <w:sz w:val="24"/>
                <w:szCs w:val="24"/>
                <w:u w:val="single"/>
                <w:shd w:fill="auto" w:val="clear"/>
                <w:vertAlign w:val="baseline"/>
              </w:rPr>
            </w:pPr>
            <w:hyperlink r:id="rId25">
              <w:r w:rsidDel="00000000" w:rsidR="00000000" w:rsidRPr="00000000">
                <w:rPr>
                  <w:rFonts w:ascii="Libre Franklin" w:cs="Libre Franklin" w:eastAsia="Libre Franklin" w:hAnsi="Libre Franklin"/>
                  <w:b w:val="0"/>
                  <w:i w:val="0"/>
                  <w:smallCaps w:val="0"/>
                  <w:strike w:val="0"/>
                  <w:color w:val="0563c1"/>
                  <w:sz w:val="24"/>
                  <w:szCs w:val="24"/>
                  <w:u w:val="single"/>
                  <w:shd w:fill="auto" w:val="clear"/>
                  <w:vertAlign w:val="baseline"/>
                  <w:rtl w:val="0"/>
                </w:rPr>
                <w:t xml:space="preserve">NIST SP800-53r4 AC-17</w:t>
              </w:r>
            </w:hyperlink>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 - Remote Access</w:t>
            </w:r>
            <w:r w:rsidDel="00000000" w:rsidR="00000000" w:rsidRPr="00000000">
              <w:rPr>
                <w:rtl w:val="0"/>
              </w:rPr>
            </w:r>
          </w:p>
          <w:p w:rsidR="00000000" w:rsidDel="00000000" w:rsidP="00000000" w:rsidRDefault="00000000" w:rsidRPr="00000000" w14:paraId="000000E4">
            <w:pPr>
              <w:rPr>
                <w:color w:val="000000"/>
              </w:rPr>
            </w:pPr>
            <w:hyperlink r:id="rId26">
              <w:r w:rsidDel="00000000" w:rsidR="00000000" w:rsidRPr="00000000">
                <w:rPr>
                  <w:color w:val="0563c1"/>
                  <w:u w:val="single"/>
                  <w:rtl w:val="0"/>
                </w:rPr>
                <w:t xml:space="preserve">NIST SP800-53r4 AC-7(1)</w:t>
              </w:r>
            </w:hyperlink>
            <w:r w:rsidDel="00000000" w:rsidR="00000000" w:rsidRPr="00000000">
              <w:rPr>
                <w:rtl w:val="0"/>
              </w:rPr>
              <w:t xml:space="preserve"> - Unsuccessful Logon Attempts |Automatic Account Lock</w:t>
            </w:r>
            <w:r w:rsidDel="00000000" w:rsidR="00000000" w:rsidRPr="00000000">
              <w:rPr>
                <w:rtl w:val="0"/>
              </w:rPr>
            </w:r>
          </w:p>
        </w:tc>
      </w:tr>
    </w:tbl>
    <w:p w:rsidR="00000000" w:rsidDel="00000000" w:rsidP="00000000" w:rsidRDefault="00000000" w:rsidRPr="00000000" w14:paraId="000000E5">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120" w:before="0" w:line="240" w:lineRule="auto"/>
        <w:ind w:left="162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6">
      <w:pPr>
        <w:spacing w:after="160" w:line="259" w:lineRule="auto"/>
        <w:rPr>
          <w:b w:val="1"/>
        </w:rPr>
      </w:pPr>
      <w:r w:rsidDel="00000000" w:rsidR="00000000" w:rsidRPr="00000000">
        <w:rPr>
          <w:b w:val="1"/>
          <w:rtl w:val="0"/>
        </w:rPr>
        <w:t xml:space="preserve">Exploitation Proof of Concept</w:t>
      </w:r>
    </w:p>
    <w:p w:rsidR="00000000" w:rsidDel="00000000" w:rsidP="00000000" w:rsidRDefault="00000000" w:rsidRPr="00000000" w14:paraId="000000E7">
      <w:pPr>
        <w:spacing w:after="160" w:line="259" w:lineRule="auto"/>
        <w:rPr/>
      </w:pPr>
      <w:r w:rsidDel="00000000" w:rsidR="00000000" w:rsidRPr="00000000">
        <w:rPr>
          <w:rtl w:val="0"/>
        </w:rPr>
        <w:t xml:space="preserve">TCMS gathered historical breached data found in credentials dumps.  The data amounted to 868 total account credentials (</w:t>
      </w:r>
      <w:r w:rsidDel="00000000" w:rsidR="00000000" w:rsidRPr="00000000">
        <w:rPr>
          <w:b w:val="1"/>
          <w:rtl w:val="0"/>
        </w:rPr>
        <w:t xml:space="preserve">Note: </w:t>
      </w:r>
      <w:r w:rsidDel="00000000" w:rsidR="00000000" w:rsidRPr="00000000">
        <w:rPr>
          <w:rtl w:val="0"/>
        </w:rPr>
        <w:t xml:space="preserve">A full list of compromised accounts can be found in “</w:t>
      </w:r>
      <w:r w:rsidDel="00000000" w:rsidR="00000000" w:rsidRPr="00000000">
        <w:rPr>
          <w:b w:val="1"/>
          <w:rtl w:val="0"/>
        </w:rPr>
        <w:t xml:space="preserve">Demo Company-867-19 Full Findings.xslx”</w:t>
      </w:r>
      <w:r w:rsidDel="00000000" w:rsidR="00000000" w:rsidRPr="00000000">
        <w:rPr>
          <w:rtl w:val="0"/>
        </w:rPr>
        <w:t xml:space="preserve">.).</w:t>
      </w:r>
    </w:p>
    <w:p w:rsidR="00000000" w:rsidDel="00000000" w:rsidP="00000000" w:rsidRDefault="00000000" w:rsidRPr="00000000" w14:paraId="000000E8">
      <w:pPr>
        <w:spacing w:after="160" w:line="259" w:lineRule="auto"/>
        <w:jc w:val="center"/>
        <w:rPr/>
      </w:pPr>
      <w:r w:rsidDel="00000000" w:rsidR="00000000" w:rsidRPr="00000000">
        <w:rPr/>
        <w:drawing>
          <wp:inline distB="0" distT="0" distL="0" distR="0">
            <wp:extent cx="2562583" cy="3050693"/>
            <wp:effectExtent b="12700" l="12700" r="12700" t="12700"/>
            <wp:docPr id="9"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2562583" cy="30506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9">
      <w:pPr>
        <w:spacing w:after="160" w:line="259" w:lineRule="auto"/>
        <w:jc w:val="center"/>
        <w:rPr>
          <w:i w:val="1"/>
          <w:sz w:val="20"/>
          <w:szCs w:val="20"/>
        </w:rPr>
      </w:pPr>
      <w:r w:rsidDel="00000000" w:rsidR="00000000" w:rsidRPr="00000000">
        <w:rPr>
          <w:i w:val="1"/>
          <w:sz w:val="20"/>
          <w:szCs w:val="20"/>
          <w:rtl w:val="0"/>
        </w:rPr>
        <w:t xml:space="preserve">Figure 1: Sample list of breached user credentials</w:t>
      </w:r>
    </w:p>
    <w:p w:rsidR="00000000" w:rsidDel="00000000" w:rsidP="00000000" w:rsidRDefault="00000000" w:rsidRPr="00000000" w14:paraId="000000EA">
      <w:pPr>
        <w:spacing w:after="160" w:line="259" w:lineRule="auto"/>
        <w:rPr/>
      </w:pPr>
      <w:r w:rsidDel="00000000" w:rsidR="00000000" w:rsidRPr="00000000">
        <w:rPr>
          <w:rtl w:val="0"/>
        </w:rPr>
        <w:t xml:space="preserve">TCMS used the gathered credentials to perform a credential stuffing attack against the OWA login page.  Credential stuffing attacks take previously known credentials and attempt to use them on login forms to gain access to company resources.  TCMS was unsuccessful in the attack but was able to gather additional sensitive information from the OWA server in the form of username enumeration.</w:t>
      </w:r>
    </w:p>
    <w:p w:rsidR="00000000" w:rsidDel="00000000" w:rsidP="00000000" w:rsidRDefault="00000000" w:rsidRPr="00000000" w14:paraId="000000EB">
      <w:pPr>
        <w:spacing w:after="160" w:line="259" w:lineRule="auto"/>
        <w:jc w:val="center"/>
        <w:rPr/>
      </w:pPr>
      <w:r w:rsidDel="00000000" w:rsidR="00000000" w:rsidRPr="00000000">
        <w:rPr>
          <w:rtl w:val="0"/>
        </w:rPr>
        <w:br w:type="textWrapping"/>
      </w:r>
      <w:r w:rsidDel="00000000" w:rsidR="00000000" w:rsidRPr="00000000">
        <w:rPr/>
        <w:drawing>
          <wp:inline distB="0" distT="0" distL="0" distR="0">
            <wp:extent cx="5096586" cy="895475"/>
            <wp:effectExtent b="12700" l="12700" r="12700" t="12700"/>
            <wp:docPr id="8"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096586" cy="8954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C">
      <w:pPr>
        <w:spacing w:after="160" w:line="259" w:lineRule="auto"/>
        <w:jc w:val="center"/>
        <w:rPr>
          <w:i w:val="1"/>
          <w:sz w:val="20"/>
          <w:szCs w:val="20"/>
        </w:rPr>
      </w:pPr>
      <w:r w:rsidDel="00000000" w:rsidR="00000000" w:rsidRPr="00000000">
        <w:rPr>
          <w:i w:val="1"/>
          <w:sz w:val="20"/>
          <w:szCs w:val="20"/>
          <w:rtl w:val="0"/>
        </w:rPr>
        <w:t xml:space="preserve">Figure 2: OWA username enumeration</w:t>
      </w:r>
    </w:p>
    <w:p w:rsidR="00000000" w:rsidDel="00000000" w:rsidP="00000000" w:rsidRDefault="00000000" w:rsidRPr="00000000" w14:paraId="000000ED">
      <w:pPr>
        <w:spacing w:after="160" w:line="259" w:lineRule="auto"/>
        <w:rPr/>
      </w:pPr>
      <w:r w:rsidDel="00000000" w:rsidR="00000000" w:rsidRPr="00000000">
        <w:rPr>
          <w:rtl w:val="0"/>
        </w:rPr>
        <w:t xml:space="preserve">TCMS gathered the valid usernames and performed a password spraying attack.  A password spraying attack attempts to use common passwords against known usernames in hopes of gaining access to company resources.  TCMS attempted to use the common Summer2018! (season + year + special character) against all known valid usernames.  A username returned as a successful login:</w:t>
      </w:r>
    </w:p>
    <w:p w:rsidR="00000000" w:rsidDel="00000000" w:rsidP="00000000" w:rsidRDefault="00000000" w:rsidRPr="00000000" w14:paraId="000000EE">
      <w:pPr>
        <w:spacing w:after="160" w:line="259" w:lineRule="auto"/>
        <w:jc w:val="center"/>
        <w:rPr>
          <w:sz w:val="20"/>
          <w:szCs w:val="20"/>
        </w:rPr>
      </w:pPr>
      <w:r w:rsidDel="00000000" w:rsidR="00000000" w:rsidRPr="00000000">
        <w:rPr>
          <w:sz w:val="20"/>
          <w:szCs w:val="20"/>
        </w:rPr>
        <w:drawing>
          <wp:inline distB="0" distT="0" distL="0" distR="0">
            <wp:extent cx="5201376" cy="857370"/>
            <wp:effectExtent b="0" l="0" r="0" t="0"/>
            <wp:docPr id="11"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201376" cy="85737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60" w:line="259" w:lineRule="auto"/>
        <w:jc w:val="center"/>
        <w:rPr>
          <w:i w:val="1"/>
          <w:sz w:val="20"/>
          <w:szCs w:val="20"/>
        </w:rPr>
      </w:pPr>
      <w:r w:rsidDel="00000000" w:rsidR="00000000" w:rsidRPr="00000000">
        <w:rPr>
          <w:i w:val="1"/>
          <w:sz w:val="20"/>
          <w:szCs w:val="20"/>
          <w:rtl w:val="0"/>
        </w:rPr>
        <w:t xml:space="preserve">Figure 3: Successful OWA Login</w:t>
      </w:r>
    </w:p>
    <w:p w:rsidR="00000000" w:rsidDel="00000000" w:rsidP="00000000" w:rsidRDefault="00000000" w:rsidRPr="00000000" w14:paraId="000000F0">
      <w:pPr>
        <w:spacing w:after="160" w:line="259" w:lineRule="auto"/>
        <w:rPr/>
      </w:pPr>
      <w:r w:rsidDel="00000000" w:rsidR="00000000" w:rsidRPr="00000000">
        <w:rPr>
          <w:rtl w:val="0"/>
        </w:rPr>
        <w:t xml:space="preserve">TCMS leveraged the valid credentials to log into the client VPN portal and gain access to the internal network.</w:t>
      </w:r>
    </w:p>
    <w:p w:rsidR="00000000" w:rsidDel="00000000" w:rsidP="00000000" w:rsidRDefault="00000000" w:rsidRPr="00000000" w14:paraId="000000F1">
      <w:pPr>
        <w:spacing w:after="160" w:line="259"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F2">
      <w:pPr>
        <w:spacing w:after="160" w:line="259" w:lineRule="auto"/>
        <w:rPr>
          <w:b w:val="1"/>
        </w:rPr>
      </w:pPr>
      <w:r w:rsidDel="00000000" w:rsidR="00000000" w:rsidRPr="00000000">
        <w:rPr>
          <w:b w:val="1"/>
          <w:rtl w:val="0"/>
        </w:rPr>
        <w:t xml:space="preserve">Remediation</w:t>
      </w:r>
    </w:p>
    <w:tbl>
      <w:tblPr>
        <w:tblStyle w:val="Table7"/>
        <w:tblW w:w="100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208"/>
        <w:tblGridChange w:id="0">
          <w:tblGrid>
            <w:gridCol w:w="1872"/>
            <w:gridCol w:w="8208"/>
          </w:tblGrid>
        </w:tblGridChange>
      </w:tblGrid>
      <w:tr>
        <w:trPr>
          <w:cantSplit w:val="0"/>
          <w:tblHeader w:val="0"/>
        </w:trPr>
        <w:tc>
          <w:tcPr>
            <w:shd w:fill="d0cece" w:val="cle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0" w:hanging="36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Who:</w:t>
            </w:r>
          </w:p>
        </w:tc>
        <w:tc>
          <w:tcPr>
            <w:shd w:fill="auto" w:val="clear"/>
          </w:tcPr>
          <w:p w:rsidR="00000000" w:rsidDel="00000000" w:rsidP="00000000" w:rsidRDefault="00000000" w:rsidRPr="00000000" w14:paraId="000000F4">
            <w:pPr>
              <w:keepNext w:val="1"/>
              <w:rPr>
                <w:color w:val="000000"/>
              </w:rPr>
            </w:pPr>
            <w:r w:rsidDel="00000000" w:rsidR="00000000" w:rsidRPr="00000000">
              <w:rPr>
                <w:rtl w:val="0"/>
              </w:rPr>
              <w:t xml:space="preserve">IT Team</w:t>
            </w:r>
            <w:r w:rsidDel="00000000" w:rsidR="00000000" w:rsidRPr="00000000">
              <w:rPr>
                <w:rtl w:val="0"/>
              </w:rPr>
            </w:r>
          </w:p>
        </w:tc>
      </w:tr>
      <w:tr>
        <w:trPr>
          <w:cantSplit w:val="0"/>
          <w:tblHeader w:val="0"/>
        </w:trPr>
        <w:tc>
          <w:tcPr>
            <w:shd w:fill="d0cece" w:val="clea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0" w:hanging="36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Vector:</w:t>
            </w:r>
          </w:p>
        </w:tc>
        <w:tc>
          <w:tcPr>
            <w:shd w:fill="auto" w:val="clear"/>
          </w:tcPr>
          <w:p w:rsidR="00000000" w:rsidDel="00000000" w:rsidP="00000000" w:rsidRDefault="00000000" w:rsidRPr="00000000" w14:paraId="000000F6">
            <w:pPr>
              <w:keepNext w:val="1"/>
              <w:rPr>
                <w:color w:val="000000"/>
              </w:rPr>
            </w:pPr>
            <w:r w:rsidDel="00000000" w:rsidR="00000000" w:rsidRPr="00000000">
              <w:rPr>
                <w:color w:val="000000"/>
                <w:rtl w:val="0"/>
              </w:rPr>
              <w:t xml:space="preserve">Remote</w:t>
            </w:r>
          </w:p>
        </w:tc>
      </w:tr>
      <w:tr>
        <w:trPr>
          <w:cantSplit w:val="0"/>
          <w:tblHeader w:val="0"/>
        </w:trPr>
        <w:tc>
          <w:tcPr>
            <w:shd w:fill="d0cece" w:val="cle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0" w:hanging="36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Action:</w:t>
            </w:r>
          </w:p>
        </w:tc>
        <w:tc>
          <w:tcPr>
            <w:shd w:fill="auto" w:val="clear"/>
          </w:tcPr>
          <w:p w:rsidR="00000000" w:rsidDel="00000000" w:rsidP="00000000" w:rsidRDefault="00000000" w:rsidRPr="00000000" w14:paraId="000000F8">
            <w:pPr>
              <w:keepNext w:val="1"/>
              <w:rPr/>
            </w:pPr>
            <w:r w:rsidDel="00000000" w:rsidR="00000000" w:rsidRPr="00000000">
              <w:rPr>
                <w:rtl w:val="0"/>
              </w:rPr>
              <w:t xml:space="preserve">Item 1: VPN and OWA login with valid credentials did not require Multi-Factor Authentication (MFA).  TCMS recommends DC implement and enforce MFA across all external-facing login services.</w:t>
            </w:r>
          </w:p>
          <w:p w:rsidR="00000000" w:rsidDel="00000000" w:rsidP="00000000" w:rsidRDefault="00000000" w:rsidRPr="00000000" w14:paraId="000000F9">
            <w:pPr>
              <w:keepNext w:val="1"/>
              <w:rPr/>
            </w:pPr>
            <w:r w:rsidDel="00000000" w:rsidR="00000000" w:rsidRPr="00000000">
              <w:rPr>
                <w:rtl w:val="0"/>
              </w:rPr>
            </w:r>
          </w:p>
          <w:p w:rsidR="00000000" w:rsidDel="00000000" w:rsidP="00000000" w:rsidRDefault="00000000" w:rsidRPr="00000000" w14:paraId="000000FA">
            <w:pPr>
              <w:keepNext w:val="1"/>
              <w:rPr/>
            </w:pPr>
            <w:r w:rsidDel="00000000" w:rsidR="00000000" w:rsidRPr="00000000">
              <w:rPr>
                <w:rtl w:val="0"/>
              </w:rPr>
              <w:t xml:space="preserve">Item 2: OWA permitted unlimited login attempts.  TCMS recommends DC restrict logon attempts against their service.</w:t>
            </w:r>
          </w:p>
          <w:p w:rsidR="00000000" w:rsidDel="00000000" w:rsidP="00000000" w:rsidRDefault="00000000" w:rsidRPr="00000000" w14:paraId="000000FB">
            <w:pPr>
              <w:keepNext w:val="1"/>
              <w:rPr/>
            </w:pPr>
            <w:r w:rsidDel="00000000" w:rsidR="00000000" w:rsidRPr="00000000">
              <w:rPr>
                <w:rtl w:val="0"/>
              </w:rPr>
            </w:r>
          </w:p>
          <w:p w:rsidR="00000000" w:rsidDel="00000000" w:rsidP="00000000" w:rsidRDefault="00000000" w:rsidRPr="00000000" w14:paraId="000000FC">
            <w:pPr>
              <w:keepNext w:val="1"/>
              <w:rPr/>
            </w:pPr>
            <w:r w:rsidDel="00000000" w:rsidR="00000000" w:rsidRPr="00000000">
              <w:rPr>
                <w:rtl w:val="0"/>
              </w:rPr>
              <w:t xml:space="preserve">Item 3: DC permitted a successful login via a password spraying attack, signifying a weak password policy.  TCMS recommends the following password policy, per the Center for Internet Security (CIS):</w:t>
            </w:r>
          </w:p>
          <w:p w:rsidR="00000000" w:rsidDel="00000000" w:rsidP="00000000" w:rsidRDefault="00000000" w:rsidRPr="00000000" w14:paraId="000000FD">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14 characters or longer</w:t>
            </w:r>
          </w:p>
          <w:p w:rsidR="00000000" w:rsidDel="00000000" w:rsidP="00000000" w:rsidRDefault="00000000" w:rsidRPr="00000000" w14:paraId="000000FE">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Use different passwords for each account accessed</w:t>
            </w:r>
          </w:p>
          <w:p w:rsidR="00000000" w:rsidDel="00000000" w:rsidP="00000000" w:rsidRDefault="00000000" w:rsidRPr="00000000" w14:paraId="000000FF">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Do not use words and proper names in passwords, regardless of language</w:t>
            </w:r>
          </w:p>
          <w:p w:rsidR="00000000" w:rsidDel="00000000" w:rsidP="00000000" w:rsidRDefault="00000000" w:rsidRPr="00000000" w14:paraId="00000100">
            <w:pPr>
              <w:keepNext w:val="1"/>
              <w:rPr/>
            </w:pPr>
            <w:r w:rsidDel="00000000" w:rsidR="00000000" w:rsidRPr="00000000">
              <w:rPr>
                <w:rtl w:val="0"/>
              </w:rPr>
            </w:r>
          </w:p>
          <w:p w:rsidR="00000000" w:rsidDel="00000000" w:rsidP="00000000" w:rsidRDefault="00000000" w:rsidRPr="00000000" w14:paraId="00000101">
            <w:pPr>
              <w:keepNext w:val="1"/>
              <w:rPr/>
            </w:pPr>
            <w:r w:rsidDel="00000000" w:rsidR="00000000" w:rsidRPr="00000000">
              <w:rPr>
                <w:rtl w:val="0"/>
              </w:rPr>
              <w:t xml:space="preserve">Item 4: OWA permitted user enumeration.  TCMS recommends DC synchronize valid and invalid account messages.</w:t>
            </w:r>
          </w:p>
          <w:p w:rsidR="00000000" w:rsidDel="00000000" w:rsidP="00000000" w:rsidRDefault="00000000" w:rsidRPr="00000000" w14:paraId="00000102">
            <w:pPr>
              <w:keepNext w:val="1"/>
              <w:rPr/>
            </w:pPr>
            <w:r w:rsidDel="00000000" w:rsidR="00000000" w:rsidRPr="00000000">
              <w:rPr>
                <w:rtl w:val="0"/>
              </w:rPr>
            </w:r>
          </w:p>
          <w:p w:rsidR="00000000" w:rsidDel="00000000" w:rsidP="00000000" w:rsidRDefault="00000000" w:rsidRPr="00000000" w14:paraId="00000103">
            <w:pPr>
              <w:keepNext w:val="1"/>
              <w:rPr/>
            </w:pPr>
            <w:r w:rsidDel="00000000" w:rsidR="00000000" w:rsidRPr="00000000">
              <w:rPr>
                <w:rtl w:val="0"/>
              </w:rPr>
              <w:t xml:space="preserve">Additionally, TCMS recommends that DC: </w:t>
            </w:r>
          </w:p>
          <w:p w:rsidR="00000000" w:rsidDel="00000000" w:rsidP="00000000" w:rsidRDefault="00000000" w:rsidRPr="00000000" w14:paraId="00000104">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Train employees on how to create a proper password</w:t>
            </w:r>
          </w:p>
          <w:p w:rsidR="00000000" w:rsidDel="00000000" w:rsidP="00000000" w:rsidRDefault="00000000" w:rsidRPr="00000000" w14:paraId="00000105">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Check employee credentials against known breached passwords</w:t>
            </w:r>
          </w:p>
          <w:p w:rsidR="00000000" w:rsidDel="00000000" w:rsidP="00000000" w:rsidRDefault="00000000" w:rsidRPr="00000000" w14:paraId="00000106">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Discourage employees from using work e-mails and usernames as login credentials to other services unless absolutely necessary</w:t>
            </w:r>
          </w:p>
          <w:p w:rsidR="00000000" w:rsidDel="00000000" w:rsidP="00000000" w:rsidRDefault="00000000" w:rsidRPr="00000000" w14:paraId="00000107">
            <w:pPr>
              <w:keepNext w:val="1"/>
              <w:rPr>
                <w:color w:val="000000"/>
              </w:rPr>
            </w:pPr>
            <w:r w:rsidDel="00000000" w:rsidR="00000000" w:rsidRPr="00000000">
              <w:rPr>
                <w:rtl w:val="0"/>
              </w:rPr>
            </w:r>
          </w:p>
        </w:tc>
      </w:tr>
    </w:tbl>
    <w:p w:rsidR="00000000" w:rsidDel="00000000" w:rsidP="00000000" w:rsidRDefault="00000000" w:rsidRPr="00000000" w14:paraId="00000108">
      <w:pPr>
        <w:spacing w:after="160" w:line="259" w:lineRule="auto"/>
        <w:rPr>
          <w:b w:val="1"/>
        </w:rPr>
      </w:pPr>
      <w:r w:rsidDel="00000000" w:rsidR="00000000" w:rsidRPr="00000000">
        <w:rPr>
          <w:rtl w:val="0"/>
        </w:rPr>
      </w:r>
    </w:p>
    <w:p w:rsidR="00000000" w:rsidDel="00000000" w:rsidP="00000000" w:rsidRDefault="00000000" w:rsidRPr="00000000" w14:paraId="00000109">
      <w:pPr>
        <w:spacing w:after="160" w:line="259"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4"/>
          <w:szCs w:val="24"/>
          <w:u w:val="none"/>
          <w:shd w:fill="auto" w:val="clear"/>
          <w:vertAlign w:val="baseline"/>
        </w:rPr>
      </w:pPr>
      <w:bookmarkStart w:colFirst="0" w:colLast="0" w:name="_lgkcl37kr60" w:id="24"/>
      <w:bookmarkEnd w:id="24"/>
      <w:r w:rsidDel="00000000" w:rsidR="00000000" w:rsidRPr="00000000">
        <w:rPr>
          <w:rFonts w:ascii="Libre Franklin" w:cs="Libre Franklin" w:eastAsia="Libre Franklin" w:hAnsi="Libre Franklin"/>
          <w:b w:val="1"/>
          <w:i w:val="0"/>
          <w:smallCaps w:val="0"/>
          <w:strike w:val="0"/>
          <w:color w:val="000000"/>
          <w:sz w:val="24"/>
          <w:szCs w:val="24"/>
          <w:u w:val="none"/>
          <w:shd w:fill="auto" w:val="clear"/>
          <w:vertAlign w:val="baseline"/>
          <w:rtl w:val="0"/>
        </w:rPr>
        <w:t xml:space="preserve">Additional Reports and Scans (Informational)</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TCMS provides all clients with all report information gathered during testing.  This includes vulnerability scans and a detailed findings spreadsheet.  For more information, please see the following documents: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rtl w:val="0"/>
        </w:rPr>
        <w:t xml:space="preserve">Haliburton Enterprises</w:t>
      </w:r>
      <w:r w:rsidDel="00000000" w:rsidR="00000000" w:rsidRPr="00000000">
        <w:rPr>
          <w:rFonts w:ascii="Libre Franklin" w:cs="Libre Franklin" w:eastAsia="Libre Franklin" w:hAnsi="Libre Franklin"/>
          <w:b w:val="1"/>
          <w:i w:val="0"/>
          <w:smallCaps w:val="0"/>
          <w:strike w:val="0"/>
          <w:color w:val="000000"/>
          <w:sz w:val="24"/>
          <w:szCs w:val="24"/>
          <w:u w:val="none"/>
          <w:shd w:fill="auto" w:val="clear"/>
          <w:vertAlign w:val="baseline"/>
          <w:rtl w:val="0"/>
        </w:rPr>
        <w:t xml:space="preserve">-867-19 Full Findings.xslx</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rtl w:val="0"/>
        </w:rPr>
        <w:t xml:space="preserve">Haliburton Enterprises</w:t>
      </w:r>
      <w:r w:rsidDel="00000000" w:rsidR="00000000" w:rsidRPr="00000000">
        <w:rPr>
          <w:rFonts w:ascii="Libre Franklin" w:cs="Libre Franklin" w:eastAsia="Libre Franklin" w:hAnsi="Libre Franklin"/>
          <w:b w:val="1"/>
          <w:i w:val="0"/>
          <w:smallCaps w:val="0"/>
          <w:strike w:val="0"/>
          <w:color w:val="000000"/>
          <w:sz w:val="24"/>
          <w:szCs w:val="24"/>
          <w:u w:val="none"/>
          <w:shd w:fill="auto" w:val="clear"/>
          <w:vertAlign w:val="baseline"/>
          <w:rtl w:val="0"/>
        </w:rPr>
        <w:t xml:space="preserve">-867-19 Vulnerability Scan Summary.xslx</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rtl w:val="0"/>
        </w:rPr>
        <w:t xml:space="preserve">Haliburton Enterprises</w:t>
      </w:r>
      <w:r w:rsidDel="00000000" w:rsidR="00000000" w:rsidRPr="00000000">
        <w:rPr>
          <w:rFonts w:ascii="Libre Franklin" w:cs="Libre Franklin" w:eastAsia="Libre Franklin" w:hAnsi="Libre Franklin"/>
          <w:b w:val="1"/>
          <w:i w:val="0"/>
          <w:smallCaps w:val="0"/>
          <w:strike w:val="0"/>
          <w:color w:val="000000"/>
          <w:sz w:val="24"/>
          <w:szCs w:val="24"/>
          <w:u w:val="none"/>
          <w:shd w:fill="auto" w:val="clear"/>
          <w:vertAlign w:val="baseline"/>
          <w:rtl w:val="0"/>
        </w:rPr>
        <w:t xml:space="preserve">-867-19 Vulnerability Scan by Host.pdf</w:t>
      </w:r>
      <w:r w:rsidDel="00000000" w:rsidR="00000000" w:rsidRPr="00000000">
        <w:rPr>
          <w:rtl w:val="0"/>
        </w:rPr>
      </w:r>
    </w:p>
    <w:p w:rsidR="00000000" w:rsidDel="00000000" w:rsidP="00000000" w:rsidRDefault="00000000" w:rsidRPr="00000000" w14:paraId="00000111">
      <w:pPr>
        <w:rPr/>
        <w:sectPr>
          <w:headerReference r:id="rId30" w:type="default"/>
          <w:type w:val="nextPage"/>
          <w:pgSz w:h="15840" w:w="12240" w:orient="portrait"/>
          <w:pgMar w:bottom="1440" w:top="1440" w:left="1080" w:right="1080" w:header="720" w:footer="720"/>
        </w:sectPr>
      </w:pPr>
      <w:r w:rsidDel="00000000" w:rsidR="00000000" w:rsidRPr="00000000">
        <w:rPr>
          <w:rtl w:val="0"/>
        </w:rPr>
        <w:t xml:space="preserve">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B">
      <w:pPr>
        <w:jc w:val="center"/>
        <w:rPr/>
      </w:pPr>
      <w:r w:rsidDel="00000000" w:rsidR="00000000" w:rsidRPr="00000000">
        <w:rPr/>
        <w:drawing>
          <wp:inline distB="0" distT="0" distL="0" distR="0">
            <wp:extent cx="6400800" cy="2641600"/>
            <wp:effectExtent b="0" l="0" r="0" t="0"/>
            <wp:docPr id="10"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64008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31">
      <w:pPr>
        <w:jc w:val="center"/>
        <w:rPr>
          <w:sz w:val="44"/>
          <w:szCs w:val="44"/>
        </w:rPr>
      </w:pPr>
      <w:r w:rsidDel="00000000" w:rsidR="00000000" w:rsidRPr="00000000">
        <w:rPr>
          <w:sz w:val="44"/>
          <w:szCs w:val="44"/>
          <w:rtl w:val="0"/>
        </w:rPr>
        <w:t xml:space="preserve">Last Page</w:t>
      </w:r>
    </w:p>
    <w:sectPr>
      <w:headerReference r:id="rId31" w:type="default"/>
      <w:type w:val="nextPage"/>
      <w:pgSz w:h="15840" w:w="12240" w:orient="portrait"/>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Courier New"/>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pBdr>
        <w:bottom w:color="000000" w:space="1" w:sz="6" w:val="single"/>
      </w:pBdr>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Libre Franklin" w:cs="Libre Franklin" w:eastAsia="Libre Franklin" w:hAnsi="Libre Franklin"/>
        <w:b w:val="1"/>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4"/>
        <w:szCs w:val="24"/>
        <w:u w:val="none"/>
        <w:shd w:fill="auto" w:val="clear"/>
        <w:vertAlign w:val="baseline"/>
        <w:rtl w:val="0"/>
      </w:rPr>
      <w:t xml:space="preserve">Demo Company – 897-19</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29"/>
      </w:tabs>
      <w:spacing w:after="0" w:before="0" w:line="240" w:lineRule="auto"/>
      <w:ind w:left="0" w:right="0" w:firstLine="0"/>
      <w:jc w:val="center"/>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BUSINESS CONFIDENTIAL</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5232400</wp:posOffset>
              </wp:positionH>
              <wp:positionV relativeFrom="paragraph">
                <wp:posOffset>20321</wp:posOffset>
              </wp:positionV>
              <wp:extent cx="1167765" cy="1414145"/>
              <wp:effectExtent b="0" l="0" r="0" t="0"/>
              <wp:wrapNone/>
              <wp:docPr id="4" name=""/>
              <a:graphic>
                <a:graphicData uri="http://schemas.microsoft.com/office/word/2010/wordprocessingShape">
                  <wps:wsp>
                    <wps:cNvSpPr/>
                    <wps:cNvPr id="5" name="Shape 5"/>
                    <wps:spPr>
                      <a:xfrm>
                        <a:off x="4766880" y="3077690"/>
                        <a:ext cx="1158240"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Libre Franklin" w:cs="Libre Franklin" w:eastAsia="Libre Franklin" w:hAnsi="Libre Franklin"/>
                              <w:b w:val="0"/>
                              <w:i w:val="0"/>
                              <w:smallCaps w:val="0"/>
                              <w:strike w:val="0"/>
                              <w:color w:val="000000"/>
                              <w:sz w:val="24"/>
                              <w:vertAlign w:val="baseline"/>
                            </w:rPr>
                            <w:t xml:space="preserve">Page  PAGE   \* MERGEFORMAT 2 of  NUMPAGES   \* MERGEFORMAT 32</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5232400</wp:posOffset>
              </wp:positionH>
              <wp:positionV relativeFrom="paragraph">
                <wp:posOffset>20321</wp:posOffset>
              </wp:positionV>
              <wp:extent cx="1167765" cy="1414145"/>
              <wp:effectExtent b="0" l="0" r="0" t="0"/>
              <wp:wrapNone/>
              <wp:docPr id="4"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167765" cy="1414145"/>
                      </a:xfrm>
                      <a:prstGeom prst="rect"/>
                      <a:ln/>
                    </pic:spPr>
                  </pic:pic>
                </a:graphicData>
              </a:graphic>
            </wp:anchor>
          </w:drawing>
        </mc:Fallback>
      </mc:AlternateConten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0" w:firstLine="0"/>
      <w:jc w:val="center"/>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Copyright © TCM Security (</w:t>
    </w:r>
    <w:hyperlink r:id="rId2">
      <w:r w:rsidDel="00000000" w:rsidR="00000000" w:rsidRPr="00000000">
        <w:rPr>
          <w:rFonts w:ascii="Libre Franklin" w:cs="Libre Franklin" w:eastAsia="Libre Franklin" w:hAnsi="Libre Franklin"/>
          <w:b w:val="0"/>
          <w:i w:val="0"/>
          <w:smallCaps w:val="0"/>
          <w:strike w:val="0"/>
          <w:color w:val="0563c1"/>
          <w:sz w:val="24"/>
          <w:szCs w:val="24"/>
          <w:u w:val="single"/>
          <w:shd w:fill="auto" w:val="clear"/>
          <w:vertAlign w:val="baseline"/>
          <w:rtl w:val="0"/>
        </w:rPr>
        <w:t xml:space="preserve">tcm-sec.com</w:t>
      </w:r>
    </w:hyperlink>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pBdr>
        <w:bottom w:color="000000" w:space="1" w:sz="6" w:val="single"/>
      </w:pBdr>
      <w:rPr/>
    </w:pPr>
    <w:bookmarkStart w:colFirst="0" w:colLast="0" w:name="_tait118vayj1" w:id="25"/>
    <w:bookmarkEnd w:id="25"/>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Libre Franklin" w:cs="Libre Franklin" w:eastAsia="Libre Franklin" w:hAnsi="Libre Franklin"/>
        <w:b w:val="1"/>
        <w:i w:val="0"/>
        <w:smallCaps w:val="0"/>
        <w:strike w:val="0"/>
        <w:color w:val="000000"/>
        <w:sz w:val="24"/>
        <w:szCs w:val="24"/>
        <w:u w:val="none"/>
        <w:shd w:fill="auto" w:val="clear"/>
        <w:vertAlign w:val="baseline"/>
      </w:rPr>
    </w:pPr>
    <w:r w:rsidDel="00000000" w:rsidR="00000000" w:rsidRPr="00000000">
      <w:rPr>
        <w:b w:val="1"/>
        <w:rtl w:val="0"/>
      </w:rPr>
      <w:t xml:space="preserve">Haliburton Enterprises</w:t>
    </w:r>
    <w:r w:rsidDel="00000000" w:rsidR="00000000" w:rsidRPr="00000000">
      <w:rPr>
        <w:rFonts w:ascii="Libre Franklin" w:cs="Libre Franklin" w:eastAsia="Libre Franklin" w:hAnsi="Libre Franklin"/>
        <w:b w:val="1"/>
        <w:i w:val="0"/>
        <w:smallCaps w:val="0"/>
        <w:strike w:val="0"/>
        <w:color w:val="000000"/>
        <w:sz w:val="24"/>
        <w:szCs w:val="24"/>
        <w:u w:val="none"/>
        <w:shd w:fill="auto" w:val="clear"/>
        <w:vertAlign w:val="baseline"/>
        <w:rtl w:val="0"/>
      </w:rPr>
      <w:t xml:space="preserve"> – 897-19</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29"/>
      </w:tabs>
      <w:spacing w:after="0" w:before="0" w:line="240" w:lineRule="auto"/>
      <w:ind w:left="0" w:right="0" w:firstLine="0"/>
      <w:jc w:val="center"/>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BUSINESS CONFIDENTIAL</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5232400</wp:posOffset>
              </wp:positionH>
              <wp:positionV relativeFrom="paragraph">
                <wp:posOffset>20321</wp:posOffset>
              </wp:positionV>
              <wp:extent cx="1167765" cy="1414145"/>
              <wp:effectExtent b="0" l="0" r="0" t="0"/>
              <wp:wrapNone/>
              <wp:docPr id="1" name=""/>
              <a:graphic>
                <a:graphicData uri="http://schemas.microsoft.com/office/word/2010/wordprocessingShape">
                  <wps:wsp>
                    <wps:cNvSpPr/>
                    <wps:cNvPr id="2" name="Shape 2"/>
                    <wps:spPr>
                      <a:xfrm>
                        <a:off x="4766880" y="3077690"/>
                        <a:ext cx="1158240"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Libre Franklin" w:cs="Libre Franklin" w:eastAsia="Libre Franklin" w:hAnsi="Libre Franklin"/>
                              <w:b w:val="0"/>
                              <w:i w:val="0"/>
                              <w:smallCaps w:val="0"/>
                              <w:strike w:val="0"/>
                              <w:color w:val="000000"/>
                              <w:sz w:val="24"/>
                              <w:vertAlign w:val="baseline"/>
                            </w:rPr>
                            <w:t xml:space="preserve">Page  PAGE   \* MERGEFORMAT 2 of  NUMPAGES   \* MERGEFORMAT 32</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5232400</wp:posOffset>
              </wp:positionH>
              <wp:positionV relativeFrom="paragraph">
                <wp:posOffset>20321</wp:posOffset>
              </wp:positionV>
              <wp:extent cx="1167765" cy="1414145"/>
              <wp:effectExtent b="0" l="0" r="0" t="0"/>
              <wp:wrapNone/>
              <wp:docPr id="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167765" cy="1414145"/>
                      </a:xfrm>
                      <a:prstGeom prst="rect"/>
                      <a:ln/>
                    </pic:spPr>
                  </pic:pic>
                </a:graphicData>
              </a:graphic>
            </wp:anchor>
          </w:drawing>
        </mc:Fallback>
      </mc:AlternateConten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0" w:firstLine="0"/>
      <w:jc w:val="center"/>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Copyright © TCM Security (</w:t>
    </w:r>
    <w:hyperlink r:id="rId2">
      <w:r w:rsidDel="00000000" w:rsidR="00000000" w:rsidRPr="00000000">
        <w:rPr>
          <w:rFonts w:ascii="Libre Franklin" w:cs="Libre Franklin" w:eastAsia="Libre Franklin" w:hAnsi="Libre Franklin"/>
          <w:b w:val="0"/>
          <w:i w:val="0"/>
          <w:smallCaps w:val="0"/>
          <w:strike w:val="0"/>
          <w:color w:val="0563c1"/>
          <w:sz w:val="24"/>
          <w:szCs w:val="24"/>
          <w:u w:val="single"/>
          <w:shd w:fill="auto" w:val="clear"/>
          <w:vertAlign w:val="baseline"/>
          <w:rtl w:val="0"/>
        </w:rPr>
        <w:t xml:space="preserve">tcm-sec.com</w:t>
      </w:r>
    </w:hyperlink>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Libre Franklin" w:cs="Libre Franklin" w:eastAsia="Libre Franklin" w:hAnsi="Libre Franklin"/>
        <w:b w:val="1"/>
        <w:i w:val="0"/>
        <w:smallCaps w:val="0"/>
        <w:strike w:val="0"/>
        <w:color w:val="000000"/>
        <w:sz w:val="24"/>
        <w:szCs w:val="24"/>
        <w:u w:val="none"/>
        <w:shd w:fill="auto" w:val="clear"/>
        <w:vertAlign w:val="baseline"/>
      </w:rPr>
    </w:pPr>
    <w:r w:rsidDel="00000000" w:rsidR="00000000" w:rsidRPr="00000000">
      <w:rPr>
        <w:b w:val="1"/>
        <w:rtl w:val="0"/>
      </w:rPr>
      <w:t xml:space="preserve">Haliburton Enterprises</w:t>
    </w:r>
    <w:r w:rsidDel="00000000" w:rsidR="00000000" w:rsidRPr="00000000">
      <w:rPr>
        <w:rFonts w:ascii="Libre Franklin" w:cs="Libre Franklin" w:eastAsia="Libre Franklin" w:hAnsi="Libre Franklin"/>
        <w:b w:val="1"/>
        <w:i w:val="0"/>
        <w:smallCaps w:val="0"/>
        <w:strike w:val="0"/>
        <w:color w:val="000000"/>
        <w:sz w:val="24"/>
        <w:szCs w:val="24"/>
        <w:u w:val="none"/>
        <w:shd w:fill="auto" w:val="clear"/>
        <w:vertAlign w:val="baseline"/>
        <w:rtl w:val="0"/>
      </w:rPr>
      <w:t xml:space="preserve">– 897-19</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29"/>
      </w:tabs>
      <w:spacing w:after="0" w:before="0" w:line="240" w:lineRule="auto"/>
      <w:ind w:left="0" w:right="0" w:firstLine="0"/>
      <w:jc w:val="center"/>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BUSINESS CONFIDENTIAL</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5232400</wp:posOffset>
              </wp:positionH>
              <wp:positionV relativeFrom="paragraph">
                <wp:posOffset>20321</wp:posOffset>
              </wp:positionV>
              <wp:extent cx="1167765" cy="1414145"/>
              <wp:effectExtent b="0" l="0" r="0" t="0"/>
              <wp:wrapNone/>
              <wp:docPr id="3" name=""/>
              <a:graphic>
                <a:graphicData uri="http://schemas.microsoft.com/office/word/2010/wordprocessingShape">
                  <wps:wsp>
                    <wps:cNvSpPr/>
                    <wps:cNvPr id="4" name="Shape 4"/>
                    <wps:spPr>
                      <a:xfrm>
                        <a:off x="4766880" y="3077690"/>
                        <a:ext cx="1158240"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Libre Franklin" w:cs="Libre Franklin" w:eastAsia="Libre Franklin" w:hAnsi="Libre Franklin"/>
                              <w:b w:val="0"/>
                              <w:i w:val="0"/>
                              <w:smallCaps w:val="0"/>
                              <w:strike w:val="0"/>
                              <w:color w:val="000000"/>
                              <w:sz w:val="24"/>
                              <w:vertAlign w:val="baseline"/>
                            </w:rPr>
                            <w:t xml:space="preserve">Page  PAGE   \* MERGEFORMAT 2 of  NUMPAGES   \* MERGEFORMAT 32</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5232400</wp:posOffset>
              </wp:positionH>
              <wp:positionV relativeFrom="paragraph">
                <wp:posOffset>20321</wp:posOffset>
              </wp:positionV>
              <wp:extent cx="1167765" cy="1414145"/>
              <wp:effectExtent b="0" l="0" r="0" t="0"/>
              <wp:wrapNone/>
              <wp:docPr id="3"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167765" cy="1414145"/>
                      </a:xfrm>
                      <a:prstGeom prst="rect"/>
                      <a:ln/>
                    </pic:spPr>
                  </pic:pic>
                </a:graphicData>
              </a:graphic>
            </wp:anchor>
          </w:drawing>
        </mc:Fallback>
      </mc:AlternateConten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0" w:firstLine="0"/>
      <w:jc w:val="center"/>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Copyright © TCM Security (</w:t>
    </w:r>
    <w:hyperlink r:id="rId2">
      <w:r w:rsidDel="00000000" w:rsidR="00000000" w:rsidRPr="00000000">
        <w:rPr>
          <w:rFonts w:ascii="Libre Franklin" w:cs="Libre Franklin" w:eastAsia="Libre Franklin" w:hAnsi="Libre Franklin"/>
          <w:b w:val="0"/>
          <w:i w:val="0"/>
          <w:smallCaps w:val="0"/>
          <w:strike w:val="0"/>
          <w:color w:val="0563c1"/>
          <w:sz w:val="24"/>
          <w:szCs w:val="24"/>
          <w:u w:val="single"/>
          <w:shd w:fill="auto" w:val="clear"/>
          <w:vertAlign w:val="baseline"/>
          <w:rtl w:val="0"/>
        </w:rPr>
        <w:t xml:space="preserve">tcm-sec.com</w:t>
      </w:r>
    </w:hyperlink>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Libre Franklin" w:cs="Libre Franklin" w:eastAsia="Libre Franklin" w:hAnsi="Libre Franklin"/>
        <w:b w:val="1"/>
        <w:i w:val="0"/>
        <w:smallCaps w:val="0"/>
        <w:strike w:val="0"/>
        <w:color w:val="000000"/>
        <w:sz w:val="24"/>
        <w:szCs w:val="24"/>
        <w:u w:val="none"/>
        <w:shd w:fill="auto" w:val="clear"/>
        <w:vertAlign w:val="baseline"/>
      </w:rPr>
    </w:pPr>
    <w:r w:rsidDel="00000000" w:rsidR="00000000" w:rsidRPr="00000000">
      <w:rPr>
        <w:b w:val="1"/>
        <w:rtl w:val="0"/>
      </w:rPr>
      <w:t xml:space="preserve">Haliburton Enterprises</w:t>
    </w:r>
    <w:r w:rsidDel="00000000" w:rsidR="00000000" w:rsidRPr="00000000">
      <w:rPr>
        <w:rFonts w:ascii="Libre Franklin" w:cs="Libre Franklin" w:eastAsia="Libre Franklin" w:hAnsi="Libre Franklin"/>
        <w:b w:val="1"/>
        <w:i w:val="0"/>
        <w:smallCaps w:val="0"/>
        <w:strike w:val="0"/>
        <w:color w:val="000000"/>
        <w:sz w:val="24"/>
        <w:szCs w:val="24"/>
        <w:u w:val="none"/>
        <w:shd w:fill="auto" w:val="clear"/>
        <w:vertAlign w:val="baseline"/>
        <w:rtl w:val="0"/>
      </w:rPr>
      <w:t xml:space="preserve"> – 897-19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29"/>
      </w:tabs>
      <w:spacing w:after="0" w:before="0" w:line="240" w:lineRule="auto"/>
      <w:ind w:left="0" w:right="0" w:firstLine="0"/>
      <w:jc w:val="center"/>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BUSINESS CONFIDENTIAL</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5232400</wp:posOffset>
              </wp:positionH>
              <wp:positionV relativeFrom="paragraph">
                <wp:posOffset>20321</wp:posOffset>
              </wp:positionV>
              <wp:extent cx="1167765" cy="1414145"/>
              <wp:effectExtent b="0" l="0" r="0" t="0"/>
              <wp:wrapNone/>
              <wp:docPr id="2" name=""/>
              <a:graphic>
                <a:graphicData uri="http://schemas.microsoft.com/office/word/2010/wordprocessingShape">
                  <wps:wsp>
                    <wps:cNvSpPr/>
                    <wps:cNvPr id="3" name="Shape 3"/>
                    <wps:spPr>
                      <a:xfrm>
                        <a:off x="4766880" y="3077690"/>
                        <a:ext cx="1158240"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Libre Franklin" w:cs="Libre Franklin" w:eastAsia="Libre Franklin" w:hAnsi="Libre Franklin"/>
                              <w:b w:val="0"/>
                              <w:i w:val="0"/>
                              <w:smallCaps w:val="0"/>
                              <w:strike w:val="0"/>
                              <w:color w:val="000000"/>
                              <w:sz w:val="24"/>
                              <w:vertAlign w:val="baseline"/>
                            </w:rPr>
                            <w:t xml:space="preserve">Page  PAGE   \* MERGEFORMAT 2 of  NUMPAGES   \* MERGEFORMAT 32</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5232400</wp:posOffset>
              </wp:positionH>
              <wp:positionV relativeFrom="paragraph">
                <wp:posOffset>20321</wp:posOffset>
              </wp:positionV>
              <wp:extent cx="1167765" cy="1414145"/>
              <wp:effectExtent b="0" l="0" r="0" t="0"/>
              <wp:wrapNone/>
              <wp:docPr id="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167765" cy="1414145"/>
                      </a:xfrm>
                      <a:prstGeom prst="rect"/>
                      <a:ln/>
                    </pic:spPr>
                  </pic:pic>
                </a:graphicData>
              </a:graphic>
            </wp:anchor>
          </w:drawing>
        </mc:Fallback>
      </mc:AlternateConten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0" w:firstLine="0"/>
      <w:jc w:val="center"/>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Copyright © TCM Security (</w:t>
    </w:r>
    <w:hyperlink r:id="rId2">
      <w:r w:rsidDel="00000000" w:rsidR="00000000" w:rsidRPr="00000000">
        <w:rPr>
          <w:rFonts w:ascii="Libre Franklin" w:cs="Libre Franklin" w:eastAsia="Libre Franklin" w:hAnsi="Libre Franklin"/>
          <w:b w:val="0"/>
          <w:i w:val="0"/>
          <w:smallCaps w:val="0"/>
          <w:strike w:val="0"/>
          <w:color w:val="0563c1"/>
          <w:sz w:val="24"/>
          <w:szCs w:val="24"/>
          <w:u w:val="single"/>
          <w:shd w:fill="auto" w:val="clear"/>
          <w:vertAlign w:val="baseline"/>
          <w:rtl w:val="0"/>
        </w:rPr>
        <w:t xml:space="preserve">tcm-sec.com</w:t>
      </w:r>
    </w:hyperlink>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0" w:firstLine="0"/>
      <w:jc w:val="left"/>
      <w:rPr>
        <w:rFonts w:ascii="Libre Franklin" w:cs="Libre Franklin" w:eastAsia="Libre Franklin" w:hAnsi="Libre Franklin"/>
        <w:b w:val="1"/>
        <w:i w:val="0"/>
        <w:smallCaps w:val="0"/>
        <w:strike w:val="0"/>
        <w:color w:val="000000"/>
        <w:sz w:val="32"/>
        <w:szCs w:val="3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right" w:leader="none" w:pos="10080"/>
      </w:tabs>
      <w:spacing w:after="0" w:before="0" w:line="240" w:lineRule="auto"/>
      <w:ind w:left="0" w:right="0" w:firstLine="0"/>
      <w:jc w:val="right"/>
      <w:rPr>
        <w:rFonts w:ascii="Libre Franklin" w:cs="Libre Franklin" w:eastAsia="Libre Franklin" w:hAnsi="Libre Franklin"/>
        <w:b w:val="0"/>
        <w:i w:val="1"/>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0"/>
        <w:i w:val="1"/>
        <w:smallCaps w:val="0"/>
        <w:strike w:val="0"/>
        <w:color w:val="000000"/>
        <w:sz w:val="26"/>
        <w:szCs w:val="26"/>
        <w:u w:val="none"/>
        <w:shd w:fill="auto" w:val="clear"/>
        <w:vertAlign w:val="baseline"/>
      </w:rPr>
      <w:drawing>
        <wp:inline distB="0" distT="0" distL="0" distR="0">
          <wp:extent cx="1714503" cy="707573"/>
          <wp:effectExtent b="0" l="0" r="0" t="0"/>
          <wp:docPr id="13" name="image8.jpg"/>
          <a:graphic>
            <a:graphicData uri="http://schemas.openxmlformats.org/drawingml/2006/picture">
              <pic:pic>
                <pic:nvPicPr>
                  <pic:cNvPr id="0" name="image8.jpg"/>
                  <pic:cNvPicPr preferRelativeResize="0"/>
                </pic:nvPicPr>
                <pic:blipFill>
                  <a:blip r:embed="rId1"/>
                  <a:srcRect b="0" l="0" r="0" t="0"/>
                  <a:stretch>
                    <a:fillRect/>
                  </a:stretch>
                </pic:blipFill>
                <pic:spPr>
                  <a:xfrm>
                    <a:off x="0" y="0"/>
                    <a:ext cx="1714503" cy="707573"/>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right" w:leader="none" w:pos="10080"/>
      </w:tabs>
      <w:spacing w:after="0" w:before="0" w:line="240" w:lineRule="auto"/>
      <w:ind w:left="0" w:right="0" w:firstLine="0"/>
      <w:jc w:val="right"/>
      <w:rPr>
        <w:rFonts w:ascii="Libre Franklin" w:cs="Libre Franklin" w:eastAsia="Libre Franklin" w:hAnsi="Libre Franklin"/>
        <w:b w:val="0"/>
        <w:i w:val="1"/>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0"/>
        <w:i w:val="1"/>
        <w:smallCaps w:val="0"/>
        <w:strike w:val="0"/>
        <w:color w:val="000000"/>
        <w:sz w:val="26"/>
        <w:szCs w:val="26"/>
        <w:u w:val="none"/>
        <w:shd w:fill="auto" w:val="clear"/>
        <w:vertAlign w:val="baseline"/>
      </w:rPr>
      <w:drawing>
        <wp:inline distB="0" distT="0" distL="0" distR="0">
          <wp:extent cx="1714503" cy="707573"/>
          <wp:effectExtent b="0" l="0" r="0" t="0"/>
          <wp:docPr id="12" name="image8.jpg"/>
          <a:graphic>
            <a:graphicData uri="http://schemas.openxmlformats.org/drawingml/2006/picture">
              <pic:pic>
                <pic:nvPicPr>
                  <pic:cNvPr id="0" name="image8.jpg"/>
                  <pic:cNvPicPr preferRelativeResize="0"/>
                </pic:nvPicPr>
                <pic:blipFill>
                  <a:blip r:embed="rId1"/>
                  <a:srcRect b="0" l="0" r="0" t="0"/>
                  <a:stretch>
                    <a:fillRect/>
                  </a:stretch>
                </pic:blipFill>
                <pic:spPr>
                  <a:xfrm>
                    <a:off x="0" y="0"/>
                    <a:ext cx="1714503" cy="707573"/>
                  </a:xfrm>
                  <a:prstGeom prst="rect"/>
                  <a:ln/>
                </pic:spPr>
              </pic:pic>
            </a:graphicData>
          </a:graphic>
        </wp:inline>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0" w:firstLine="0"/>
      <w:jc w:val="right"/>
      <w:rPr>
        <w:rFonts w:ascii="Libre Franklin" w:cs="Libre Franklin" w:eastAsia="Libre Franklin" w:hAnsi="Libre Franklin"/>
        <w:b w:val="1"/>
        <w:i w:val="0"/>
        <w:smallCaps w:val="0"/>
        <w:strike w:val="0"/>
        <w:color w:val="000000"/>
        <w:sz w:val="32"/>
        <w:szCs w:val="3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32"/>
        <w:szCs w:val="32"/>
        <w:u w:val="none"/>
        <w:shd w:fill="auto" w:val="clear"/>
        <w:vertAlign w:val="baseline"/>
      </w:rPr>
      <w:drawing>
        <wp:inline distB="0" distT="0" distL="0" distR="0">
          <wp:extent cx="676672" cy="416451"/>
          <wp:effectExtent b="0" l="0" r="0" t="0"/>
          <wp:docPr id="16"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676672" cy="416451"/>
                  </a:xfrm>
                  <a:prstGeom prst="rect"/>
                  <a:ln/>
                </pic:spPr>
              </pic:pic>
            </a:graphicData>
          </a:graphic>
        </wp:inline>
      </w:drawing>
    </w:r>
    <w:r w:rsidDel="00000000" w:rsidR="00000000" w:rsidRPr="00000000">
      <w:rPr>
        <w:rFonts w:ascii="Trebuchet MS" w:cs="Trebuchet MS" w:eastAsia="Trebuchet MS" w:hAnsi="Trebuchet MS"/>
        <w:b w:val="1"/>
        <w:i w:val="0"/>
        <w:smallCaps w:val="0"/>
        <w:strike w:val="0"/>
        <w:color w:val="000000"/>
        <w:sz w:val="32"/>
        <w:szCs w:val="32"/>
        <w:u w:val="none"/>
        <w:shd w:fill="auto" w:val="clear"/>
        <w:vertAlign w:val="baseline"/>
        <w:rtl w:val="0"/>
      </w:rPr>
      <w:tab/>
      <w:tab/>
    </w:r>
    <w:r w:rsidDel="00000000" w:rsidR="00000000" w:rsidRPr="00000000">
      <w:rPr>
        <w:rFonts w:ascii="Libre Franklin" w:cs="Libre Franklin" w:eastAsia="Libre Franklin" w:hAnsi="Libre Franklin"/>
        <w:b w:val="1"/>
        <w:i w:val="0"/>
        <w:smallCaps w:val="0"/>
        <w:strike w:val="0"/>
        <w:color w:val="000000"/>
        <w:sz w:val="32"/>
        <w:szCs w:val="32"/>
        <w:u w:val="none"/>
        <w:shd w:fill="auto" w:val="clear"/>
        <w:vertAlign w:val="baseline"/>
        <w:rtl w:val="0"/>
      </w:rPr>
      <w:tab/>
    </w:r>
    <w:r w:rsidDel="00000000" w:rsidR="00000000" w:rsidRPr="00000000">
      <w:rPr>
        <w:rFonts w:ascii="Trebuchet MS" w:cs="Trebuchet MS" w:eastAsia="Trebuchet MS" w:hAnsi="Trebuchet MS"/>
        <w:b w:val="1"/>
        <w:i w:val="0"/>
        <w:smallCaps w:val="0"/>
        <w:strike w:val="0"/>
        <w:color w:val="000000"/>
        <w:sz w:val="32"/>
        <w:szCs w:val="32"/>
        <w:u w:val="none"/>
        <w:shd w:fill="auto" w:val="clear"/>
        <w:vertAlign w:val="baseline"/>
        <w:rtl w:val="0"/>
      </w:rPr>
      <w:tab/>
    </w:r>
    <w:r w:rsidDel="00000000" w:rsidR="00000000" w:rsidRPr="00000000">
      <w:rPr>
        <w:rFonts w:ascii="Libre Franklin" w:cs="Libre Franklin" w:eastAsia="Libre Franklin" w:hAnsi="Libre Franklin"/>
        <w:b w:val="1"/>
        <w:i w:val="0"/>
        <w:smallCaps w:val="0"/>
        <w:strike w:val="0"/>
        <w:color w:val="000000"/>
        <w:sz w:val="32"/>
        <w:szCs w:val="32"/>
        <w:u w:val="none"/>
        <w:shd w:fill="auto" w:val="clear"/>
        <w:vertAlign w:val="baseline"/>
        <w:rtl w:val="0"/>
      </w:rPr>
      <w:t xml:space="preserve">Security Assessment</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0" w:firstLine="0"/>
      <w:jc w:val="right"/>
      <w:rPr>
        <w:rFonts w:ascii="Libre Franklin" w:cs="Libre Franklin" w:eastAsia="Libre Franklin" w:hAnsi="Libre Franklin"/>
        <w:b w:val="1"/>
        <w:i w:val="0"/>
        <w:smallCaps w:val="0"/>
        <w:strike w:val="0"/>
        <w:color w:val="000000"/>
        <w:sz w:val="8"/>
        <w:szCs w:val="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32"/>
        <w:szCs w:val="32"/>
        <w:u w:val="none"/>
        <w:shd w:fill="auto" w:val="clear"/>
        <w:vertAlign w:val="baseline"/>
        <w:rtl w:val="0"/>
      </w:rPr>
      <w:t xml:space="preserve">Console Review</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right" w:leader="none" w:pos="10080"/>
      </w:tabs>
      <w:spacing w:after="0" w:before="0" w:line="240" w:lineRule="auto"/>
      <w:ind w:left="0" w:right="0" w:firstLine="0"/>
      <w:jc w:val="right"/>
      <w:rPr>
        <w:rFonts w:ascii="Libre Franklin" w:cs="Libre Franklin" w:eastAsia="Libre Franklin" w:hAnsi="Libre Franklin"/>
        <w:b w:val="0"/>
        <w:i w:val="1"/>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0"/>
        <w:i w:val="1"/>
        <w:smallCaps w:val="0"/>
        <w:strike w:val="0"/>
        <w:color w:val="000000"/>
        <w:sz w:val="26"/>
        <w:szCs w:val="26"/>
        <w:u w:val="none"/>
        <w:shd w:fill="auto" w:val="clear"/>
        <w:vertAlign w:val="baseline"/>
      </w:rPr>
      <w:drawing>
        <wp:inline distB="0" distT="0" distL="0" distR="0">
          <wp:extent cx="1714503" cy="707573"/>
          <wp:effectExtent b="0" l="0" r="0" t="0"/>
          <wp:docPr id="14" name="image8.jpg"/>
          <a:graphic>
            <a:graphicData uri="http://schemas.openxmlformats.org/drawingml/2006/picture">
              <pic:pic>
                <pic:nvPicPr>
                  <pic:cNvPr id="0" name="image8.jpg"/>
                  <pic:cNvPicPr preferRelativeResize="0"/>
                </pic:nvPicPr>
                <pic:blipFill>
                  <a:blip r:embed="rId1"/>
                  <a:srcRect b="0" l="0" r="0" t="0"/>
                  <a:stretch>
                    <a:fillRect/>
                  </a:stretch>
                </pic:blipFill>
                <pic:spPr>
                  <a:xfrm>
                    <a:off x="0" y="0"/>
                    <a:ext cx="1714503" cy="707573"/>
                  </a:xfrm>
                  <a:prstGeom prst="rect"/>
                  <a:ln/>
                </pic:spPr>
              </pic:pic>
            </a:graphicData>
          </a:graphic>
        </wp:inline>
      </w:drawing>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0" w:firstLine="0"/>
      <w:jc w:val="right"/>
      <w:rPr>
        <w:rFonts w:ascii="Libre Franklin" w:cs="Libre Franklin" w:eastAsia="Libre Franklin" w:hAnsi="Libre Franklin"/>
        <w:b w:val="1"/>
        <w:i w:val="0"/>
        <w:smallCaps w:val="0"/>
        <w:strike w:val="0"/>
        <w:color w:val="000000"/>
        <w:sz w:val="32"/>
        <w:szCs w:val="3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32"/>
        <w:szCs w:val="32"/>
        <w:u w:val="none"/>
        <w:shd w:fill="auto" w:val="clear"/>
        <w:vertAlign w:val="baseline"/>
      </w:rPr>
      <w:drawing>
        <wp:inline distB="0" distT="0" distL="0" distR="0">
          <wp:extent cx="676672" cy="416451"/>
          <wp:effectExtent b="0" l="0" r="0" t="0"/>
          <wp:docPr id="15"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676672" cy="416451"/>
                  </a:xfrm>
                  <a:prstGeom prst="rect"/>
                  <a:ln/>
                </pic:spPr>
              </pic:pic>
            </a:graphicData>
          </a:graphic>
        </wp:inline>
      </w:drawing>
    </w:r>
    <w:r w:rsidDel="00000000" w:rsidR="00000000" w:rsidRPr="00000000">
      <w:rPr>
        <w:rFonts w:ascii="Trebuchet MS" w:cs="Trebuchet MS" w:eastAsia="Trebuchet MS" w:hAnsi="Trebuchet MS"/>
        <w:b w:val="1"/>
        <w:i w:val="0"/>
        <w:smallCaps w:val="0"/>
        <w:strike w:val="0"/>
        <w:color w:val="000000"/>
        <w:sz w:val="32"/>
        <w:szCs w:val="32"/>
        <w:u w:val="none"/>
        <w:shd w:fill="auto" w:val="clear"/>
        <w:vertAlign w:val="baseline"/>
        <w:rtl w:val="0"/>
      </w:rPr>
      <w:tab/>
      <w:tab/>
    </w:r>
    <w:r w:rsidDel="00000000" w:rsidR="00000000" w:rsidRPr="00000000">
      <w:rPr>
        <w:rFonts w:ascii="Libre Franklin" w:cs="Libre Franklin" w:eastAsia="Libre Franklin" w:hAnsi="Libre Franklin"/>
        <w:b w:val="1"/>
        <w:i w:val="0"/>
        <w:smallCaps w:val="0"/>
        <w:strike w:val="0"/>
        <w:color w:val="000000"/>
        <w:sz w:val="32"/>
        <w:szCs w:val="32"/>
        <w:u w:val="none"/>
        <w:shd w:fill="auto" w:val="clear"/>
        <w:vertAlign w:val="baseline"/>
        <w:rtl w:val="0"/>
      </w:rPr>
      <w:tab/>
    </w:r>
    <w:r w:rsidDel="00000000" w:rsidR="00000000" w:rsidRPr="00000000">
      <w:rPr>
        <w:rFonts w:ascii="Trebuchet MS" w:cs="Trebuchet MS" w:eastAsia="Trebuchet MS" w:hAnsi="Trebuchet MS"/>
        <w:b w:val="1"/>
        <w:i w:val="0"/>
        <w:smallCaps w:val="0"/>
        <w:strike w:val="0"/>
        <w:color w:val="000000"/>
        <w:sz w:val="32"/>
        <w:szCs w:val="32"/>
        <w:u w:val="none"/>
        <w:shd w:fill="auto" w:val="clear"/>
        <w:vertAlign w:val="baseline"/>
        <w:rtl w:val="0"/>
      </w:rPr>
      <w:tab/>
    </w:r>
    <w:r w:rsidDel="00000000" w:rsidR="00000000" w:rsidRPr="00000000">
      <w:rPr>
        <w:rFonts w:ascii="Libre Franklin" w:cs="Libre Franklin" w:eastAsia="Libre Franklin" w:hAnsi="Libre Franklin"/>
        <w:b w:val="1"/>
        <w:i w:val="0"/>
        <w:smallCaps w:val="0"/>
        <w:strike w:val="0"/>
        <w:color w:val="000000"/>
        <w:sz w:val="32"/>
        <w:szCs w:val="32"/>
        <w:u w:val="none"/>
        <w:shd w:fill="auto" w:val="clear"/>
        <w:vertAlign w:val="baseline"/>
        <w:rtl w:val="0"/>
      </w:rPr>
      <w:t xml:space="preserve">Security Assessment</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0" w:firstLine="0"/>
      <w:jc w:val="right"/>
      <w:rPr>
        <w:rFonts w:ascii="Libre Franklin" w:cs="Libre Franklin" w:eastAsia="Libre Franklin" w:hAnsi="Libre Franklin"/>
        <w:b w:val="1"/>
        <w:i w:val="0"/>
        <w:smallCaps w:val="0"/>
        <w:strike w:val="0"/>
        <w:color w:val="000000"/>
        <w:sz w:val="8"/>
        <w:szCs w:val="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32"/>
        <w:szCs w:val="32"/>
        <w:u w:val="none"/>
        <w:shd w:fill="auto" w:val="clear"/>
        <w:vertAlign w:val="baseline"/>
        <w:rtl w:val="0"/>
      </w:rPr>
      <w:t xml:space="preserve">Console Review</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right" w:leader="none" w:pos="10080"/>
      </w:tabs>
      <w:spacing w:after="0" w:before="0" w:line="240" w:lineRule="auto"/>
      <w:ind w:left="0" w:right="0" w:firstLine="0"/>
      <w:jc w:val="right"/>
      <w:rPr>
        <w:rFonts w:ascii="Libre Franklin" w:cs="Libre Franklin" w:eastAsia="Libre Franklin" w:hAnsi="Libre Franklin"/>
        <w:b w:val="0"/>
        <w:i w:val="1"/>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0"/>
        <w:i w:val="1"/>
        <w:smallCaps w:val="0"/>
        <w:strike w:val="0"/>
        <w:color w:val="000000"/>
        <w:sz w:val="26"/>
        <w:szCs w:val="26"/>
        <w:u w:val="none"/>
        <w:shd w:fill="auto" w:val="clear"/>
        <w:vertAlign w:val="baseline"/>
      </w:rPr>
      <w:drawing>
        <wp:inline distB="0" distT="0" distL="0" distR="0">
          <wp:extent cx="1714503" cy="707573"/>
          <wp:effectExtent b="0" l="0" r="0" t="0"/>
          <wp:docPr id="17" name="image8.jpg"/>
          <a:graphic>
            <a:graphicData uri="http://schemas.openxmlformats.org/drawingml/2006/picture">
              <pic:pic>
                <pic:nvPicPr>
                  <pic:cNvPr id="0" name="image8.jpg"/>
                  <pic:cNvPicPr preferRelativeResize="0"/>
                </pic:nvPicPr>
                <pic:blipFill>
                  <a:blip r:embed="rId1"/>
                  <a:srcRect b="0" l="0" r="0" t="0"/>
                  <a:stretch>
                    <a:fillRect/>
                  </a:stretch>
                </pic:blipFill>
                <pic:spPr>
                  <a:xfrm>
                    <a:off x="0" y="0"/>
                    <a:ext cx="1714503" cy="707573"/>
                  </a:xfrm>
                  <a:prstGeom prst="rect"/>
                  <a:ln/>
                </pic:spPr>
              </pic:pic>
            </a:graphicData>
          </a:graphic>
        </wp:inline>
      </w:drawing>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right" w:leader="none" w:pos="10080"/>
      </w:tabs>
      <w:spacing w:after="0" w:before="0" w:line="240" w:lineRule="auto"/>
      <w:ind w:left="0" w:right="0" w:firstLine="0"/>
      <w:jc w:val="right"/>
      <w:rPr>
        <w:rFonts w:ascii="Libre Franklin" w:cs="Libre Franklin" w:eastAsia="Libre Franklin" w:hAnsi="Libre Franklin"/>
        <w:b w:val="0"/>
        <w:i w:val="1"/>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0"/>
        <w:i w:val="1"/>
        <w:smallCaps w:val="0"/>
        <w:strike w:val="0"/>
        <w:color w:val="000000"/>
        <w:sz w:val="26"/>
        <w:szCs w:val="26"/>
        <w:u w:val="none"/>
        <w:shd w:fill="auto" w:val="clear"/>
        <w:vertAlign w:val="baseline"/>
      </w:rPr>
      <w:drawing>
        <wp:inline distB="0" distT="0" distL="0" distR="0">
          <wp:extent cx="1714503" cy="707573"/>
          <wp:effectExtent b="0" l="0" r="0" t="0"/>
          <wp:docPr id="18" name="image8.jpg"/>
          <a:graphic>
            <a:graphicData uri="http://schemas.openxmlformats.org/drawingml/2006/picture">
              <pic:pic>
                <pic:nvPicPr>
                  <pic:cNvPr id="0" name="image8.jpg"/>
                  <pic:cNvPicPr preferRelativeResize="0"/>
                </pic:nvPicPr>
                <pic:blipFill>
                  <a:blip r:embed="rId1"/>
                  <a:srcRect b="0" l="0" r="0" t="0"/>
                  <a:stretch>
                    <a:fillRect/>
                  </a:stretch>
                </pic:blipFill>
                <pic:spPr>
                  <a:xfrm>
                    <a:off x="0" y="0"/>
                    <a:ext cx="1714503" cy="70757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w:cs="Libre Franklin" w:eastAsia="Libre Franklin" w:hAnsi="Libre Franklin"/>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120" w:lineRule="auto"/>
    </w:pPr>
    <w:rPr>
      <w:rFonts w:ascii="Century Gothic" w:cs="Century Gothic" w:eastAsia="Century Gothic" w:hAnsi="Century Gothic"/>
      <w:b w:val="1"/>
      <w:color w:val="000000"/>
      <w:sz w:val="36"/>
      <w:szCs w:val="36"/>
    </w:rPr>
  </w:style>
  <w:style w:type="paragraph" w:styleId="Heading2">
    <w:name w:val="heading 2"/>
    <w:basedOn w:val="Normal"/>
    <w:next w:val="Normal"/>
    <w:pPr>
      <w:keepNext w:val="1"/>
      <w:keepLines w:val="1"/>
      <w:spacing w:before="120" w:lineRule="auto"/>
    </w:pPr>
    <w:rPr>
      <w:rFonts w:ascii="Century Gothic" w:cs="Century Gothic" w:eastAsia="Century Gothic" w:hAnsi="Century Gothic"/>
      <w:b w:val="1"/>
      <w:sz w:val="28"/>
      <w:szCs w:val="28"/>
    </w:rPr>
  </w:style>
  <w:style w:type="paragraph" w:styleId="Heading3">
    <w:name w:val="heading 3"/>
    <w:basedOn w:val="Normal"/>
    <w:next w:val="Normal"/>
    <w:pPr>
      <w:keepNext w:val="1"/>
      <w:keepLines w:val="1"/>
      <w:spacing w:before="120" w:lineRule="auto"/>
    </w:pPr>
    <w:rPr>
      <w:rFonts w:ascii="Century Gothic" w:cs="Century Gothic" w:eastAsia="Century Gothic" w:hAnsi="Century Gothic"/>
      <w:b w:val="1"/>
      <w:color w:val="000000"/>
    </w:rPr>
  </w:style>
  <w:style w:type="paragraph" w:styleId="Heading4">
    <w:name w:val="heading 4"/>
    <w:basedOn w:val="Normal"/>
    <w:next w:val="Normal"/>
    <w:pPr>
      <w:keepNext w:val="1"/>
      <w:keepLines w:val="1"/>
      <w:spacing w:before="120" w:lineRule="auto"/>
    </w:pPr>
    <w:rPr>
      <w:rFonts w:ascii="Century Gothic" w:cs="Century Gothic" w:eastAsia="Century Gothic" w:hAnsi="Century Gothic"/>
      <w:b w:val="1"/>
      <w:color w:val="000000"/>
      <w:sz w:val="28"/>
      <w:szCs w:val="28"/>
    </w:rPr>
  </w:style>
  <w:style w:type="paragraph" w:styleId="Heading5">
    <w:name w:val="heading 5"/>
    <w:basedOn w:val="Normal"/>
    <w:next w:val="Normal"/>
    <w:pPr>
      <w:keepNext w:val="1"/>
      <w:keepLines w:val="1"/>
      <w:spacing w:before="120" w:lineRule="auto"/>
      <w:jc w:val="right"/>
    </w:pPr>
    <w:rPr>
      <w:rFonts w:ascii="Century Gothic" w:cs="Century Gothic" w:eastAsia="Century Gothic" w:hAnsi="Century Gothic"/>
      <w:b w:val="1"/>
    </w:rPr>
  </w:style>
  <w:style w:type="paragraph" w:styleId="Heading6">
    <w:name w:val="heading 6"/>
    <w:basedOn w:val="Normal"/>
    <w:next w:val="Normal"/>
    <w:pPr>
      <w:keepNext w:val="1"/>
      <w:keepLines w:val="1"/>
      <w:spacing w:before="120" w:lineRule="auto"/>
    </w:pPr>
    <w:rPr>
      <w:rFonts w:ascii="Century Gothic" w:cs="Century Gothic" w:eastAsia="Century Gothic" w:hAnsi="Century Gothic"/>
      <w:b w:val="1"/>
      <w:color w:val="000000"/>
    </w:rPr>
  </w:style>
  <w:style w:type="paragraph" w:styleId="Title">
    <w:name w:val="Title"/>
    <w:basedOn w:val="Normal"/>
    <w:next w:val="Normal"/>
    <w:pPr>
      <w:jc w:val="center"/>
    </w:pPr>
    <w:rPr>
      <w:b w:val="1"/>
      <w:sz w:val="44"/>
      <w:szCs w:val="44"/>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58.0" w:type="dxa"/>
        <w:bottom w:w="0.0" w:type="dxa"/>
        <w:right w:w="58.0" w:type="dxa"/>
      </w:tblCellMar>
    </w:tblPr>
  </w:style>
  <w:style w:type="table" w:styleId="Table7">
    <w:basedOn w:val="TableNormal"/>
    <w:tblPr>
      <w:tblStyleRowBandSize w:val="1"/>
      <w:tblStyleColBandSize w:val="1"/>
      <w:tblCellMar>
        <w:top w:w="0.0" w:type="dxa"/>
        <w:left w:w="58.0" w:type="dxa"/>
        <w:bottom w:w="0.0" w:type="dxa"/>
        <w:right w:w="5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eader" Target="header6.xml"/><Relationship Id="rId21" Type="http://schemas.openxmlformats.org/officeDocument/2006/relationships/header" Target="header5.xml"/><Relationship Id="rId24" Type="http://schemas.openxmlformats.org/officeDocument/2006/relationships/image" Target="media/image6.png"/><Relationship Id="rId23"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yperlink" Target="https://nvd.nist.gov/800-53/Rev4/control/AC-7#enhancement-1" TargetMode="External"/><Relationship Id="rId25" Type="http://schemas.openxmlformats.org/officeDocument/2006/relationships/hyperlink" Target="https://nvd.nist.gov/800-53/Rev4/control/AC-17" TargetMode="External"/><Relationship Id="rId28" Type="http://schemas.openxmlformats.org/officeDocument/2006/relationships/image" Target="media/image2.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jpg"/><Relationship Id="rId29"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eader" Target="header8.xml"/><Relationship Id="rId30" Type="http://schemas.openxmlformats.org/officeDocument/2006/relationships/header" Target="header7.xml"/><Relationship Id="rId11" Type="http://schemas.openxmlformats.org/officeDocument/2006/relationships/hyperlink" Target="mailto:john.smith@demo.com" TargetMode="External"/><Relationship Id="rId10" Type="http://schemas.openxmlformats.org/officeDocument/2006/relationships/header" Target="header2.xml"/><Relationship Id="rId13" Type="http://schemas.openxmlformats.org/officeDocument/2006/relationships/hyperlink" Target="mailto:joe.smith@demo.com" TargetMode="External"/><Relationship Id="rId12" Type="http://schemas.openxmlformats.org/officeDocument/2006/relationships/hyperlink" Target="mailto:jim.smith@demo.com" TargetMode="External"/><Relationship Id="rId15" Type="http://schemas.openxmlformats.org/officeDocument/2006/relationships/hyperlink" Target="mailto:badams@tcm-sec.com" TargetMode="External"/><Relationship Id="rId14" Type="http://schemas.openxmlformats.org/officeDocument/2006/relationships/hyperlink" Target="mailto:hadams@tcm-sec.com" TargetMode="External"/><Relationship Id="rId17" Type="http://schemas.openxmlformats.org/officeDocument/2006/relationships/header" Target="header3.xml"/><Relationship Id="rId16" Type="http://schemas.openxmlformats.org/officeDocument/2006/relationships/hyperlink" Target="mailto:radams@tcm-sec.com" TargetMode="External"/><Relationship Id="rId19" Type="http://schemas.openxmlformats.org/officeDocument/2006/relationships/footer" Target="footer3.xml"/><Relationship Id="rId18" Type="http://schemas.openxmlformats.org/officeDocument/2006/relationships/header" Target="header4.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hyperlink" Target="http://tcm-sec.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hyperlink" Target="http://tcm-sec.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hyperlink" Target="http://tcm-sec.com" TargetMode="External"/></Relationships>
</file>

<file path=word/_rels/footer4.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hyperlink" Target="http://tcm-sec.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_rels/header3.xml.rels><?xml version="1.0" encoding="UTF-8" standalone="yes"?><Relationships xmlns="http://schemas.openxmlformats.org/package/2006/relationships"><Relationship Id="rId1" Type="http://schemas.openxmlformats.org/officeDocument/2006/relationships/image" Target="media/image8.jpg"/></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1" Type="http://schemas.openxmlformats.org/officeDocument/2006/relationships/image" Target="media/image8.jpg"/></Relationships>
</file>

<file path=word/_rels/header6.xml.rels><?xml version="1.0" encoding="UTF-8" standalone="yes"?><Relationships xmlns="http://schemas.openxmlformats.org/package/2006/relationships"><Relationship Id="rId1" Type="http://schemas.openxmlformats.org/officeDocument/2006/relationships/image" Target="media/image7.png"/></Relationships>
</file>

<file path=word/_rels/header7.xml.rels><?xml version="1.0" encoding="UTF-8" standalone="yes"?><Relationships xmlns="http://schemas.openxmlformats.org/package/2006/relationships"><Relationship Id="rId1" Type="http://schemas.openxmlformats.org/officeDocument/2006/relationships/image" Target="media/image8.jpg"/></Relationships>
</file>

<file path=word/_rels/header8.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