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rFonts w:ascii="Calibri" w:cs="Calibri" w:eastAsia="Calibri" w:hAnsi="Calibri"/>
          <w:b/>
          <w:bCs/>
          <w:color w:val="1F3864"/>
          <w:sz w:val="56"/>
          <w:szCs w:val="56"/>
        </w:rPr>
        <w:t xml:space="preserve">RiskRadar</w:t>
      </w:r>
    </w:p>
    <w:p>
      <w:pPr>
        <w:spacing w:before="0" w:after="80"/>
        <w:jc w:val="center"/>
      </w:pPr>
      <w:r>
        <w:rPr>
          <w:rFonts w:ascii="Calibri" w:cs="Calibri" w:eastAsia="Calibri" w:hAnsi="Calibri"/>
          <w:color w:val="2E75B6"/>
          <w:sz w:val="36"/>
          <w:szCs w:val="36"/>
        </w:rPr>
        <w:t xml:space="preserve">Security Analysis Report</w:t>
      </w:r>
    </w:p>
    <w:p>
      <w:pPr>
        <w:spacing w:before="0" w:after="60"/>
        <w:jc w:val="center"/>
      </w:pPr>
      <w:r>
        <w:rPr>
          <w:rFonts w:ascii="Calibri" w:cs="Calibri" w:eastAsia="Calibri" w:hAnsi="Calibri"/>
          <w:b/>
          <w:bCs/>
          <w:color w:val="555555"/>
          <w:sz w:val="22"/>
          <w:szCs w:val="22"/>
        </w:rPr>
        <w:t xml:space="preserve">SecAnalysis1 — INFX 490 Capstone Team 6</w:t>
      </w:r>
    </w:p>
    <w:p>
      <w:pPr>
        <w:spacing w:before="0" w:after="60"/>
        <w:jc w:val="center"/>
      </w:pPr>
      <w:r>
        <w:rPr>
          <w:rFonts w:ascii="Calibri" w:cs="Calibri" w:eastAsia="Calibri" w:hAnsi="Calibri"/>
          <w:color w:val="555555"/>
          <w:sz w:val="20"/>
          <w:szCs w:val="20"/>
        </w:rPr>
        <w:t xml:space="preserve">Analyst: Noah Benoit (Security Lead)  ·  Date: March 16, 2026</w:t>
      </w:r>
    </w:p>
    <w:p>
      <w:pPr>
        <w:spacing w:before="0" w:after="40"/>
        <w:jc w:val="center"/>
      </w:pPr>
      <w:r>
        <w:rPr>
          <w:rFonts w:ascii="Calibri" w:cs="Calibri" w:eastAsia="Calibri" w:hAnsi="Calibri"/>
          <w:color w:val="777777"/>
          <w:sz w:val="18"/>
          <w:szCs w:val="18"/>
        </w:rPr>
        <w:t xml:space="preserve">Scope: Full static source review — main branch as of 3/16/2026</w:t>
      </w:r>
    </w:p>
    <w:p>
      <w:pPr>
        <w:pBdr>
          <w:bottom w:val="single" w:color="D6E4F0" w:sz="6" w:space="2"/>
        </w:pBdr>
        <w:spacing w:before="0" w:after="200"/>
        <w:jc w:val="center"/>
      </w:pPr>
      <w:r>
        <w:rPr>
          <w:rFonts w:ascii="Calibri" w:cs="Calibri" w:eastAsia="Calibri" w:hAnsi="Calibri"/>
          <w:b/>
          <w:bCs/>
          <w:color w:val="C00000"/>
          <w:sz w:val="18"/>
          <w:szCs w:val="18"/>
        </w:rPr>
        <w:t xml:space="preserve">DO NOT DISTRIBUTE — Capstone Academic Use Only</w:t>
      </w:r>
    </w:p>
    <w:p>
      <w:pPr>
        <w:pBdr>
          <w:bottom w:val="single" w:color="2E75B6" w:sz="6" w:space="2"/>
        </w:pBdr>
        <w:spacing w:before="340" w:after="100"/>
      </w:pPr>
      <w:r>
        <w:rPr>
          <w:rFonts w:ascii="Calibri" w:cs="Calibri" w:eastAsia="Calibri" w:hAnsi="Calibri"/>
          <w:b/>
          <w:bCs/>
          <w:color w:val="1F3864"/>
          <w:sz w:val="32"/>
          <w:szCs w:val="32"/>
        </w:rPr>
        <w:t xml:space="preserve">Executive Summary</w:t>
      </w:r>
    </w:p>
    <w:p>
      <w:pPr>
        <w:spacing w:before="60" w:after="80"/>
      </w:pPr>
      <w:r>
        <w:rPr>
          <w:rFonts w:ascii="Calibri" w:cs="Calibri" w:eastAsia="Calibri" w:hAnsi="Calibri"/>
          <w:b w:val="false"/>
          <w:bCs w:val="false"/>
          <w:color w:val="000000"/>
          <w:sz w:val="20"/>
          <w:szCs w:val="20"/>
        </w:rPr>
        <w:t xml:space="preserve">This report documents security findings identified through a full static analysis of the RiskRadar source code (backend, web frontend/templates, and React Native mobile frontend) as of the main branch on March 16, 2026. No code changes were made as part of this analysis. All findings are categorized by layer, rated by severity, and paired with actionable research directions.</w:t>
      </w:r>
    </w:p>
    <w:p>
      <w:pPr>
        <w:spacing w:before="40" w:after="40"/>
      </w:pPr>
      <w:r>
        <w:t xml:space="preserve"/>
      </w:r>
    </w:p>
    <w:p>
      <w:pPr>
        <w:spacing w:before="60" w:after="80"/>
      </w:pPr>
      <w:r>
        <w:rPr>
          <w:rFonts w:ascii="Calibri" w:cs="Calibri" w:eastAsia="Calibri" w:hAnsi="Calibri"/>
          <w:b w:val="false"/>
          <w:bCs w:val="false"/>
          <w:color w:val="000000"/>
          <w:sz w:val="20"/>
          <w:szCs w:val="20"/>
        </w:rPr>
        <w:t xml:space="preserve">The codebase reflects strong progress in core security practices — bcrypt password hashing and JWT authentication are properly implemented. However, several critical and high-severity issues remain that must be resolved before any public demo, external code review, or production deployment. The most urgent issue is the presence of live API keys hardcoded directly in source files.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000"/>
      </w:tblGrid>
      <w:tr>
        <w:trPr>
          <w:tblHeader/>
        </w:trPr>
        <w:tc>
          <w:tcPr>
            <w:tcW w:type="dxa" w:w="2000"/>
            <w:tcBorders>
              <w:top w:val="single" w:color="B0C4DE" w:sz="1"/>
              <w:left w:val="single" w:color="B0C4DE" w:sz="1"/>
              <w:bottom w:val="single" w:color="B0C4DE" w:sz="1"/>
              <w:right w:val="single" w:color="B0C4DE" w:sz="1"/>
            </w:tcBorders>
            <w:shd w:fill="1F3864" w:val="clear"/>
            <w:tcMar>
              <w:top w:type="dxa" w:w="100"/>
              <w:left w:type="dxa" w:w="140"/>
              <w:bottom w:type="dxa" w:w="100"/>
              <w:right w:type="dxa" w:w="140"/>
            </w:tcMar>
            <w:vAlign w:val="top"/>
          </w:tcPr>
          <w:p>
            <w:pPr>
              <w:jc w:val="left"/>
            </w:pPr>
            <w:r>
              <w:rPr>
                <w:rFonts w:ascii="Calibri" w:cs="Calibri" w:eastAsia="Calibri" w:hAnsi="Calibri"/>
                <w:b/>
                <w:bCs/>
                <w:color w:val="FFFFFF"/>
                <w:sz w:val="18"/>
                <w:szCs w:val="18"/>
              </w:rPr>
              <w:t xml:space="preserve">Severity</w:t>
            </w:r>
          </w:p>
        </w:tc>
        <w:tc>
          <w:tcPr>
            <w:tcW w:type="dxa" w:w="1500"/>
            <w:tcBorders>
              <w:top w:val="single" w:color="B0C4DE" w:sz="1"/>
              <w:left w:val="single" w:color="B0C4DE" w:sz="1"/>
              <w:bottom w:val="single" w:color="B0C4DE" w:sz="1"/>
              <w:right w:val="single" w:color="B0C4DE" w:sz="1"/>
            </w:tcBorders>
            <w:shd w:fill="1F3864" w:val="clear"/>
            <w:tcMar>
              <w:top w:type="dxa" w:w="100"/>
              <w:left w:type="dxa" w:w="140"/>
              <w:bottom w:type="dxa" w:w="100"/>
              <w:right w:type="dxa" w:w="140"/>
            </w:tcMar>
            <w:vAlign w:val="top"/>
          </w:tcPr>
          <w:p>
            <w:pPr>
              <w:jc w:val="left"/>
            </w:pPr>
            <w:r>
              <w:rPr>
                <w:rFonts w:ascii="Calibri" w:cs="Calibri" w:eastAsia="Calibri" w:hAnsi="Calibri"/>
                <w:b/>
                <w:bCs/>
                <w:color w:val="FFFFFF"/>
                <w:sz w:val="18"/>
                <w:szCs w:val="18"/>
              </w:rPr>
              <w:t xml:space="preserve">Count</w:t>
            </w:r>
          </w:p>
        </w:tc>
        <w:tc>
          <w:tcPr>
            <w:tcW w:type="dxa" w:w="6000"/>
            <w:tcBorders>
              <w:top w:val="single" w:color="B0C4DE" w:sz="1"/>
              <w:left w:val="single" w:color="B0C4DE" w:sz="1"/>
              <w:bottom w:val="single" w:color="B0C4DE" w:sz="1"/>
              <w:right w:val="single" w:color="B0C4DE" w:sz="1"/>
            </w:tcBorders>
            <w:shd w:fill="1F3864" w:val="clear"/>
            <w:tcMar>
              <w:top w:type="dxa" w:w="100"/>
              <w:left w:type="dxa" w:w="140"/>
              <w:bottom w:type="dxa" w:w="100"/>
              <w:right w:type="dxa" w:w="140"/>
            </w:tcMar>
            <w:vAlign w:val="top"/>
          </w:tcPr>
          <w:p>
            <w:pPr>
              <w:jc w:val="left"/>
            </w:pPr>
            <w:r>
              <w:rPr>
                <w:rFonts w:ascii="Calibri" w:cs="Calibri" w:eastAsia="Calibri" w:hAnsi="Calibri"/>
                <w:b/>
                <w:bCs/>
                <w:color w:val="FFFFFF"/>
                <w:sz w:val="18"/>
                <w:szCs w:val="18"/>
              </w:rPr>
              <w:t xml:space="preserve">Status</w:t>
            </w:r>
          </w:p>
        </w:tc>
      </w:tr>
      <w:tr>
        <w:tc>
          <w:tcPr>
            <w:tcW w:type="dxa" w:w="20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CRITICAL</w:t>
            </w:r>
          </w:p>
        </w:tc>
        <w:tc>
          <w:tcPr>
            <w:tcW w:type="dxa" w:w="15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2</w:t>
            </w:r>
          </w:p>
        </w:tc>
        <w:tc>
          <w:tcPr>
            <w:tcW w:type="dxa" w:w="60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Must resolve before demo/commit</w:t>
            </w:r>
          </w:p>
        </w:tc>
      </w:tr>
      <w:tr>
        <w:tc>
          <w:tcPr>
            <w:tcW w:type="dxa" w:w="20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HIGH</w:t>
            </w:r>
          </w:p>
        </w:tc>
        <w:tc>
          <w:tcPr>
            <w:tcW w:type="dxa" w:w="15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5</w:t>
            </w:r>
          </w:p>
        </w:tc>
        <w:tc>
          <w:tcPr>
            <w:tcW w:type="dxa" w:w="60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Must resolve before production</w:t>
            </w:r>
          </w:p>
        </w:tc>
      </w:tr>
      <w:tr>
        <w:tc>
          <w:tcPr>
            <w:tcW w:type="dxa" w:w="20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MEDIUM</w:t>
            </w:r>
          </w:p>
        </w:tc>
        <w:tc>
          <w:tcPr>
            <w:tcW w:type="dxa" w:w="15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8</w:t>
            </w:r>
          </w:p>
        </w:tc>
        <w:tc>
          <w:tcPr>
            <w:tcW w:type="dxa" w:w="60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Should resolve before production</w:t>
            </w:r>
          </w:p>
        </w:tc>
      </w:tr>
      <w:tr>
        <w:tc>
          <w:tcPr>
            <w:tcW w:type="dxa" w:w="20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LOW / INFO</w:t>
            </w:r>
          </w:p>
        </w:tc>
        <w:tc>
          <w:tcPr>
            <w:tcW w:type="dxa" w:w="15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4</w:t>
            </w:r>
          </w:p>
        </w:tc>
        <w:tc>
          <w:tcPr>
            <w:tcW w:type="dxa" w:w="60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Recommended improvements</w:t>
            </w:r>
          </w:p>
        </w:tc>
      </w:tr>
    </w:tbl>
    <w:p>
      <w:pPr>
        <w:spacing w:before="40" w:after="40"/>
      </w:pPr>
      <w:r>
        <w:t xml:space="preserve"/>
      </w:r>
    </w:p>
    <w:p>
      <w:pPr>
        <w:pBdr>
          <w:bottom w:val="single" w:color="2E75B6" w:sz="6" w:space="2"/>
        </w:pBdr>
        <w:spacing w:before="340" w:after="100"/>
      </w:pPr>
      <w:r>
        <w:rPr>
          <w:rFonts w:ascii="Calibri" w:cs="Calibri" w:eastAsia="Calibri" w:hAnsi="Calibri"/>
          <w:b/>
          <w:bCs/>
          <w:color w:val="1F3864"/>
          <w:sz w:val="32"/>
          <w:szCs w:val="32"/>
        </w:rPr>
        <w:t xml:space="preserve">Severity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B0C4DE" w:sz="1"/>
              <w:left w:val="single" w:color="B0C4DE" w:sz="1"/>
              <w:bottom w:val="single" w:color="B0C4DE" w:sz="1"/>
              <w:right w:val="single" w:color="B0C4DE" w:sz="1"/>
            </w:tcBorders>
            <w:shd w:fill="1F3864" w:val="clear"/>
            <w:tcMar>
              <w:top w:type="dxa" w:w="100"/>
              <w:left w:type="dxa" w:w="140"/>
              <w:bottom w:type="dxa" w:w="100"/>
              <w:right w:type="dxa" w:w="140"/>
            </w:tcMar>
            <w:vAlign w:val="top"/>
          </w:tcPr>
          <w:p>
            <w:pPr>
              <w:jc w:val="left"/>
            </w:pPr>
            <w:r>
              <w:rPr>
                <w:rFonts w:ascii="Calibri" w:cs="Calibri" w:eastAsia="Calibri" w:hAnsi="Calibri"/>
                <w:b/>
                <w:bCs/>
                <w:color w:val="FFFFFF"/>
                <w:sz w:val="18"/>
                <w:szCs w:val="18"/>
              </w:rPr>
              <w:t xml:space="preserve">Level</w:t>
            </w:r>
          </w:p>
        </w:tc>
        <w:tc>
          <w:tcPr>
            <w:tcW w:type="dxa" w:w="3000"/>
            <w:tcBorders>
              <w:top w:val="single" w:color="B0C4DE" w:sz="1"/>
              <w:left w:val="single" w:color="B0C4DE" w:sz="1"/>
              <w:bottom w:val="single" w:color="B0C4DE" w:sz="1"/>
              <w:right w:val="single" w:color="B0C4DE" w:sz="1"/>
            </w:tcBorders>
            <w:shd w:fill="1F3864" w:val="clear"/>
            <w:tcMar>
              <w:top w:type="dxa" w:w="100"/>
              <w:left w:type="dxa" w:w="140"/>
              <w:bottom w:type="dxa" w:w="100"/>
              <w:right w:type="dxa" w:w="140"/>
            </w:tcMar>
            <w:vAlign w:val="top"/>
          </w:tcPr>
          <w:p>
            <w:pPr>
              <w:jc w:val="left"/>
            </w:pPr>
            <w:r>
              <w:rPr>
                <w:rFonts w:ascii="Calibri" w:cs="Calibri" w:eastAsia="Calibri" w:hAnsi="Calibri"/>
                <w:b/>
                <w:bCs/>
                <w:color w:val="FFFFFF"/>
                <w:sz w:val="18"/>
                <w:szCs w:val="18"/>
              </w:rPr>
              <w:t xml:space="preserve">Definition</w:t>
            </w:r>
          </w:p>
        </w:tc>
        <w:tc>
          <w:tcPr>
            <w:tcW w:type="dxa" w:w="5160"/>
            <w:tcBorders>
              <w:top w:val="single" w:color="B0C4DE" w:sz="1"/>
              <w:left w:val="single" w:color="B0C4DE" w:sz="1"/>
              <w:bottom w:val="single" w:color="B0C4DE" w:sz="1"/>
              <w:right w:val="single" w:color="B0C4DE" w:sz="1"/>
            </w:tcBorders>
            <w:shd w:fill="1F3864" w:val="clear"/>
            <w:tcMar>
              <w:top w:type="dxa" w:w="100"/>
              <w:left w:type="dxa" w:w="140"/>
              <w:bottom w:type="dxa" w:w="100"/>
              <w:right w:type="dxa" w:w="140"/>
            </w:tcMar>
            <w:vAlign w:val="top"/>
          </w:tcPr>
          <w:p>
            <w:pPr>
              <w:jc w:val="left"/>
            </w:pPr>
            <w:r>
              <w:rPr>
                <w:rFonts w:ascii="Calibri" w:cs="Calibri" w:eastAsia="Calibri" w:hAnsi="Calibri"/>
                <w:b/>
                <w:bCs/>
                <w:color w:val="FFFFFF"/>
                <w:sz w:val="18"/>
                <w:szCs w:val="18"/>
              </w:rPr>
              <w:t xml:space="preserve">Action Required</w:t>
            </w:r>
          </w:p>
        </w:tc>
      </w:tr>
      <w:tr>
        <w:tc>
          <w:tcPr>
            <w:tcW w:type="dxa" w:w="1200"/>
            <w:tcBorders>
              <w:top w:val="single" w:color="B0C4DE" w:sz="1"/>
              <w:left w:val="single" w:color="B0C4DE" w:sz="1"/>
              <w:bottom w:val="single" w:color="B0C4DE" w:sz="1"/>
              <w:right w:val="single" w:color="B0C4DE" w:sz="1"/>
            </w:tcBorders>
            <w:shd w:fill="FCE4D6"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CRITICAL</w:t>
            </w:r>
          </w:p>
        </w:tc>
        <w:tc>
          <w:tcPr>
            <w:tcW w:type="dxa" w:w="3000"/>
            <w:tcBorders>
              <w:top w:val="single" w:color="B0C4DE" w:sz="1"/>
              <w:left w:val="single" w:color="B0C4DE" w:sz="1"/>
              <w:bottom w:val="single" w:color="B0C4DE" w:sz="1"/>
              <w:right w:val="single" w:color="B0C4DE" w:sz="1"/>
            </w:tcBorders>
            <w:shd w:fill="FCE4D6"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Live secret or credential exposure; active exploitable risk in current code</w:t>
            </w:r>
          </w:p>
        </w:tc>
        <w:tc>
          <w:tcPr>
            <w:tcW w:type="dxa" w:w="5160"/>
            <w:tcBorders>
              <w:top w:val="single" w:color="B0C4DE" w:sz="1"/>
              <w:left w:val="single" w:color="B0C4DE" w:sz="1"/>
              <w:bottom w:val="single" w:color="B0C4DE" w:sz="1"/>
              <w:right w:val="single" w:color="B0C4DE" w:sz="1"/>
            </w:tcBorders>
            <w:shd w:fill="FCE4D6"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Fix before any commit to a shared/public repository or demo</w:t>
            </w:r>
          </w:p>
        </w:tc>
      </w:tr>
      <w:tr>
        <w:tc>
          <w:tcPr>
            <w:tcW w:type="dxa" w:w="1200"/>
            <w:tcBorders>
              <w:top w:val="single" w:color="B0C4DE" w:sz="1"/>
              <w:left w:val="single" w:color="B0C4DE" w:sz="1"/>
              <w:bottom w:val="single" w:color="B0C4DE" w:sz="1"/>
              <w:right w:val="single" w:color="B0C4DE" w:sz="1"/>
            </w:tcBorders>
            <w:shd w:fill="FFF2CC"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HIGH</w:t>
            </w:r>
          </w:p>
        </w:tc>
        <w:tc>
          <w:tcPr>
            <w:tcW w:type="dxa" w:w="3000"/>
            <w:tcBorders>
              <w:top w:val="single" w:color="B0C4DE" w:sz="1"/>
              <w:left w:val="single" w:color="B0C4DE" w:sz="1"/>
              <w:bottom w:val="single" w:color="B0C4DE" w:sz="1"/>
              <w:right w:val="single" w:color="B0C4DE" w:sz="1"/>
            </w:tcBorders>
            <w:shd w:fill="FFF2CC"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Direct security weakness (CORS, no rate limiting, secret defaults) that is exploitable in production</w:t>
            </w:r>
          </w:p>
        </w:tc>
        <w:tc>
          <w:tcPr>
            <w:tcW w:type="dxa" w:w="5160"/>
            <w:tcBorders>
              <w:top w:val="single" w:color="B0C4DE" w:sz="1"/>
              <w:left w:val="single" w:color="B0C4DE" w:sz="1"/>
              <w:bottom w:val="single" w:color="B0C4DE" w:sz="1"/>
              <w:right w:val="single" w:color="B0C4DE" w:sz="1"/>
            </w:tcBorders>
            <w:shd w:fill="FFF2CC"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Fix before production deployment</w:t>
            </w:r>
          </w:p>
        </w:tc>
      </w:tr>
      <w:tr>
        <w:tc>
          <w:tcPr>
            <w:tcW w:type="dxa" w:w="1200"/>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MEDIUM</w:t>
            </w:r>
          </w:p>
        </w:tc>
        <w:tc>
          <w:tcPr>
            <w:tcW w:type="dxa" w:w="3000"/>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Security gap that increases attack surface or weakens defenses; not immediately exploitable in isolation</w:t>
            </w:r>
          </w:p>
        </w:tc>
        <w:tc>
          <w:tcPr>
            <w:tcW w:type="dxa" w:w="5160"/>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Fix before production deployment; research mitigations now</w:t>
            </w:r>
          </w:p>
        </w:tc>
      </w:tr>
      <w:tr>
        <w:tc>
          <w:tcPr>
            <w:tcW w:type="dxa" w:w="1200"/>
            <w:tcBorders>
              <w:top w:val="single" w:color="B0C4DE" w:sz="1"/>
              <w:left w:val="single" w:color="B0C4DE" w:sz="1"/>
              <w:bottom w:val="single" w:color="B0C4DE" w:sz="1"/>
              <w:right w:val="single" w:color="B0C4DE" w:sz="1"/>
            </w:tcBorders>
            <w:shd w:fill="E2EFDA"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LOW / INFO</w:t>
            </w:r>
          </w:p>
        </w:tc>
        <w:tc>
          <w:tcPr>
            <w:tcW w:type="dxa" w:w="3000"/>
            <w:tcBorders>
              <w:top w:val="single" w:color="B0C4DE" w:sz="1"/>
              <w:left w:val="single" w:color="B0C4DE" w:sz="1"/>
              <w:bottom w:val="single" w:color="B0C4DE" w:sz="1"/>
              <w:right w:val="single" w:color="B0C4DE" w:sz="1"/>
            </w:tcBorders>
            <w:shd w:fill="E2EFDA"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Best-practice deviation; low direct impact but contributes to defense-in-depth</w:t>
            </w:r>
          </w:p>
        </w:tc>
        <w:tc>
          <w:tcPr>
            <w:tcW w:type="dxa" w:w="5160"/>
            <w:tcBorders>
              <w:top w:val="single" w:color="B0C4DE" w:sz="1"/>
              <w:left w:val="single" w:color="B0C4DE" w:sz="1"/>
              <w:bottom w:val="single" w:color="B0C4DE" w:sz="1"/>
              <w:right w:val="single" w:color="B0C4DE" w:sz="1"/>
            </w:tcBorders>
            <w:shd w:fill="E2EFDA"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Address before long-term maintenance</w:t>
            </w:r>
          </w:p>
        </w:tc>
      </w:tr>
    </w:tbl>
    <w:p>
      <w:pPr>
        <w:spacing w:before="40" w:after="40"/>
      </w:pPr>
      <w:r>
        <w:t xml:space="preserve"/>
      </w:r>
    </w:p>
    <w:p>
      <w:pPr>
        <w:pBdr>
          <w:bottom w:val="single" w:color="2E75B6" w:sz="6" w:space="2"/>
        </w:pBdr>
        <w:spacing w:before="340" w:after="100"/>
      </w:pPr>
      <w:r>
        <w:rPr>
          <w:rFonts w:ascii="Calibri" w:cs="Calibri" w:eastAsia="Calibri" w:hAnsi="Calibri"/>
          <w:b/>
          <w:bCs/>
          <w:color w:val="1F3864"/>
          <w:sz w:val="32"/>
          <w:szCs w:val="32"/>
        </w:rPr>
        <w:t xml:space="preserve">A — Backend Security Findings</w:t>
      </w:r>
    </w:p>
    <w:p>
      <w:pPr>
        <w:spacing w:before="60" w:after="80"/>
      </w:pPr>
      <w:r>
        <w:rPr>
          <w:rFonts w:ascii="Calibri" w:cs="Calibri" w:eastAsia="Calibri" w:hAnsi="Calibri"/>
          <w:b w:val="false"/>
          <w:bCs w:val="false"/>
          <w:color w:val="000000"/>
          <w:sz w:val="20"/>
          <w:szCs w:val="20"/>
        </w:rPr>
        <w:t xml:space="preserve">Source scope: backend/ directory — main.py, api/, auth/, config/, scrapers/, llm/, schemas/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00"/>
        <w:gridCol w:w="1500"/>
        <w:gridCol w:w="1700"/>
        <w:gridCol w:w="2280"/>
        <w:gridCol w:w="2580"/>
      </w:tblGrid>
      <w:tr>
        <w:trPr>
          <w:tblHeader/>
        </w:trPr>
        <w:tc>
          <w:tcPr>
            <w:tcW w:type="dxa" w:w="500"/>
            <w:tcBorders>
              <w:top w:val="single" w:color="B0C4DE" w:sz="1"/>
              <w:left w:val="single" w:color="B0C4DE" w:sz="1"/>
              <w:bottom w:val="single" w:color="B0C4DE" w:sz="1"/>
              <w:right w:val="single" w:color="B0C4DE" w:sz="1"/>
            </w:tcBorders>
            <w:shd w:fill="1F3864" w:val="clear"/>
            <w:tcMar>
              <w:top w:type="dxa" w:w="100"/>
              <w:left w:type="dxa" w:w="140"/>
              <w:bottom w:type="dxa" w:w="100"/>
              <w:right w:type="dxa" w:w="140"/>
            </w:tcMar>
            <w:vAlign w:val="top"/>
          </w:tcPr>
          <w:p>
            <w:pPr>
              <w:jc w:val="left"/>
            </w:pPr>
            <w:r>
              <w:rPr>
                <w:rFonts w:ascii="Calibri" w:cs="Calibri" w:eastAsia="Calibri" w:hAnsi="Calibri"/>
                <w:b/>
                <w:bCs/>
                <w:color w:val="FFFFFF"/>
                <w:sz w:val="18"/>
                <w:szCs w:val="18"/>
              </w:rPr>
              <w:t xml:space="preserve">#</w:t>
            </w:r>
          </w:p>
        </w:tc>
        <w:tc>
          <w:tcPr>
            <w:tcW w:type="dxa" w:w="800"/>
            <w:tcBorders>
              <w:top w:val="single" w:color="B0C4DE" w:sz="1"/>
              <w:left w:val="single" w:color="B0C4DE" w:sz="1"/>
              <w:bottom w:val="single" w:color="B0C4DE" w:sz="1"/>
              <w:right w:val="single" w:color="B0C4DE" w:sz="1"/>
            </w:tcBorders>
            <w:shd w:fill="1F3864" w:val="clear"/>
            <w:tcMar>
              <w:top w:type="dxa" w:w="100"/>
              <w:left w:type="dxa" w:w="140"/>
              <w:bottom w:type="dxa" w:w="100"/>
              <w:right w:type="dxa" w:w="140"/>
            </w:tcMar>
            <w:vAlign w:val="top"/>
          </w:tcPr>
          <w:p>
            <w:pPr>
              <w:jc w:val="left"/>
            </w:pPr>
            <w:r>
              <w:rPr>
                <w:rFonts w:ascii="Calibri" w:cs="Calibri" w:eastAsia="Calibri" w:hAnsi="Calibri"/>
                <w:b/>
                <w:bCs/>
                <w:color w:val="FFFFFF"/>
                <w:sz w:val="18"/>
                <w:szCs w:val="18"/>
              </w:rPr>
              <w:t xml:space="preserve">Severity</w:t>
            </w:r>
          </w:p>
        </w:tc>
        <w:tc>
          <w:tcPr>
            <w:tcW w:type="dxa" w:w="1500"/>
            <w:tcBorders>
              <w:top w:val="single" w:color="B0C4DE" w:sz="1"/>
              <w:left w:val="single" w:color="B0C4DE" w:sz="1"/>
              <w:bottom w:val="single" w:color="B0C4DE" w:sz="1"/>
              <w:right w:val="single" w:color="B0C4DE" w:sz="1"/>
            </w:tcBorders>
            <w:shd w:fill="1F3864" w:val="clear"/>
            <w:tcMar>
              <w:top w:type="dxa" w:w="100"/>
              <w:left w:type="dxa" w:w="140"/>
              <w:bottom w:type="dxa" w:w="100"/>
              <w:right w:type="dxa" w:w="140"/>
            </w:tcMar>
            <w:vAlign w:val="top"/>
          </w:tcPr>
          <w:p>
            <w:pPr>
              <w:jc w:val="left"/>
            </w:pPr>
            <w:r>
              <w:rPr>
                <w:rFonts w:ascii="Calibri" w:cs="Calibri" w:eastAsia="Calibri" w:hAnsi="Calibri"/>
                <w:b/>
                <w:bCs/>
                <w:color w:val="FFFFFF"/>
                <w:sz w:val="18"/>
                <w:szCs w:val="18"/>
              </w:rPr>
              <w:t xml:space="preserve">File / Location</w:t>
            </w:r>
          </w:p>
        </w:tc>
        <w:tc>
          <w:tcPr>
            <w:tcW w:type="dxa" w:w="1700"/>
            <w:tcBorders>
              <w:top w:val="single" w:color="B0C4DE" w:sz="1"/>
              <w:left w:val="single" w:color="B0C4DE" w:sz="1"/>
              <w:bottom w:val="single" w:color="B0C4DE" w:sz="1"/>
              <w:right w:val="single" w:color="B0C4DE" w:sz="1"/>
            </w:tcBorders>
            <w:shd w:fill="1F3864" w:val="clear"/>
            <w:tcMar>
              <w:top w:type="dxa" w:w="100"/>
              <w:left w:type="dxa" w:w="140"/>
              <w:bottom w:type="dxa" w:w="100"/>
              <w:right w:type="dxa" w:w="140"/>
            </w:tcMar>
            <w:vAlign w:val="top"/>
          </w:tcPr>
          <w:p>
            <w:pPr>
              <w:jc w:val="left"/>
            </w:pPr>
            <w:r>
              <w:rPr>
                <w:rFonts w:ascii="Calibri" w:cs="Calibri" w:eastAsia="Calibri" w:hAnsi="Calibri"/>
                <w:b/>
                <w:bCs/>
                <w:color w:val="FFFFFF"/>
                <w:sz w:val="18"/>
                <w:szCs w:val="18"/>
              </w:rPr>
              <w:t xml:space="preserve">Issue Title</w:t>
            </w:r>
          </w:p>
        </w:tc>
        <w:tc>
          <w:tcPr>
            <w:tcW w:type="dxa" w:w="2280"/>
            <w:tcBorders>
              <w:top w:val="single" w:color="B0C4DE" w:sz="1"/>
              <w:left w:val="single" w:color="B0C4DE" w:sz="1"/>
              <w:bottom w:val="single" w:color="B0C4DE" w:sz="1"/>
              <w:right w:val="single" w:color="B0C4DE" w:sz="1"/>
            </w:tcBorders>
            <w:shd w:fill="1F3864" w:val="clear"/>
            <w:tcMar>
              <w:top w:type="dxa" w:w="100"/>
              <w:left w:type="dxa" w:w="140"/>
              <w:bottom w:type="dxa" w:w="100"/>
              <w:right w:type="dxa" w:w="140"/>
            </w:tcMar>
            <w:vAlign w:val="top"/>
          </w:tcPr>
          <w:p>
            <w:pPr>
              <w:jc w:val="left"/>
            </w:pPr>
            <w:r>
              <w:rPr>
                <w:rFonts w:ascii="Calibri" w:cs="Calibri" w:eastAsia="Calibri" w:hAnsi="Calibri"/>
                <w:b/>
                <w:bCs/>
                <w:color w:val="FFFFFF"/>
                <w:sz w:val="18"/>
                <w:szCs w:val="18"/>
              </w:rPr>
              <w:t xml:space="preserve">Why It Is a Risk</w:t>
            </w:r>
          </w:p>
        </w:tc>
        <w:tc>
          <w:tcPr>
            <w:tcW w:type="dxa" w:w="2580"/>
            <w:tcBorders>
              <w:top w:val="single" w:color="B0C4DE" w:sz="1"/>
              <w:left w:val="single" w:color="B0C4DE" w:sz="1"/>
              <w:bottom w:val="single" w:color="B0C4DE" w:sz="1"/>
              <w:right w:val="single" w:color="B0C4DE" w:sz="1"/>
            </w:tcBorders>
            <w:shd w:fill="1F3864" w:val="clear"/>
            <w:tcMar>
              <w:top w:type="dxa" w:w="100"/>
              <w:left w:type="dxa" w:w="140"/>
              <w:bottom w:type="dxa" w:w="100"/>
              <w:right w:type="dxa" w:w="140"/>
            </w:tcMar>
            <w:vAlign w:val="top"/>
          </w:tcPr>
          <w:p>
            <w:pPr>
              <w:jc w:val="left"/>
            </w:pPr>
            <w:r>
              <w:rPr>
                <w:rFonts w:ascii="Calibri" w:cs="Calibri" w:eastAsia="Calibri" w:hAnsi="Calibri"/>
                <w:b/>
                <w:bCs/>
                <w:color w:val="FFFFFF"/>
                <w:sz w:val="18"/>
                <w:szCs w:val="18"/>
              </w:rPr>
              <w:t xml:space="preserve">Solutions to Research</w:t>
            </w:r>
          </w:p>
        </w:tc>
      </w:tr>
      <w:tr>
        <w:tc>
          <w:tcPr>
            <w:tcBorders>
              <w:top w:val="single" w:color="B0C4DE" w:sz="1"/>
              <w:left w:val="single" w:color="B0C4DE" w:sz="1"/>
              <w:bottom w:val="single" w:color="B0C4DE" w:sz="1"/>
              <w:right w:val="single" w:color="B0C4DE" w:sz="1"/>
            </w:tcBorders>
            <w:shd w:fill="FCE4D6" w:val="clear"/>
            <w:tcMar>
              <w:top w:type="dxa" w:w="100"/>
              <w:left w:type="dxa" w:w="140"/>
              <w:bottom w:type="dxa" w:w="100"/>
              <w:right w:type="dxa" w:w="140"/>
            </w:tcMar>
            <w:vAlign w:val="top"/>
          </w:tcPr>
          <w:p>
            <w:r>
              <w:rPr>
                <w:rFonts w:ascii="Calibri" w:cs="Calibri" w:eastAsia="Calibri" w:hAnsi="Calibri"/>
                <w:b/>
                <w:bCs/>
                <w:color w:val="C00000"/>
                <w:sz w:val="17"/>
                <w:szCs w:val="17"/>
              </w:rPr>
              <w:t xml:space="preserve">B-01</w:t>
            </w:r>
          </w:p>
        </w:tc>
        <w:tc>
          <w:tcPr>
            <w:tcBorders>
              <w:top w:val="single" w:color="B0C4DE" w:sz="1"/>
              <w:left w:val="single" w:color="B0C4DE" w:sz="1"/>
              <w:bottom w:val="single" w:color="B0C4DE" w:sz="1"/>
              <w:right w:val="single" w:color="B0C4DE" w:sz="1"/>
            </w:tcBorders>
            <w:shd w:fill="FCE4D6" w:val="clear"/>
            <w:tcMar>
              <w:top w:type="dxa" w:w="100"/>
              <w:left w:type="dxa" w:w="140"/>
              <w:bottom w:type="dxa" w:w="100"/>
              <w:right w:type="dxa" w:w="140"/>
            </w:tcMar>
            <w:vAlign w:val="top"/>
          </w:tcPr>
          <w:p>
            <w:r>
              <w:rPr>
                <w:rFonts w:ascii="Calibri" w:cs="Calibri" w:eastAsia="Calibri" w:hAnsi="Calibri"/>
                <w:b/>
                <w:bCs/>
                <w:color w:val="C00000"/>
                <w:sz w:val="17"/>
                <w:szCs w:val="17"/>
              </w:rPr>
              <w:t xml:space="preserve">CRITICAL</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backend/scrapers/web_scraper.py  line ~66</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bCs/>
                <w:color w:val="000000"/>
                <w:sz w:val="17"/>
                <w:szCs w:val="17"/>
              </w:rPr>
              <w:t xml:space="preserve">Hardcoded Firecrawl API Key</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The string literal "fc-fa26117bfd0f47f184cbe7add944d79f" is committed directly in source code. Anyone with repo access — including future code reviewers or if the repo is ever pushed publicly — can immediately extract and abuse this key, incurring financial charges and data exposure on the team's account.</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pStyle w:val="ListParagraph"/>
              <w:numPr>
                <w:ilvl w:val="0"/>
                <w:numId w:val="1"/>
              </w:numPr>
            </w:pPr>
            <w:r>
              <w:rPr>
                <w:rFonts w:ascii="Calibri" w:cs="Calibri" w:eastAsia="Calibri" w:hAnsi="Calibri"/>
                <w:color w:val="000000"/>
                <w:sz w:val="17"/>
                <w:szCs w:val="17"/>
              </w:rPr>
              <w:t xml:space="preserve">Rotate the key immediately at firecrawl.dev and treat the current key as compromised.</w:t>
            </w:r>
          </w:p>
          <w:p>
            <w:pPr>
              <w:pStyle w:val="ListParagraph"/>
              <w:numPr>
                <w:ilvl w:val="0"/>
                <w:numId w:val="1"/>
              </w:numPr>
            </w:pPr>
            <w:r>
              <w:rPr>
                <w:rFonts w:ascii="Calibri" w:cs="Calibri" w:eastAsia="Calibri" w:hAnsi="Calibri"/>
                <w:color w:val="000000"/>
                <w:sz w:val="17"/>
                <w:szCs w:val="17"/>
              </w:rPr>
              <w:t xml:space="preserve">Move to settings.FIRECRAWL_API_KEY (already defined in config/settings.py). The variable exists — just use it.</w:t>
            </w:r>
          </w:p>
          <w:p>
            <w:pPr>
              <w:pStyle w:val="ListParagraph"/>
              <w:numPr>
                <w:ilvl w:val="0"/>
                <w:numId w:val="1"/>
              </w:numPr>
            </w:pPr>
            <w:r>
              <w:rPr>
                <w:rFonts w:ascii="Calibri" w:cs="Calibri" w:eastAsia="Calibri" w:hAnsi="Calibri"/>
                <w:color w:val="000000"/>
                <w:sz w:val="17"/>
                <w:szCs w:val="17"/>
              </w:rPr>
              <w:t xml:space="preserve">Research: git-secrets or truffleHog as a pre-commit hook to prevent future key commits.</w:t>
            </w:r>
          </w:p>
          <w:p>
            <w:pPr>
              <w:pStyle w:val="ListParagraph"/>
              <w:numPr>
                <w:ilvl w:val="0"/>
                <w:numId w:val="1"/>
              </w:numPr>
            </w:pPr>
            <w:r>
              <w:rPr>
                <w:rFonts w:ascii="Calibri" w:cs="Calibri" w:eastAsia="Calibri" w:hAnsi="Calibri"/>
                <w:color w:val="000000"/>
                <w:sz w:val="17"/>
                <w:szCs w:val="17"/>
              </w:rPr>
              <w:t xml:space="preserve">Research: GitHub secret scanning to detect if key has already been pushed to any remote.</w:t>
            </w:r>
          </w:p>
        </w:tc>
      </w:tr>
      <w:tr>
        <w:tc>
          <w:tcPr>
            <w:tcBorders>
              <w:top w:val="single" w:color="B0C4DE" w:sz="1"/>
              <w:left w:val="single" w:color="B0C4DE" w:sz="1"/>
              <w:bottom w:val="single" w:color="B0C4DE" w:sz="1"/>
              <w:right w:val="single" w:color="B0C4DE" w:sz="1"/>
            </w:tcBorders>
            <w:shd w:fill="FCE4D6" w:val="clear"/>
            <w:tcMar>
              <w:top w:type="dxa" w:w="100"/>
              <w:left w:type="dxa" w:w="140"/>
              <w:bottom w:type="dxa" w:w="100"/>
              <w:right w:type="dxa" w:w="140"/>
            </w:tcMar>
            <w:vAlign w:val="top"/>
          </w:tcPr>
          <w:p>
            <w:r>
              <w:rPr>
                <w:rFonts w:ascii="Calibri" w:cs="Calibri" w:eastAsia="Calibri" w:hAnsi="Calibri"/>
                <w:b/>
                <w:bCs/>
                <w:color w:val="C00000"/>
                <w:sz w:val="17"/>
                <w:szCs w:val="17"/>
              </w:rPr>
              <w:t xml:space="preserve">B-02</w:t>
            </w:r>
          </w:p>
        </w:tc>
        <w:tc>
          <w:tcPr>
            <w:tcBorders>
              <w:top w:val="single" w:color="B0C4DE" w:sz="1"/>
              <w:left w:val="single" w:color="B0C4DE" w:sz="1"/>
              <w:bottom w:val="single" w:color="B0C4DE" w:sz="1"/>
              <w:right w:val="single" w:color="B0C4DE" w:sz="1"/>
            </w:tcBorders>
            <w:shd w:fill="FCE4D6" w:val="clear"/>
            <w:tcMar>
              <w:top w:type="dxa" w:w="100"/>
              <w:left w:type="dxa" w:w="140"/>
              <w:bottom w:type="dxa" w:w="100"/>
              <w:right w:type="dxa" w:w="140"/>
            </w:tcMar>
            <w:vAlign w:val="top"/>
          </w:tcPr>
          <w:p>
            <w:r>
              <w:rPr>
                <w:rFonts w:ascii="Calibri" w:cs="Calibri" w:eastAsia="Calibri" w:hAnsi="Calibri"/>
                <w:b/>
                <w:bCs/>
                <w:color w:val="C00000"/>
                <w:sz w:val="17"/>
                <w:szCs w:val="17"/>
              </w:rPr>
              <w:t xml:space="preserve">CRITICAL</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backend/llm/summarizer.py  lines ~23, ~35</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bCs/>
                <w:color w:val="000000"/>
                <w:sz w:val="17"/>
                <w:szCs w:val="17"/>
              </w:rPr>
              <w:t xml:space="preserve">Hardcoded DeepSeek + Anthropic API Keys</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Two live provider API keys are embedded as string literals in summarizer.py. DeepSeek's free tier still allows significant usage by a third party; Anthropic keys can generate substantial billing. These are different files from the Firecrawl key — all three must be treated as compromised.</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pStyle w:val="ListParagraph"/>
              <w:numPr>
                <w:ilvl w:val="0"/>
                <w:numId w:val="1"/>
              </w:numPr>
            </w:pPr>
            <w:r>
              <w:rPr>
                <w:rFonts w:ascii="Calibri" w:cs="Calibri" w:eastAsia="Calibri" w:hAnsi="Calibri"/>
                <w:color w:val="000000"/>
                <w:sz w:val="17"/>
                <w:szCs w:val="17"/>
              </w:rPr>
              <w:t xml:space="preserve">Rotate both keys immediately at their respective provider dashboards.</w:t>
            </w:r>
          </w:p>
          <w:p>
            <w:pPr>
              <w:pStyle w:val="ListParagraph"/>
              <w:numPr>
                <w:ilvl w:val="0"/>
                <w:numId w:val="1"/>
              </w:numPr>
            </w:pPr>
            <w:r>
              <w:rPr>
                <w:rFonts w:ascii="Calibri" w:cs="Calibri" w:eastAsia="Calibri" w:hAnsi="Calibri"/>
                <w:color w:val="000000"/>
                <w:sz w:val="17"/>
                <w:szCs w:val="17"/>
              </w:rPr>
              <w:t xml:space="preserve">Replace both with settings.LLM_API_KEY (already present in settings.py).</w:t>
            </w:r>
          </w:p>
          <w:p>
            <w:pPr>
              <w:pStyle w:val="ListParagraph"/>
              <w:numPr>
                <w:ilvl w:val="0"/>
                <w:numId w:val="1"/>
              </w:numPr>
            </w:pPr>
            <w:r>
              <w:rPr>
                <w:rFonts w:ascii="Calibri" w:cs="Calibri" w:eastAsia="Calibri" w:hAnsi="Calibri"/>
                <w:color w:val="000000"/>
                <w:sz w:val="17"/>
                <w:szCs w:val="17"/>
              </w:rPr>
              <w:t xml:space="preserve">For providers that need separate keys (e.g. a different Anthropic vs. DeepSeek key), add ANTHROPIC_API_KEY and DEEPSEEK_API_KEY to settings.py and .env.example.</w:t>
            </w:r>
          </w:p>
          <w:p>
            <w:pPr>
              <w:pStyle w:val="ListParagraph"/>
              <w:numPr>
                <w:ilvl w:val="0"/>
                <w:numId w:val="1"/>
              </w:numPr>
            </w:pPr>
            <w:r>
              <w:rPr>
                <w:rFonts w:ascii="Calibri" w:cs="Calibri" w:eastAsia="Calibri" w:hAnsi="Calibri"/>
                <w:color w:val="000000"/>
                <w:sz w:val="17"/>
                <w:szCs w:val="17"/>
              </w:rPr>
              <w:t xml:space="preserve">Research: Bandit (Python AST linter) — rule B105/B106 — to catch hardcoded secrets in CI.</w:t>
            </w:r>
          </w:p>
        </w:tc>
      </w:tr>
      <w:tr>
        <w:tc>
          <w:tcPr>
            <w:tcBorders>
              <w:top w:val="single" w:color="B0C4DE" w:sz="1"/>
              <w:left w:val="single" w:color="B0C4DE" w:sz="1"/>
              <w:bottom w:val="single" w:color="B0C4DE" w:sz="1"/>
              <w:right w:val="single" w:color="B0C4DE" w:sz="1"/>
            </w:tcBorders>
            <w:shd w:fill="FFF2CC" w:val="clear"/>
            <w:tcMar>
              <w:top w:type="dxa" w:w="100"/>
              <w:left w:type="dxa" w:w="140"/>
              <w:bottom w:type="dxa" w:w="100"/>
              <w:right w:type="dxa" w:w="140"/>
            </w:tcMar>
            <w:vAlign w:val="top"/>
          </w:tcPr>
          <w:p>
            <w:r>
              <w:rPr>
                <w:rFonts w:ascii="Calibri" w:cs="Calibri" w:eastAsia="Calibri" w:hAnsi="Calibri"/>
                <w:b/>
                <w:bCs/>
                <w:color w:val="7F6000"/>
                <w:sz w:val="17"/>
                <w:szCs w:val="17"/>
              </w:rPr>
              <w:t xml:space="preserve">B-03</w:t>
            </w:r>
          </w:p>
        </w:tc>
        <w:tc>
          <w:tcPr>
            <w:tcBorders>
              <w:top w:val="single" w:color="B0C4DE" w:sz="1"/>
              <w:left w:val="single" w:color="B0C4DE" w:sz="1"/>
              <w:bottom w:val="single" w:color="B0C4DE" w:sz="1"/>
              <w:right w:val="single" w:color="B0C4DE" w:sz="1"/>
            </w:tcBorders>
            <w:shd w:fill="FFF2CC" w:val="clear"/>
            <w:tcMar>
              <w:top w:type="dxa" w:w="100"/>
              <w:left w:type="dxa" w:w="140"/>
              <w:bottom w:type="dxa" w:w="100"/>
              <w:right w:type="dxa" w:w="140"/>
            </w:tcMar>
            <w:vAlign w:val="top"/>
          </w:tcPr>
          <w:p>
            <w:r>
              <w:rPr>
                <w:rFonts w:ascii="Calibri" w:cs="Calibri" w:eastAsia="Calibri" w:hAnsi="Calibri"/>
                <w:b/>
                <w:bCs/>
                <w:color w:val="7F6000"/>
                <w:sz w:val="17"/>
                <w:szCs w:val="17"/>
              </w:rPr>
              <w:t xml:space="preserve">HIGH</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backend/config/settings.py  line ~29
backend/auth/security.py</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bCs/>
                <w:color w:val="000000"/>
                <w:sz w:val="17"/>
                <w:szCs w:val="17"/>
              </w:rPr>
              <w:t xml:space="preserve">Default JWT Secret Key Is a Placeholder String</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JWT_SECRET_KEY defaults to the literal string "CHANGE-ME-set-a-real-secret-in-dotenv". If a developer runs the app without a .env file (common in early dev/CI), all JWTs will be signed with this well-known value. Any attacker who knows this default can forge valid tokens for any user ID.</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pStyle w:val="ListParagraph"/>
              <w:numPr>
                <w:ilvl w:val="0"/>
                <w:numId w:val="1"/>
              </w:numPr>
            </w:pPr>
            <w:r>
              <w:rPr>
                <w:rFonts w:ascii="Calibri" w:cs="Calibri" w:eastAsia="Calibri" w:hAnsi="Calibri"/>
                <w:color w:val="000000"/>
                <w:sz w:val="17"/>
                <w:szCs w:val="17"/>
              </w:rPr>
              <w:t xml:space="preserve">Add a startup assertion in main.py or settings.py that raises an error if JWT_SECRET_KEY equals the default string.</w:t>
            </w:r>
          </w:p>
          <w:p>
            <w:pPr>
              <w:pStyle w:val="ListParagraph"/>
              <w:numPr>
                <w:ilvl w:val="0"/>
                <w:numId w:val="1"/>
              </w:numPr>
            </w:pPr>
            <w:r>
              <w:rPr>
                <w:rFonts w:ascii="Calibri" w:cs="Calibri" w:eastAsia="Calibri" w:hAnsi="Calibri"/>
                <w:color w:val="000000"/>
                <w:sz w:val="17"/>
                <w:szCs w:val="17"/>
              </w:rPr>
              <w:t xml:space="preserve">Research: Python secrets.token_hex(32) for generating a cryptographically strong 256-bit key.</w:t>
            </w:r>
          </w:p>
          <w:p>
            <w:pPr>
              <w:pStyle w:val="ListParagraph"/>
              <w:numPr>
                <w:ilvl w:val="0"/>
                <w:numId w:val="1"/>
              </w:numPr>
            </w:pPr>
            <w:r>
              <w:rPr>
                <w:rFonts w:ascii="Calibri" w:cs="Calibri" w:eastAsia="Calibri" w:hAnsi="Calibri"/>
                <w:color w:val="000000"/>
                <w:sz w:val="17"/>
                <w:szCs w:val="17"/>
              </w:rPr>
              <w:t xml:space="preserve">Research: Adding JWT_SECRET_KEY to .env.example with a placeholder comment and documentation.</w:t>
            </w:r>
          </w:p>
          <w:p>
            <w:pPr>
              <w:pStyle w:val="ListParagraph"/>
              <w:numPr>
                <w:ilvl w:val="0"/>
                <w:numId w:val="1"/>
              </w:numPr>
            </w:pPr>
            <w:r>
              <w:rPr>
                <w:rFonts w:ascii="Calibri" w:cs="Calibri" w:eastAsia="Calibri" w:hAnsi="Calibri"/>
                <w:color w:val="000000"/>
                <w:sz w:val="17"/>
                <w:szCs w:val="17"/>
              </w:rPr>
              <w:t xml:space="preserve">Research: FastAPI startup validation patterns (lifespan hook) to enforce required env vars.</w:t>
            </w:r>
          </w:p>
        </w:tc>
      </w:tr>
      <w:tr>
        <w:tc>
          <w:tcPr>
            <w:tcBorders>
              <w:top w:val="single" w:color="B0C4DE" w:sz="1"/>
              <w:left w:val="single" w:color="B0C4DE" w:sz="1"/>
              <w:bottom w:val="single" w:color="B0C4DE" w:sz="1"/>
              <w:right w:val="single" w:color="B0C4DE" w:sz="1"/>
            </w:tcBorders>
            <w:shd w:fill="FFF2CC" w:val="clear"/>
            <w:tcMar>
              <w:top w:type="dxa" w:w="100"/>
              <w:left w:type="dxa" w:w="140"/>
              <w:bottom w:type="dxa" w:w="100"/>
              <w:right w:type="dxa" w:w="140"/>
            </w:tcMar>
            <w:vAlign w:val="top"/>
          </w:tcPr>
          <w:p>
            <w:r>
              <w:rPr>
                <w:rFonts w:ascii="Calibri" w:cs="Calibri" w:eastAsia="Calibri" w:hAnsi="Calibri"/>
                <w:b/>
                <w:bCs/>
                <w:color w:val="7F6000"/>
                <w:sz w:val="17"/>
                <w:szCs w:val="17"/>
              </w:rPr>
              <w:t xml:space="preserve">B-04</w:t>
            </w:r>
          </w:p>
        </w:tc>
        <w:tc>
          <w:tcPr>
            <w:tcBorders>
              <w:top w:val="single" w:color="B0C4DE" w:sz="1"/>
              <w:left w:val="single" w:color="B0C4DE" w:sz="1"/>
              <w:bottom w:val="single" w:color="B0C4DE" w:sz="1"/>
              <w:right w:val="single" w:color="B0C4DE" w:sz="1"/>
            </w:tcBorders>
            <w:shd w:fill="FFF2CC" w:val="clear"/>
            <w:tcMar>
              <w:top w:type="dxa" w:w="100"/>
              <w:left w:type="dxa" w:w="140"/>
              <w:bottom w:type="dxa" w:w="100"/>
              <w:right w:type="dxa" w:w="140"/>
            </w:tcMar>
            <w:vAlign w:val="top"/>
          </w:tcPr>
          <w:p>
            <w:r>
              <w:rPr>
                <w:rFonts w:ascii="Calibri" w:cs="Calibri" w:eastAsia="Calibri" w:hAnsi="Calibri"/>
                <w:b/>
                <w:bCs/>
                <w:color w:val="7F6000"/>
                <w:sz w:val="17"/>
                <w:szCs w:val="17"/>
              </w:rPr>
              <w:t xml:space="preserve">HIGH</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backend/main.py  lines ~48-54</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bCs/>
                <w:color w:val="000000"/>
                <w:sz w:val="17"/>
                <w:szCs w:val="17"/>
              </w:rPr>
              <w:t xml:space="preserve">CORS Policy Allows All Origins (Wildcard)</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allow_origins=["*"] permits any website on the internet to make credentialed cross-origin requests to the RiskRadar API. Combined with JWT-based auth, this means a malicious page could trick a logged-in user's browser into making authenticated API calls (cross-site request forgery via CORS pre-flight bypass).</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pStyle w:val="ListParagraph"/>
              <w:numPr>
                <w:ilvl w:val="0"/>
                <w:numId w:val="1"/>
              </w:numPr>
            </w:pPr>
            <w:r>
              <w:rPr>
                <w:rFonts w:ascii="Calibri" w:cs="Calibri" w:eastAsia="Calibri" w:hAnsi="Calibri"/>
                <w:color w:val="000000"/>
                <w:sz w:val="17"/>
                <w:szCs w:val="17"/>
              </w:rPr>
              <w:t xml:space="preserve">Research: FastAPI CORSMiddleware allow_origins list — restrict to the specific React Native bundler URL in dev and the production domain.</w:t>
            </w:r>
          </w:p>
          <w:p>
            <w:pPr>
              <w:pStyle w:val="ListParagraph"/>
              <w:numPr>
                <w:ilvl w:val="0"/>
                <w:numId w:val="1"/>
              </w:numPr>
            </w:pPr>
            <w:r>
              <w:rPr>
                <w:rFonts w:ascii="Calibri" w:cs="Calibri" w:eastAsia="Calibri" w:hAnsi="Calibri"/>
                <w:color w:val="000000"/>
                <w:sz w:val="17"/>
                <w:szCs w:val="17"/>
              </w:rPr>
              <w:t xml:space="preserve">Research: Using allow_credentials=True requires explicit origins, not "*" — this is a stricter and safer mode.</w:t>
            </w:r>
          </w:p>
          <w:p>
            <w:pPr>
              <w:pStyle w:val="ListParagraph"/>
              <w:numPr>
                <w:ilvl w:val="0"/>
                <w:numId w:val="1"/>
              </w:numPr>
            </w:pPr>
            <w:r>
              <w:rPr>
                <w:rFonts w:ascii="Calibri" w:cs="Calibri" w:eastAsia="Calibri" w:hAnsi="Calibri"/>
                <w:color w:val="000000"/>
                <w:sz w:val="17"/>
                <w:szCs w:val="17"/>
              </w:rPr>
              <w:t xml:space="preserve">Research: How Expo/React Native actually makes API calls (it may not be bound by CORS for native requests, only web builds).</w:t>
            </w:r>
          </w:p>
          <w:p>
            <w:pPr>
              <w:pStyle w:val="ListParagraph"/>
              <w:numPr>
                <w:ilvl w:val="0"/>
                <w:numId w:val="1"/>
              </w:numPr>
            </w:pPr>
            <w:r>
              <w:rPr>
                <w:rFonts w:ascii="Calibri" w:cs="Calibri" w:eastAsia="Calibri" w:hAnsi="Calibri"/>
                <w:color w:val="000000"/>
                <w:sz w:val="17"/>
                <w:szCs w:val="17"/>
              </w:rPr>
              <w:t xml:space="preserve">Short-term: Restrict to localhost:8081 (Expo dev) and the production domain.</w:t>
            </w:r>
          </w:p>
        </w:tc>
      </w:tr>
      <w:tr>
        <w:tc>
          <w:tcPr>
            <w:tcBorders>
              <w:top w:val="single" w:color="B0C4DE" w:sz="1"/>
              <w:left w:val="single" w:color="B0C4DE" w:sz="1"/>
              <w:bottom w:val="single" w:color="B0C4DE" w:sz="1"/>
              <w:right w:val="single" w:color="B0C4DE" w:sz="1"/>
            </w:tcBorders>
            <w:shd w:fill="FFF2CC" w:val="clear"/>
            <w:tcMar>
              <w:top w:type="dxa" w:w="100"/>
              <w:left w:type="dxa" w:w="140"/>
              <w:bottom w:type="dxa" w:w="100"/>
              <w:right w:type="dxa" w:w="140"/>
            </w:tcMar>
            <w:vAlign w:val="top"/>
          </w:tcPr>
          <w:p>
            <w:r>
              <w:rPr>
                <w:rFonts w:ascii="Calibri" w:cs="Calibri" w:eastAsia="Calibri" w:hAnsi="Calibri"/>
                <w:b/>
                <w:bCs/>
                <w:color w:val="7F6000"/>
                <w:sz w:val="17"/>
                <w:szCs w:val="17"/>
              </w:rPr>
              <w:t xml:space="preserve">B-05</w:t>
            </w:r>
          </w:p>
        </w:tc>
        <w:tc>
          <w:tcPr>
            <w:tcBorders>
              <w:top w:val="single" w:color="B0C4DE" w:sz="1"/>
              <w:left w:val="single" w:color="B0C4DE" w:sz="1"/>
              <w:bottom w:val="single" w:color="B0C4DE" w:sz="1"/>
              <w:right w:val="single" w:color="B0C4DE" w:sz="1"/>
            </w:tcBorders>
            <w:shd w:fill="FFF2CC" w:val="clear"/>
            <w:tcMar>
              <w:top w:type="dxa" w:w="100"/>
              <w:left w:type="dxa" w:w="140"/>
              <w:bottom w:type="dxa" w:w="100"/>
              <w:right w:type="dxa" w:w="140"/>
            </w:tcMar>
            <w:vAlign w:val="top"/>
          </w:tcPr>
          <w:p>
            <w:r>
              <w:rPr>
                <w:rFonts w:ascii="Calibri" w:cs="Calibri" w:eastAsia="Calibri" w:hAnsi="Calibri"/>
                <w:b/>
                <w:bCs/>
                <w:color w:val="7F6000"/>
                <w:sz w:val="17"/>
                <w:szCs w:val="17"/>
              </w:rPr>
              <w:t xml:space="preserve">HIGH</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backend/api/users.py  POST /users/login
backend/api/users.py  POST /users/register</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bCs/>
                <w:color w:val="000000"/>
                <w:sz w:val="17"/>
                <w:szCs w:val="17"/>
              </w:rPr>
              <w:t xml:space="preserve">No Rate Limiting on Authentication Endpoints</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There is no rate limiting middleware or per-IP request throttling anywhere in the application. An attacker can attempt unlimited login combinations per second (brute-force) or flood registration to create thousands of accounts. With a weak or re-used password, brute force against /login is highly viable.</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pStyle w:val="ListParagraph"/>
              <w:numPr>
                <w:ilvl w:val="0"/>
                <w:numId w:val="1"/>
              </w:numPr>
            </w:pPr>
            <w:r>
              <w:rPr>
                <w:rFonts w:ascii="Calibri" w:cs="Calibri" w:eastAsia="Calibri" w:hAnsi="Calibri"/>
                <w:color w:val="000000"/>
                <w:sz w:val="17"/>
                <w:szCs w:val="17"/>
              </w:rPr>
              <w:t xml:space="preserve">Research: slowapi — a FastAPI-compatible rate-limiting library wrapping limits (pypi: slowapi).</w:t>
            </w:r>
          </w:p>
          <w:p>
            <w:pPr>
              <w:pStyle w:val="ListParagraph"/>
              <w:numPr>
                <w:ilvl w:val="0"/>
                <w:numId w:val="1"/>
              </w:numPr>
            </w:pPr>
            <w:r>
              <w:rPr>
                <w:rFonts w:ascii="Calibri" w:cs="Calibri" w:eastAsia="Calibri" w:hAnsi="Calibri"/>
                <w:color w:val="000000"/>
                <w:sz w:val="17"/>
                <w:szCs w:val="17"/>
              </w:rPr>
              <w:t xml:space="preserve">Research: Decorating /login with a limit of ~5 requests per minute per IP.</w:t>
            </w:r>
          </w:p>
          <w:p>
            <w:pPr>
              <w:pStyle w:val="ListParagraph"/>
              <w:numPr>
                <w:ilvl w:val="0"/>
                <w:numId w:val="1"/>
              </w:numPr>
            </w:pPr>
            <w:r>
              <w:rPr>
                <w:rFonts w:ascii="Calibri" w:cs="Calibri" w:eastAsia="Calibri" w:hAnsi="Calibri"/>
                <w:color w:val="000000"/>
                <w:sz w:val="17"/>
                <w:szCs w:val="17"/>
              </w:rPr>
              <w:t xml:space="preserve">Research: Redis-backed rate limiting for production vs. in-memory for dev.</w:t>
            </w:r>
          </w:p>
          <w:p>
            <w:pPr>
              <w:pStyle w:val="ListParagraph"/>
              <w:numPr>
                <w:ilvl w:val="0"/>
                <w:numId w:val="1"/>
              </w:numPr>
            </w:pPr>
            <w:r>
              <w:rPr>
                <w:rFonts w:ascii="Calibri" w:cs="Calibri" w:eastAsia="Calibri" w:hAnsi="Calibri"/>
                <w:color w:val="000000"/>
                <w:sz w:val="17"/>
                <w:szCs w:val="17"/>
              </w:rPr>
              <w:t xml:space="preserve">Research: Account lockout after N failed login attempts (track in users table or a separate attempts table).</w:t>
            </w:r>
          </w:p>
        </w:tc>
      </w:tr>
      <w:tr>
        <w:tc>
          <w:tcPr>
            <w:tcBorders>
              <w:top w:val="single" w:color="B0C4DE" w:sz="1"/>
              <w:left w:val="single" w:color="B0C4DE" w:sz="1"/>
              <w:bottom w:val="single" w:color="B0C4DE" w:sz="1"/>
              <w:right w:val="single" w:color="B0C4DE" w:sz="1"/>
            </w:tcBorders>
            <w:shd w:fill="FFF2CC" w:val="clear"/>
            <w:tcMar>
              <w:top w:type="dxa" w:w="100"/>
              <w:left w:type="dxa" w:w="140"/>
              <w:bottom w:type="dxa" w:w="100"/>
              <w:right w:type="dxa" w:w="140"/>
            </w:tcMar>
            <w:vAlign w:val="top"/>
          </w:tcPr>
          <w:p>
            <w:r>
              <w:rPr>
                <w:rFonts w:ascii="Calibri" w:cs="Calibri" w:eastAsia="Calibri" w:hAnsi="Calibri"/>
                <w:b/>
                <w:bCs/>
                <w:color w:val="7F6000"/>
                <w:sz w:val="17"/>
                <w:szCs w:val="17"/>
              </w:rPr>
              <w:t xml:space="preserve">B-06</w:t>
            </w:r>
          </w:p>
        </w:tc>
        <w:tc>
          <w:tcPr>
            <w:tcBorders>
              <w:top w:val="single" w:color="B0C4DE" w:sz="1"/>
              <w:left w:val="single" w:color="B0C4DE" w:sz="1"/>
              <w:bottom w:val="single" w:color="B0C4DE" w:sz="1"/>
              <w:right w:val="single" w:color="B0C4DE" w:sz="1"/>
            </w:tcBorders>
            <w:shd w:fill="FFF2CC" w:val="clear"/>
            <w:tcMar>
              <w:top w:type="dxa" w:w="100"/>
              <w:left w:type="dxa" w:w="140"/>
              <w:bottom w:type="dxa" w:w="100"/>
              <w:right w:type="dxa" w:w="140"/>
            </w:tcMar>
            <w:vAlign w:val="top"/>
          </w:tcPr>
          <w:p>
            <w:r>
              <w:rPr>
                <w:rFonts w:ascii="Calibri" w:cs="Calibri" w:eastAsia="Calibri" w:hAnsi="Calibri"/>
                <w:b/>
                <w:bCs/>
                <w:color w:val="7F6000"/>
                <w:sz w:val="17"/>
                <w:szCs w:val="17"/>
              </w:rPr>
              <w:t xml:space="preserve">HIGH</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backend/main.py  (FastAPI default)</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bCs/>
                <w:color w:val="000000"/>
                <w:sz w:val="17"/>
                <w:szCs w:val="17"/>
              </w:rPr>
              <w:t xml:space="preserve">API Documentation Endpoints Publicly Accessible</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FastAPI auto-generates /docs (Swagger UI) and /redoc (ReDoc) endpoints and serves them publicly by default. These pages expose the full API schema, all endpoint signatures, expected inputs/outputs, and the Swagger try-it-out panel. This is useful in dev but provides a detailed attack surface map in production.</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pStyle w:val="ListParagraph"/>
              <w:numPr>
                <w:ilvl w:val="0"/>
                <w:numId w:val="1"/>
              </w:numPr>
            </w:pPr>
            <w:r>
              <w:rPr>
                <w:rFonts w:ascii="Calibri" w:cs="Calibri" w:eastAsia="Calibri" w:hAnsi="Calibri"/>
                <w:color w:val="000000"/>
                <w:sz w:val="17"/>
                <w:szCs w:val="17"/>
              </w:rPr>
              <w:t xml:space="preserve">Research: FastAPI docs_url=None, redoc_url=None — disable docs in production via an ENV flag.</w:t>
            </w:r>
          </w:p>
          <w:p>
            <w:pPr>
              <w:pStyle w:val="ListParagraph"/>
              <w:numPr>
                <w:ilvl w:val="0"/>
                <w:numId w:val="1"/>
              </w:numPr>
            </w:pPr>
            <w:r>
              <w:rPr>
                <w:rFonts w:ascii="Calibri" w:cs="Calibri" w:eastAsia="Calibri" w:hAnsi="Calibri"/>
                <w:color w:val="000000"/>
                <w:sz w:val="17"/>
                <w:szCs w:val="17"/>
              </w:rPr>
              <w:t xml:space="preserve">Research: Protecting /docs with HTTP Basic Auth as a middle-ground for development access.</w:t>
            </w:r>
          </w:p>
          <w:p>
            <w:pPr>
              <w:pStyle w:val="ListParagraph"/>
              <w:numPr>
                <w:ilvl w:val="0"/>
                <w:numId w:val="1"/>
              </w:numPr>
            </w:pPr>
            <w:r>
              <w:rPr>
                <w:rFonts w:ascii="Calibri" w:cs="Calibri" w:eastAsia="Calibri" w:hAnsi="Calibri"/>
                <w:color w:val="000000"/>
                <w:sz w:val="17"/>
                <w:szCs w:val="17"/>
              </w:rPr>
              <w:t xml:space="preserve">Research: Using a DOCS_ENABLED environment variable to conditionally expose the docs.</w:t>
            </w:r>
          </w:p>
        </w:tc>
      </w:tr>
      <w:tr>
        <w:tc>
          <w:tcPr>
            <w:tcBorders>
              <w:top w:val="single" w:color="B0C4DE" w:sz="1"/>
              <w:left w:val="single" w:color="B0C4DE" w:sz="1"/>
              <w:bottom w:val="single" w:color="B0C4DE" w:sz="1"/>
              <w:right w:val="single" w:color="B0C4DE" w:sz="1"/>
            </w:tcBorders>
            <w:shd w:fill="FFF2CC" w:val="clear"/>
            <w:tcMar>
              <w:top w:type="dxa" w:w="100"/>
              <w:left w:type="dxa" w:w="140"/>
              <w:bottom w:type="dxa" w:w="100"/>
              <w:right w:type="dxa" w:w="140"/>
            </w:tcMar>
            <w:vAlign w:val="top"/>
          </w:tcPr>
          <w:p>
            <w:r>
              <w:rPr>
                <w:rFonts w:ascii="Calibri" w:cs="Calibri" w:eastAsia="Calibri" w:hAnsi="Calibri"/>
                <w:b/>
                <w:bCs/>
                <w:color w:val="7F6000"/>
                <w:sz w:val="17"/>
                <w:szCs w:val="17"/>
              </w:rPr>
              <w:t xml:space="preserve">B-07</w:t>
            </w:r>
          </w:p>
        </w:tc>
        <w:tc>
          <w:tcPr>
            <w:tcBorders>
              <w:top w:val="single" w:color="B0C4DE" w:sz="1"/>
              <w:left w:val="single" w:color="B0C4DE" w:sz="1"/>
              <w:bottom w:val="single" w:color="B0C4DE" w:sz="1"/>
              <w:right w:val="single" w:color="B0C4DE" w:sz="1"/>
            </w:tcBorders>
            <w:shd w:fill="FFF2CC" w:val="clear"/>
            <w:tcMar>
              <w:top w:type="dxa" w:w="100"/>
              <w:left w:type="dxa" w:w="140"/>
              <w:bottom w:type="dxa" w:w="100"/>
              <w:right w:type="dxa" w:w="140"/>
            </w:tcMar>
            <w:vAlign w:val="top"/>
          </w:tcPr>
          <w:p>
            <w:r>
              <w:rPr>
                <w:rFonts w:ascii="Calibri" w:cs="Calibri" w:eastAsia="Calibri" w:hAnsi="Calibri"/>
                <w:b/>
                <w:bCs/>
                <w:color w:val="7F6000"/>
                <w:sz w:val="17"/>
                <w:szCs w:val="17"/>
              </w:rPr>
              <w:t xml:space="preserve">HIGH</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backend/api/system.py  GET /health</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bCs/>
                <w:color w:val="000000"/>
                <w:sz w:val="17"/>
                <w:szCs w:val="17"/>
              </w:rPr>
              <w:t xml:space="preserve">Health Endpoint Exposes Internal Error Messages</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The /health endpoint catches all exceptions and returns {"error": str(e)} directly to the caller. A database connection error, misconfigured path, or internal exception can leak filesystem paths, stack traces, database driver names, or configuration details that aid an attacker in fingerprinting the system.</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pStyle w:val="ListParagraph"/>
              <w:numPr>
                <w:ilvl w:val="0"/>
                <w:numId w:val="1"/>
              </w:numPr>
            </w:pPr>
            <w:r>
              <w:rPr>
                <w:rFonts w:ascii="Calibri" w:cs="Calibri" w:eastAsia="Calibri" w:hAnsi="Calibri"/>
                <w:color w:val="000000"/>
                <w:sz w:val="17"/>
                <w:szCs w:val="17"/>
              </w:rPr>
              <w:t xml:space="preserve">Replace str(e) with a generic error string ("Internal server error") in the public response.</w:t>
            </w:r>
          </w:p>
          <w:p>
            <w:pPr>
              <w:pStyle w:val="ListParagraph"/>
              <w:numPr>
                <w:ilvl w:val="0"/>
                <w:numId w:val="1"/>
              </w:numPr>
            </w:pPr>
            <w:r>
              <w:rPr>
                <w:rFonts w:ascii="Calibri" w:cs="Calibri" w:eastAsia="Calibri" w:hAnsi="Calibri"/>
                <w:color w:val="000000"/>
                <w:sz w:val="17"/>
                <w:szCs w:val="17"/>
              </w:rPr>
              <w:t xml:space="preserve">Log the real exception server-side using the Python logging module.</w:t>
            </w:r>
          </w:p>
          <w:p>
            <w:pPr>
              <w:pStyle w:val="ListParagraph"/>
              <w:numPr>
                <w:ilvl w:val="0"/>
                <w:numId w:val="1"/>
              </w:numPr>
            </w:pPr>
            <w:r>
              <w:rPr>
                <w:rFonts w:ascii="Calibri" w:cs="Calibri" w:eastAsia="Calibri" w:hAnsi="Calibri"/>
                <w:color w:val="000000"/>
                <w:sz w:val="17"/>
                <w:szCs w:val="17"/>
              </w:rPr>
              <w:t xml:space="preserve">Research: FastAPI exception handlers — a global handler that logs internally but returns a sanitized message.</w:t>
            </w:r>
          </w:p>
          <w:p>
            <w:pPr>
              <w:pStyle w:val="ListParagraph"/>
              <w:numPr>
                <w:ilvl w:val="0"/>
                <w:numId w:val="1"/>
              </w:numPr>
            </w:pPr>
            <w:r>
              <w:rPr>
                <w:rFonts w:ascii="Calibri" w:cs="Calibri" w:eastAsia="Calibri" w:hAnsi="Calibri"/>
                <w:color w:val="000000"/>
                <w:sz w:val="17"/>
                <w:szCs w:val="17"/>
              </w:rPr>
              <w:t xml:space="preserve">Research: OWASP Error Handling guidelines for REST APIs.</w:t>
            </w:r>
          </w:p>
        </w:tc>
      </w:tr>
      <w:tr>
        <w:tc>
          <w:tcPr>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vAlign w:val="top"/>
          </w:tcPr>
          <w:p>
            <w:r>
              <w:rPr>
                <w:rFonts w:ascii="Calibri" w:cs="Calibri" w:eastAsia="Calibri" w:hAnsi="Calibri"/>
                <w:b/>
                <w:bCs/>
                <w:color w:val="2E4057"/>
                <w:sz w:val="17"/>
                <w:szCs w:val="17"/>
              </w:rPr>
              <w:t xml:space="preserve">B-08</w:t>
            </w:r>
          </w:p>
        </w:tc>
        <w:tc>
          <w:tcPr>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vAlign w:val="top"/>
          </w:tcPr>
          <w:p>
            <w:r>
              <w:rPr>
                <w:rFonts w:ascii="Calibri" w:cs="Calibri" w:eastAsia="Calibri" w:hAnsi="Calibri"/>
                <w:b/>
                <w:bCs/>
                <w:color w:val="2E4057"/>
                <w:sz w:val="17"/>
                <w:szCs w:val="17"/>
              </w:rPr>
              <w:t xml:space="preserve">MEDIUM</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backend/schemas/user.py  UserCreate</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bCs/>
                <w:color w:val="000000"/>
                <w:sz w:val="17"/>
                <w:szCs w:val="17"/>
              </w:rPr>
              <w:t xml:space="preserve">No Password Strength Enforcement on Registration</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The UserCreate Pydantic schema accepts any non-empty string as a password. There is no minimum length, no character class requirement, and no check against common password lists. bcrypt hashing protects stored passwords, but a user registering with password "a" is just as easily brute-forced as if no hashing existed.</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pStyle w:val="ListParagraph"/>
              <w:numPr>
                <w:ilvl w:val="0"/>
                <w:numId w:val="1"/>
              </w:numPr>
            </w:pPr>
            <w:r>
              <w:rPr>
                <w:rFonts w:ascii="Calibri" w:cs="Calibri" w:eastAsia="Calibri" w:hAnsi="Calibri"/>
                <w:color w:val="000000"/>
                <w:sz w:val="17"/>
                <w:szCs w:val="17"/>
              </w:rPr>
              <w:t xml:space="preserve">Research: Pydantic v2 field_validator on the password field — enforce min length (8-12 chars), at least one digit/symbol.</w:t>
            </w:r>
          </w:p>
          <w:p>
            <w:pPr>
              <w:pStyle w:val="ListParagraph"/>
              <w:numPr>
                <w:ilvl w:val="0"/>
                <w:numId w:val="1"/>
              </w:numPr>
            </w:pPr>
            <w:r>
              <w:rPr>
                <w:rFonts w:ascii="Calibri" w:cs="Calibri" w:eastAsia="Calibri" w:hAnsi="Calibri"/>
                <w:color w:val="000000"/>
                <w:sz w:val="17"/>
                <w:szCs w:val="17"/>
              </w:rPr>
              <w:t xml:space="preserve">Research: pwnedpasswords Python library — checks HIBP (Have I Been Pwned) for known compromised passwords via k-anonymity API.</w:t>
            </w:r>
          </w:p>
          <w:p>
            <w:pPr>
              <w:pStyle w:val="ListParagraph"/>
              <w:numPr>
                <w:ilvl w:val="0"/>
                <w:numId w:val="1"/>
              </w:numPr>
            </w:pPr>
            <w:r>
              <w:rPr>
                <w:rFonts w:ascii="Calibri" w:cs="Calibri" w:eastAsia="Calibri" w:hAnsi="Calibri"/>
                <w:color w:val="000000"/>
                <w:sz w:val="17"/>
                <w:szCs w:val="17"/>
              </w:rPr>
              <w:t xml:space="preserve">Research: zxcvbn-python — dropbox's password strength estimator.</w:t>
            </w:r>
          </w:p>
          <w:p>
            <w:pPr>
              <w:pStyle w:val="ListParagraph"/>
              <w:numPr>
                <w:ilvl w:val="0"/>
                <w:numId w:val="1"/>
              </w:numPr>
            </w:pPr>
            <w:r>
              <w:rPr>
                <w:rFonts w:ascii="Calibri" w:cs="Calibri" w:eastAsia="Calibri" w:hAnsi="Calibri"/>
                <w:color w:val="000000"/>
                <w:sz w:val="17"/>
                <w:szCs w:val="17"/>
              </w:rPr>
              <w:t xml:space="preserve">Consider: Returning a clear, user-friendly error message describing the requirements.</w:t>
            </w:r>
          </w:p>
        </w:tc>
      </w:tr>
      <w:tr>
        <w:tc>
          <w:tcPr>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vAlign w:val="top"/>
          </w:tcPr>
          <w:p>
            <w:r>
              <w:rPr>
                <w:rFonts w:ascii="Calibri" w:cs="Calibri" w:eastAsia="Calibri" w:hAnsi="Calibri"/>
                <w:b/>
                <w:bCs/>
                <w:color w:val="2E4057"/>
                <w:sz w:val="17"/>
                <w:szCs w:val="17"/>
              </w:rPr>
              <w:t xml:space="preserve">B-09</w:t>
            </w:r>
          </w:p>
        </w:tc>
        <w:tc>
          <w:tcPr>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vAlign w:val="top"/>
          </w:tcPr>
          <w:p>
            <w:r>
              <w:rPr>
                <w:rFonts w:ascii="Calibri" w:cs="Calibri" w:eastAsia="Calibri" w:hAnsi="Calibri"/>
                <w:b/>
                <w:bCs/>
                <w:color w:val="2E4057"/>
                <w:sz w:val="17"/>
                <w:szCs w:val="17"/>
              </w:rPr>
              <w:t xml:space="preserve">MEDIUM</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backend/schemas/user.py  UserCreate</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bCs/>
                <w:color w:val="000000"/>
                <w:sz w:val="17"/>
                <w:szCs w:val="17"/>
              </w:rPr>
              <w:t xml:space="preserve">No Email Format Validation on Registration</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The email field in UserCreate is declared as a plain str with no format validation. A user can register with email="not_an_email" or an arbitrarily long string. While this is a data quality issue, it also enables account enumeration via /login (an attacker can submit gibberish emails and observe whether the error is 'not found' vs. 'wrong password').</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pStyle w:val="ListParagraph"/>
              <w:numPr>
                <w:ilvl w:val="0"/>
                <w:numId w:val="1"/>
              </w:numPr>
            </w:pPr>
            <w:r>
              <w:rPr>
                <w:rFonts w:ascii="Calibri" w:cs="Calibri" w:eastAsia="Calibri" w:hAnsi="Calibri"/>
                <w:color w:val="000000"/>
                <w:sz w:val="17"/>
                <w:szCs w:val="17"/>
              </w:rPr>
              <w:t xml:space="preserve">Research: Pydantic EmailStr type (requires email-validator package) for automatic RFC 5322 validation.</w:t>
            </w:r>
          </w:p>
          <w:p>
            <w:pPr>
              <w:pStyle w:val="ListParagraph"/>
              <w:numPr>
                <w:ilvl w:val="0"/>
                <w:numId w:val="1"/>
              </w:numPr>
            </w:pPr>
            <w:r>
              <w:rPr>
                <w:rFonts w:ascii="Calibri" w:cs="Calibri" w:eastAsia="Calibri" w:hAnsi="Calibri"/>
                <w:color w:val="000000"/>
                <w:sz w:val="17"/>
                <w:szCs w:val="17"/>
              </w:rPr>
              <w:t xml:space="preserve">Research: Normalizing email to lowercase on registration to prevent duplicate accounts via case variation.</w:t>
            </w:r>
          </w:p>
          <w:p>
            <w:pPr>
              <w:pStyle w:val="ListParagraph"/>
              <w:numPr>
                <w:ilvl w:val="0"/>
                <w:numId w:val="1"/>
              </w:numPr>
            </w:pPr>
            <w:r>
              <w:rPr>
                <w:rFonts w:ascii="Calibri" w:cs="Calibri" w:eastAsia="Calibri" w:hAnsi="Calibri"/>
                <w:color w:val="000000"/>
                <w:sz w:val="17"/>
                <w:szCs w:val="17"/>
              </w:rPr>
              <w:t xml:space="preserve">Research: Returning a uniform error message for both 'email not found' and 'wrong password' to prevent user enumeration.</w:t>
            </w:r>
          </w:p>
        </w:tc>
      </w:tr>
      <w:tr>
        <w:tc>
          <w:tcPr>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vAlign w:val="top"/>
          </w:tcPr>
          <w:p>
            <w:r>
              <w:rPr>
                <w:rFonts w:ascii="Calibri" w:cs="Calibri" w:eastAsia="Calibri" w:hAnsi="Calibri"/>
                <w:b/>
                <w:bCs/>
                <w:color w:val="2E4057"/>
                <w:sz w:val="17"/>
                <w:szCs w:val="17"/>
              </w:rPr>
              <w:t xml:space="preserve">B-10</w:t>
            </w:r>
          </w:p>
        </w:tc>
        <w:tc>
          <w:tcPr>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vAlign w:val="top"/>
          </w:tcPr>
          <w:p>
            <w:r>
              <w:rPr>
                <w:rFonts w:ascii="Calibri" w:cs="Calibri" w:eastAsia="Calibri" w:hAnsi="Calibri"/>
                <w:b/>
                <w:bCs/>
                <w:color w:val="2E4057"/>
                <w:sz w:val="17"/>
                <w:szCs w:val="17"/>
              </w:rPr>
              <w:t xml:space="preserve">MEDIUM</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backend/llm/summarizer.py  generate_breaking_summary()</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bCs/>
                <w:color w:val="000000"/>
                <w:sz w:val="17"/>
                <w:szCs w:val="17"/>
              </w:rPr>
              <w:t xml:space="preserve">No Authentication Required on POST /summaries/generate</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The /summaries/generate endpoint calls the configured LLM provider and incurs token costs per call. If this endpoint is unauthenticated (which should be verified — it's not shown as protected in the SBOM), any user on the internet can trigger LLM API calls, burning through quota and generating financial charges.</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pStyle w:val="ListParagraph"/>
              <w:numPr>
                <w:ilvl w:val="0"/>
                <w:numId w:val="1"/>
              </w:numPr>
            </w:pPr>
            <w:r>
              <w:rPr>
                <w:rFonts w:ascii="Calibri" w:cs="Calibri" w:eastAsia="Calibri" w:hAnsi="Calibri"/>
                <w:color w:val="000000"/>
                <w:sz w:val="17"/>
                <w:szCs w:val="17"/>
              </w:rPr>
              <w:t xml:space="preserve">Verify whether Depends(get_current_user) is applied to POST /summaries/generate.</w:t>
            </w:r>
          </w:p>
          <w:p>
            <w:pPr>
              <w:pStyle w:val="ListParagraph"/>
              <w:numPr>
                <w:ilvl w:val="0"/>
                <w:numId w:val="1"/>
              </w:numPr>
            </w:pPr>
            <w:r>
              <w:rPr>
                <w:rFonts w:ascii="Calibri" w:cs="Calibri" w:eastAsia="Calibri" w:hAnsi="Calibri"/>
                <w:color w:val="000000"/>
                <w:sz w:val="17"/>
                <w:szCs w:val="17"/>
              </w:rPr>
              <w:t xml:space="preserve">If not, add JWT authentication.</w:t>
            </w:r>
          </w:p>
          <w:p>
            <w:pPr>
              <w:pStyle w:val="ListParagraph"/>
              <w:numPr>
                <w:ilvl w:val="0"/>
                <w:numId w:val="1"/>
              </w:numPr>
            </w:pPr>
            <w:r>
              <w:rPr>
                <w:rFonts w:ascii="Calibri" w:cs="Calibri" w:eastAsia="Calibri" w:hAnsi="Calibri"/>
                <w:color w:val="000000"/>
                <w:sz w:val="17"/>
                <w:szCs w:val="17"/>
              </w:rPr>
              <w:t xml:space="preserve">Research: Admin-only authorization (e.g. a is_admin flag on the User model) for cost-generating operations.</w:t>
            </w:r>
          </w:p>
          <w:p>
            <w:pPr>
              <w:pStyle w:val="ListParagraph"/>
              <w:numPr>
                <w:ilvl w:val="0"/>
                <w:numId w:val="1"/>
              </w:numPr>
            </w:pPr>
            <w:r>
              <w:rPr>
                <w:rFonts w:ascii="Calibri" w:cs="Calibri" w:eastAsia="Calibri" w:hAnsi="Calibri"/>
                <w:color w:val="000000"/>
                <w:sz w:val="17"/>
                <w:szCs w:val="17"/>
              </w:rPr>
              <w:t xml:space="preserve">Research: Adding per-user or global rate limiting specifically on LLM-triggering endpoints.</w:t>
            </w:r>
          </w:p>
        </w:tc>
      </w:tr>
      <w:tr>
        <w:tc>
          <w:tcPr>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vAlign w:val="top"/>
          </w:tcPr>
          <w:p>
            <w:r>
              <w:rPr>
                <w:rFonts w:ascii="Calibri" w:cs="Calibri" w:eastAsia="Calibri" w:hAnsi="Calibri"/>
                <w:b/>
                <w:bCs/>
                <w:color w:val="2E4057"/>
                <w:sz w:val="17"/>
                <w:szCs w:val="17"/>
              </w:rPr>
              <w:t xml:space="preserve">B-11</w:t>
            </w:r>
          </w:p>
        </w:tc>
        <w:tc>
          <w:tcPr>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vAlign w:val="top"/>
          </w:tcPr>
          <w:p>
            <w:r>
              <w:rPr>
                <w:rFonts w:ascii="Calibri" w:cs="Calibri" w:eastAsia="Calibri" w:hAnsi="Calibri"/>
                <w:b/>
                <w:bCs/>
                <w:color w:val="2E4057"/>
                <w:sz w:val="17"/>
                <w:szCs w:val="17"/>
              </w:rPr>
              <w:t xml:space="preserve">MEDIUM</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backend/scrapers/base_scraper.py
backend/scrapers/web_scraper.py</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bCs/>
                <w:color w:val="000000"/>
                <w:sz w:val="17"/>
                <w:szCs w:val="17"/>
              </w:rPr>
              <w:t xml:space="preserve">Unvalidated External Data Written Directly to Database</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Data from external APIs (NWS, AirNow, EPA, Firecrawl, LLM responses) is normalized and written to the database with minimal validation. The web scraper trusts LLM JSON output completely. A compromised upstream source or a prompt-injection attack on the LLM extraction step could insert malicious data into the alerts table.</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pStyle w:val="ListParagraph"/>
              <w:numPr>
                <w:ilvl w:val="0"/>
                <w:numId w:val="1"/>
              </w:numPr>
            </w:pPr>
            <w:r>
              <w:rPr>
                <w:rFonts w:ascii="Calibri" w:cs="Calibri" w:eastAsia="Calibri" w:hAnsi="Calibri"/>
                <w:color w:val="000000"/>
                <w:sz w:val="17"/>
                <w:szCs w:val="17"/>
              </w:rPr>
              <w:t xml:space="preserve">Research: Pydantic schema validation applied to each normalized alert dict before database insertion.</w:t>
            </w:r>
          </w:p>
          <w:p>
            <w:pPr>
              <w:pStyle w:val="ListParagraph"/>
              <w:numPr>
                <w:ilvl w:val="0"/>
                <w:numId w:val="1"/>
              </w:numPr>
            </w:pPr>
            <w:r>
              <w:rPr>
                <w:rFonts w:ascii="Calibri" w:cs="Calibri" w:eastAsia="Calibri" w:hAnsi="Calibri"/>
                <w:color w:val="000000"/>
                <w:sz w:val="17"/>
                <w:szCs w:val="17"/>
              </w:rPr>
              <w:t xml:space="preserve">Research: Prompt injection hardening for LLM-based extraction — constrain output schema with JSON mode (OpenAI structured outputs).</w:t>
            </w:r>
          </w:p>
          <w:p>
            <w:pPr>
              <w:pStyle w:val="ListParagraph"/>
              <w:numPr>
                <w:ilvl w:val="0"/>
                <w:numId w:val="1"/>
              </w:numPr>
            </w:pPr>
            <w:r>
              <w:rPr>
                <w:rFonts w:ascii="Calibri" w:cs="Calibri" w:eastAsia="Calibri" w:hAnsi="Calibri"/>
                <w:color w:val="000000"/>
                <w:sz w:val="17"/>
                <w:szCs w:val="17"/>
              </w:rPr>
              <w:t xml:space="preserve">Research: Max-length constraints on text fields (title, description, location_name) before DB write.</w:t>
            </w:r>
          </w:p>
          <w:p>
            <w:pPr>
              <w:pStyle w:val="ListParagraph"/>
              <w:numPr>
                <w:ilvl w:val="0"/>
                <w:numId w:val="1"/>
              </w:numPr>
            </w:pPr>
            <w:r>
              <w:rPr>
                <w:rFonts w:ascii="Calibri" w:cs="Calibri" w:eastAsia="Calibri" w:hAnsi="Calibri"/>
                <w:color w:val="000000"/>
                <w:sz w:val="17"/>
                <w:szCs w:val="17"/>
              </w:rPr>
              <w:t xml:space="preserve">Research: Allowlisting severity values rather than accepting any string.</w:t>
            </w:r>
          </w:p>
        </w:tc>
      </w:tr>
      <w:tr>
        <w:tc>
          <w:tcPr>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vAlign w:val="top"/>
          </w:tcPr>
          <w:p>
            <w:r>
              <w:rPr>
                <w:rFonts w:ascii="Calibri" w:cs="Calibri" w:eastAsia="Calibri" w:hAnsi="Calibri"/>
                <w:b/>
                <w:bCs/>
                <w:color w:val="2E4057"/>
                <w:sz w:val="17"/>
                <w:szCs w:val="17"/>
              </w:rPr>
              <w:t xml:space="preserve">B-12</w:t>
            </w:r>
          </w:p>
        </w:tc>
        <w:tc>
          <w:tcPr>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vAlign w:val="top"/>
          </w:tcPr>
          <w:p>
            <w:r>
              <w:rPr>
                <w:rFonts w:ascii="Calibri" w:cs="Calibri" w:eastAsia="Calibri" w:hAnsi="Calibri"/>
                <w:b/>
                <w:bCs/>
                <w:color w:val="2E4057"/>
                <w:sz w:val="17"/>
                <w:szCs w:val="17"/>
              </w:rPr>
              <w:t xml:space="preserve">MEDIUM</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backend/auth/security.py
config/settings.py</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bCs/>
                <w:color w:val="000000"/>
                <w:sz w:val="17"/>
                <w:szCs w:val="17"/>
              </w:rPr>
              <w:t xml:space="preserve">No Token Refresh Mechanism — Single Long-Lived JWT</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JWTs are issued with a 60-minute expiry and there is no refresh token endpoint. If a token is stolen (e.g. from localStorage via XSS — see FE-01), it is valid for the full remaining lifetime with no server-side revocation. Once the token expires, users must fully re-authenticate, encouraging longer expiry times.</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pStyle w:val="ListParagraph"/>
              <w:numPr>
                <w:ilvl w:val="0"/>
                <w:numId w:val="1"/>
              </w:numPr>
            </w:pPr>
            <w:r>
              <w:rPr>
                <w:rFonts w:ascii="Calibri" w:cs="Calibri" w:eastAsia="Calibri" w:hAnsi="Calibri"/>
                <w:color w:val="000000"/>
                <w:sz w:val="17"/>
                <w:szCs w:val="17"/>
              </w:rPr>
              <w:t xml:space="preserve">Research: Refresh token pattern — short-lived access token (15 min) + long-lived refresh token stored securely.</w:t>
            </w:r>
          </w:p>
          <w:p>
            <w:pPr>
              <w:pStyle w:val="ListParagraph"/>
              <w:numPr>
                <w:ilvl w:val="0"/>
                <w:numId w:val="1"/>
              </w:numPr>
            </w:pPr>
            <w:r>
              <w:rPr>
                <w:rFonts w:ascii="Calibri" w:cs="Calibri" w:eastAsia="Calibri" w:hAnsi="Calibri"/>
                <w:color w:val="000000"/>
                <w:sz w:val="17"/>
                <w:szCs w:val="17"/>
              </w:rPr>
              <w:t xml:space="preserve">Research: Token blocklist/denylist using a fast in-memory store (Redis) to enable server-side revocation on logout.</w:t>
            </w:r>
          </w:p>
          <w:p>
            <w:pPr>
              <w:pStyle w:val="ListParagraph"/>
              <w:numPr>
                <w:ilvl w:val="0"/>
                <w:numId w:val="1"/>
              </w:numPr>
            </w:pPr>
            <w:r>
              <w:rPr>
                <w:rFonts w:ascii="Calibri" w:cs="Calibri" w:eastAsia="Calibri" w:hAnsi="Calibri"/>
                <w:color w:val="000000"/>
                <w:sz w:val="17"/>
                <w:szCs w:val="17"/>
              </w:rPr>
              <w:t xml:space="preserve">Research: JWT rotation — issue a new access token each time a refresh token is used.</w:t>
            </w:r>
          </w:p>
          <w:p>
            <w:pPr>
              <w:pStyle w:val="ListParagraph"/>
              <w:numPr>
                <w:ilvl w:val="0"/>
                <w:numId w:val="1"/>
              </w:numPr>
            </w:pPr>
            <w:r>
              <w:rPr>
                <w:rFonts w:ascii="Calibri" w:cs="Calibri" w:eastAsia="Calibri" w:hAnsi="Calibri"/>
                <w:color w:val="000000"/>
                <w:sz w:val="17"/>
                <w:szCs w:val="17"/>
              </w:rPr>
              <w:t xml:space="preserve">Consider: At minimum, reducing ACCESS_TOKEN_EXPIRE_MINUTES to 15-30 minutes.</w:t>
            </w:r>
          </w:p>
        </w:tc>
      </w:tr>
      <w:tr>
        <w:tc>
          <w:tcPr>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vAlign w:val="top"/>
          </w:tcPr>
          <w:p>
            <w:r>
              <w:rPr>
                <w:rFonts w:ascii="Calibri" w:cs="Calibri" w:eastAsia="Calibri" w:hAnsi="Calibri"/>
                <w:b/>
                <w:bCs/>
                <w:color w:val="2E4057"/>
                <w:sz w:val="17"/>
                <w:szCs w:val="17"/>
              </w:rPr>
              <w:t xml:space="preserve">B-13</w:t>
            </w:r>
          </w:p>
        </w:tc>
        <w:tc>
          <w:tcPr>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vAlign w:val="top"/>
          </w:tcPr>
          <w:p>
            <w:r>
              <w:rPr>
                <w:rFonts w:ascii="Calibri" w:cs="Calibri" w:eastAsia="Calibri" w:hAnsi="Calibri"/>
                <w:b/>
                <w:bCs/>
                <w:color w:val="2E4057"/>
                <w:sz w:val="17"/>
                <w:szCs w:val="17"/>
              </w:rPr>
              <w:t xml:space="preserve">MEDIUM</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backend/api/system.py  GET /health</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bCs/>
                <w:color w:val="000000"/>
                <w:sz w:val="17"/>
                <w:szCs w:val="17"/>
              </w:rPr>
              <w:t xml:space="preserve">Health Check Leaks Last Scrape Source + Status</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The public /health endpoint returns last_scrape.source and last_scrape.status from the ScrapeLog table. This reveals the names of internal data sources and their operational status to any unauthenticated caller, aiding reconnaissance.</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pStyle w:val="ListParagraph"/>
              <w:numPr>
                <w:ilvl w:val="0"/>
                <w:numId w:val="1"/>
              </w:numPr>
            </w:pPr>
            <w:r>
              <w:rPr>
                <w:rFonts w:ascii="Calibri" w:cs="Calibri" w:eastAsia="Calibri" w:hAnsi="Calibri"/>
                <w:color w:val="000000"/>
                <w:sz w:val="17"/>
                <w:szCs w:val="17"/>
              </w:rPr>
              <w:t xml:space="preserve">Research: Removing sensitive operational details from the public health response.</w:t>
            </w:r>
          </w:p>
          <w:p>
            <w:pPr>
              <w:pStyle w:val="ListParagraph"/>
              <w:numPr>
                <w:ilvl w:val="0"/>
                <w:numId w:val="1"/>
              </w:numPr>
            </w:pPr>
            <w:r>
              <w:rPr>
                <w:rFonts w:ascii="Calibri" w:cs="Calibri" w:eastAsia="Calibri" w:hAnsi="Calibri"/>
                <w:color w:val="000000"/>
                <w:sz w:val="17"/>
                <w:szCs w:val="17"/>
              </w:rPr>
              <w:t xml:space="preserve">Research: A split health check — a minimal public one (status: healthy/unhealthy only) and a detailed admin one requiring authentication.</w:t>
            </w:r>
          </w:p>
          <w:p>
            <w:pPr>
              <w:pStyle w:val="ListParagraph"/>
              <w:numPr>
                <w:ilvl w:val="0"/>
                <w:numId w:val="1"/>
              </w:numPr>
            </w:pPr>
            <w:r>
              <w:rPr>
                <w:rFonts w:ascii="Calibri" w:cs="Calibri" w:eastAsia="Calibri" w:hAnsi="Calibri"/>
                <w:color w:val="000000"/>
                <w:sz w:val="17"/>
                <w:szCs w:val="17"/>
              </w:rPr>
              <w:t xml:space="preserve">Short-term: Remove the last_scrape block from the public response entirely.</w:t>
            </w:r>
          </w:p>
        </w:tc>
      </w:tr>
      <w:tr>
        <w:tc>
          <w:tcPr>
            <w:tcBorders>
              <w:top w:val="single" w:color="B0C4DE" w:sz="1"/>
              <w:left w:val="single" w:color="B0C4DE" w:sz="1"/>
              <w:bottom w:val="single" w:color="B0C4DE" w:sz="1"/>
              <w:right w:val="single" w:color="B0C4DE" w:sz="1"/>
            </w:tcBorders>
            <w:shd w:fill="E2EFDA" w:val="clear"/>
            <w:tcMar>
              <w:top w:type="dxa" w:w="100"/>
              <w:left w:type="dxa" w:w="140"/>
              <w:bottom w:type="dxa" w:w="100"/>
              <w:right w:type="dxa" w:w="140"/>
            </w:tcMar>
            <w:vAlign w:val="top"/>
          </w:tcPr>
          <w:p>
            <w:r>
              <w:rPr>
                <w:rFonts w:ascii="Calibri" w:cs="Calibri" w:eastAsia="Calibri" w:hAnsi="Calibri"/>
                <w:b/>
                <w:bCs/>
                <w:color w:val="375623"/>
                <w:sz w:val="17"/>
                <w:szCs w:val="17"/>
              </w:rPr>
              <w:t xml:space="preserve">B-14</w:t>
            </w:r>
          </w:p>
        </w:tc>
        <w:tc>
          <w:tcPr>
            <w:tcBorders>
              <w:top w:val="single" w:color="B0C4DE" w:sz="1"/>
              <w:left w:val="single" w:color="B0C4DE" w:sz="1"/>
              <w:bottom w:val="single" w:color="B0C4DE" w:sz="1"/>
              <w:right w:val="single" w:color="B0C4DE" w:sz="1"/>
            </w:tcBorders>
            <w:shd w:fill="E2EFDA" w:val="clear"/>
            <w:tcMar>
              <w:top w:type="dxa" w:w="100"/>
              <w:left w:type="dxa" w:w="140"/>
              <w:bottom w:type="dxa" w:w="100"/>
              <w:right w:type="dxa" w:w="140"/>
            </w:tcMar>
            <w:vAlign w:val="top"/>
          </w:tcPr>
          <w:p>
            <w:r>
              <w:rPr>
                <w:rFonts w:ascii="Calibri" w:cs="Calibri" w:eastAsia="Calibri" w:hAnsi="Calibri"/>
                <w:b/>
                <w:bCs/>
                <w:color w:val="375623"/>
                <w:sz w:val="17"/>
                <w:szCs w:val="17"/>
              </w:rPr>
              <w:t xml:space="preserve">LOW</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backend/main.py</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bCs/>
                <w:color w:val="000000"/>
                <w:sz w:val="17"/>
                <w:szCs w:val="17"/>
              </w:rPr>
              <w:t xml:space="preserve">HTTPS Not Enforced — No HSTS Header</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The app has no HTTPS redirect middleware or HSTS (HTTP Strict Transport Security) header. If deployed behind a reverse proxy (e.g. nginx on AWS) without explicit HTTPS enforcement, tokens transmitted over HTTP are vulnerable to interception.</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pStyle w:val="ListParagraph"/>
              <w:numPr>
                <w:ilvl w:val="0"/>
                <w:numId w:val="1"/>
              </w:numPr>
            </w:pPr>
            <w:r>
              <w:rPr>
                <w:rFonts w:ascii="Calibri" w:cs="Calibri" w:eastAsia="Calibri" w:hAnsi="Calibri"/>
                <w:color w:val="000000"/>
                <w:sz w:val="17"/>
                <w:szCs w:val="17"/>
              </w:rPr>
              <w:t xml:space="preserve">Research: FastAPI HTTPS redirect middleware (HTTPSRedirectMiddleware).</w:t>
            </w:r>
          </w:p>
          <w:p>
            <w:pPr>
              <w:pStyle w:val="ListParagraph"/>
              <w:numPr>
                <w:ilvl w:val="0"/>
                <w:numId w:val="1"/>
              </w:numPr>
            </w:pPr>
            <w:r>
              <w:rPr>
                <w:rFonts w:ascii="Calibri" w:cs="Calibri" w:eastAsia="Calibri" w:hAnsi="Calibri"/>
                <w:color w:val="000000"/>
                <w:sz w:val="17"/>
                <w:szCs w:val="17"/>
              </w:rPr>
              <w:t xml:space="preserve">Research: Configuring HSTS in the nginx/proxy layer for the AWS deployment.</w:t>
            </w:r>
          </w:p>
          <w:p>
            <w:pPr>
              <w:pStyle w:val="ListParagraph"/>
              <w:numPr>
                <w:ilvl w:val="0"/>
                <w:numId w:val="1"/>
              </w:numPr>
            </w:pPr>
            <w:r>
              <w:rPr>
                <w:rFonts w:ascii="Calibri" w:cs="Calibri" w:eastAsia="Calibri" w:hAnsi="Calibri"/>
                <w:color w:val="000000"/>
                <w:sz w:val="17"/>
                <w:szCs w:val="17"/>
              </w:rPr>
              <w:t xml:space="preserve">Research: AWS Load Balancer SSL termination + redirect HTTP→HTTPS.</w:t>
            </w:r>
          </w:p>
        </w:tc>
      </w:tr>
      <w:tr>
        <w:tc>
          <w:tcPr>
            <w:tcBorders>
              <w:top w:val="single" w:color="B0C4DE" w:sz="1"/>
              <w:left w:val="single" w:color="B0C4DE" w:sz="1"/>
              <w:bottom w:val="single" w:color="B0C4DE" w:sz="1"/>
              <w:right w:val="single" w:color="B0C4DE" w:sz="1"/>
            </w:tcBorders>
            <w:shd w:fill="E2EFDA" w:val="clear"/>
            <w:tcMar>
              <w:top w:type="dxa" w:w="100"/>
              <w:left w:type="dxa" w:w="140"/>
              <w:bottom w:type="dxa" w:w="100"/>
              <w:right w:type="dxa" w:w="140"/>
            </w:tcMar>
            <w:vAlign w:val="top"/>
          </w:tcPr>
          <w:p>
            <w:r>
              <w:rPr>
                <w:rFonts w:ascii="Calibri" w:cs="Calibri" w:eastAsia="Calibri" w:hAnsi="Calibri"/>
                <w:b/>
                <w:bCs/>
                <w:color w:val="375623"/>
                <w:sz w:val="17"/>
                <w:szCs w:val="17"/>
              </w:rPr>
              <w:t xml:space="preserve">B-15</w:t>
            </w:r>
          </w:p>
        </w:tc>
        <w:tc>
          <w:tcPr>
            <w:tcBorders>
              <w:top w:val="single" w:color="B0C4DE" w:sz="1"/>
              <w:left w:val="single" w:color="B0C4DE" w:sz="1"/>
              <w:bottom w:val="single" w:color="B0C4DE" w:sz="1"/>
              <w:right w:val="single" w:color="B0C4DE" w:sz="1"/>
            </w:tcBorders>
            <w:shd w:fill="E2EFDA" w:val="clear"/>
            <w:tcMar>
              <w:top w:type="dxa" w:w="100"/>
              <w:left w:type="dxa" w:w="140"/>
              <w:bottom w:type="dxa" w:w="100"/>
              <w:right w:type="dxa" w:w="140"/>
            </w:tcMar>
            <w:vAlign w:val="top"/>
          </w:tcPr>
          <w:p>
            <w:r>
              <w:rPr>
                <w:rFonts w:ascii="Calibri" w:cs="Calibri" w:eastAsia="Calibri" w:hAnsi="Calibri"/>
                <w:b/>
                <w:bCs/>
                <w:color w:val="375623"/>
                <w:sz w:val="17"/>
                <w:szCs w:val="17"/>
              </w:rPr>
              <w:t xml:space="preserve">LOW</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backend/api/users.py  POST /users/login</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bCs/>
                <w:color w:val="000000"/>
                <w:sz w:val="17"/>
                <w:szCs w:val="17"/>
              </w:rPr>
              <w:t xml:space="preserve">Failed Login Attempts Are Not Logged</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The login endpoint returns HTTP 401 silently. There is no server-side logging of failed authentication attempts. This makes it impossible to detect brute-force attacks, credential stuffing, or account enumeration in production.</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pStyle w:val="ListParagraph"/>
              <w:numPr>
                <w:ilvl w:val="0"/>
                <w:numId w:val="1"/>
              </w:numPr>
            </w:pPr>
            <w:r>
              <w:rPr>
                <w:rFonts w:ascii="Calibri" w:cs="Calibri" w:eastAsia="Calibri" w:hAnsi="Calibri"/>
                <w:color w:val="000000"/>
                <w:sz w:val="17"/>
                <w:szCs w:val="17"/>
              </w:rPr>
              <w:t xml:space="preserve">Research: Python logging.warning() on failed login — log the timestamp and a hashed/partial email (not full PII).</w:t>
            </w:r>
          </w:p>
          <w:p>
            <w:pPr>
              <w:pStyle w:val="ListParagraph"/>
              <w:numPr>
                <w:ilvl w:val="0"/>
                <w:numId w:val="1"/>
              </w:numPr>
            </w:pPr>
            <w:r>
              <w:rPr>
                <w:rFonts w:ascii="Calibri" w:cs="Calibri" w:eastAsia="Calibri" w:hAnsi="Calibri"/>
                <w:color w:val="000000"/>
                <w:sz w:val="17"/>
                <w:szCs w:val="17"/>
              </w:rPr>
              <w:t xml:space="preserve">Research: Structured logging (e.g. structlog) for machine-readable security event logs.</w:t>
            </w:r>
          </w:p>
          <w:p>
            <w:pPr>
              <w:pStyle w:val="ListParagraph"/>
              <w:numPr>
                <w:ilvl w:val="0"/>
                <w:numId w:val="1"/>
              </w:numPr>
            </w:pPr>
            <w:r>
              <w:rPr>
                <w:rFonts w:ascii="Calibri" w:cs="Calibri" w:eastAsia="Calibri" w:hAnsi="Calibri"/>
                <w:color w:val="000000"/>
                <w:sz w:val="17"/>
                <w:szCs w:val="17"/>
              </w:rPr>
              <w:t xml:space="preserve">Research: Integration with a security monitoring tool (AWS CloudWatch, Sentry) for alerting on anomalous login patterns.</w:t>
            </w:r>
          </w:p>
        </w:tc>
      </w:tr>
    </w:tbl>
    <w:p>
      <w:pPr>
        <w:spacing w:before="40" w:after="40"/>
      </w:pPr>
      <w:r>
        <w:t xml:space="preserve"/>
      </w:r>
    </w:p>
    <w:p>
      <w:pPr>
        <w:pBdr>
          <w:bottom w:val="single" w:color="2E75B6" w:sz="6" w:space="2"/>
        </w:pBdr>
        <w:spacing w:before="340" w:after="100"/>
      </w:pPr>
      <w:r>
        <w:rPr>
          <w:rFonts w:ascii="Calibri" w:cs="Calibri" w:eastAsia="Calibri" w:hAnsi="Calibri"/>
          <w:b/>
          <w:bCs/>
          <w:color w:val="1F3864"/>
          <w:sz w:val="32"/>
          <w:szCs w:val="32"/>
        </w:rPr>
        <w:t xml:space="preserve">B — Frontend Security Findings</w:t>
      </w:r>
    </w:p>
    <w:p>
      <w:pPr>
        <w:spacing w:before="60" w:after="80"/>
      </w:pPr>
      <w:r>
        <w:rPr>
          <w:rFonts w:ascii="Calibri" w:cs="Calibri" w:eastAsia="Calibri" w:hAnsi="Calibri"/>
          <w:b w:val="false"/>
          <w:bCs w:val="false"/>
          <w:color w:val="000000"/>
          <w:sz w:val="20"/>
          <w:szCs w:val="20"/>
        </w:rPr>
        <w:t xml:space="preserve">Source scope: backend/templates/ (Jinja2 web frontend) and frontend/RiskRadar/ (React Native mobile app)</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00"/>
        <w:gridCol w:w="1500"/>
        <w:gridCol w:w="1700"/>
        <w:gridCol w:w="2280"/>
        <w:gridCol w:w="2580"/>
      </w:tblGrid>
      <w:tr>
        <w:trPr>
          <w:tblHeader/>
        </w:trPr>
        <w:tc>
          <w:tcPr>
            <w:tcW w:type="dxa" w:w="500"/>
            <w:tcBorders>
              <w:top w:val="single" w:color="B0C4DE" w:sz="1"/>
              <w:left w:val="single" w:color="B0C4DE" w:sz="1"/>
              <w:bottom w:val="single" w:color="B0C4DE" w:sz="1"/>
              <w:right w:val="single" w:color="B0C4DE" w:sz="1"/>
            </w:tcBorders>
            <w:shd w:fill="1F3864" w:val="clear"/>
            <w:tcMar>
              <w:top w:type="dxa" w:w="100"/>
              <w:left w:type="dxa" w:w="140"/>
              <w:bottom w:type="dxa" w:w="100"/>
              <w:right w:type="dxa" w:w="140"/>
            </w:tcMar>
            <w:vAlign w:val="top"/>
          </w:tcPr>
          <w:p>
            <w:pPr>
              <w:jc w:val="left"/>
            </w:pPr>
            <w:r>
              <w:rPr>
                <w:rFonts w:ascii="Calibri" w:cs="Calibri" w:eastAsia="Calibri" w:hAnsi="Calibri"/>
                <w:b/>
                <w:bCs/>
                <w:color w:val="FFFFFF"/>
                <w:sz w:val="18"/>
                <w:szCs w:val="18"/>
              </w:rPr>
              <w:t xml:space="preserve">#</w:t>
            </w:r>
          </w:p>
        </w:tc>
        <w:tc>
          <w:tcPr>
            <w:tcW w:type="dxa" w:w="800"/>
            <w:tcBorders>
              <w:top w:val="single" w:color="B0C4DE" w:sz="1"/>
              <w:left w:val="single" w:color="B0C4DE" w:sz="1"/>
              <w:bottom w:val="single" w:color="B0C4DE" w:sz="1"/>
              <w:right w:val="single" w:color="B0C4DE" w:sz="1"/>
            </w:tcBorders>
            <w:shd w:fill="1F3864" w:val="clear"/>
            <w:tcMar>
              <w:top w:type="dxa" w:w="100"/>
              <w:left w:type="dxa" w:w="140"/>
              <w:bottom w:type="dxa" w:w="100"/>
              <w:right w:type="dxa" w:w="140"/>
            </w:tcMar>
            <w:vAlign w:val="top"/>
          </w:tcPr>
          <w:p>
            <w:pPr>
              <w:jc w:val="left"/>
            </w:pPr>
            <w:r>
              <w:rPr>
                <w:rFonts w:ascii="Calibri" w:cs="Calibri" w:eastAsia="Calibri" w:hAnsi="Calibri"/>
                <w:b/>
                <w:bCs/>
                <w:color w:val="FFFFFF"/>
                <w:sz w:val="18"/>
                <w:szCs w:val="18"/>
              </w:rPr>
              <w:t xml:space="preserve">Severity</w:t>
            </w:r>
          </w:p>
        </w:tc>
        <w:tc>
          <w:tcPr>
            <w:tcW w:type="dxa" w:w="1500"/>
            <w:tcBorders>
              <w:top w:val="single" w:color="B0C4DE" w:sz="1"/>
              <w:left w:val="single" w:color="B0C4DE" w:sz="1"/>
              <w:bottom w:val="single" w:color="B0C4DE" w:sz="1"/>
              <w:right w:val="single" w:color="B0C4DE" w:sz="1"/>
            </w:tcBorders>
            <w:shd w:fill="1F3864" w:val="clear"/>
            <w:tcMar>
              <w:top w:type="dxa" w:w="100"/>
              <w:left w:type="dxa" w:w="140"/>
              <w:bottom w:type="dxa" w:w="100"/>
              <w:right w:type="dxa" w:w="140"/>
            </w:tcMar>
            <w:vAlign w:val="top"/>
          </w:tcPr>
          <w:p>
            <w:pPr>
              <w:jc w:val="left"/>
            </w:pPr>
            <w:r>
              <w:rPr>
                <w:rFonts w:ascii="Calibri" w:cs="Calibri" w:eastAsia="Calibri" w:hAnsi="Calibri"/>
                <w:b/>
                <w:bCs/>
                <w:color w:val="FFFFFF"/>
                <w:sz w:val="18"/>
                <w:szCs w:val="18"/>
              </w:rPr>
              <w:t xml:space="preserve">File / Location</w:t>
            </w:r>
          </w:p>
        </w:tc>
        <w:tc>
          <w:tcPr>
            <w:tcW w:type="dxa" w:w="1700"/>
            <w:tcBorders>
              <w:top w:val="single" w:color="B0C4DE" w:sz="1"/>
              <w:left w:val="single" w:color="B0C4DE" w:sz="1"/>
              <w:bottom w:val="single" w:color="B0C4DE" w:sz="1"/>
              <w:right w:val="single" w:color="B0C4DE" w:sz="1"/>
            </w:tcBorders>
            <w:shd w:fill="1F3864" w:val="clear"/>
            <w:tcMar>
              <w:top w:type="dxa" w:w="100"/>
              <w:left w:type="dxa" w:w="140"/>
              <w:bottom w:type="dxa" w:w="100"/>
              <w:right w:type="dxa" w:w="140"/>
            </w:tcMar>
            <w:vAlign w:val="top"/>
          </w:tcPr>
          <w:p>
            <w:pPr>
              <w:jc w:val="left"/>
            </w:pPr>
            <w:r>
              <w:rPr>
                <w:rFonts w:ascii="Calibri" w:cs="Calibri" w:eastAsia="Calibri" w:hAnsi="Calibri"/>
                <w:b/>
                <w:bCs/>
                <w:color w:val="FFFFFF"/>
                <w:sz w:val="18"/>
                <w:szCs w:val="18"/>
              </w:rPr>
              <w:t xml:space="preserve">Issue Title</w:t>
            </w:r>
          </w:p>
        </w:tc>
        <w:tc>
          <w:tcPr>
            <w:tcW w:type="dxa" w:w="2280"/>
            <w:tcBorders>
              <w:top w:val="single" w:color="B0C4DE" w:sz="1"/>
              <w:left w:val="single" w:color="B0C4DE" w:sz="1"/>
              <w:bottom w:val="single" w:color="B0C4DE" w:sz="1"/>
              <w:right w:val="single" w:color="B0C4DE" w:sz="1"/>
            </w:tcBorders>
            <w:shd w:fill="1F3864" w:val="clear"/>
            <w:tcMar>
              <w:top w:type="dxa" w:w="100"/>
              <w:left w:type="dxa" w:w="140"/>
              <w:bottom w:type="dxa" w:w="100"/>
              <w:right w:type="dxa" w:w="140"/>
            </w:tcMar>
            <w:vAlign w:val="top"/>
          </w:tcPr>
          <w:p>
            <w:pPr>
              <w:jc w:val="left"/>
            </w:pPr>
            <w:r>
              <w:rPr>
                <w:rFonts w:ascii="Calibri" w:cs="Calibri" w:eastAsia="Calibri" w:hAnsi="Calibri"/>
                <w:b/>
                <w:bCs/>
                <w:color w:val="FFFFFF"/>
                <w:sz w:val="18"/>
                <w:szCs w:val="18"/>
              </w:rPr>
              <w:t xml:space="preserve">Why It Is a Risk</w:t>
            </w:r>
          </w:p>
        </w:tc>
        <w:tc>
          <w:tcPr>
            <w:tcW w:type="dxa" w:w="2580"/>
            <w:tcBorders>
              <w:top w:val="single" w:color="B0C4DE" w:sz="1"/>
              <w:left w:val="single" w:color="B0C4DE" w:sz="1"/>
              <w:bottom w:val="single" w:color="B0C4DE" w:sz="1"/>
              <w:right w:val="single" w:color="B0C4DE" w:sz="1"/>
            </w:tcBorders>
            <w:shd w:fill="1F3864" w:val="clear"/>
            <w:tcMar>
              <w:top w:type="dxa" w:w="100"/>
              <w:left w:type="dxa" w:w="140"/>
              <w:bottom w:type="dxa" w:w="100"/>
              <w:right w:type="dxa" w:w="140"/>
            </w:tcMar>
            <w:vAlign w:val="top"/>
          </w:tcPr>
          <w:p>
            <w:pPr>
              <w:jc w:val="left"/>
            </w:pPr>
            <w:r>
              <w:rPr>
                <w:rFonts w:ascii="Calibri" w:cs="Calibri" w:eastAsia="Calibri" w:hAnsi="Calibri"/>
                <w:b/>
                <w:bCs/>
                <w:color w:val="FFFFFF"/>
                <w:sz w:val="18"/>
                <w:szCs w:val="18"/>
              </w:rPr>
              <w:t xml:space="preserve">Solutions to Research</w:t>
            </w:r>
          </w:p>
        </w:tc>
      </w:tr>
      <w:tr>
        <w:tc>
          <w:tcPr>
            <w:tcBorders>
              <w:top w:val="single" w:color="B0C4DE" w:sz="1"/>
              <w:left w:val="single" w:color="B0C4DE" w:sz="1"/>
              <w:bottom w:val="single" w:color="B0C4DE" w:sz="1"/>
              <w:right w:val="single" w:color="B0C4DE" w:sz="1"/>
            </w:tcBorders>
            <w:shd w:fill="FFF2CC" w:val="clear"/>
            <w:tcMar>
              <w:top w:type="dxa" w:w="100"/>
              <w:left w:type="dxa" w:w="140"/>
              <w:bottom w:type="dxa" w:w="100"/>
              <w:right w:type="dxa" w:w="140"/>
            </w:tcMar>
            <w:vAlign w:val="top"/>
          </w:tcPr>
          <w:p>
            <w:r>
              <w:rPr>
                <w:rFonts w:ascii="Calibri" w:cs="Calibri" w:eastAsia="Calibri" w:hAnsi="Calibri"/>
                <w:b/>
                <w:bCs/>
                <w:color w:val="7F6000"/>
                <w:sz w:val="17"/>
                <w:szCs w:val="17"/>
              </w:rPr>
              <w:t xml:space="preserve">FE-01</w:t>
            </w:r>
          </w:p>
        </w:tc>
        <w:tc>
          <w:tcPr>
            <w:tcBorders>
              <w:top w:val="single" w:color="B0C4DE" w:sz="1"/>
              <w:left w:val="single" w:color="B0C4DE" w:sz="1"/>
              <w:bottom w:val="single" w:color="B0C4DE" w:sz="1"/>
              <w:right w:val="single" w:color="B0C4DE" w:sz="1"/>
            </w:tcBorders>
            <w:shd w:fill="FFF2CC" w:val="clear"/>
            <w:tcMar>
              <w:top w:type="dxa" w:w="100"/>
              <w:left w:type="dxa" w:w="140"/>
              <w:bottom w:type="dxa" w:w="100"/>
              <w:right w:type="dxa" w:w="140"/>
            </w:tcMar>
            <w:vAlign w:val="top"/>
          </w:tcPr>
          <w:p>
            <w:r>
              <w:rPr>
                <w:rFonts w:ascii="Calibri" w:cs="Calibri" w:eastAsia="Calibri" w:hAnsi="Calibri"/>
                <w:b/>
                <w:bCs/>
                <w:color w:val="7F6000"/>
                <w:sz w:val="17"/>
                <w:szCs w:val="17"/>
              </w:rPr>
              <w:t xml:space="preserve">HIGH</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backend/templates/base.html  lines ~38-40
backend/templates/login.html  line ~56</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bCs/>
                <w:color w:val="000000"/>
                <w:sz w:val="17"/>
                <w:szCs w:val="17"/>
              </w:rPr>
              <w:t xml:space="preserve">JWT Stored in localStorage — XSS Token Theft Risk</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The JWT access token is stored in window.localStorage via localStorage.setItem('riskradar_token', data.access_token). localStorage is accessible to any JavaScript running on the page — including injected scripts from XSS attacks. If any page on the same origin has an XSS vulnerability, an attacker can exfiltrate the token and impersonate the user for its full lifetime.</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pStyle w:val="ListParagraph"/>
              <w:numPr>
                <w:ilvl w:val="0"/>
                <w:numId w:val="1"/>
              </w:numPr>
            </w:pPr>
            <w:r>
              <w:rPr>
                <w:rFonts w:ascii="Calibri" w:cs="Calibri" w:eastAsia="Calibri" w:hAnsi="Calibri"/>
                <w:color w:val="000000"/>
                <w:sz w:val="17"/>
                <w:szCs w:val="17"/>
              </w:rPr>
              <w:t xml:space="preserve">Research: httpOnly cookies as an alternative token transport — cookies with httpOnly=True cannot be read by JavaScript.</w:t>
            </w:r>
          </w:p>
          <w:p>
            <w:pPr>
              <w:pStyle w:val="ListParagraph"/>
              <w:numPr>
                <w:ilvl w:val="0"/>
                <w:numId w:val="1"/>
              </w:numPr>
            </w:pPr>
            <w:r>
              <w:rPr>
                <w:rFonts w:ascii="Calibri" w:cs="Calibri" w:eastAsia="Calibri" w:hAnsi="Calibri"/>
                <w:color w:val="000000"/>
                <w:sz w:val="17"/>
                <w:szCs w:val="17"/>
              </w:rPr>
              <w:t xml:space="preserve">Research: The 'CSRF vs XSS' trade-off when using httpOnly cookies (cookies require CSRF protection, localStorage does not).</w:t>
            </w:r>
          </w:p>
          <w:p>
            <w:pPr>
              <w:pStyle w:val="ListParagraph"/>
              <w:numPr>
                <w:ilvl w:val="0"/>
                <w:numId w:val="1"/>
              </w:numPr>
            </w:pPr>
            <w:r>
              <w:rPr>
                <w:rFonts w:ascii="Calibri" w:cs="Calibri" w:eastAsia="Calibri" w:hAnsi="Calibri"/>
                <w:color w:val="000000"/>
                <w:sz w:val="17"/>
                <w:szCs w:val="17"/>
              </w:rPr>
              <w:t xml:space="preserve">Research: In-memory token storage (a JS module variable) as a middle ground — token is not persistent but is not accessible from XSS.</w:t>
            </w:r>
          </w:p>
          <w:p>
            <w:pPr>
              <w:pStyle w:val="ListParagraph"/>
              <w:numPr>
                <w:ilvl w:val="0"/>
                <w:numId w:val="1"/>
              </w:numPr>
            </w:pPr>
            <w:r>
              <w:rPr>
                <w:rFonts w:ascii="Calibri" w:cs="Calibri" w:eastAsia="Calibri" w:hAnsi="Calibri"/>
                <w:color w:val="000000"/>
                <w:sz w:val="17"/>
                <w:szCs w:val="17"/>
              </w:rPr>
              <w:t xml:space="preserve">Research: The OWASP JWT Cheat Sheet section on token storage.</w:t>
            </w:r>
          </w:p>
        </w:tc>
      </w:tr>
      <w:tr>
        <w:tc>
          <w:tcPr>
            <w:tcBorders>
              <w:top w:val="single" w:color="B0C4DE" w:sz="1"/>
              <w:left w:val="single" w:color="B0C4DE" w:sz="1"/>
              <w:bottom w:val="single" w:color="B0C4DE" w:sz="1"/>
              <w:right w:val="single" w:color="B0C4DE" w:sz="1"/>
            </w:tcBorders>
            <w:shd w:fill="FFF2CC" w:val="clear"/>
            <w:tcMar>
              <w:top w:type="dxa" w:w="100"/>
              <w:left w:type="dxa" w:w="140"/>
              <w:bottom w:type="dxa" w:w="100"/>
              <w:right w:type="dxa" w:w="140"/>
            </w:tcMar>
            <w:vAlign w:val="top"/>
          </w:tcPr>
          <w:p>
            <w:r>
              <w:rPr>
                <w:rFonts w:ascii="Calibri" w:cs="Calibri" w:eastAsia="Calibri" w:hAnsi="Calibri"/>
                <w:b/>
                <w:bCs/>
                <w:color w:val="7F6000"/>
                <w:sz w:val="17"/>
                <w:szCs w:val="17"/>
              </w:rPr>
              <w:t xml:space="preserve">FE-02</w:t>
            </w:r>
          </w:p>
        </w:tc>
        <w:tc>
          <w:tcPr>
            <w:tcBorders>
              <w:top w:val="single" w:color="B0C4DE" w:sz="1"/>
              <w:left w:val="single" w:color="B0C4DE" w:sz="1"/>
              <w:bottom w:val="single" w:color="B0C4DE" w:sz="1"/>
              <w:right w:val="single" w:color="B0C4DE" w:sz="1"/>
            </w:tcBorders>
            <w:shd w:fill="FFF2CC" w:val="clear"/>
            <w:tcMar>
              <w:top w:type="dxa" w:w="100"/>
              <w:left w:type="dxa" w:w="140"/>
              <w:bottom w:type="dxa" w:w="100"/>
              <w:right w:type="dxa" w:w="140"/>
            </w:tcMar>
            <w:vAlign w:val="top"/>
          </w:tcPr>
          <w:p>
            <w:r>
              <w:rPr>
                <w:rFonts w:ascii="Calibri" w:cs="Calibri" w:eastAsia="Calibri" w:hAnsi="Calibri"/>
                <w:b/>
                <w:bCs/>
                <w:color w:val="7F6000"/>
                <w:sz w:val="17"/>
                <w:szCs w:val="17"/>
              </w:rPr>
              <w:t xml:space="preserve">HIGH</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backend/templates/base.html
All Jinja2 templates</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bCs/>
                <w:color w:val="000000"/>
                <w:sz w:val="17"/>
                <w:szCs w:val="17"/>
              </w:rPr>
              <w:t xml:space="preserve">No Content Security Policy (CSP) Header</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No Content-Security-Policy header is set on any HTML response. CSP is the primary browser-enforced defense against XSS — it restricts which scripts, styles, and resources a page is allowed to load. Without CSP, any XSS vulnerability has no browser-level containment.</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pStyle w:val="ListParagraph"/>
              <w:numPr>
                <w:ilvl w:val="0"/>
                <w:numId w:val="1"/>
              </w:numPr>
            </w:pPr>
            <w:r>
              <w:rPr>
                <w:rFonts w:ascii="Calibri" w:cs="Calibri" w:eastAsia="Calibri" w:hAnsi="Calibri"/>
                <w:color w:val="000000"/>
                <w:sz w:val="17"/>
                <w:szCs w:val="17"/>
              </w:rPr>
              <w:t xml:space="preserve">Research: FastAPI middleware or Starlette response header injection to add a CSP header to all HTML responses.</w:t>
            </w:r>
          </w:p>
          <w:p>
            <w:pPr>
              <w:pStyle w:val="ListParagraph"/>
              <w:numPr>
                <w:ilvl w:val="0"/>
                <w:numId w:val="1"/>
              </w:numPr>
            </w:pPr>
            <w:r>
              <w:rPr>
                <w:rFonts w:ascii="Calibri" w:cs="Calibri" w:eastAsia="Calibri" w:hAnsi="Calibri"/>
                <w:color w:val="000000"/>
                <w:sz w:val="17"/>
                <w:szCs w:val="17"/>
              </w:rPr>
              <w:t xml:space="preserve">Research: Building a minimal CSP policy: default-src 'self'; script-src 'self'; style-src 'self' for the Jinja2 templates.</w:t>
            </w:r>
          </w:p>
          <w:p>
            <w:pPr>
              <w:pStyle w:val="ListParagraph"/>
              <w:numPr>
                <w:ilvl w:val="0"/>
                <w:numId w:val="1"/>
              </w:numPr>
            </w:pPr>
            <w:r>
              <w:rPr>
                <w:rFonts w:ascii="Calibri" w:cs="Calibri" w:eastAsia="Calibri" w:hAnsi="Calibri"/>
                <w:color w:val="000000"/>
                <w:sz w:val="17"/>
                <w:szCs w:val="17"/>
              </w:rPr>
              <w:t xml:space="preserve">Research: CSP nonce generation for inline scripts (the templates use inline &lt;script&gt; blocks that would need nonces).</w:t>
            </w:r>
          </w:p>
          <w:p>
            <w:pPr>
              <w:pStyle w:val="ListParagraph"/>
              <w:numPr>
                <w:ilvl w:val="0"/>
                <w:numId w:val="1"/>
              </w:numPr>
            </w:pPr>
            <w:r>
              <w:rPr>
                <w:rFonts w:ascii="Calibri" w:cs="Calibri" w:eastAsia="Calibri" w:hAnsi="Calibri"/>
                <w:color w:val="000000"/>
                <w:sz w:val="17"/>
                <w:szCs w:val="17"/>
              </w:rPr>
              <w:t xml:space="preserve">Research: report-uri directive to capture CSP violation reports during development.</w:t>
            </w:r>
          </w:p>
        </w:tc>
      </w:tr>
      <w:tr>
        <w:tc>
          <w:tcPr>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vAlign w:val="top"/>
          </w:tcPr>
          <w:p>
            <w:r>
              <w:rPr>
                <w:rFonts w:ascii="Calibri" w:cs="Calibri" w:eastAsia="Calibri" w:hAnsi="Calibri"/>
                <w:b/>
                <w:bCs/>
                <w:color w:val="2E4057"/>
                <w:sz w:val="17"/>
                <w:szCs w:val="17"/>
              </w:rPr>
              <w:t xml:space="preserve">FE-03</w:t>
            </w:r>
          </w:p>
        </w:tc>
        <w:tc>
          <w:tcPr>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vAlign w:val="top"/>
          </w:tcPr>
          <w:p>
            <w:r>
              <w:rPr>
                <w:rFonts w:ascii="Calibri" w:cs="Calibri" w:eastAsia="Calibri" w:hAnsi="Calibri"/>
                <w:b/>
                <w:bCs/>
                <w:color w:val="2E4057"/>
                <w:sz w:val="17"/>
                <w:szCs w:val="17"/>
              </w:rPr>
              <w:t xml:space="preserve">MEDIUM</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backend/templates/base.html  isLoggedIn() function</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bCs/>
                <w:color w:val="000000"/>
                <w:sz w:val="17"/>
                <w:szCs w:val="17"/>
              </w:rPr>
              <w:t xml:space="preserve">Client-Side Auth Check Does Not Validate JWT Signature</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The isLoggedIn() JavaScript function simply checks if 'riskradar_token' exists in localStorage (return !!localStorage.getItem('riskradar_token')). It does not decode or validate the token. An expired or manually crafted fake token string passes this check, allowing a page to render 'as if' authenticated even if subsequent API calls would return 401.</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pStyle w:val="ListParagraph"/>
              <w:numPr>
                <w:ilvl w:val="0"/>
                <w:numId w:val="1"/>
              </w:numPr>
            </w:pPr>
            <w:r>
              <w:rPr>
                <w:rFonts w:ascii="Calibri" w:cs="Calibri" w:eastAsia="Calibri" w:hAnsi="Calibri"/>
                <w:color w:val="000000"/>
                <w:sz w:val="17"/>
                <w:szCs w:val="17"/>
              </w:rPr>
              <w:t xml:space="preserve">Research: jwt-decode (npm) — a frontend library to decode JWT claims and check the exp (expiry) timestamp client-side.</w:t>
            </w:r>
          </w:p>
          <w:p>
            <w:pPr>
              <w:pStyle w:val="ListParagraph"/>
              <w:numPr>
                <w:ilvl w:val="0"/>
                <w:numId w:val="1"/>
              </w:numPr>
            </w:pPr>
            <w:r>
              <w:rPr>
                <w:rFonts w:ascii="Calibri" w:cs="Calibri" w:eastAsia="Calibri" w:hAnsi="Calibri"/>
                <w:color w:val="000000"/>
                <w:sz w:val="17"/>
                <w:szCs w:val="17"/>
              </w:rPr>
              <w:t xml:space="preserve">Research: Adding an expiry check to isLoggedIn(): decode the token, compare exp to Date.now().</w:t>
            </w:r>
          </w:p>
          <w:p>
            <w:pPr>
              <w:pStyle w:val="ListParagraph"/>
              <w:numPr>
                <w:ilvl w:val="0"/>
                <w:numId w:val="1"/>
              </w:numPr>
            </w:pPr>
            <w:r>
              <w:rPr>
                <w:rFonts w:ascii="Calibri" w:cs="Calibri" w:eastAsia="Calibri" w:hAnsi="Calibri"/>
                <w:color w:val="000000"/>
                <w:sz w:val="17"/>
                <w:szCs w:val="17"/>
              </w:rPr>
              <w:t xml:space="preserve">Note: Client-side JWT validation is not a security control — it is a UX improvement. The server already validates the token on every request.</w:t>
            </w:r>
          </w:p>
        </w:tc>
      </w:tr>
      <w:tr>
        <w:tc>
          <w:tcPr>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vAlign w:val="top"/>
          </w:tcPr>
          <w:p>
            <w:r>
              <w:rPr>
                <w:rFonts w:ascii="Calibri" w:cs="Calibri" w:eastAsia="Calibri" w:hAnsi="Calibri"/>
                <w:b/>
                <w:bCs/>
                <w:color w:val="2E4057"/>
                <w:sz w:val="17"/>
                <w:szCs w:val="17"/>
              </w:rPr>
              <w:t xml:space="preserve">FE-04</w:t>
            </w:r>
          </w:p>
        </w:tc>
        <w:tc>
          <w:tcPr>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vAlign w:val="top"/>
          </w:tcPr>
          <w:p>
            <w:r>
              <w:rPr>
                <w:rFonts w:ascii="Calibri" w:cs="Calibri" w:eastAsia="Calibri" w:hAnsi="Calibri"/>
                <w:b/>
                <w:bCs/>
                <w:color w:val="2E4057"/>
                <w:sz w:val="17"/>
                <w:szCs w:val="17"/>
              </w:rPr>
              <w:t xml:space="preserve">MEDIUM</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backend/templates/login.html  error display block</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bCs/>
                <w:color w:val="000000"/>
                <w:sz w:val="17"/>
                <w:szCs w:val="17"/>
              </w:rPr>
              <w:t xml:space="preserve">Raw Backend Error Messages Rendered to the User</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The login error handler renders err.detail directly: errorEl.textContent = err.detail || 'Login failed'. If the backend returns a specific error message (e.g. distinguishing between 'email not found' and 'wrong password'), it leaks user enumeration data. A generic backend error could also expose stack trace fragments.</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pStyle w:val="ListParagraph"/>
              <w:numPr>
                <w:ilvl w:val="0"/>
                <w:numId w:val="1"/>
              </w:numPr>
            </w:pPr>
            <w:r>
              <w:rPr>
                <w:rFonts w:ascii="Calibri" w:cs="Calibri" w:eastAsia="Calibri" w:hAnsi="Calibri"/>
                <w:color w:val="000000"/>
                <w:sz w:val="17"/>
                <w:szCs w:val="17"/>
              </w:rPr>
              <w:t xml:space="preserve">Map specific HTTP status codes to generic user-facing messages (e.g. all 401 responses → 'Invalid email or password').</w:t>
            </w:r>
          </w:p>
          <w:p>
            <w:pPr>
              <w:pStyle w:val="ListParagraph"/>
              <w:numPr>
                <w:ilvl w:val="0"/>
                <w:numId w:val="1"/>
              </w:numPr>
            </w:pPr>
            <w:r>
              <w:rPr>
                <w:rFonts w:ascii="Calibri" w:cs="Calibri" w:eastAsia="Calibri" w:hAnsi="Calibri"/>
                <w:color w:val="000000"/>
                <w:sz w:val="17"/>
                <w:szCs w:val="17"/>
              </w:rPr>
              <w:t xml:space="preserve">Research: How FastAPI's HTTPException detail field is serialized and how to return sanitized messages from the server.</w:t>
            </w:r>
          </w:p>
          <w:p>
            <w:pPr>
              <w:pStyle w:val="ListParagraph"/>
              <w:numPr>
                <w:ilvl w:val="0"/>
                <w:numId w:val="1"/>
              </w:numPr>
            </w:pPr>
            <w:r>
              <w:rPr>
                <w:rFonts w:ascii="Calibri" w:cs="Calibri" w:eastAsia="Calibri" w:hAnsi="Calibri"/>
                <w:color w:val="000000"/>
                <w:sz w:val="17"/>
                <w:szCs w:val="17"/>
              </w:rPr>
              <w:t xml:space="preserve">Research: Account enumeration — OWASP Authentication Cheat Sheet recommendation to use identical error messages for bad username vs. bad password.</w:t>
            </w:r>
          </w:p>
        </w:tc>
      </w:tr>
      <w:tr>
        <w:tc>
          <w:tcPr>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vAlign w:val="top"/>
          </w:tcPr>
          <w:p>
            <w:r>
              <w:rPr>
                <w:rFonts w:ascii="Calibri" w:cs="Calibri" w:eastAsia="Calibri" w:hAnsi="Calibri"/>
                <w:b/>
                <w:bCs/>
                <w:color w:val="2E4057"/>
                <w:sz w:val="17"/>
                <w:szCs w:val="17"/>
              </w:rPr>
              <w:t xml:space="preserve">FE-05</w:t>
            </w:r>
          </w:p>
        </w:tc>
        <w:tc>
          <w:tcPr>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vAlign w:val="top"/>
          </w:tcPr>
          <w:p>
            <w:r>
              <w:rPr>
                <w:rFonts w:ascii="Calibri" w:cs="Calibri" w:eastAsia="Calibri" w:hAnsi="Calibri"/>
                <w:b/>
                <w:bCs/>
                <w:color w:val="2E4057"/>
                <w:sz w:val="17"/>
                <w:szCs w:val="17"/>
              </w:rPr>
              <w:t xml:space="preserve">MEDIUM</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backend/templates/register.html
backend/templates/login.html</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bCs/>
                <w:color w:val="000000"/>
                <w:sz w:val="17"/>
                <w:szCs w:val="17"/>
              </w:rPr>
              <w:t xml:space="preserve">No Frontend Input Length or Format Constraints</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HTML input fields for email and password have no maxlength attributes and no client-side format validation beyond the browser's built-in type="email" check. A user (or attacker) could submit a 100,000-character password field. While bcrypt will hash whatever it receives, extremely long inputs can cause bcrypt performance degradation (bcrypt's input is effectively capped at 72 bytes; longer inputs are silently truncated).</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pStyle w:val="ListParagraph"/>
              <w:numPr>
                <w:ilvl w:val="0"/>
                <w:numId w:val="1"/>
              </w:numPr>
            </w:pPr>
            <w:r>
              <w:rPr>
                <w:rFonts w:ascii="Calibri" w:cs="Calibri" w:eastAsia="Calibri" w:hAnsi="Calibri"/>
                <w:color w:val="000000"/>
                <w:sz w:val="17"/>
                <w:szCs w:val="17"/>
              </w:rPr>
              <w:t xml:space="preserve">Add maxlength="254" to the email input (RFC 5321 max) and maxlength="128" to the password input.</w:t>
            </w:r>
          </w:p>
          <w:p>
            <w:pPr>
              <w:pStyle w:val="ListParagraph"/>
              <w:numPr>
                <w:ilvl w:val="0"/>
                <w:numId w:val="1"/>
              </w:numPr>
            </w:pPr>
            <w:r>
              <w:rPr>
                <w:rFonts w:ascii="Calibri" w:cs="Calibri" w:eastAsia="Calibri" w:hAnsi="Calibri"/>
                <w:color w:val="000000"/>
                <w:sz w:val="17"/>
                <w:szCs w:val="17"/>
              </w:rPr>
              <w:t xml:space="preserve">Research: bcrypt's 72-byte input truncation — validate server-side that passwords exceeding 72 characters are rejected with a clear error.</w:t>
            </w:r>
          </w:p>
          <w:p>
            <w:pPr>
              <w:pStyle w:val="ListParagraph"/>
              <w:numPr>
                <w:ilvl w:val="0"/>
                <w:numId w:val="1"/>
              </w:numPr>
            </w:pPr>
            <w:r>
              <w:rPr>
                <w:rFonts w:ascii="Calibri" w:cs="Calibri" w:eastAsia="Calibri" w:hAnsi="Calibri"/>
                <w:color w:val="000000"/>
                <w:sz w:val="17"/>
                <w:szCs w:val="17"/>
              </w:rPr>
              <w:t xml:space="preserve">Research: HTML5 pattern attribute for additional format constraints on the registration form.</w:t>
            </w:r>
          </w:p>
        </w:tc>
      </w:tr>
      <w:tr>
        <w:tc>
          <w:tcPr>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vAlign w:val="top"/>
          </w:tcPr>
          <w:p>
            <w:r>
              <w:rPr>
                <w:rFonts w:ascii="Calibri" w:cs="Calibri" w:eastAsia="Calibri" w:hAnsi="Calibri"/>
                <w:b/>
                <w:bCs/>
                <w:color w:val="2E4057"/>
                <w:sz w:val="17"/>
                <w:szCs w:val="17"/>
              </w:rPr>
              <w:t xml:space="preserve">FE-06</w:t>
            </w:r>
          </w:p>
        </w:tc>
        <w:tc>
          <w:tcPr>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vAlign w:val="top"/>
          </w:tcPr>
          <w:p>
            <w:r>
              <w:rPr>
                <w:rFonts w:ascii="Calibri" w:cs="Calibri" w:eastAsia="Calibri" w:hAnsi="Calibri"/>
                <w:b/>
                <w:bCs/>
                <w:color w:val="2E4057"/>
                <w:sz w:val="17"/>
                <w:szCs w:val="17"/>
              </w:rPr>
              <w:t xml:space="preserve">MEDIUM</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frontend/RiskRadar/ (React Native app)</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bCs/>
                <w:color w:val="000000"/>
                <w:sz w:val="17"/>
                <w:szCs w:val="17"/>
              </w:rPr>
              <w:t xml:space="preserve">React Native App Has No Documented Secure Storage Strategy</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The mobile app will need to store the JWT access token between sessions. React Native's AsyncStorage (the common default) is not encrypted and is accessible on rooted/jailbroken devices. If the mobile app uses AsyncStorage for the JWT, a compromised device exposes all tokens.</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pStyle w:val="ListParagraph"/>
              <w:numPr>
                <w:ilvl w:val="0"/>
                <w:numId w:val="1"/>
              </w:numPr>
            </w:pPr>
            <w:r>
              <w:rPr>
                <w:rFonts w:ascii="Calibri" w:cs="Calibri" w:eastAsia="Calibri" w:hAnsi="Calibri"/>
                <w:color w:val="000000"/>
                <w:sz w:val="17"/>
                <w:szCs w:val="17"/>
              </w:rPr>
              <w:t xml:space="preserve">Research: expo-secure-store — Expo's API for encrypted credential storage on iOS (Keychain) and Android (Keystore).</w:t>
            </w:r>
          </w:p>
          <w:p>
            <w:pPr>
              <w:pStyle w:val="ListParagraph"/>
              <w:numPr>
                <w:ilvl w:val="0"/>
                <w:numId w:val="1"/>
              </w:numPr>
            </w:pPr>
            <w:r>
              <w:rPr>
                <w:rFonts w:ascii="Calibri" w:cs="Calibri" w:eastAsia="Calibri" w:hAnsi="Calibri"/>
                <w:color w:val="000000"/>
                <w:sz w:val="17"/>
                <w:szCs w:val="17"/>
              </w:rPr>
              <w:t xml:space="preserve">Research: @react-native-async-storage/async-storage vs expo-secure-store — when each is appropriate.</w:t>
            </w:r>
          </w:p>
          <w:p>
            <w:pPr>
              <w:pStyle w:val="ListParagraph"/>
              <w:numPr>
                <w:ilvl w:val="0"/>
                <w:numId w:val="1"/>
              </w:numPr>
            </w:pPr>
            <w:r>
              <w:rPr>
                <w:rFonts w:ascii="Calibri" w:cs="Calibri" w:eastAsia="Calibri" w:hAnsi="Calibri"/>
                <w:color w:val="000000"/>
                <w:sz w:val="17"/>
                <w:szCs w:val="17"/>
              </w:rPr>
              <w:t xml:space="preserve">Research: Token storage threat model for mobile: what attackers can access on a rooted vs. non-rooted device.</w:t>
            </w:r>
          </w:p>
          <w:p>
            <w:pPr>
              <w:pStyle w:val="ListParagraph"/>
              <w:numPr>
                <w:ilvl w:val="0"/>
                <w:numId w:val="1"/>
              </w:numPr>
            </w:pPr>
            <w:r>
              <w:rPr>
                <w:rFonts w:ascii="Calibri" w:cs="Calibri" w:eastAsia="Calibri" w:hAnsi="Calibri"/>
                <w:color w:val="000000"/>
                <w:sz w:val="17"/>
                <w:szCs w:val="17"/>
              </w:rPr>
              <w:t xml:space="preserve">Action: Document the storage strategy and ensure expo-secure-store is added to dependencies.</w:t>
            </w:r>
          </w:p>
        </w:tc>
      </w:tr>
      <w:tr>
        <w:tc>
          <w:tcPr>
            <w:tcBorders>
              <w:top w:val="single" w:color="B0C4DE" w:sz="1"/>
              <w:left w:val="single" w:color="B0C4DE" w:sz="1"/>
              <w:bottom w:val="single" w:color="B0C4DE" w:sz="1"/>
              <w:right w:val="single" w:color="B0C4DE" w:sz="1"/>
            </w:tcBorders>
            <w:shd w:fill="E2EFDA" w:val="clear"/>
            <w:tcMar>
              <w:top w:type="dxa" w:w="100"/>
              <w:left w:type="dxa" w:w="140"/>
              <w:bottom w:type="dxa" w:w="100"/>
              <w:right w:type="dxa" w:w="140"/>
            </w:tcMar>
            <w:vAlign w:val="top"/>
          </w:tcPr>
          <w:p>
            <w:r>
              <w:rPr>
                <w:rFonts w:ascii="Calibri" w:cs="Calibri" w:eastAsia="Calibri" w:hAnsi="Calibri"/>
                <w:b/>
                <w:bCs/>
                <w:color w:val="375623"/>
                <w:sz w:val="17"/>
                <w:szCs w:val="17"/>
              </w:rPr>
              <w:t xml:space="preserve">FE-07</w:t>
            </w:r>
          </w:p>
        </w:tc>
        <w:tc>
          <w:tcPr>
            <w:tcBorders>
              <w:top w:val="single" w:color="B0C4DE" w:sz="1"/>
              <w:left w:val="single" w:color="B0C4DE" w:sz="1"/>
              <w:bottom w:val="single" w:color="B0C4DE" w:sz="1"/>
              <w:right w:val="single" w:color="B0C4DE" w:sz="1"/>
            </w:tcBorders>
            <w:shd w:fill="E2EFDA" w:val="clear"/>
            <w:tcMar>
              <w:top w:type="dxa" w:w="100"/>
              <w:left w:type="dxa" w:w="140"/>
              <w:bottom w:type="dxa" w:w="100"/>
              <w:right w:type="dxa" w:w="140"/>
            </w:tcMar>
            <w:vAlign w:val="top"/>
          </w:tcPr>
          <w:p>
            <w:r>
              <w:rPr>
                <w:rFonts w:ascii="Calibri" w:cs="Calibri" w:eastAsia="Calibri" w:hAnsi="Calibri"/>
                <w:b/>
                <w:bCs/>
                <w:color w:val="375623"/>
                <w:sz w:val="17"/>
                <w:szCs w:val="17"/>
              </w:rPr>
              <w:t xml:space="preserve">LOW</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backend/templates/base.html  logout() function</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bCs/>
                <w:color w:val="000000"/>
                <w:sz w:val="17"/>
                <w:szCs w:val="17"/>
              </w:rPr>
              <w:t xml:space="preserve">Logout Does Not Invalidate the Token Server-Side</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The logout() function removes the token from localStorage (client-side only). The token itself remains cryptographically valid until its expiry time. If the token was copied (e.g. from a network capture or a shared device), logging out does not revoke it.</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pStyle w:val="ListParagraph"/>
              <w:numPr>
                <w:ilvl w:val="0"/>
                <w:numId w:val="1"/>
              </w:numPr>
            </w:pPr>
            <w:r>
              <w:rPr>
                <w:rFonts w:ascii="Calibri" w:cs="Calibri" w:eastAsia="Calibri" w:hAnsi="Calibri"/>
                <w:color w:val="000000"/>
                <w:sz w:val="17"/>
                <w:szCs w:val="17"/>
              </w:rPr>
              <w:t xml:space="preserve">Research: Server-side token denylist (Redis blocklist) — store invalidated token JTI (JWT ID) claims on logout.</w:t>
            </w:r>
          </w:p>
          <w:p>
            <w:pPr>
              <w:pStyle w:val="ListParagraph"/>
              <w:numPr>
                <w:ilvl w:val="0"/>
                <w:numId w:val="1"/>
              </w:numPr>
            </w:pPr>
            <w:r>
              <w:rPr>
                <w:rFonts w:ascii="Calibri" w:cs="Calibri" w:eastAsia="Calibri" w:hAnsi="Calibri"/>
                <w:color w:val="000000"/>
                <w:sz w:val="17"/>
                <w:szCs w:val="17"/>
              </w:rPr>
              <w:t xml:space="preserve">Research: Adding a jti (unique token ID) claim to JWTs at creation time — required for server-side revocation.</w:t>
            </w:r>
          </w:p>
          <w:p>
            <w:pPr>
              <w:pStyle w:val="ListParagraph"/>
              <w:numPr>
                <w:ilvl w:val="0"/>
                <w:numId w:val="1"/>
              </w:numPr>
            </w:pPr>
            <w:r>
              <w:rPr>
                <w:rFonts w:ascii="Calibri" w:cs="Calibri" w:eastAsia="Calibri" w:hAnsi="Calibri"/>
                <w:color w:val="000000"/>
                <w:sz w:val="17"/>
                <w:szCs w:val="17"/>
              </w:rPr>
              <w:t xml:space="preserve">Short-term: Reducing ACCESS_TOKEN_EXPIRE_MINUTES to limit the window of post-logout validity.</w:t>
            </w:r>
          </w:p>
        </w:tc>
      </w:tr>
    </w:tbl>
    <w:p>
      <w:pPr>
        <w:spacing w:before="40" w:after="40"/>
      </w:pPr>
      <w:r>
        <w:t xml:space="preserve"/>
      </w:r>
    </w:p>
    <w:p>
      <w:pPr>
        <w:pBdr>
          <w:bottom w:val="single" w:color="2E75B6" w:sz="6" w:space="2"/>
        </w:pBdr>
        <w:spacing w:before="340" w:after="100"/>
      </w:pPr>
      <w:r>
        <w:rPr>
          <w:rFonts w:ascii="Calibri" w:cs="Calibri" w:eastAsia="Calibri" w:hAnsi="Calibri"/>
          <w:b/>
          <w:bCs/>
          <w:color w:val="1F3864"/>
          <w:sz w:val="32"/>
          <w:szCs w:val="32"/>
        </w:rPr>
        <w:t xml:space="preserve">C — Database Security Findings</w:t>
      </w:r>
    </w:p>
    <w:p>
      <w:pPr>
        <w:spacing w:before="60" w:after="80"/>
      </w:pPr>
      <w:r>
        <w:rPr>
          <w:rFonts w:ascii="Calibri" w:cs="Calibri" w:eastAsia="Calibri" w:hAnsi="Calibri"/>
          <w:b w:val="false"/>
          <w:bCs w:val="false"/>
          <w:color w:val="000000"/>
          <w:sz w:val="20"/>
          <w:szCs w:val="20"/>
        </w:rPr>
        <w:t xml:space="preserve">Source scope: backend/db/ (models.py, database.py, init_db.py, retention.py) and cross-referenced against docs/DATA_MODEL.md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00"/>
        <w:gridCol w:w="1500"/>
        <w:gridCol w:w="1700"/>
        <w:gridCol w:w="2280"/>
        <w:gridCol w:w="2580"/>
      </w:tblGrid>
      <w:tr>
        <w:trPr>
          <w:tblHeader/>
        </w:trPr>
        <w:tc>
          <w:tcPr>
            <w:tcW w:type="dxa" w:w="500"/>
            <w:tcBorders>
              <w:top w:val="single" w:color="B0C4DE" w:sz="1"/>
              <w:left w:val="single" w:color="B0C4DE" w:sz="1"/>
              <w:bottom w:val="single" w:color="B0C4DE" w:sz="1"/>
              <w:right w:val="single" w:color="B0C4DE" w:sz="1"/>
            </w:tcBorders>
            <w:shd w:fill="1F3864" w:val="clear"/>
            <w:tcMar>
              <w:top w:type="dxa" w:w="100"/>
              <w:left w:type="dxa" w:w="140"/>
              <w:bottom w:type="dxa" w:w="100"/>
              <w:right w:type="dxa" w:w="140"/>
            </w:tcMar>
            <w:vAlign w:val="top"/>
          </w:tcPr>
          <w:p>
            <w:pPr>
              <w:jc w:val="left"/>
            </w:pPr>
            <w:r>
              <w:rPr>
                <w:rFonts w:ascii="Calibri" w:cs="Calibri" w:eastAsia="Calibri" w:hAnsi="Calibri"/>
                <w:b/>
                <w:bCs/>
                <w:color w:val="FFFFFF"/>
                <w:sz w:val="18"/>
                <w:szCs w:val="18"/>
              </w:rPr>
              <w:t xml:space="preserve">#</w:t>
            </w:r>
          </w:p>
        </w:tc>
        <w:tc>
          <w:tcPr>
            <w:tcW w:type="dxa" w:w="800"/>
            <w:tcBorders>
              <w:top w:val="single" w:color="B0C4DE" w:sz="1"/>
              <w:left w:val="single" w:color="B0C4DE" w:sz="1"/>
              <w:bottom w:val="single" w:color="B0C4DE" w:sz="1"/>
              <w:right w:val="single" w:color="B0C4DE" w:sz="1"/>
            </w:tcBorders>
            <w:shd w:fill="1F3864" w:val="clear"/>
            <w:tcMar>
              <w:top w:type="dxa" w:w="100"/>
              <w:left w:type="dxa" w:w="140"/>
              <w:bottom w:type="dxa" w:w="100"/>
              <w:right w:type="dxa" w:w="140"/>
            </w:tcMar>
            <w:vAlign w:val="top"/>
          </w:tcPr>
          <w:p>
            <w:pPr>
              <w:jc w:val="left"/>
            </w:pPr>
            <w:r>
              <w:rPr>
                <w:rFonts w:ascii="Calibri" w:cs="Calibri" w:eastAsia="Calibri" w:hAnsi="Calibri"/>
                <w:b/>
                <w:bCs/>
                <w:color w:val="FFFFFF"/>
                <w:sz w:val="18"/>
                <w:szCs w:val="18"/>
              </w:rPr>
              <w:t xml:space="preserve">Severity</w:t>
            </w:r>
          </w:p>
        </w:tc>
        <w:tc>
          <w:tcPr>
            <w:tcW w:type="dxa" w:w="1500"/>
            <w:tcBorders>
              <w:top w:val="single" w:color="B0C4DE" w:sz="1"/>
              <w:left w:val="single" w:color="B0C4DE" w:sz="1"/>
              <w:bottom w:val="single" w:color="B0C4DE" w:sz="1"/>
              <w:right w:val="single" w:color="B0C4DE" w:sz="1"/>
            </w:tcBorders>
            <w:shd w:fill="1F3864" w:val="clear"/>
            <w:tcMar>
              <w:top w:type="dxa" w:w="100"/>
              <w:left w:type="dxa" w:w="140"/>
              <w:bottom w:type="dxa" w:w="100"/>
              <w:right w:type="dxa" w:w="140"/>
            </w:tcMar>
            <w:vAlign w:val="top"/>
          </w:tcPr>
          <w:p>
            <w:pPr>
              <w:jc w:val="left"/>
            </w:pPr>
            <w:r>
              <w:rPr>
                <w:rFonts w:ascii="Calibri" w:cs="Calibri" w:eastAsia="Calibri" w:hAnsi="Calibri"/>
                <w:b/>
                <w:bCs/>
                <w:color w:val="FFFFFF"/>
                <w:sz w:val="18"/>
                <w:szCs w:val="18"/>
              </w:rPr>
              <w:t xml:space="preserve">File / Location</w:t>
            </w:r>
          </w:p>
        </w:tc>
        <w:tc>
          <w:tcPr>
            <w:tcW w:type="dxa" w:w="1700"/>
            <w:tcBorders>
              <w:top w:val="single" w:color="B0C4DE" w:sz="1"/>
              <w:left w:val="single" w:color="B0C4DE" w:sz="1"/>
              <w:bottom w:val="single" w:color="B0C4DE" w:sz="1"/>
              <w:right w:val="single" w:color="B0C4DE" w:sz="1"/>
            </w:tcBorders>
            <w:shd w:fill="1F3864" w:val="clear"/>
            <w:tcMar>
              <w:top w:type="dxa" w:w="100"/>
              <w:left w:type="dxa" w:w="140"/>
              <w:bottom w:type="dxa" w:w="100"/>
              <w:right w:type="dxa" w:w="140"/>
            </w:tcMar>
            <w:vAlign w:val="top"/>
          </w:tcPr>
          <w:p>
            <w:pPr>
              <w:jc w:val="left"/>
            </w:pPr>
            <w:r>
              <w:rPr>
                <w:rFonts w:ascii="Calibri" w:cs="Calibri" w:eastAsia="Calibri" w:hAnsi="Calibri"/>
                <w:b/>
                <w:bCs/>
                <w:color w:val="FFFFFF"/>
                <w:sz w:val="18"/>
                <w:szCs w:val="18"/>
              </w:rPr>
              <w:t xml:space="preserve">Issue Title</w:t>
            </w:r>
          </w:p>
        </w:tc>
        <w:tc>
          <w:tcPr>
            <w:tcW w:type="dxa" w:w="2280"/>
            <w:tcBorders>
              <w:top w:val="single" w:color="B0C4DE" w:sz="1"/>
              <w:left w:val="single" w:color="B0C4DE" w:sz="1"/>
              <w:bottom w:val="single" w:color="B0C4DE" w:sz="1"/>
              <w:right w:val="single" w:color="B0C4DE" w:sz="1"/>
            </w:tcBorders>
            <w:shd w:fill="1F3864" w:val="clear"/>
            <w:tcMar>
              <w:top w:type="dxa" w:w="100"/>
              <w:left w:type="dxa" w:w="140"/>
              <w:bottom w:type="dxa" w:w="100"/>
              <w:right w:type="dxa" w:w="140"/>
            </w:tcMar>
            <w:vAlign w:val="top"/>
          </w:tcPr>
          <w:p>
            <w:pPr>
              <w:jc w:val="left"/>
            </w:pPr>
            <w:r>
              <w:rPr>
                <w:rFonts w:ascii="Calibri" w:cs="Calibri" w:eastAsia="Calibri" w:hAnsi="Calibri"/>
                <w:b/>
                <w:bCs/>
                <w:color w:val="FFFFFF"/>
                <w:sz w:val="18"/>
                <w:szCs w:val="18"/>
              </w:rPr>
              <w:t xml:space="preserve">Why It Is a Risk</w:t>
            </w:r>
          </w:p>
        </w:tc>
        <w:tc>
          <w:tcPr>
            <w:tcW w:type="dxa" w:w="2580"/>
            <w:tcBorders>
              <w:top w:val="single" w:color="B0C4DE" w:sz="1"/>
              <w:left w:val="single" w:color="B0C4DE" w:sz="1"/>
              <w:bottom w:val="single" w:color="B0C4DE" w:sz="1"/>
              <w:right w:val="single" w:color="B0C4DE" w:sz="1"/>
            </w:tcBorders>
            <w:shd w:fill="1F3864" w:val="clear"/>
            <w:tcMar>
              <w:top w:type="dxa" w:w="100"/>
              <w:left w:type="dxa" w:w="140"/>
              <w:bottom w:type="dxa" w:w="100"/>
              <w:right w:type="dxa" w:w="140"/>
            </w:tcMar>
            <w:vAlign w:val="top"/>
          </w:tcPr>
          <w:p>
            <w:pPr>
              <w:jc w:val="left"/>
            </w:pPr>
            <w:r>
              <w:rPr>
                <w:rFonts w:ascii="Calibri" w:cs="Calibri" w:eastAsia="Calibri" w:hAnsi="Calibri"/>
                <w:b/>
                <w:bCs/>
                <w:color w:val="FFFFFF"/>
                <w:sz w:val="18"/>
                <w:szCs w:val="18"/>
              </w:rPr>
              <w:t xml:space="preserve">Solutions to Research</w:t>
            </w:r>
          </w:p>
        </w:tc>
      </w:tr>
      <w:tr>
        <w:tc>
          <w:tcPr>
            <w:tcBorders>
              <w:top w:val="single" w:color="B0C4DE" w:sz="1"/>
              <w:left w:val="single" w:color="B0C4DE" w:sz="1"/>
              <w:bottom w:val="single" w:color="B0C4DE" w:sz="1"/>
              <w:right w:val="single" w:color="B0C4DE" w:sz="1"/>
            </w:tcBorders>
            <w:shd w:fill="FFF2CC" w:val="clear"/>
            <w:tcMar>
              <w:top w:type="dxa" w:w="100"/>
              <w:left w:type="dxa" w:w="140"/>
              <w:bottom w:type="dxa" w:w="100"/>
              <w:right w:type="dxa" w:w="140"/>
            </w:tcMar>
            <w:vAlign w:val="top"/>
          </w:tcPr>
          <w:p>
            <w:r>
              <w:rPr>
                <w:rFonts w:ascii="Calibri" w:cs="Calibri" w:eastAsia="Calibri" w:hAnsi="Calibri"/>
                <w:b/>
                <w:bCs/>
                <w:color w:val="7F6000"/>
                <w:sz w:val="17"/>
                <w:szCs w:val="17"/>
              </w:rPr>
              <w:t xml:space="preserve">DB-01</w:t>
            </w:r>
          </w:p>
        </w:tc>
        <w:tc>
          <w:tcPr>
            <w:tcBorders>
              <w:top w:val="single" w:color="B0C4DE" w:sz="1"/>
              <w:left w:val="single" w:color="B0C4DE" w:sz="1"/>
              <w:bottom w:val="single" w:color="B0C4DE" w:sz="1"/>
              <w:right w:val="single" w:color="B0C4DE" w:sz="1"/>
            </w:tcBorders>
            <w:shd w:fill="FFF2CC" w:val="clear"/>
            <w:tcMar>
              <w:top w:type="dxa" w:w="100"/>
              <w:left w:type="dxa" w:w="140"/>
              <w:bottom w:type="dxa" w:w="100"/>
              <w:right w:type="dxa" w:w="140"/>
            </w:tcMar>
            <w:vAlign w:val="top"/>
          </w:tcPr>
          <w:p>
            <w:r>
              <w:rPr>
                <w:rFonts w:ascii="Calibri" w:cs="Calibri" w:eastAsia="Calibri" w:hAnsi="Calibri"/>
                <w:b/>
                <w:bCs/>
                <w:color w:val="7F6000"/>
                <w:sz w:val="17"/>
                <w:szCs w:val="17"/>
              </w:rPr>
              <w:t xml:space="preserve">HIGH</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backend/db/models.py  All timestamp columns</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bCs/>
                <w:color w:val="000000"/>
                <w:sz w:val="17"/>
                <w:szCs w:val="17"/>
              </w:rPr>
              <w:t xml:space="preserve">All Timestamps Stored as TEXT — No Type Enforcement</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Every date/time column across all models (created_at, updated_at, fetched_at, event_start, event_end, etc.) is defined as SQLAlchemy Text, storing ISO 8601 strings. This means the database enforces no format or range on these values. A malformed timestamp from a scraper (e.g. 'null', a future date 10 years out, or an SQL-injection-style string) is stored without error and may cause silent logic failures in retention cleanup and date-range queries.</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pStyle w:val="ListParagraph"/>
              <w:numPr>
                <w:ilvl w:val="0"/>
                <w:numId w:val="1"/>
              </w:numPr>
            </w:pPr>
            <w:r>
              <w:rPr>
                <w:rFonts w:ascii="Calibri" w:cs="Calibri" w:eastAsia="Calibri" w:hAnsi="Calibri"/>
                <w:color w:val="000000"/>
                <w:sz w:val="17"/>
                <w:szCs w:val="17"/>
              </w:rPr>
              <w:t xml:space="preserve">Research: SQLAlchemy DateTime column type with timezone=True — enforces datetime objects at the ORM layer.</w:t>
            </w:r>
          </w:p>
          <w:p>
            <w:pPr>
              <w:pStyle w:val="ListParagraph"/>
              <w:numPr>
                <w:ilvl w:val="0"/>
                <w:numId w:val="1"/>
              </w:numPr>
            </w:pPr>
            <w:r>
              <w:rPr>
                <w:rFonts w:ascii="Calibri" w:cs="Calibri" w:eastAsia="Calibri" w:hAnsi="Calibri"/>
                <w:color w:val="000000"/>
                <w:sz w:val="17"/>
                <w:szCs w:val="17"/>
              </w:rPr>
              <w:t xml:space="preserve">Research: Alembic migration system to evolve the schema from Text to DateTime without losing data.</w:t>
            </w:r>
          </w:p>
          <w:p>
            <w:pPr>
              <w:pStyle w:val="ListParagraph"/>
              <w:numPr>
                <w:ilvl w:val="0"/>
                <w:numId w:val="1"/>
              </w:numPr>
            </w:pPr>
            <w:r>
              <w:rPr>
                <w:rFonts w:ascii="Calibri" w:cs="Calibri" w:eastAsia="Calibri" w:hAnsi="Calibri"/>
                <w:color w:val="000000"/>
                <w:sz w:val="17"/>
                <w:szCs w:val="17"/>
              </w:rPr>
              <w:t xml:space="preserve">Research: The tradeoffs of SQLite's loose typing (SQLite stores DateTime as TEXT anyway) vs. enforcing types at the ORM layer.</w:t>
            </w:r>
          </w:p>
          <w:p>
            <w:pPr>
              <w:pStyle w:val="ListParagraph"/>
              <w:numPr>
                <w:ilvl w:val="0"/>
                <w:numId w:val="1"/>
              </w:numPr>
            </w:pPr>
            <w:r>
              <w:rPr>
                <w:rFonts w:ascii="Calibri" w:cs="Calibri" w:eastAsia="Calibri" w:hAnsi="Calibri"/>
                <w:color w:val="000000"/>
                <w:sz w:val="17"/>
                <w:szCs w:val="17"/>
              </w:rPr>
              <w:t xml:space="preserve">Interim: Add Pydantic validators on the Alert schema to enforce ISO 8601 format before DB write.</w:t>
            </w:r>
          </w:p>
        </w:tc>
      </w:tr>
      <w:tr>
        <w:tc>
          <w:tcPr>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vAlign w:val="top"/>
          </w:tcPr>
          <w:p>
            <w:r>
              <w:rPr>
                <w:rFonts w:ascii="Calibri" w:cs="Calibri" w:eastAsia="Calibri" w:hAnsi="Calibri"/>
                <w:b/>
                <w:bCs/>
                <w:color w:val="2E4057"/>
                <w:sz w:val="17"/>
                <w:szCs w:val="17"/>
              </w:rPr>
              <w:t xml:space="preserve">DB-02</w:t>
            </w:r>
          </w:p>
        </w:tc>
        <w:tc>
          <w:tcPr>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vAlign w:val="top"/>
          </w:tcPr>
          <w:p>
            <w:r>
              <w:rPr>
                <w:rFonts w:ascii="Calibri" w:cs="Calibri" w:eastAsia="Calibri" w:hAnsi="Calibri"/>
                <w:b/>
                <w:bCs/>
                <w:color w:val="2E4057"/>
                <w:sz w:val="17"/>
                <w:szCs w:val="17"/>
              </w:rPr>
              <w:t xml:space="preserve">MEDIUM</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backend/db/models.py  Alert.raw_data, Summary.alert_ids, User.alert_types</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bCs/>
                <w:color w:val="000000"/>
                <w:sz w:val="17"/>
                <w:szCs w:val="17"/>
              </w:rPr>
              <w:t xml:space="preserve">JSON Arrays and Objects Stored as Text Columns</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Three columns store structured data as raw JSON text strings: Alert.raw_data (full external API payload), Summary.alert_ids (array of alert IDs), and User.alert_types (array of alert type preferences). This violates First Normal Form. JSON text cannot be indexed, queried efficiently, or validated at the database layer, and it creates a path for storing arbitrary unvalidated data from external sources.</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pStyle w:val="ListParagraph"/>
              <w:numPr>
                <w:ilvl w:val="0"/>
                <w:numId w:val="1"/>
              </w:numPr>
            </w:pPr>
            <w:r>
              <w:rPr>
                <w:rFonts w:ascii="Calibri" w:cs="Calibri" w:eastAsia="Calibri" w:hAnsi="Calibri"/>
                <w:color w:val="000000"/>
                <w:sz w:val="17"/>
                <w:szCs w:val="17"/>
              </w:rPr>
              <w:t xml:space="preserve">Research: Summary.alert_ids → a junction table (summary_alerts) as a proper many-to-many relationship.</w:t>
            </w:r>
          </w:p>
          <w:p>
            <w:pPr>
              <w:pStyle w:val="ListParagraph"/>
              <w:numPr>
                <w:ilvl w:val="0"/>
                <w:numId w:val="1"/>
              </w:numPr>
            </w:pPr>
            <w:r>
              <w:rPr>
                <w:rFonts w:ascii="Calibri" w:cs="Calibri" w:eastAsia="Calibri" w:hAnsi="Calibri"/>
                <w:color w:val="000000"/>
                <w:sz w:val="17"/>
                <w:szCs w:val="17"/>
              </w:rPr>
              <w:t xml:space="preserve">Research: User.alert_types → a user_alert_types junction table.</w:t>
            </w:r>
          </w:p>
          <w:p>
            <w:pPr>
              <w:pStyle w:val="ListParagraph"/>
              <w:numPr>
                <w:ilvl w:val="0"/>
                <w:numId w:val="1"/>
              </w:numPr>
            </w:pPr>
            <w:r>
              <w:rPr>
                <w:rFonts w:ascii="Calibri" w:cs="Calibri" w:eastAsia="Calibri" w:hAnsi="Calibri"/>
                <w:color w:val="000000"/>
                <w:sz w:val="17"/>
                <w:szCs w:val="17"/>
              </w:rPr>
              <w:t xml:space="preserve">Research: Alert.raw_data — this is acceptable as a log/audit column; enforce a max byte limit to prevent large payload storage.</w:t>
            </w:r>
          </w:p>
          <w:p>
            <w:pPr>
              <w:pStyle w:val="ListParagraph"/>
              <w:numPr>
                <w:ilvl w:val="0"/>
                <w:numId w:val="1"/>
              </w:numPr>
            </w:pPr>
            <w:r>
              <w:rPr>
                <w:rFonts w:ascii="Calibri" w:cs="Calibri" w:eastAsia="Calibri" w:hAnsi="Calibri"/>
                <w:color w:val="000000"/>
                <w:sz w:val="17"/>
                <w:szCs w:val="17"/>
              </w:rPr>
              <w:t xml:space="preserve">Research: MySQL's JSON column type (available in production MySQL 8.x) as an improvement over TEXT for structured data.</w:t>
            </w:r>
          </w:p>
        </w:tc>
      </w:tr>
      <w:tr>
        <w:tc>
          <w:tcPr>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vAlign w:val="top"/>
          </w:tcPr>
          <w:p>
            <w:r>
              <w:rPr>
                <w:rFonts w:ascii="Calibri" w:cs="Calibri" w:eastAsia="Calibri" w:hAnsi="Calibri"/>
                <w:b/>
                <w:bCs/>
                <w:color w:val="2E4057"/>
                <w:sz w:val="17"/>
                <w:szCs w:val="17"/>
              </w:rPr>
              <w:t xml:space="preserve">DB-03</w:t>
            </w:r>
          </w:p>
        </w:tc>
        <w:tc>
          <w:tcPr>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vAlign w:val="top"/>
          </w:tcPr>
          <w:p>
            <w:r>
              <w:rPr>
                <w:rFonts w:ascii="Calibri" w:cs="Calibri" w:eastAsia="Calibri" w:hAnsi="Calibri"/>
                <w:b/>
                <w:bCs/>
                <w:color w:val="2E4057"/>
                <w:sz w:val="17"/>
                <w:szCs w:val="17"/>
              </w:rPr>
              <w:t xml:space="preserve">MEDIUM</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backend/db/models.py  User table</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bCs/>
                <w:color w:val="000000"/>
                <w:sz w:val="17"/>
                <w:szCs w:val="17"/>
              </w:rPr>
              <w:t xml:space="preserve">Sensitive PII Stored in Plaintext</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User.email and User.zip_code are stored as plaintext Text columns. Email is PII (personally identifiable information) under most privacy regulations (GDPR, CCPA). If the database file is exfiltrated (e.g. the SQLite riskradar.db file), all user emails are immediately readable.</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pStyle w:val="ListParagraph"/>
              <w:numPr>
                <w:ilvl w:val="0"/>
                <w:numId w:val="1"/>
              </w:numPr>
            </w:pPr>
            <w:r>
              <w:rPr>
                <w:rFonts w:ascii="Calibri" w:cs="Calibri" w:eastAsia="Calibri" w:hAnsi="Calibri"/>
                <w:color w:val="000000"/>
                <w:sz w:val="17"/>
                <w:szCs w:val="17"/>
              </w:rPr>
              <w:t xml:space="preserve">Research: Application-level email encryption using Python cryptography library (Fernet symmetric encryption) — encrypt before write, decrypt after read.</w:t>
            </w:r>
          </w:p>
          <w:p>
            <w:pPr>
              <w:pStyle w:val="ListParagraph"/>
              <w:numPr>
                <w:ilvl w:val="0"/>
                <w:numId w:val="1"/>
              </w:numPr>
            </w:pPr>
            <w:r>
              <w:rPr>
                <w:rFonts w:ascii="Calibri" w:cs="Calibri" w:eastAsia="Calibri" w:hAnsi="Calibri"/>
                <w:color w:val="000000"/>
                <w:sz w:val="17"/>
                <w:szCs w:val="17"/>
              </w:rPr>
              <w:t xml:space="preserve">Research: Storing only a hash of the email for lookup (with a separate encrypted copy for display/contact) — prevents plaintext recovery.</w:t>
            </w:r>
          </w:p>
          <w:p>
            <w:pPr>
              <w:pStyle w:val="ListParagraph"/>
              <w:numPr>
                <w:ilvl w:val="0"/>
                <w:numId w:val="1"/>
              </w:numPr>
            </w:pPr>
            <w:r>
              <w:rPr>
                <w:rFonts w:ascii="Calibri" w:cs="Calibri" w:eastAsia="Calibri" w:hAnsi="Calibri"/>
                <w:color w:val="000000"/>
                <w:sz w:val="17"/>
                <w:szCs w:val="17"/>
              </w:rPr>
              <w:t xml:space="preserve">Research: SQLCipher (SQLite encryption extension) for encrypting the entire database file at rest.</w:t>
            </w:r>
          </w:p>
          <w:p>
            <w:pPr>
              <w:pStyle w:val="ListParagraph"/>
              <w:numPr>
                <w:ilvl w:val="0"/>
                <w:numId w:val="1"/>
              </w:numPr>
            </w:pPr>
            <w:r>
              <w:rPr>
                <w:rFonts w:ascii="Calibri" w:cs="Calibri" w:eastAsia="Calibri" w:hAnsi="Calibri"/>
                <w:color w:val="000000"/>
                <w:sz w:val="17"/>
                <w:szCs w:val="17"/>
              </w:rPr>
              <w:t xml:space="preserve">Research: GDPR data minimization — confirm whether storing email is strictly necessary for MVP.</w:t>
            </w:r>
          </w:p>
        </w:tc>
      </w:tr>
      <w:tr>
        <w:tc>
          <w:tcPr>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vAlign w:val="top"/>
          </w:tcPr>
          <w:p>
            <w:r>
              <w:rPr>
                <w:rFonts w:ascii="Calibri" w:cs="Calibri" w:eastAsia="Calibri" w:hAnsi="Calibri"/>
                <w:b/>
                <w:bCs/>
                <w:color w:val="2E4057"/>
                <w:sz w:val="17"/>
                <w:szCs w:val="17"/>
              </w:rPr>
              <w:t xml:space="preserve">DB-04</w:t>
            </w:r>
          </w:p>
        </w:tc>
        <w:tc>
          <w:tcPr>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vAlign w:val="top"/>
          </w:tcPr>
          <w:p>
            <w:r>
              <w:rPr>
                <w:rFonts w:ascii="Calibri" w:cs="Calibri" w:eastAsia="Calibri" w:hAnsi="Calibri"/>
                <w:b/>
                <w:bCs/>
                <w:color w:val="2E4057"/>
                <w:sz w:val="17"/>
                <w:szCs w:val="17"/>
              </w:rPr>
              <w:t xml:space="preserve">MEDIUM</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backend/db/models.py  (all models)
backend/db/database.py</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bCs/>
                <w:color w:val="000000"/>
                <w:sz w:val="17"/>
                <w:szCs w:val="17"/>
              </w:rPr>
              <w:t xml:space="preserve">No Foreign Key Constraints Defined in ORM Models</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The DATA_MODEL.md documents 11 foreign key relationships, but the SQLAlchemy ORM models define none of them (no ForeignKey() columns, no relationship() declarations). This means the database does not enforce referential integrity — orphaned rows, dangling IDs, and inconsistent cross-table state can accumulate silently.</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pStyle w:val="ListParagraph"/>
              <w:numPr>
                <w:ilvl w:val="0"/>
                <w:numId w:val="1"/>
              </w:numPr>
            </w:pPr>
            <w:r>
              <w:rPr>
                <w:rFonts w:ascii="Calibri" w:cs="Calibri" w:eastAsia="Calibri" w:hAnsi="Calibri"/>
                <w:color w:val="000000"/>
                <w:sz w:val="17"/>
                <w:szCs w:val="17"/>
              </w:rPr>
              <w:t xml:space="preserve">Research: SQLAlchemy ForeignKey() column declarations — adding them to the models that reference other tables.</w:t>
            </w:r>
          </w:p>
          <w:p>
            <w:pPr>
              <w:pStyle w:val="ListParagraph"/>
              <w:numPr>
                <w:ilvl w:val="0"/>
                <w:numId w:val="1"/>
              </w:numPr>
            </w:pPr>
            <w:r>
              <w:rPr>
                <w:rFonts w:ascii="Calibri" w:cs="Calibri" w:eastAsia="Calibri" w:hAnsi="Calibri"/>
                <w:color w:val="000000"/>
                <w:sz w:val="17"/>
                <w:szCs w:val="17"/>
              </w:rPr>
              <w:t xml:space="preserve">Research: SQLAlchemy relationship() for ORM-level joins (e.g. Alert.article_id FK to articles).</w:t>
            </w:r>
          </w:p>
          <w:p>
            <w:pPr>
              <w:pStyle w:val="ListParagraph"/>
              <w:numPr>
                <w:ilvl w:val="0"/>
                <w:numId w:val="1"/>
              </w:numPr>
            </w:pPr>
            <w:r>
              <w:rPr>
                <w:rFonts w:ascii="Calibri" w:cs="Calibri" w:eastAsia="Calibri" w:hAnsi="Calibri"/>
                <w:color w:val="000000"/>
                <w:sz w:val="17"/>
                <w:szCs w:val="17"/>
              </w:rPr>
              <w:t xml:space="preserve">Research: PRAGMA foreign_keys = ON for SQLite — SQLite does not enforce FKs by default.</w:t>
            </w:r>
          </w:p>
          <w:p>
            <w:pPr>
              <w:pStyle w:val="ListParagraph"/>
              <w:numPr>
                <w:ilvl w:val="0"/>
                <w:numId w:val="1"/>
              </w:numPr>
            </w:pPr>
            <w:r>
              <w:rPr>
                <w:rFonts w:ascii="Calibri" w:cs="Calibri" w:eastAsia="Calibri" w:hAnsi="Calibri"/>
                <w:color w:val="000000"/>
                <w:sz w:val="17"/>
                <w:szCs w:val="17"/>
              </w:rPr>
              <w:t xml:space="preserve">Note: This is also a data integrity issue, not only a security issue — orphaned data can cause incorrect retention behavior.</w:t>
            </w:r>
          </w:p>
        </w:tc>
      </w:tr>
      <w:tr>
        <w:tc>
          <w:tcPr>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vAlign w:val="top"/>
          </w:tcPr>
          <w:p>
            <w:r>
              <w:rPr>
                <w:rFonts w:ascii="Calibri" w:cs="Calibri" w:eastAsia="Calibri" w:hAnsi="Calibri"/>
                <w:b/>
                <w:bCs/>
                <w:color w:val="2E4057"/>
                <w:sz w:val="17"/>
                <w:szCs w:val="17"/>
              </w:rPr>
              <w:t xml:space="preserve">DB-05</w:t>
            </w:r>
          </w:p>
        </w:tc>
        <w:tc>
          <w:tcPr>
            <w:tcBorders>
              <w:top w:val="single" w:color="B0C4DE" w:sz="1"/>
              <w:left w:val="single" w:color="B0C4DE" w:sz="1"/>
              <w:bottom w:val="single" w:color="B0C4DE" w:sz="1"/>
              <w:right w:val="single" w:color="B0C4DE" w:sz="1"/>
            </w:tcBorders>
            <w:shd w:fill="EBF3FB" w:val="clear"/>
            <w:tcMar>
              <w:top w:type="dxa" w:w="100"/>
              <w:left w:type="dxa" w:w="140"/>
              <w:bottom w:type="dxa" w:w="100"/>
              <w:right w:type="dxa" w:w="140"/>
            </w:tcMar>
            <w:vAlign w:val="top"/>
          </w:tcPr>
          <w:p>
            <w:r>
              <w:rPr>
                <w:rFonts w:ascii="Calibri" w:cs="Calibri" w:eastAsia="Calibri" w:hAnsi="Calibri"/>
                <w:b/>
                <w:bCs/>
                <w:color w:val="2E4057"/>
                <w:sz w:val="17"/>
                <w:szCs w:val="17"/>
              </w:rPr>
              <w:t xml:space="preserve">MEDIUM</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backend/db/init_db.py
config/settings.py</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bCs/>
                <w:color w:val="000000"/>
                <w:sz w:val="17"/>
                <w:szCs w:val="17"/>
              </w:rPr>
              <w:t xml:space="preserve">No Database Migration System — Direct create_all() with No History</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The database is initialized via SQLAlchemy's Base.metadata.create_all(), which creates tables only if they do not exist. There is no migration history. Schema changes (adding columns, altering types) cannot be applied to an existing database without manual intervention or data loss. In a team environment, schema drift between developer instances is likely.</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pStyle w:val="ListParagraph"/>
              <w:numPr>
                <w:ilvl w:val="0"/>
                <w:numId w:val="1"/>
              </w:numPr>
            </w:pPr>
            <w:r>
              <w:rPr>
                <w:rFonts w:ascii="Calibri" w:cs="Calibri" w:eastAsia="Calibri" w:hAnsi="Calibri"/>
                <w:color w:val="000000"/>
                <w:sz w:val="17"/>
                <w:szCs w:val="17"/>
              </w:rPr>
              <w:t xml:space="preserve">Research: Alembic — the standard SQLAlchemy migration tool. Generates versioned migration scripts.</w:t>
            </w:r>
          </w:p>
          <w:p>
            <w:pPr>
              <w:pStyle w:val="ListParagraph"/>
              <w:numPr>
                <w:ilvl w:val="0"/>
                <w:numId w:val="1"/>
              </w:numPr>
            </w:pPr>
            <w:r>
              <w:rPr>
                <w:rFonts w:ascii="Calibri" w:cs="Calibri" w:eastAsia="Calibri" w:hAnsi="Calibri"/>
                <w:color w:val="000000"/>
                <w:sz w:val="17"/>
                <w:szCs w:val="17"/>
              </w:rPr>
              <w:t xml:space="preserve">Research: Alembic autogenerate — compares the current ORM models to the database and generates a migration diff.</w:t>
            </w:r>
          </w:p>
          <w:p>
            <w:pPr>
              <w:pStyle w:val="ListParagraph"/>
              <w:numPr>
                <w:ilvl w:val="0"/>
                <w:numId w:val="1"/>
              </w:numPr>
            </w:pPr>
            <w:r>
              <w:rPr>
                <w:rFonts w:ascii="Calibri" w:cs="Calibri" w:eastAsia="Calibri" w:hAnsi="Calibri"/>
                <w:color w:val="000000"/>
                <w:sz w:val="17"/>
                <w:szCs w:val="17"/>
              </w:rPr>
              <w:t xml:space="preserve">Research: Using Alembic's revision management to document the DB-01 timestamp type change safely.</w:t>
            </w:r>
          </w:p>
        </w:tc>
      </w:tr>
      <w:tr>
        <w:tc>
          <w:tcPr>
            <w:tcBorders>
              <w:top w:val="single" w:color="B0C4DE" w:sz="1"/>
              <w:left w:val="single" w:color="B0C4DE" w:sz="1"/>
              <w:bottom w:val="single" w:color="B0C4DE" w:sz="1"/>
              <w:right w:val="single" w:color="B0C4DE" w:sz="1"/>
            </w:tcBorders>
            <w:shd w:fill="E2EFDA" w:val="clear"/>
            <w:tcMar>
              <w:top w:type="dxa" w:w="100"/>
              <w:left w:type="dxa" w:w="140"/>
              <w:bottom w:type="dxa" w:w="100"/>
              <w:right w:type="dxa" w:w="140"/>
            </w:tcMar>
            <w:vAlign w:val="top"/>
          </w:tcPr>
          <w:p>
            <w:r>
              <w:rPr>
                <w:rFonts w:ascii="Calibri" w:cs="Calibri" w:eastAsia="Calibri" w:hAnsi="Calibri"/>
                <w:b/>
                <w:bCs/>
                <w:color w:val="375623"/>
                <w:sz w:val="17"/>
                <w:szCs w:val="17"/>
              </w:rPr>
              <w:t xml:space="preserve">DB-06</w:t>
            </w:r>
          </w:p>
        </w:tc>
        <w:tc>
          <w:tcPr>
            <w:tcBorders>
              <w:top w:val="single" w:color="B0C4DE" w:sz="1"/>
              <w:left w:val="single" w:color="B0C4DE" w:sz="1"/>
              <w:bottom w:val="single" w:color="B0C4DE" w:sz="1"/>
              <w:right w:val="single" w:color="B0C4DE" w:sz="1"/>
            </w:tcBorders>
            <w:shd w:fill="E2EFDA" w:val="clear"/>
            <w:tcMar>
              <w:top w:type="dxa" w:w="100"/>
              <w:left w:type="dxa" w:w="140"/>
              <w:bottom w:type="dxa" w:w="100"/>
              <w:right w:type="dxa" w:w="140"/>
            </w:tcMar>
            <w:vAlign w:val="top"/>
          </w:tcPr>
          <w:p>
            <w:r>
              <w:rPr>
                <w:rFonts w:ascii="Calibri" w:cs="Calibri" w:eastAsia="Calibri" w:hAnsi="Calibri"/>
                <w:b/>
                <w:bCs/>
                <w:color w:val="375623"/>
                <w:sz w:val="17"/>
                <w:szCs w:val="17"/>
              </w:rPr>
              <w:t xml:space="preserve">LOW</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backend/db/database.py  DATABASE_URL / DB_PATH</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bCs/>
                <w:color w:val="000000"/>
                <w:sz w:val="17"/>
                <w:szCs w:val="17"/>
              </w:rPr>
              <w:t xml:space="preserve">Application Connects to Database with Full Privileges</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The application connects using a single database URL with no documented least-privilege configuration. In production with MySQL, the app user should only have SELECT, INSERT, UPDATE, DELETE on the application tables — not CREATE TABLE, DROP, or GRANT. If the application is compromised (e.g. RCE via a deserialization bug), an overprivileged DB user allows full schema manipulation.</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pStyle w:val="ListParagraph"/>
              <w:numPr>
                <w:ilvl w:val="0"/>
                <w:numId w:val="1"/>
              </w:numPr>
            </w:pPr>
            <w:r>
              <w:rPr>
                <w:rFonts w:ascii="Calibri" w:cs="Calibri" w:eastAsia="Calibri" w:hAnsi="Calibri"/>
                <w:color w:val="000000"/>
                <w:sz w:val="17"/>
                <w:szCs w:val="17"/>
              </w:rPr>
              <w:t xml:space="preserve">Research: MySQL GRANT statement — creating a dedicated riskradar_app user with minimal required privileges.</w:t>
            </w:r>
          </w:p>
          <w:p>
            <w:pPr>
              <w:pStyle w:val="ListParagraph"/>
              <w:numPr>
                <w:ilvl w:val="0"/>
                <w:numId w:val="1"/>
              </w:numPr>
            </w:pPr>
            <w:r>
              <w:rPr>
                <w:rFonts w:ascii="Calibri" w:cs="Calibri" w:eastAsia="Calibri" w:hAnsi="Calibri"/>
                <w:color w:val="000000"/>
                <w:sz w:val="17"/>
                <w:szCs w:val="17"/>
              </w:rPr>
              <w:t xml:space="preserve">Research: A separate migration user with CREATE/ALTER privileges (used only during deployments) vs. the runtime user.</w:t>
            </w:r>
          </w:p>
          <w:p>
            <w:pPr>
              <w:pStyle w:val="ListParagraph"/>
              <w:numPr>
                <w:ilvl w:val="0"/>
                <w:numId w:val="1"/>
              </w:numPr>
            </w:pPr>
            <w:r>
              <w:rPr>
                <w:rFonts w:ascii="Calibri" w:cs="Calibri" w:eastAsia="Calibri" w:hAnsi="Calibri"/>
                <w:color w:val="000000"/>
                <w:sz w:val="17"/>
                <w:szCs w:val="17"/>
              </w:rPr>
              <w:t xml:space="preserve">Research: SQLAlchemy connection pool settings — pool_pre_ping=True for production connection resilience.</w:t>
            </w:r>
          </w:p>
        </w:tc>
      </w:tr>
      <w:tr>
        <w:tc>
          <w:tcPr>
            <w:tcBorders>
              <w:top w:val="single" w:color="B0C4DE" w:sz="1"/>
              <w:left w:val="single" w:color="B0C4DE" w:sz="1"/>
              <w:bottom w:val="single" w:color="B0C4DE" w:sz="1"/>
              <w:right w:val="single" w:color="B0C4DE" w:sz="1"/>
            </w:tcBorders>
            <w:shd w:fill="E2EFDA" w:val="clear"/>
            <w:tcMar>
              <w:top w:type="dxa" w:w="100"/>
              <w:left w:type="dxa" w:w="140"/>
              <w:bottom w:type="dxa" w:w="100"/>
              <w:right w:type="dxa" w:w="140"/>
            </w:tcMar>
            <w:vAlign w:val="top"/>
          </w:tcPr>
          <w:p>
            <w:r>
              <w:rPr>
                <w:rFonts w:ascii="Calibri" w:cs="Calibri" w:eastAsia="Calibri" w:hAnsi="Calibri"/>
                <w:b/>
                <w:bCs/>
                <w:color w:val="375623"/>
                <w:sz w:val="17"/>
                <w:szCs w:val="17"/>
              </w:rPr>
              <w:t xml:space="preserve">DB-07</w:t>
            </w:r>
          </w:p>
        </w:tc>
        <w:tc>
          <w:tcPr>
            <w:tcBorders>
              <w:top w:val="single" w:color="B0C4DE" w:sz="1"/>
              <w:left w:val="single" w:color="B0C4DE" w:sz="1"/>
              <w:bottom w:val="single" w:color="B0C4DE" w:sz="1"/>
              <w:right w:val="single" w:color="B0C4DE" w:sz="1"/>
            </w:tcBorders>
            <w:shd w:fill="E2EFDA" w:val="clear"/>
            <w:tcMar>
              <w:top w:type="dxa" w:w="100"/>
              <w:left w:type="dxa" w:w="140"/>
              <w:bottom w:type="dxa" w:w="100"/>
              <w:right w:type="dxa" w:w="140"/>
            </w:tcMar>
            <w:vAlign w:val="top"/>
          </w:tcPr>
          <w:p>
            <w:r>
              <w:rPr>
                <w:rFonts w:ascii="Calibri" w:cs="Calibri" w:eastAsia="Calibri" w:hAnsi="Calibri"/>
                <w:b/>
                <w:bCs/>
                <w:color w:val="375623"/>
                <w:sz w:val="17"/>
                <w:szCs w:val="17"/>
              </w:rPr>
              <w:t xml:space="preserve">LOW</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backend/db/models.py  ScrapeLog
backend/db/retention.py</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bCs/>
                <w:color w:val="000000"/>
                <w:sz w:val="17"/>
                <w:szCs w:val="17"/>
              </w:rPr>
              <w:t xml:space="preserve">Inconsistency Between DATA_MODEL.md and Actual ORM: Missing Unique Constraint on ScrapeLog.source</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r>
              <w:rPr>
                <w:rFonts w:ascii="Calibri" w:cs="Calibri" w:eastAsia="Calibri" w:hAnsi="Calibri"/>
                <w:b w:val="false"/>
                <w:bCs w:val="false"/>
                <w:color w:val="000000"/>
                <w:sz w:val="17"/>
                <w:szCs w:val="17"/>
              </w:rPr>
              <w:t xml:space="preserve">The DATA_MODEL.md documents ScrapeLog.source as having a unique constraint. The ORM model does not define this constraint. This means multiple ScrapeLog rows for the same source can exist without constraint. The retention system queries ScrapeLog by completed_at (a Text column with no format enforcement), which could produce incorrect cleanup results if rows are malformed.</w:t>
            </w:r>
          </w:p>
        </w:tc>
        <w:tc>
          <w:tcPr>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pStyle w:val="ListParagraph"/>
              <w:numPr>
                <w:ilvl w:val="0"/>
                <w:numId w:val="1"/>
              </w:numPr>
            </w:pPr>
            <w:r>
              <w:rPr>
                <w:rFonts w:ascii="Calibri" w:cs="Calibri" w:eastAsia="Calibri" w:hAnsi="Calibri"/>
                <w:color w:val="000000"/>
                <w:sz w:val="17"/>
                <w:szCs w:val="17"/>
              </w:rPr>
              <w:t xml:space="preserve">Research: Adding UniqueConstraint('source', name='uq_scrape_log_source') to the ScrapeLog model if source-per-run uniqueness is intended.</w:t>
            </w:r>
          </w:p>
          <w:p>
            <w:pPr>
              <w:pStyle w:val="ListParagraph"/>
              <w:numPr>
                <w:ilvl w:val="0"/>
                <w:numId w:val="1"/>
              </w:numPr>
            </w:pPr>
            <w:r>
              <w:rPr>
                <w:rFonts w:ascii="Calibri" w:cs="Calibri" w:eastAsia="Calibri" w:hAnsi="Calibri"/>
                <w:color w:val="000000"/>
                <w:sz w:val="17"/>
                <w:szCs w:val="17"/>
              </w:rPr>
              <w:t xml:space="preserve">Review DATA_MODEL.md vs. the ORM systematically to identify other schema documentation drift.</w:t>
            </w:r>
          </w:p>
          <w:p>
            <w:pPr>
              <w:pStyle w:val="ListParagraph"/>
              <w:numPr>
                <w:ilvl w:val="0"/>
                <w:numId w:val="1"/>
              </w:numPr>
            </w:pPr>
            <w:r>
              <w:rPr>
                <w:rFonts w:ascii="Calibri" w:cs="Calibri" w:eastAsia="Calibri" w:hAnsi="Calibri"/>
                <w:color w:val="000000"/>
                <w:sz w:val="17"/>
                <w:szCs w:val="17"/>
              </w:rPr>
              <w:t xml:space="preserve">Research: Alembic constraints migration to add the constraint to existing databases.</w:t>
            </w:r>
          </w:p>
        </w:tc>
      </w:tr>
    </w:tbl>
    <w:p>
      <w:pPr>
        <w:spacing w:before="40" w:after="40"/>
      </w:pPr>
      <w:r>
        <w:t xml:space="preserve"/>
      </w:r>
    </w:p>
    <w:p>
      <w:pPr>
        <w:pBdr>
          <w:bottom w:val="single" w:color="2E75B6" w:sz="6" w:space="2"/>
        </w:pBdr>
        <w:spacing w:before="340" w:after="100"/>
      </w:pPr>
      <w:r>
        <w:rPr>
          <w:rFonts w:ascii="Calibri" w:cs="Calibri" w:eastAsia="Calibri" w:hAnsi="Calibri"/>
          <w:b/>
          <w:bCs/>
          <w:color w:val="1F3864"/>
          <w:sz w:val="32"/>
          <w:szCs w:val="32"/>
        </w:rPr>
        <w:t xml:space="preserve">D — Prioritized Action List</w:t>
      </w:r>
    </w:p>
    <w:p>
      <w:pPr>
        <w:spacing w:before="60" w:after="80"/>
      </w:pPr>
      <w:r>
        <w:rPr>
          <w:rFonts w:ascii="Calibri" w:cs="Calibri" w:eastAsia="Calibri" w:hAnsi="Calibri"/>
          <w:b w:val="false"/>
          <w:bCs w:val="false"/>
          <w:color w:val="000000"/>
          <w:sz w:val="20"/>
          <w:szCs w:val="20"/>
        </w:rPr>
        <w:t xml:space="preserve">This table ranks all findings by urgency. Items marked DO BEFORE COMMIT must be resolved before any push to a shared or public repository.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00"/>
        <w:gridCol w:w="1500"/>
        <w:gridCol w:w="1400"/>
        <w:gridCol w:w="4860"/>
      </w:tblGrid>
      <w:tr>
        <w:trPr>
          <w:tblHeader/>
        </w:trPr>
        <w:tc>
          <w:tcPr>
            <w:tcW w:type="dxa" w:w="500"/>
            <w:tcBorders>
              <w:top w:val="single" w:color="B0C4DE" w:sz="1"/>
              <w:left w:val="single" w:color="B0C4DE" w:sz="1"/>
              <w:bottom w:val="single" w:color="B0C4DE" w:sz="1"/>
              <w:right w:val="single" w:color="B0C4DE" w:sz="1"/>
            </w:tcBorders>
            <w:shd w:fill="1F3864" w:val="clear"/>
            <w:tcMar>
              <w:top w:type="dxa" w:w="100"/>
              <w:left w:type="dxa" w:w="140"/>
              <w:bottom w:type="dxa" w:w="100"/>
              <w:right w:type="dxa" w:w="140"/>
            </w:tcMar>
            <w:vAlign w:val="top"/>
          </w:tcPr>
          <w:p>
            <w:pPr>
              <w:jc w:val="left"/>
            </w:pPr>
            <w:r>
              <w:rPr>
                <w:rFonts w:ascii="Calibri" w:cs="Calibri" w:eastAsia="Calibri" w:hAnsi="Calibri"/>
                <w:b/>
                <w:bCs/>
                <w:color w:val="FFFFFF"/>
                <w:sz w:val="18"/>
                <w:szCs w:val="18"/>
              </w:rPr>
              <w:t xml:space="preserve">ID</w:t>
            </w:r>
          </w:p>
        </w:tc>
        <w:tc>
          <w:tcPr>
            <w:tcW w:type="dxa" w:w="800"/>
            <w:tcBorders>
              <w:top w:val="single" w:color="B0C4DE" w:sz="1"/>
              <w:left w:val="single" w:color="B0C4DE" w:sz="1"/>
              <w:bottom w:val="single" w:color="B0C4DE" w:sz="1"/>
              <w:right w:val="single" w:color="B0C4DE" w:sz="1"/>
            </w:tcBorders>
            <w:shd w:fill="1F3864" w:val="clear"/>
            <w:tcMar>
              <w:top w:type="dxa" w:w="100"/>
              <w:left w:type="dxa" w:w="140"/>
              <w:bottom w:type="dxa" w:w="100"/>
              <w:right w:type="dxa" w:w="140"/>
            </w:tcMar>
            <w:vAlign w:val="top"/>
          </w:tcPr>
          <w:p>
            <w:pPr>
              <w:jc w:val="left"/>
            </w:pPr>
            <w:r>
              <w:rPr>
                <w:rFonts w:ascii="Calibri" w:cs="Calibri" w:eastAsia="Calibri" w:hAnsi="Calibri"/>
                <w:b/>
                <w:bCs/>
                <w:color w:val="FFFFFF"/>
                <w:sz w:val="18"/>
                <w:szCs w:val="18"/>
              </w:rPr>
              <w:t xml:space="preserve">Severity</w:t>
            </w:r>
          </w:p>
        </w:tc>
        <w:tc>
          <w:tcPr>
            <w:tcW w:type="dxa" w:w="1500"/>
            <w:tcBorders>
              <w:top w:val="single" w:color="B0C4DE" w:sz="1"/>
              <w:left w:val="single" w:color="B0C4DE" w:sz="1"/>
              <w:bottom w:val="single" w:color="B0C4DE" w:sz="1"/>
              <w:right w:val="single" w:color="B0C4DE" w:sz="1"/>
            </w:tcBorders>
            <w:shd w:fill="1F3864" w:val="clear"/>
            <w:tcMar>
              <w:top w:type="dxa" w:w="100"/>
              <w:left w:type="dxa" w:w="140"/>
              <w:bottom w:type="dxa" w:w="100"/>
              <w:right w:type="dxa" w:w="140"/>
            </w:tcMar>
            <w:vAlign w:val="top"/>
          </w:tcPr>
          <w:p>
            <w:pPr>
              <w:jc w:val="left"/>
            </w:pPr>
            <w:r>
              <w:rPr>
                <w:rFonts w:ascii="Calibri" w:cs="Calibri" w:eastAsia="Calibri" w:hAnsi="Calibri"/>
                <w:b/>
                <w:bCs/>
                <w:color w:val="FFFFFF"/>
                <w:sz w:val="18"/>
                <w:szCs w:val="18"/>
              </w:rPr>
              <w:t xml:space="preserve">Location</w:t>
            </w:r>
          </w:p>
        </w:tc>
        <w:tc>
          <w:tcPr>
            <w:tcW w:type="dxa" w:w="1400"/>
            <w:tcBorders>
              <w:top w:val="single" w:color="B0C4DE" w:sz="1"/>
              <w:left w:val="single" w:color="B0C4DE" w:sz="1"/>
              <w:bottom w:val="single" w:color="B0C4DE" w:sz="1"/>
              <w:right w:val="single" w:color="B0C4DE" w:sz="1"/>
            </w:tcBorders>
            <w:shd w:fill="1F3864" w:val="clear"/>
            <w:tcMar>
              <w:top w:type="dxa" w:w="100"/>
              <w:left w:type="dxa" w:w="140"/>
              <w:bottom w:type="dxa" w:w="100"/>
              <w:right w:type="dxa" w:w="140"/>
            </w:tcMar>
            <w:vAlign w:val="top"/>
          </w:tcPr>
          <w:p>
            <w:pPr>
              <w:jc w:val="left"/>
            </w:pPr>
            <w:r>
              <w:rPr>
                <w:rFonts w:ascii="Calibri" w:cs="Calibri" w:eastAsia="Calibri" w:hAnsi="Calibri"/>
                <w:b/>
                <w:bCs/>
                <w:color w:val="FFFFFF"/>
                <w:sz w:val="18"/>
                <w:szCs w:val="18"/>
              </w:rPr>
              <w:t xml:space="preserve">Action</w:t>
            </w:r>
          </w:p>
        </w:tc>
        <w:tc>
          <w:tcPr>
            <w:tcW w:type="dxa" w:w="4860"/>
            <w:tcBorders>
              <w:top w:val="single" w:color="B0C4DE" w:sz="1"/>
              <w:left w:val="single" w:color="B0C4DE" w:sz="1"/>
              <w:bottom w:val="single" w:color="B0C4DE" w:sz="1"/>
              <w:right w:val="single" w:color="B0C4DE" w:sz="1"/>
            </w:tcBorders>
            <w:shd w:fill="1F3864" w:val="clear"/>
            <w:tcMar>
              <w:top w:type="dxa" w:w="100"/>
              <w:left w:type="dxa" w:w="140"/>
              <w:bottom w:type="dxa" w:w="100"/>
              <w:right w:type="dxa" w:w="140"/>
            </w:tcMar>
            <w:vAlign w:val="top"/>
          </w:tcPr>
          <w:p>
            <w:pPr>
              <w:jc w:val="left"/>
            </w:pPr>
            <w:r>
              <w:rPr>
                <w:rFonts w:ascii="Calibri" w:cs="Calibri" w:eastAsia="Calibri" w:hAnsi="Calibri"/>
                <w:b/>
                <w:bCs/>
                <w:color w:val="FFFFFF"/>
                <w:sz w:val="18"/>
                <w:szCs w:val="18"/>
              </w:rPr>
              <w:t xml:space="preserve">Notes</w:t>
            </w:r>
          </w:p>
        </w:tc>
      </w:tr>
      <w:tr>
        <w:tc>
          <w:tcPr>
            <w:tcW w:type="dxa" w:w="5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B-01</w:t>
            </w:r>
          </w:p>
        </w:tc>
        <w:tc>
          <w:tcPr>
            <w:tcW w:type="dxa" w:w="8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CRITICAL</w:t>
            </w:r>
          </w:p>
        </w:tc>
        <w:tc>
          <w:tcPr>
            <w:tcW w:type="dxa" w:w="15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web_scraper.py</w:t>
            </w:r>
          </w:p>
        </w:tc>
        <w:tc>
          <w:tcPr>
            <w:tcW w:type="dxa" w:w="14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Rotate + move Firecrawl API key to .env</w:t>
            </w:r>
          </w:p>
        </w:tc>
        <w:tc>
          <w:tcPr>
            <w:tcW w:type="dxa" w:w="48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Key is already in settings.FIRECRAWL_API_KEY — just use it. Rotate at firecrawl.dev. DO BEFORE COMMIT.</w:t>
            </w:r>
          </w:p>
        </w:tc>
      </w:tr>
      <w:tr>
        <w:tc>
          <w:tcPr>
            <w:tcW w:type="dxa" w:w="5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B-02</w:t>
            </w:r>
          </w:p>
        </w:tc>
        <w:tc>
          <w:tcPr>
            <w:tcW w:type="dxa" w:w="8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CRITICAL</w:t>
            </w:r>
          </w:p>
        </w:tc>
        <w:tc>
          <w:tcPr>
            <w:tcW w:type="dxa" w:w="15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summarizer.py</w:t>
            </w:r>
          </w:p>
        </w:tc>
        <w:tc>
          <w:tcPr>
            <w:tcW w:type="dxa" w:w="14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Rotate + move DeepSeek &amp; Anthropic keys to .env</w:t>
            </w:r>
          </w:p>
        </w:tc>
        <w:tc>
          <w:tcPr>
            <w:tcW w:type="dxa" w:w="486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Both keys hardcoded. Rotate at each provider. Move to settings.LLM_API_KEY. DO BEFORE COMMIT.</w:t>
            </w:r>
          </w:p>
        </w:tc>
      </w:tr>
      <w:tr>
        <w:tc>
          <w:tcPr>
            <w:tcW w:type="dxa" w:w="5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B-03</w:t>
            </w:r>
          </w:p>
        </w:tc>
        <w:tc>
          <w:tcPr>
            <w:tcW w:type="dxa" w:w="8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HIGH</w:t>
            </w:r>
          </w:p>
        </w:tc>
        <w:tc>
          <w:tcPr>
            <w:tcW w:type="dxa" w:w="15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settings.py</w:t>
            </w:r>
          </w:p>
        </w:tc>
        <w:tc>
          <w:tcPr>
            <w:tcW w:type="dxa" w:w="14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Assert JWT_SECRET_KEY != default at startup</w:t>
            </w:r>
          </w:p>
        </w:tc>
        <w:tc>
          <w:tcPr>
            <w:tcW w:type="dxa" w:w="48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Add startup check in lifespan hook or settings validator. Generate strong key via secrets.token_hex(32).</w:t>
            </w:r>
          </w:p>
        </w:tc>
      </w:tr>
      <w:tr>
        <w:tc>
          <w:tcPr>
            <w:tcW w:type="dxa" w:w="5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B-04</w:t>
            </w:r>
          </w:p>
        </w:tc>
        <w:tc>
          <w:tcPr>
            <w:tcW w:type="dxa" w:w="8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HIGH</w:t>
            </w:r>
          </w:p>
        </w:tc>
        <w:tc>
          <w:tcPr>
            <w:tcW w:type="dxa" w:w="15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main.py</w:t>
            </w:r>
          </w:p>
        </w:tc>
        <w:tc>
          <w:tcPr>
            <w:tcW w:type="dxa" w:w="14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Restrict CORS origins</w:t>
            </w:r>
          </w:p>
        </w:tc>
        <w:tc>
          <w:tcPr>
            <w:tcW w:type="dxa" w:w="486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Minimum: localhost:8081 for dev. Lock to production domain before deploy.</w:t>
            </w:r>
          </w:p>
        </w:tc>
      </w:tr>
      <w:tr>
        <w:tc>
          <w:tcPr>
            <w:tcW w:type="dxa" w:w="5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B-05</w:t>
            </w:r>
          </w:p>
        </w:tc>
        <w:tc>
          <w:tcPr>
            <w:tcW w:type="dxa" w:w="8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HIGH</w:t>
            </w:r>
          </w:p>
        </w:tc>
        <w:tc>
          <w:tcPr>
            <w:tcW w:type="dxa" w:w="15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api/users.py</w:t>
            </w:r>
          </w:p>
        </w:tc>
        <w:tc>
          <w:tcPr>
            <w:tcW w:type="dxa" w:w="14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Add rate limiting to /login and /register</w:t>
            </w:r>
          </w:p>
        </w:tc>
        <w:tc>
          <w:tcPr>
            <w:tcW w:type="dxa" w:w="48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Research slowapi. Limit /login to ~5 req/min per IP.</w:t>
            </w:r>
          </w:p>
        </w:tc>
      </w:tr>
      <w:tr>
        <w:tc>
          <w:tcPr>
            <w:tcW w:type="dxa" w:w="5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B-06</w:t>
            </w:r>
          </w:p>
        </w:tc>
        <w:tc>
          <w:tcPr>
            <w:tcW w:type="dxa" w:w="8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HIGH</w:t>
            </w:r>
          </w:p>
        </w:tc>
        <w:tc>
          <w:tcPr>
            <w:tcW w:type="dxa" w:w="15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main.py</w:t>
            </w:r>
          </w:p>
        </w:tc>
        <w:tc>
          <w:tcPr>
            <w:tcW w:type="dxa" w:w="14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Disable /docs and /redoc in production</w:t>
            </w:r>
          </w:p>
        </w:tc>
        <w:tc>
          <w:tcPr>
            <w:tcW w:type="dxa" w:w="486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Add ENV flag. FastAPI docs_url=None, redoc_url=None when DOCS_ENABLED=false.</w:t>
            </w:r>
          </w:p>
        </w:tc>
      </w:tr>
      <w:tr>
        <w:tc>
          <w:tcPr>
            <w:tcW w:type="dxa" w:w="5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B-07</w:t>
            </w:r>
          </w:p>
        </w:tc>
        <w:tc>
          <w:tcPr>
            <w:tcW w:type="dxa" w:w="8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HIGH</w:t>
            </w:r>
          </w:p>
        </w:tc>
        <w:tc>
          <w:tcPr>
            <w:tcW w:type="dxa" w:w="15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api/system.py</w:t>
            </w:r>
          </w:p>
        </w:tc>
        <w:tc>
          <w:tcPr>
            <w:tcW w:type="dxa" w:w="14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Sanitize /health error responses</w:t>
            </w:r>
          </w:p>
        </w:tc>
        <w:tc>
          <w:tcPr>
            <w:tcW w:type="dxa" w:w="48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Return generic string; log real exception server-side only.</w:t>
            </w:r>
          </w:p>
        </w:tc>
      </w:tr>
      <w:tr>
        <w:tc>
          <w:tcPr>
            <w:tcW w:type="dxa" w:w="5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FE-01</w:t>
            </w:r>
          </w:p>
        </w:tc>
        <w:tc>
          <w:tcPr>
            <w:tcW w:type="dxa" w:w="8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HIGH</w:t>
            </w:r>
          </w:p>
        </w:tc>
        <w:tc>
          <w:tcPr>
            <w:tcW w:type="dxa" w:w="15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base.html</w:t>
            </w:r>
          </w:p>
        </w:tc>
        <w:tc>
          <w:tcPr>
            <w:tcW w:type="dxa" w:w="14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Research httpOnly cookie alternative to localStorage</w:t>
            </w:r>
          </w:p>
        </w:tc>
        <w:tc>
          <w:tcPr>
            <w:tcW w:type="dxa" w:w="486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Major UX/arch change. Research now, implement before Sprint 4 security checkpoint.</w:t>
            </w:r>
          </w:p>
        </w:tc>
      </w:tr>
      <w:tr>
        <w:tc>
          <w:tcPr>
            <w:tcW w:type="dxa" w:w="5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FE-02</w:t>
            </w:r>
          </w:p>
        </w:tc>
        <w:tc>
          <w:tcPr>
            <w:tcW w:type="dxa" w:w="8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HIGH</w:t>
            </w:r>
          </w:p>
        </w:tc>
        <w:tc>
          <w:tcPr>
            <w:tcW w:type="dxa" w:w="15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All templates</w:t>
            </w:r>
          </w:p>
        </w:tc>
        <w:tc>
          <w:tcPr>
            <w:tcW w:type="dxa" w:w="14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Add Content-Security-Policy header</w:t>
            </w:r>
          </w:p>
        </w:tc>
        <w:tc>
          <w:tcPr>
            <w:tcW w:type="dxa" w:w="48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Add via FastAPI middleware. Plan for inline script nonces.</w:t>
            </w:r>
          </w:p>
        </w:tc>
      </w:tr>
      <w:tr>
        <w:tc>
          <w:tcPr>
            <w:tcW w:type="dxa" w:w="5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DB-01</w:t>
            </w:r>
          </w:p>
        </w:tc>
        <w:tc>
          <w:tcPr>
            <w:tcW w:type="dxa" w:w="8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HIGH</w:t>
            </w:r>
          </w:p>
        </w:tc>
        <w:tc>
          <w:tcPr>
            <w:tcW w:type="dxa" w:w="15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models.py</w:t>
            </w:r>
          </w:p>
        </w:tc>
        <w:tc>
          <w:tcPr>
            <w:tcW w:type="dxa" w:w="14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Plan DateTime migration for timestamp columns</w:t>
            </w:r>
          </w:p>
        </w:tc>
        <w:tc>
          <w:tcPr>
            <w:tcW w:type="dxa" w:w="486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Research Alembic. Schema change requires migration — plan now, implement in Sprint 4.</w:t>
            </w:r>
          </w:p>
        </w:tc>
      </w:tr>
      <w:tr>
        <w:tc>
          <w:tcPr>
            <w:tcW w:type="dxa" w:w="5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B-08</w:t>
            </w:r>
          </w:p>
        </w:tc>
        <w:tc>
          <w:tcPr>
            <w:tcW w:type="dxa" w:w="8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MEDIUM</w:t>
            </w:r>
          </w:p>
        </w:tc>
        <w:tc>
          <w:tcPr>
            <w:tcW w:type="dxa" w:w="15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schemas/user.py</w:t>
            </w:r>
          </w:p>
        </w:tc>
        <w:tc>
          <w:tcPr>
            <w:tcW w:type="dxa" w:w="14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Add password strength validation</w:t>
            </w:r>
          </w:p>
        </w:tc>
        <w:tc>
          <w:tcPr>
            <w:tcW w:type="dxa" w:w="48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Pydantic field_validator. Research pwnedpasswords or zxcvbn-python.</w:t>
            </w:r>
          </w:p>
        </w:tc>
      </w:tr>
      <w:tr>
        <w:tc>
          <w:tcPr>
            <w:tcW w:type="dxa" w:w="5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B-09</w:t>
            </w:r>
          </w:p>
        </w:tc>
        <w:tc>
          <w:tcPr>
            <w:tcW w:type="dxa" w:w="8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MEDIUM</w:t>
            </w:r>
          </w:p>
        </w:tc>
        <w:tc>
          <w:tcPr>
            <w:tcW w:type="dxa" w:w="15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schemas/user.py</w:t>
            </w:r>
          </w:p>
        </w:tc>
        <w:tc>
          <w:tcPr>
            <w:tcW w:type="dxa" w:w="14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Add EmailStr and uniform login error message</w:t>
            </w:r>
          </w:p>
        </w:tc>
        <w:tc>
          <w:tcPr>
            <w:tcW w:type="dxa" w:w="486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Add email-validator dep. Uniform 401 message to prevent enumeration.</w:t>
            </w:r>
          </w:p>
        </w:tc>
      </w:tr>
      <w:tr>
        <w:tc>
          <w:tcPr>
            <w:tcW w:type="dxa" w:w="5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B-10</w:t>
            </w:r>
          </w:p>
        </w:tc>
        <w:tc>
          <w:tcPr>
            <w:tcW w:type="dxa" w:w="8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MEDIUM</w:t>
            </w:r>
          </w:p>
        </w:tc>
        <w:tc>
          <w:tcPr>
            <w:tcW w:type="dxa" w:w="15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api/summaries.py</w:t>
            </w:r>
          </w:p>
        </w:tc>
        <w:tc>
          <w:tcPr>
            <w:tcW w:type="dxa" w:w="14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Verify /summaries/generate requires auth</w:t>
            </w:r>
          </w:p>
        </w:tc>
        <w:tc>
          <w:tcPr>
            <w:tcW w:type="dxa" w:w="48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Add Depends(get_current_user) if missing. Research admin role.</w:t>
            </w:r>
          </w:p>
        </w:tc>
      </w:tr>
      <w:tr>
        <w:tc>
          <w:tcPr>
            <w:tcW w:type="dxa" w:w="5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B-11</w:t>
            </w:r>
          </w:p>
        </w:tc>
        <w:tc>
          <w:tcPr>
            <w:tcW w:type="dxa" w:w="8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MEDIUM</w:t>
            </w:r>
          </w:p>
        </w:tc>
        <w:tc>
          <w:tcPr>
            <w:tcW w:type="dxa" w:w="15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scrapers/</w:t>
            </w:r>
          </w:p>
        </w:tc>
        <w:tc>
          <w:tcPr>
            <w:tcW w:type="dxa" w:w="14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Validate normalized alert data before DB write</w:t>
            </w:r>
          </w:p>
        </w:tc>
        <w:tc>
          <w:tcPr>
            <w:tcW w:type="dxa" w:w="486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Pydantic schema on normalized dict. Allowlist severity values.</w:t>
            </w:r>
          </w:p>
        </w:tc>
      </w:tr>
      <w:tr>
        <w:tc>
          <w:tcPr>
            <w:tcW w:type="dxa" w:w="5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FE-03</w:t>
            </w:r>
          </w:p>
        </w:tc>
        <w:tc>
          <w:tcPr>
            <w:tcW w:type="dxa" w:w="8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MEDIUM</w:t>
            </w:r>
          </w:p>
        </w:tc>
        <w:tc>
          <w:tcPr>
            <w:tcW w:type="dxa" w:w="15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base.html</w:t>
            </w:r>
          </w:p>
        </w:tc>
        <w:tc>
          <w:tcPr>
            <w:tcW w:type="dxa" w:w="14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Add JWT expiry check to isLoggedIn()</w:t>
            </w:r>
          </w:p>
        </w:tc>
        <w:tc>
          <w:tcPr>
            <w:tcW w:type="dxa" w:w="48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Decode token client-side (jwt-decode) and check exp claim.</w:t>
            </w:r>
          </w:p>
        </w:tc>
      </w:tr>
      <w:tr>
        <w:tc>
          <w:tcPr>
            <w:tcW w:type="dxa" w:w="5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FE-04</w:t>
            </w:r>
          </w:p>
        </w:tc>
        <w:tc>
          <w:tcPr>
            <w:tcW w:type="dxa" w:w="8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MEDIUM</w:t>
            </w:r>
          </w:p>
        </w:tc>
        <w:tc>
          <w:tcPr>
            <w:tcW w:type="dxa" w:w="15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login.html</w:t>
            </w:r>
          </w:p>
        </w:tc>
        <w:tc>
          <w:tcPr>
            <w:tcW w:type="dxa" w:w="14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Sanitize login error messages shown to user</w:t>
            </w:r>
          </w:p>
        </w:tc>
        <w:tc>
          <w:tcPr>
            <w:tcW w:type="dxa" w:w="486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Generic 'Invalid email or password' for all 401s.</w:t>
            </w:r>
          </w:p>
        </w:tc>
      </w:tr>
      <w:tr>
        <w:tc>
          <w:tcPr>
            <w:tcW w:type="dxa" w:w="5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FE-05</w:t>
            </w:r>
          </w:p>
        </w:tc>
        <w:tc>
          <w:tcPr>
            <w:tcW w:type="dxa" w:w="8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MEDIUM</w:t>
            </w:r>
          </w:p>
        </w:tc>
        <w:tc>
          <w:tcPr>
            <w:tcW w:type="dxa" w:w="15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Form templates</w:t>
            </w:r>
          </w:p>
        </w:tc>
        <w:tc>
          <w:tcPr>
            <w:tcW w:type="dxa" w:w="14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Add maxlength and input constraints</w:t>
            </w:r>
          </w:p>
        </w:tc>
        <w:tc>
          <w:tcPr>
            <w:tcW w:type="dxa" w:w="48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maxlength=254 on email, maxlength=128 on password.</w:t>
            </w:r>
          </w:p>
        </w:tc>
      </w:tr>
      <w:tr>
        <w:tc>
          <w:tcPr>
            <w:tcW w:type="dxa" w:w="5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FE-06</w:t>
            </w:r>
          </w:p>
        </w:tc>
        <w:tc>
          <w:tcPr>
            <w:tcW w:type="dxa" w:w="8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MEDIUM</w:t>
            </w:r>
          </w:p>
        </w:tc>
        <w:tc>
          <w:tcPr>
            <w:tcW w:type="dxa" w:w="15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React Native app</w:t>
            </w:r>
          </w:p>
        </w:tc>
        <w:tc>
          <w:tcPr>
            <w:tcW w:type="dxa" w:w="14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Document + implement expo-secure-store for token storage</w:t>
            </w:r>
          </w:p>
        </w:tc>
        <w:tc>
          <w:tcPr>
            <w:tcW w:type="dxa" w:w="486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Add to package.json. Use Keychain/Keystore for JWT on mobile.</w:t>
            </w:r>
          </w:p>
        </w:tc>
      </w:tr>
      <w:tr>
        <w:tc>
          <w:tcPr>
            <w:tcW w:type="dxa" w:w="5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DB-02</w:t>
            </w:r>
          </w:p>
        </w:tc>
        <w:tc>
          <w:tcPr>
            <w:tcW w:type="dxa" w:w="8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MEDIUM</w:t>
            </w:r>
          </w:p>
        </w:tc>
        <w:tc>
          <w:tcPr>
            <w:tcW w:type="dxa" w:w="15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models.py</w:t>
            </w:r>
          </w:p>
        </w:tc>
        <w:tc>
          <w:tcPr>
            <w:tcW w:type="dxa" w:w="14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Plan normalized schema for JSON columns</w:t>
            </w:r>
          </w:p>
        </w:tc>
        <w:tc>
          <w:tcPr>
            <w:tcW w:type="dxa" w:w="48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Summary.alert_ids → junction table. User.alert_types → junction table.</w:t>
            </w:r>
          </w:p>
        </w:tc>
      </w:tr>
      <w:tr>
        <w:tc>
          <w:tcPr>
            <w:tcW w:type="dxa" w:w="5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DB-03</w:t>
            </w:r>
          </w:p>
        </w:tc>
        <w:tc>
          <w:tcPr>
            <w:tcW w:type="dxa" w:w="8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MEDIUM</w:t>
            </w:r>
          </w:p>
        </w:tc>
        <w:tc>
          <w:tcPr>
            <w:tcW w:type="dxa" w:w="15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models.py</w:t>
            </w:r>
          </w:p>
        </w:tc>
        <w:tc>
          <w:tcPr>
            <w:tcW w:type="dxa" w:w="14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Research email encryption or hashing</w:t>
            </w:r>
          </w:p>
        </w:tc>
        <w:tc>
          <w:tcPr>
            <w:tcW w:type="dxa" w:w="486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Fernet encryption or hash+encrypted copy. Check GDPR minimization.</w:t>
            </w:r>
          </w:p>
        </w:tc>
      </w:tr>
      <w:tr>
        <w:tc>
          <w:tcPr>
            <w:tcW w:type="dxa" w:w="5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DB-04</w:t>
            </w:r>
          </w:p>
        </w:tc>
        <w:tc>
          <w:tcPr>
            <w:tcW w:type="dxa" w:w="8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MEDIUM</w:t>
            </w:r>
          </w:p>
        </w:tc>
        <w:tc>
          <w:tcPr>
            <w:tcW w:type="dxa" w:w="15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models.py</w:t>
            </w:r>
          </w:p>
        </w:tc>
        <w:tc>
          <w:tcPr>
            <w:tcW w:type="dxa" w:w="14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Add ForeignKey declarations to ORM</w:t>
            </w:r>
          </w:p>
        </w:tc>
        <w:tc>
          <w:tcPr>
            <w:tcW w:type="dxa" w:w="48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SQLAlchemy ForeignKey() + PRAGMA foreign_keys=ON for SQLite.</w:t>
            </w:r>
          </w:p>
        </w:tc>
      </w:tr>
      <w:tr>
        <w:tc>
          <w:tcPr>
            <w:tcW w:type="dxa" w:w="5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DB-05</w:t>
            </w:r>
          </w:p>
        </w:tc>
        <w:tc>
          <w:tcPr>
            <w:tcW w:type="dxa" w:w="8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MEDIUM</w:t>
            </w:r>
          </w:p>
        </w:tc>
        <w:tc>
          <w:tcPr>
            <w:tcW w:type="dxa" w:w="15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init_db.py</w:t>
            </w:r>
          </w:p>
        </w:tc>
        <w:tc>
          <w:tcPr>
            <w:tcW w:type="dxa" w:w="14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Adopt Alembic for schema migrations</w:t>
            </w:r>
          </w:p>
        </w:tc>
        <w:tc>
          <w:tcPr>
            <w:tcW w:type="dxa" w:w="486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Required for team dev. Unblocks timestamp type fix and FK additions.</w:t>
            </w:r>
          </w:p>
        </w:tc>
      </w:tr>
      <w:tr>
        <w:tc>
          <w:tcPr>
            <w:tcW w:type="dxa" w:w="5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B-12</w:t>
            </w:r>
          </w:p>
        </w:tc>
        <w:tc>
          <w:tcPr>
            <w:tcW w:type="dxa" w:w="8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MEDIUM</w:t>
            </w:r>
          </w:p>
        </w:tc>
        <w:tc>
          <w:tcPr>
            <w:tcW w:type="dxa" w:w="15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auth/security.py</w:t>
            </w:r>
          </w:p>
        </w:tc>
        <w:tc>
          <w:tcPr>
            <w:tcW w:type="dxa" w:w="14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Research refresh token architecture</w:t>
            </w:r>
          </w:p>
        </w:tc>
        <w:tc>
          <w:tcPr>
            <w:tcW w:type="dxa" w:w="48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Short-lived access + refresh token. Redis denylist on logout.</w:t>
            </w:r>
          </w:p>
        </w:tc>
      </w:tr>
      <w:tr>
        <w:tc>
          <w:tcPr>
            <w:tcW w:type="dxa" w:w="5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B-13</w:t>
            </w:r>
          </w:p>
        </w:tc>
        <w:tc>
          <w:tcPr>
            <w:tcW w:type="dxa" w:w="8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MEDIUM</w:t>
            </w:r>
          </w:p>
        </w:tc>
        <w:tc>
          <w:tcPr>
            <w:tcW w:type="dxa" w:w="15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api/system.py</w:t>
            </w:r>
          </w:p>
        </w:tc>
        <w:tc>
          <w:tcPr>
            <w:tcW w:type="dxa" w:w="14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Split /health into public + admin endpoints</w:t>
            </w:r>
          </w:p>
        </w:tc>
        <w:tc>
          <w:tcPr>
            <w:tcW w:type="dxa" w:w="486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Remove last_scrape from public response.</w:t>
            </w:r>
          </w:p>
        </w:tc>
      </w:tr>
      <w:tr>
        <w:tc>
          <w:tcPr>
            <w:tcW w:type="dxa" w:w="5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B-15</w:t>
            </w:r>
          </w:p>
        </w:tc>
        <w:tc>
          <w:tcPr>
            <w:tcW w:type="dxa" w:w="8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LOW</w:t>
            </w:r>
          </w:p>
        </w:tc>
        <w:tc>
          <w:tcPr>
            <w:tcW w:type="dxa" w:w="15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api/users.py</w:t>
            </w:r>
          </w:p>
        </w:tc>
        <w:tc>
          <w:tcPr>
            <w:tcW w:type="dxa" w:w="14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Log failed login attempts server-side</w:t>
            </w:r>
          </w:p>
        </w:tc>
        <w:tc>
          <w:tcPr>
            <w:tcW w:type="dxa" w:w="48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logging.warning() with hashed email + timestamp.</w:t>
            </w:r>
          </w:p>
        </w:tc>
      </w:tr>
      <w:tr>
        <w:tc>
          <w:tcPr>
            <w:tcW w:type="dxa" w:w="5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FE-07</w:t>
            </w:r>
          </w:p>
        </w:tc>
        <w:tc>
          <w:tcPr>
            <w:tcW w:type="dxa" w:w="8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LOW</w:t>
            </w:r>
          </w:p>
        </w:tc>
        <w:tc>
          <w:tcPr>
            <w:tcW w:type="dxa" w:w="15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base.html</w:t>
            </w:r>
          </w:p>
        </w:tc>
        <w:tc>
          <w:tcPr>
            <w:tcW w:type="dxa" w:w="14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Research server-side token revocation on logout</w:t>
            </w:r>
          </w:p>
        </w:tc>
        <w:tc>
          <w:tcPr>
            <w:tcW w:type="dxa" w:w="486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Redis JTI blocklist. At minimum, reduce token lifetime.</w:t>
            </w:r>
          </w:p>
        </w:tc>
      </w:tr>
      <w:tr>
        <w:tc>
          <w:tcPr>
            <w:tcW w:type="dxa" w:w="5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DB-06</w:t>
            </w:r>
          </w:p>
        </w:tc>
        <w:tc>
          <w:tcPr>
            <w:tcW w:type="dxa" w:w="8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LOW</w:t>
            </w:r>
          </w:p>
        </w:tc>
        <w:tc>
          <w:tcPr>
            <w:tcW w:type="dxa" w:w="15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database.py</w:t>
            </w:r>
          </w:p>
        </w:tc>
        <w:tc>
          <w:tcPr>
            <w:tcW w:type="dxa" w:w="14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Plan least-privilege DB user for production</w:t>
            </w:r>
          </w:p>
        </w:tc>
        <w:tc>
          <w:tcPr>
            <w:tcW w:type="dxa" w:w="48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MySQL GRANT with SELECT/INSERT/UPDATE/DELETE only for app user.</w:t>
            </w:r>
          </w:p>
        </w:tc>
      </w:tr>
      <w:tr>
        <w:tc>
          <w:tcPr>
            <w:tcW w:type="dxa" w:w="5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DB-07</w:t>
            </w:r>
          </w:p>
        </w:tc>
        <w:tc>
          <w:tcPr>
            <w:tcW w:type="dxa" w:w="8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LOW</w:t>
            </w:r>
          </w:p>
        </w:tc>
        <w:tc>
          <w:tcPr>
            <w:tcW w:type="dxa" w:w="15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models.py</w:t>
            </w:r>
          </w:p>
        </w:tc>
        <w:tc>
          <w:tcPr>
            <w:tcW w:type="dxa" w:w="140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Audit DATA_MODEL.md vs. ORM for drift</w:t>
            </w:r>
          </w:p>
        </w:tc>
        <w:tc>
          <w:tcPr>
            <w:tcW w:type="dxa" w:w="4860"/>
            <w:tcBorders>
              <w:top w:val="single" w:color="B0C4DE" w:sz="1"/>
              <w:left w:val="single" w:color="B0C4DE" w:sz="1"/>
              <w:bottom w:val="single" w:color="B0C4DE" w:sz="1"/>
              <w:right w:val="single" w:color="B0C4DE" w:sz="1"/>
            </w:tcBorders>
            <w:shd w:fill="F2F2F2"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Start with ScrapeLog.source unique constraint discrepancy.</w:t>
            </w:r>
          </w:p>
        </w:tc>
      </w:tr>
      <w:tr>
        <w:tc>
          <w:tcPr>
            <w:tcW w:type="dxa" w:w="5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B-14</w:t>
            </w:r>
          </w:p>
        </w:tc>
        <w:tc>
          <w:tcPr>
            <w:tcW w:type="dxa" w:w="8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LOW</w:t>
            </w:r>
          </w:p>
        </w:tc>
        <w:tc>
          <w:tcPr>
            <w:tcW w:type="dxa" w:w="15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main.py</w:t>
            </w:r>
          </w:p>
        </w:tc>
        <w:tc>
          <w:tcPr>
            <w:tcW w:type="dxa" w:w="140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Plan HTTPS enforcement + HSTS for AWS deployment</w:t>
            </w:r>
          </w:p>
        </w:tc>
        <w:tc>
          <w:tcPr>
            <w:tcW w:type="dxa" w:w="4860"/>
            <w:tcBorders>
              <w:top w:val="single" w:color="B0C4DE" w:sz="1"/>
              <w:left w:val="single" w:color="B0C4DE" w:sz="1"/>
              <w:bottom w:val="single" w:color="B0C4DE" w:sz="1"/>
              <w:right w:val="single" w:color="B0C4DE"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000000"/>
                <w:sz w:val="18"/>
                <w:szCs w:val="18"/>
              </w:rPr>
              <w:t xml:space="preserve">HTTPSRedirectMiddleware or nginx-level redirect. HSTS header.</w:t>
            </w:r>
          </w:p>
        </w:tc>
      </w:tr>
    </w:tbl>
    <w:sectPr>
      <w:headerReference w:type="default" r:id="rId6"/>
      <w:footerReference w:type="default" r:id="rId7"/>
      <w:pgSz w:w="15840" w:h="12240"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2"/>
      </w:pBd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r>
      <w:rPr>
        <w:rFonts w:ascii="Calibri" w:cs="Calibri" w:eastAsia="Calibri" w:hAnsi="Calibri"/>
        <w:color w:val="AAAAAA"/>
        <w:sz w:val="16"/>
        <w:szCs w:val="16"/>
      </w:rPr>
      <w:t xml:space="preserve">  ·  RiskRadar — INFX 490 Capstone Team 6 — Noah Benoit, Security Lead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4" w:space="2"/>
      </w:pBdr>
      <w:jc w:val="right"/>
    </w:pPr>
    <w:r>
      <w:rPr>
        <w:rFonts w:ascii="Calibri" w:cs="Calibri" w:eastAsia="Calibri" w:hAnsi="Calibri"/>
        <w:color w:val="888888"/>
        <w:sz w:val="16"/>
        <w:szCs w:val="16"/>
      </w:rPr>
      <w:t xml:space="preserve">RiskRadar Security Analysis — SecAnalysis1  ·  3/16/2026  ·  CONFIDENTIAL — Academic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2026-03-16T18:50:58.185Z</dcterms:created>
  <dcterms:modified xsi:type="dcterms:W3CDTF">2026-03-16T18:50:58.186Z</dcterms:modified>
</cp:coreProperties>
</file>

<file path=docProps/custom.xml><?xml version="1.0" encoding="utf-8"?>
<Properties xmlns="http://schemas.openxmlformats.org/officeDocument/2006/custom-properties" xmlns:vt="http://schemas.openxmlformats.org/officeDocument/2006/docPropsVTypes"/>
</file>