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60"/>
      </w:pPr>
    </w:p>
    <w:p>
      <w:pPr>
        <w:spacing w:after="60" w:before="0"/>
        <w:jc w:val="center"/>
      </w:pPr>
      <w:r>
        <w:rPr>
          <w:rFonts w:ascii="Arial" w:cs="Arial" w:eastAsia="Arial" w:hAnsi="Arial"/>
          <w:b/>
          <w:bCs/>
          <w:color w:val="1A4F8A"/>
          <w:sz w:val="40"/>
          <w:szCs w:val="40"/>
        </w:rPr>
        <w:t xml:space="preserve">Student Lesson Feedback</w:t>
      </w:r>
    </w:p>
    <w:p>
      <w:pPr>
        <w:spacing w:after="200" w:before="0"/>
        <w:jc w:val="center"/>
      </w:pPr>
      <w:r>
        <w:rPr>
          <w:rFonts w:ascii="Arial" w:cs="Arial" w:eastAsia="Arial" w:hAnsi="Arial"/>
          <w:i/>
          <w:iCs/>
          <w:color w:val="555555"/>
          <w:sz w:val="22"/>
          <w:szCs w:val="22"/>
        </w:rPr>
        <w:t xml:space="preserve">Introduction to MATLAB  ·  Lectures 1 – 3</w:t>
      </w:r>
    </w:p>
    <w:p>
      <w:pPr>
        <w:pBdr>
          <w:bottom w:val="single" w:color="3B7DD8" w:sz="12" w:space="1"/>
        </w:pBdr>
        <w:spacing w:after="0" w:before="0"/>
      </w:pPr>
    </w:p>
    <w:p>
      <w:pPr>
        <w:spacing w:after="6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80"/>
              <w:left w:type="dxa" w:w="220"/>
              <w:bottom w:type="dxa" w:w="160"/>
              <w:right w:type="dxa" w:w="220"/>
            </w:tcMar>
          </w:tcPr>
          <w:p>
            <w:pPr>
              <w:jc w:val="left"/>
            </w:pPr>
            <w:r>
              <w:rPr>
                <w:rFonts w:ascii="Arial" w:cs="Arial" w:eastAsia="Arial" w:hAnsi="Arial"/>
                <w:b/>
                <w:bCs/>
                <w:color w:val="FFFFFF"/>
                <w:sz w:val="28"/>
                <w:szCs w:val="28"/>
              </w:rPr>
              <w:t xml:space="preserve">Lecture 1  </w:t>
            </w:r>
            <w:r>
              <w:rPr>
                <w:rFonts w:ascii="Arial" w:cs="Arial" w:eastAsia="Arial" w:hAnsi="Arial"/>
                <w:i/>
                <w:iCs/>
                <w:color w:val="C8DEFF"/>
                <w:sz w:val="24"/>
                <w:szCs w:val="24"/>
              </w:rPr>
              <w:t xml:space="preserve">— MATLAB Environment &amp; Arrays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CDD8" w:sz="1"/>
              <w:left w:val="single" w:color="C5CDD8" w:sz="1"/>
              <w:bottom w:val="single" w:color="C5CDD8" w:sz="1"/>
              <w:right w:val="single" w:color="C5CDD8" w:sz="1"/>
            </w:tcBorders>
            <w:shd w:fill="1A4F8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7660"/>
            <w:tcBorders>
              <w:top w:val="single" w:color="C5CDD8" w:sz="1"/>
              <w:left w:val="single" w:color="C5CDD8" w:sz="1"/>
              <w:bottom w:val="single" w:color="C5CDD8" w:sz="1"/>
              <w:right w:val="single" w:color="C5CDD8"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Introduction to MATLAB</w:t>
            </w:r>
          </w:p>
        </w:tc>
      </w:tr>
      <w:tr>
        <w:tc>
          <w:tcPr>
            <w:tcW w:type="dxa" w:w="1700"/>
            <w:tcBorders>
              <w:top w:val="single" w:color="C5CDD8" w:sz="1"/>
              <w:left w:val="single" w:color="C5CDD8" w:sz="1"/>
              <w:bottom w:val="single" w:color="C5CDD8" w:sz="1"/>
              <w:right w:val="single" w:color="C5CDD8" w:sz="1"/>
            </w:tcBorders>
            <w:shd w:fill="1A4F8A"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7660"/>
            <w:tcBorders>
              <w:top w:val="single" w:color="C5CDD8" w:sz="1"/>
              <w:left w:val="single" w:color="C5CDD8" w:sz="1"/>
              <w:bottom w:val="single" w:color="C5CDD8" w:sz="1"/>
              <w:right w:val="single" w:color="C5CDD8"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Interface, Workflow &amp; Numerical Arrays</w:t>
            </w:r>
          </w:p>
        </w:tc>
      </w:tr>
    </w:tbl>
    <w:p>
      <w:pPr>
        <w:spacing w:after="0" w:before="120"/>
      </w:pPr>
    </w:p>
    <w:p>
      <w:pPr>
        <w:spacing w:after="60" w:before="180"/>
      </w:pPr>
      <w:r>
        <w:rPr>
          <w:rFonts w:ascii="Arial" w:cs="Arial" w:eastAsia="Arial" w:hAnsi="Arial"/>
          <w:b/>
          <w:bCs/>
          <w:color w:val="1A4F8A"/>
          <w:sz w:val="21"/>
          <w:szCs w:val="21"/>
        </w:rPr>
        <w:t xml:space="preserve">▸ What Was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Introduced MATLAB as a professional programming environment used widely in science and engineering.</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Explored the MATLAB interface: Command Window, Workspace, Editor, and file path management.</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Covered the foundational concept of arrays and matrices — the core data structure in MATLAB.</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Practiced creating row vectors, column vectors, and 2D matrices, and performed basic arithmetic operations on them.</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Learned how indexing works in MATLAB, including accessing individual elements and sub-arrays using colon notation.</w:t>
            </w:r>
          </w:p>
        </w:tc>
      </w:tr>
    </w:tbl>
    <w:p>
      <w:pPr>
        <w:spacing w:after="0" w:before="120"/>
      </w:pPr>
    </w:p>
    <w:p>
      <w:pPr>
        <w:spacing w:after="60" w:before="180"/>
      </w:pPr>
      <w:r>
        <w:rPr>
          <w:rFonts w:ascii="Arial" w:cs="Arial" w:eastAsia="Arial" w:hAnsi="Arial"/>
          <w:b/>
          <w:bCs/>
          <w:color w:val="1A4F8A"/>
          <w:sz w:val="21"/>
          <w:szCs w:val="21"/>
        </w:rPr>
        <w:t xml:space="preserve">▸ Area of Focus /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1A4F8A" w:sz="16"/>
              <w:bottom w:val="single" w:color="3B7DD8" w:sz="4"/>
              <w:right w:val="none" w:color="FFFFFF" w:sz="0"/>
            </w:tcBorders>
            <w:shd w:fill="D6E4F7" w:val="clear"/>
            <w:tcMar>
              <w:top w:type="dxa" w:w="100"/>
              <w:left w:type="dxa" w:w="200"/>
              <w:bottom w:type="dxa" w:w="100"/>
              <w:right w:type="dxa" w:w="160"/>
            </w:tcMar>
          </w:tcPr>
          <w:p>
            <w:r>
              <w:rPr>
                <w:rFonts w:ascii="Arial" w:cs="Arial" w:eastAsia="Arial" w:hAnsi="Arial"/>
                <w:i/>
                <w:iCs/>
                <w:color w:val="1C1C1C"/>
                <w:sz w:val="20"/>
                <w:szCs w:val="20"/>
              </w:rPr>
              <w:t xml:space="preserve">The student engaged well with the MATLAB interface and showed good instincts when working with arrays. A strong focus on practicing matrix indexing independently will help reinforce this foundational skill. Confidence here will make all future data analysis tasks considerably smoother.</w:t>
            </w:r>
          </w:p>
        </w:tc>
      </w:tr>
    </w:tbl>
    <w:p>
      <w:pPr>
        <w:spacing w:after="0" w:before="120"/>
      </w:pPr>
    </w:p>
    <w:p>
      <w:pPr>
        <w:spacing w:after="60" w:before="180"/>
      </w:pPr>
      <w:r>
        <w:rPr>
          <w:rFonts w:ascii="Arial" w:cs="Arial" w:eastAsia="Arial" w:hAnsi="Arial"/>
          <w:b/>
          <w:bCs/>
          <w:color w:val="1A4F8A"/>
          <w:sz w:val="21"/>
          <w:szCs w:val="21"/>
        </w:rPr>
        <w:t xml:space="preserve">▸ Homework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Review the array and matrix examples from the lesson — re-type them in MATLAB rather than copy-pasting.</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Experiment with creating different sizes of matrices and accessing elements using various indexing styles.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3B7DD8" w:sz="16"/>
              <w:bottom w:val="single" w:color="3B7DD8" w:sz="4"/>
              <w:right w:val="none" w:color="FFFFFF" w:sz="0"/>
            </w:tcBorders>
            <w:shd w:fill="EFF4FB" w:val="clear"/>
            <w:tcMar>
              <w:top w:type="dxa" w:w="80"/>
              <w:left w:type="dxa" w:w="200"/>
              <w:bottom w:type="dxa" w:w="80"/>
              <w:right w:type="dxa" w:w="160"/>
            </w:tcMar>
          </w:tcPr>
          <w:p>
            <w:r>
              <w:rPr>
                <w:rFonts w:ascii="Arial" w:cs="Arial" w:eastAsia="Arial" w:hAnsi="Arial"/>
                <w:b/>
                <w:bCs/>
                <w:color w:val="1A4F8A"/>
                <w:sz w:val="20"/>
                <w:szCs w:val="20"/>
              </w:rPr>
              <w:t xml:space="preserve">Next Lesson Preview</w:t>
            </w:r>
          </w:p>
          <w:p>
            <w:r>
              <w:rPr>
                <w:rFonts w:ascii="Arial" w:cs="Arial" w:eastAsia="Arial" w:hAnsi="Arial"/>
                <w:b/>
                <w:bCs/>
                <w:color w:val="3B7DD8"/>
                <w:sz w:val="20"/>
                <w:szCs w:val="20"/>
              </w:rPr>
              <w:t xml:space="preserve">→ </w:t>
            </w:r>
            <w:r>
              <w:rPr>
                <w:rFonts w:ascii="Arial" w:cs="Arial" w:eastAsia="Arial" w:hAnsi="Arial"/>
                <w:color w:val="1C1C1C"/>
                <w:sz w:val="20"/>
                <w:szCs w:val="20"/>
              </w:rPr>
              <w:t xml:space="preserve">Variables, data types, and built-in MATLAB functions</w:t>
            </w:r>
          </w:p>
          <w:p>
            <w:r>
              <w:rPr>
                <w:rFonts w:ascii="Arial" w:cs="Arial" w:eastAsia="Arial" w:hAnsi="Arial"/>
                <w:b/>
                <w:bCs/>
                <w:color w:val="3B7DD8"/>
                <w:sz w:val="20"/>
                <w:szCs w:val="20"/>
              </w:rPr>
              <w:t xml:space="preserve">→ </w:t>
            </w:r>
            <w:r>
              <w:rPr>
                <w:rFonts w:ascii="Arial" w:cs="Arial" w:eastAsia="Arial" w:hAnsi="Arial"/>
                <w:color w:val="1C1C1C"/>
                <w:sz w:val="20"/>
                <w:szCs w:val="20"/>
              </w:rPr>
              <w:t xml:space="preserve">Introduction to loops (for/while) and conditional logic (if/else)</w:t>
            </w:r>
          </w:p>
        </w:tc>
      </w:tr>
    </w:tbl>
    <w:p>
      <w:pPr>
        <w:spacing w:after="0" w:before="300"/>
      </w:pPr>
    </w:p>
    <w:p>
      <w:pPr>
        <w:pBdr>
          <w:bottom w:val="single" w:color="1A4F8A" w:sz="12" w:space="1"/>
        </w:pBdr>
        <w:spacing w:after="0" w:before="0"/>
      </w:pPr>
    </w:p>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80"/>
              <w:left w:type="dxa" w:w="220"/>
              <w:bottom w:type="dxa" w:w="160"/>
              <w:right w:type="dxa" w:w="220"/>
            </w:tcMar>
          </w:tcPr>
          <w:p>
            <w:pPr>
              <w:jc w:val="left"/>
            </w:pPr>
            <w:r>
              <w:rPr>
                <w:rFonts w:ascii="Arial" w:cs="Arial" w:eastAsia="Arial" w:hAnsi="Arial"/>
                <w:b/>
                <w:bCs/>
                <w:color w:val="FFFFFF"/>
                <w:sz w:val="28"/>
                <w:szCs w:val="28"/>
              </w:rPr>
              <w:t xml:space="preserve">Lecture 2  </w:t>
            </w:r>
            <w:r>
              <w:rPr>
                <w:rFonts w:ascii="Arial" w:cs="Arial" w:eastAsia="Arial" w:hAnsi="Arial"/>
                <w:i/>
                <w:iCs/>
                <w:color w:val="C8DEFF"/>
                <w:sz w:val="24"/>
                <w:szCs w:val="24"/>
              </w:rPr>
              <w:t xml:space="preserve">— Programming Fundamentals</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CDD8" w:sz="1"/>
              <w:left w:val="single" w:color="C5CDD8" w:sz="1"/>
              <w:bottom w:val="single" w:color="C5CDD8" w:sz="1"/>
              <w:right w:val="single" w:color="C5CDD8" w:sz="1"/>
            </w:tcBorders>
            <w:shd w:fill="1A4F8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7660"/>
            <w:tcBorders>
              <w:top w:val="single" w:color="C5CDD8" w:sz="1"/>
              <w:left w:val="single" w:color="C5CDD8" w:sz="1"/>
              <w:bottom w:val="single" w:color="C5CDD8" w:sz="1"/>
              <w:right w:val="single" w:color="C5CDD8"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Introduction to MATLAB</w:t>
            </w:r>
          </w:p>
        </w:tc>
      </w:tr>
      <w:tr>
        <w:tc>
          <w:tcPr>
            <w:tcW w:type="dxa" w:w="1700"/>
            <w:tcBorders>
              <w:top w:val="single" w:color="C5CDD8" w:sz="1"/>
              <w:left w:val="single" w:color="C5CDD8" w:sz="1"/>
              <w:bottom w:val="single" w:color="C5CDD8" w:sz="1"/>
              <w:right w:val="single" w:color="C5CDD8" w:sz="1"/>
            </w:tcBorders>
            <w:shd w:fill="1A4F8A"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7660"/>
            <w:tcBorders>
              <w:top w:val="single" w:color="C5CDD8" w:sz="1"/>
              <w:left w:val="single" w:color="C5CDD8" w:sz="1"/>
              <w:bottom w:val="single" w:color="C5CDD8" w:sz="1"/>
              <w:right w:val="single" w:color="C5CDD8"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Variables, Built-in Functions, Loops &amp; Conditionals</w:t>
            </w:r>
          </w:p>
        </w:tc>
      </w:tr>
    </w:tbl>
    <w:p>
      <w:pPr>
        <w:spacing w:after="0" w:before="120"/>
      </w:pPr>
    </w:p>
    <w:p>
      <w:pPr>
        <w:spacing w:after="60" w:before="180"/>
      </w:pPr>
      <w:r>
        <w:rPr>
          <w:rFonts w:ascii="Arial" w:cs="Arial" w:eastAsia="Arial" w:hAnsi="Arial"/>
          <w:b/>
          <w:bCs/>
          <w:color w:val="1A4F8A"/>
          <w:sz w:val="21"/>
          <w:szCs w:val="21"/>
        </w:rPr>
        <w:t xml:space="preserve">▸ What Was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Revisited variables and expanded on data types available in MATLAB (doubles, integers, strings, logical).</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Explored a range of built-in MATLAB functions: mathematical (sin, cos, sqrt, abs), statistical (mean, std, max, min), and array utilities (size, length, zeros, ones, linspace).</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Introduced for loops — writing loops to iterate over arrays and perform repeated operations automatically.</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Introduced while loops — understanding when and how to use condition-based iteration.</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Covered conditional logic using if, elseif, and else — making programs respond differently depending on data values.</w:t>
            </w:r>
          </w:p>
        </w:tc>
      </w:tr>
    </w:tbl>
    <w:p>
      <w:pPr>
        <w:spacing w:after="0" w:before="120"/>
      </w:pPr>
    </w:p>
    <w:p>
      <w:pPr>
        <w:spacing w:after="60" w:before="180"/>
      </w:pPr>
      <w:r>
        <w:rPr>
          <w:rFonts w:ascii="Arial" w:cs="Arial" w:eastAsia="Arial" w:hAnsi="Arial"/>
          <w:b/>
          <w:bCs/>
          <w:color w:val="1A4F8A"/>
          <w:sz w:val="21"/>
          <w:szCs w:val="21"/>
        </w:rPr>
        <w:t xml:space="preserve">▸ Area of Focus /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1A4F8A" w:sz="16"/>
              <w:bottom w:val="single" w:color="3B7DD8" w:sz="4"/>
              <w:right w:val="none" w:color="FFFFFF" w:sz="0"/>
            </w:tcBorders>
            <w:shd w:fill="D6E4F7" w:val="clear"/>
            <w:tcMar>
              <w:top w:type="dxa" w:w="100"/>
              <w:left w:type="dxa" w:w="200"/>
              <w:bottom w:type="dxa" w:w="100"/>
              <w:right w:type="dxa" w:w="160"/>
            </w:tcMar>
          </w:tcPr>
          <w:p>
            <w:r>
              <w:rPr>
                <w:rFonts w:ascii="Arial" w:cs="Arial" w:eastAsia="Arial" w:hAnsi="Arial"/>
                <w:i/>
                <w:iCs/>
                <w:color w:val="1C1C1C"/>
                <w:sz w:val="20"/>
                <w:szCs w:val="20"/>
              </w:rPr>
              <w:t xml:space="preserve">The student is developing a solid grasp of programming logic, which is the most important foundation to build at this stage. Loops and conditionals can take time to feel natural — continued practice with small, self-designed exercises is the most effective way to build fluency. The goal now is to reinforce these concepts through repetition before layering in more complexity.</w:t>
            </w:r>
          </w:p>
        </w:tc>
      </w:tr>
    </w:tbl>
    <w:p>
      <w:pPr>
        <w:spacing w:after="0" w:before="120"/>
      </w:pPr>
    </w:p>
    <w:p>
      <w:pPr>
        <w:spacing w:after="60" w:before="180"/>
      </w:pPr>
      <w:r>
        <w:rPr>
          <w:rFonts w:ascii="Arial" w:cs="Arial" w:eastAsia="Arial" w:hAnsi="Arial"/>
          <w:b/>
          <w:bCs/>
          <w:color w:val="1A4F8A"/>
          <w:sz w:val="21"/>
          <w:szCs w:val="21"/>
        </w:rPr>
        <w:t xml:space="preserve">▸ Homework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Review the code examples from the session — experiment with modifying loop ranges and changing conditional conditions.</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Write a short script that uses a for loop to calculate the square of each number from 1 to 10 and displays the results.</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Try writing a while loop that counts down from 20 and stops when it reaches a number divisible by 7.</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3B7DD8" w:sz="16"/>
              <w:bottom w:val="single" w:color="3B7DD8" w:sz="4"/>
              <w:right w:val="none" w:color="FFFFFF" w:sz="0"/>
            </w:tcBorders>
            <w:shd w:fill="EFF4FB" w:val="clear"/>
            <w:tcMar>
              <w:top w:type="dxa" w:w="80"/>
              <w:left w:type="dxa" w:w="200"/>
              <w:bottom w:type="dxa" w:w="80"/>
              <w:right w:type="dxa" w:w="160"/>
            </w:tcMar>
          </w:tcPr>
          <w:p>
            <w:r>
              <w:rPr>
                <w:rFonts w:ascii="Arial" w:cs="Arial" w:eastAsia="Arial" w:hAnsi="Arial"/>
                <w:b/>
                <w:bCs/>
                <w:color w:val="1A4F8A"/>
                <w:sz w:val="20"/>
                <w:szCs w:val="20"/>
              </w:rPr>
              <w:t xml:space="preserve">Next Lesson Preview</w:t>
            </w:r>
          </w:p>
          <w:p>
            <w:r>
              <w:rPr>
                <w:rFonts w:ascii="Arial" w:cs="Arial" w:eastAsia="Arial" w:hAnsi="Arial"/>
                <w:b/>
                <w:bCs/>
                <w:color w:val="3B7DD8"/>
                <w:sz w:val="20"/>
                <w:szCs w:val="20"/>
              </w:rPr>
              <w:t xml:space="preserve">→ </w:t>
            </w:r>
            <w:r>
              <w:rPr>
                <w:rFonts w:ascii="Arial" w:cs="Arial" w:eastAsia="Arial" w:hAnsi="Arial"/>
                <w:color w:val="1C1C1C"/>
                <w:sz w:val="20"/>
                <w:szCs w:val="20"/>
              </w:rPr>
              <w:t xml:space="preserve">Hands-on data visualization: creating and customising plots</w:t>
            </w:r>
          </w:p>
          <w:p>
            <w:r>
              <w:rPr>
                <w:rFonts w:ascii="Arial" w:cs="Arial" w:eastAsia="Arial" w:hAnsi="Arial"/>
                <w:b/>
                <w:bCs/>
                <w:color w:val="3B7DD8"/>
                <w:sz w:val="20"/>
                <w:szCs w:val="20"/>
              </w:rPr>
              <w:t xml:space="preserve">→ </w:t>
            </w:r>
            <w:r>
              <w:rPr>
                <w:rFonts w:ascii="Arial" w:cs="Arial" w:eastAsia="Arial" w:hAnsi="Arial"/>
                <w:color w:val="1C1C1C"/>
                <w:sz w:val="20"/>
                <w:szCs w:val="20"/>
              </w:rPr>
              <w:t xml:space="preserve">First complete beginner project: producing a labelled scientific figure in MATLAB</w:t>
            </w:r>
          </w:p>
        </w:tc>
      </w:tr>
    </w:tbl>
    <w:p>
      <w:pPr>
        <w:spacing w:after="0" w:before="300"/>
      </w:pPr>
    </w:p>
    <w:p>
      <w:pPr>
        <w:pBdr>
          <w:bottom w:val="single" w:color="1A4F8A" w:sz="12" w:space="1"/>
        </w:pBdr>
        <w:spacing w:after="0" w:before="0"/>
      </w:pPr>
    </w:p>
    <w:p>
      <w:pPr>
        <w:spacing w:after="6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4F8A" w:val="clear"/>
            <w:tcMar>
              <w:top w:type="dxa" w:w="180"/>
              <w:left w:type="dxa" w:w="220"/>
              <w:bottom w:type="dxa" w:w="160"/>
              <w:right w:type="dxa" w:w="220"/>
            </w:tcMar>
          </w:tcPr>
          <w:p>
            <w:pPr>
              <w:jc w:val="left"/>
            </w:pPr>
            <w:r>
              <w:rPr>
                <w:rFonts w:ascii="Arial" w:cs="Arial" w:eastAsia="Arial" w:hAnsi="Arial"/>
                <w:b/>
                <w:bCs/>
                <w:color w:val="FFFFFF"/>
                <w:sz w:val="28"/>
                <w:szCs w:val="28"/>
              </w:rPr>
              <w:t xml:space="preserve">Lecture 3  </w:t>
            </w:r>
            <w:r>
              <w:rPr>
                <w:rFonts w:ascii="Arial" w:cs="Arial" w:eastAsia="Arial" w:hAnsi="Arial"/>
                <w:i/>
                <w:iCs/>
                <w:color w:val="C8DEFF"/>
                <w:sz w:val="24"/>
                <w:szCs w:val="24"/>
              </w:rPr>
              <w:t xml:space="preserve">— First Data Visualisation Project</w:t>
            </w:r>
          </w:p>
        </w:tc>
      </w:tr>
    </w:tbl>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C5CDD8" w:sz="1"/>
              <w:left w:val="single" w:color="C5CDD8" w:sz="1"/>
              <w:bottom w:val="single" w:color="C5CDD8" w:sz="1"/>
              <w:right w:val="single" w:color="C5CDD8" w:sz="1"/>
            </w:tcBorders>
            <w:shd w:fill="1A4F8A" w:val="clear"/>
            <w:tcMar>
              <w:top w:type="dxa" w:w="100"/>
              <w:left w:type="dxa" w:w="140"/>
              <w:bottom w:type="dxa" w:w="100"/>
              <w:right w:type="dxa" w:w="140"/>
            </w:tcMar>
          </w:tcPr>
          <w:p>
            <w:r>
              <w:rPr>
                <w:rFonts w:ascii="Arial" w:cs="Arial" w:eastAsia="Arial" w:hAnsi="Arial"/>
                <w:b/>
                <w:bCs/>
                <w:color w:val="FFFFFF"/>
                <w:sz w:val="20"/>
                <w:szCs w:val="20"/>
              </w:rPr>
              <w:t xml:space="preserve">Module</w:t>
            </w:r>
          </w:p>
        </w:tc>
        <w:tc>
          <w:tcPr>
            <w:tcW w:type="dxa" w:w="7660"/>
            <w:tcBorders>
              <w:top w:val="single" w:color="C5CDD8" w:sz="1"/>
              <w:left w:val="single" w:color="C5CDD8" w:sz="1"/>
              <w:bottom w:val="single" w:color="C5CDD8" w:sz="1"/>
              <w:right w:val="single" w:color="C5CDD8"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Introduction to MATLAB</w:t>
            </w:r>
          </w:p>
        </w:tc>
      </w:tr>
      <w:tr>
        <w:tc>
          <w:tcPr>
            <w:tcW w:type="dxa" w:w="1700"/>
            <w:tcBorders>
              <w:top w:val="single" w:color="C5CDD8" w:sz="1"/>
              <w:left w:val="single" w:color="C5CDD8" w:sz="1"/>
              <w:bottom w:val="single" w:color="C5CDD8" w:sz="1"/>
              <w:right w:val="single" w:color="C5CDD8" w:sz="1"/>
            </w:tcBorders>
            <w:shd w:fill="1A4F8A" w:val="clear"/>
            <w:tcMar>
              <w:top w:type="dxa" w:w="100"/>
              <w:left w:type="dxa" w:w="140"/>
              <w:bottom w:type="dxa" w:w="100"/>
              <w:right w:type="dxa" w:w="140"/>
            </w:tcMar>
          </w:tcPr>
          <w:p>
            <w:r>
              <w:rPr>
                <w:rFonts w:ascii="Arial" w:cs="Arial" w:eastAsia="Arial" w:hAnsi="Arial"/>
                <w:b/>
                <w:bCs/>
                <w:color w:val="FFFFFF"/>
                <w:sz w:val="20"/>
                <w:szCs w:val="20"/>
              </w:rPr>
              <w:t xml:space="preserve">Focus</w:t>
            </w:r>
          </w:p>
        </w:tc>
        <w:tc>
          <w:tcPr>
            <w:tcW w:type="dxa" w:w="7660"/>
            <w:tcBorders>
              <w:top w:val="single" w:color="C5CDD8" w:sz="1"/>
              <w:left w:val="single" w:color="C5CDD8" w:sz="1"/>
              <w:bottom w:val="single" w:color="C5CDD8" w:sz="1"/>
              <w:right w:val="single" w:color="C5CDD8" w:sz="1"/>
            </w:tcBorders>
            <w:shd w:fill="FFFFFF" w:val="clear"/>
            <w:tcMar>
              <w:top w:type="dxa" w:w="100"/>
              <w:left w:type="dxa" w:w="140"/>
              <w:bottom w:type="dxa" w:w="100"/>
              <w:right w:type="dxa" w:w="140"/>
            </w:tcMar>
          </w:tcPr>
          <w:p>
            <w:r>
              <w:rPr>
                <w:rFonts w:ascii="Arial" w:cs="Arial" w:eastAsia="Arial" w:hAnsi="Arial"/>
                <w:b w:val="false"/>
                <w:bCs w:val="false"/>
                <w:color w:val="1C1C1C"/>
                <w:sz w:val="20"/>
                <w:szCs w:val="20"/>
              </w:rPr>
              <w:t xml:space="preserve">Plotting, Figure Formatting &amp; Hands-On Project</w:t>
            </w:r>
          </w:p>
        </w:tc>
      </w:tr>
    </w:tbl>
    <w:p>
      <w:pPr>
        <w:spacing w:after="0" w:before="120"/>
      </w:pPr>
    </w:p>
    <w:p>
      <w:pPr>
        <w:spacing w:after="60" w:before="180"/>
      </w:pPr>
      <w:r>
        <w:rPr>
          <w:rFonts w:ascii="Arial" w:cs="Arial" w:eastAsia="Arial" w:hAnsi="Arial"/>
          <w:b/>
          <w:bCs/>
          <w:color w:val="1A4F8A"/>
          <w:sz w:val="21"/>
          <w:szCs w:val="21"/>
        </w:rPr>
        <w:t xml:space="preserve">▸ What Was Covered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Introduced MATLAB's plotting system: the plot() function, figure windows, and how MATLAB renders graphics.</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Learned to customise plots — adding axis labels (xlabel, ylabel), titles, legends, and adjusting line colour and style.</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Covered the hold on / hold off commands to overlay multiple data series on a single figure.</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Completed a beginner data visualisation project: the student produced her first complete, labelled plot in MATLAB — a real milestone.</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Practised saving and exporting figures in different formats (PNG, PDF) for use in reports.</w:t>
            </w:r>
          </w:p>
        </w:tc>
      </w:tr>
    </w:tbl>
    <w:p>
      <w:pPr>
        <w:spacing w:after="0" w:before="120"/>
      </w:pPr>
    </w:p>
    <w:p>
      <w:pPr>
        <w:spacing w:after="60" w:before="180"/>
      </w:pPr>
      <w:r>
        <w:rPr>
          <w:rFonts w:ascii="Arial" w:cs="Arial" w:eastAsia="Arial" w:hAnsi="Arial"/>
          <w:b/>
          <w:bCs/>
          <w:color w:val="1A4F8A"/>
          <w:sz w:val="21"/>
          <w:szCs w:val="21"/>
        </w:rPr>
        <w:t xml:space="preserve">▸ Area of Focus / Suggestion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1A4F8A" w:sz="16"/>
              <w:bottom w:val="single" w:color="3B7DD8" w:sz="4"/>
              <w:right w:val="none" w:color="FFFFFF" w:sz="0"/>
            </w:tcBorders>
            <w:shd w:fill="D6E4F7" w:val="clear"/>
            <w:tcMar>
              <w:top w:type="dxa" w:w="100"/>
              <w:left w:type="dxa" w:w="200"/>
              <w:bottom w:type="dxa" w:w="100"/>
              <w:right w:type="dxa" w:w="160"/>
            </w:tcMar>
          </w:tcPr>
          <w:p>
            <w:r>
              <w:rPr>
                <w:rFonts w:ascii="Arial" w:cs="Arial" w:eastAsia="Arial" w:hAnsi="Arial"/>
                <w:i/>
                <w:iCs/>
                <w:color w:val="1C1C1C"/>
                <w:sz w:val="20"/>
                <w:szCs w:val="20"/>
              </w:rPr>
              <w:t xml:space="preserve">Producing her first plot is a meaningful achievement — it marks the transition from learning syntax in isolation to applying programming skills to create something useful. The student has made a great start and is getting comfortable with the logic of programming. We will continue to reinforce the fundamentals through practice to build fluency and confidence before moving into more complex, neuroscience-specific applications.</w:t>
            </w:r>
          </w:p>
        </w:tc>
      </w:tr>
    </w:tbl>
    <w:p>
      <w:pPr>
        <w:spacing w:after="0" w:before="120"/>
      </w:pPr>
    </w:p>
    <w:p>
      <w:pPr>
        <w:spacing w:after="60" w:before="180"/>
      </w:pPr>
      <w:r>
        <w:rPr>
          <w:rFonts w:ascii="Arial" w:cs="Arial" w:eastAsia="Arial" w:hAnsi="Arial"/>
          <w:b/>
          <w:bCs/>
          <w:color w:val="1A4F8A"/>
          <w:sz w:val="21"/>
          <w:szCs w:val="21"/>
        </w:rPr>
        <w:t xml:space="preserve">▸ Homework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Review all code examples from the three lectures so far and experiment with modifying the loops and conditionals from Lecture 2.</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Recreate the plot from the session from scratch (without looking at notes) — a great way to test retention.</w:t>
            </w:r>
          </w:p>
        </w:tc>
      </w:tr>
      <w:tr>
        <w:tc>
          <w:tcPr>
            <w:tcW w:type="dxa" w:w="9360"/>
            <w:tcBorders>
              <w:top w:val="single" w:color="C5CDD8" w:sz="1"/>
              <w:left w:val="single" w:color="C5CDD8" w:sz="1"/>
              <w:bottom w:val="single" w:color="C5CDD8" w:sz="1"/>
              <w:right w:val="single" w:color="C5CDD8" w:sz="1"/>
            </w:tcBorders>
            <w:shd w:fill="FFFFFF" w:val="clear"/>
            <w:tcMar>
              <w:top w:type="dxa" w:w="80"/>
              <w:left w:type="dxa" w:w="200"/>
              <w:bottom w:type="dxa" w:w="80"/>
              <w:right w:type="dxa" w:w="140"/>
            </w:tcMar>
          </w:tcPr>
          <w:p>
            <w:r>
              <w:rPr>
                <w:rFonts w:ascii="Arial" w:cs="Arial" w:eastAsia="Arial" w:hAnsi="Arial"/>
                <w:b/>
                <w:bCs/>
                <w:color w:val="3B7DD8"/>
                <w:sz w:val="20"/>
                <w:szCs w:val="20"/>
              </w:rPr>
              <w:t xml:space="preserve">● </w:t>
            </w:r>
            <w:r>
              <w:rPr>
                <w:rFonts w:ascii="Arial" w:cs="Arial" w:eastAsia="Arial" w:hAnsi="Arial"/>
                <w:color w:val="1C1C1C"/>
                <w:sz w:val="20"/>
                <w:szCs w:val="20"/>
              </w:rPr>
              <w:t xml:space="preserve">Try creating a second plot using a different data set: for example, plot sin(x) and cos(x) together on the same figure with proper labels.</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7DD8" w:sz="4"/>
              <w:left w:val="single" w:color="3B7DD8" w:sz="16"/>
              <w:bottom w:val="single" w:color="3B7DD8" w:sz="4"/>
              <w:right w:val="none" w:color="FFFFFF" w:sz="0"/>
            </w:tcBorders>
            <w:shd w:fill="EFF4FB" w:val="clear"/>
            <w:tcMar>
              <w:top w:type="dxa" w:w="80"/>
              <w:left w:type="dxa" w:w="200"/>
              <w:bottom w:type="dxa" w:w="80"/>
              <w:right w:type="dxa" w:w="160"/>
            </w:tcMar>
          </w:tcPr>
          <w:p>
            <w:r>
              <w:rPr>
                <w:rFonts w:ascii="Arial" w:cs="Arial" w:eastAsia="Arial" w:hAnsi="Arial"/>
                <w:b/>
                <w:bCs/>
                <w:color w:val="1A4F8A"/>
                <w:sz w:val="20"/>
                <w:szCs w:val="20"/>
              </w:rPr>
              <w:t xml:space="preserve">Next Lesson Preview</w:t>
            </w:r>
          </w:p>
          <w:p>
            <w:r>
              <w:rPr>
                <w:rFonts w:ascii="Arial" w:cs="Arial" w:eastAsia="Arial" w:hAnsi="Arial"/>
                <w:b/>
                <w:bCs/>
                <w:color w:val="3B7DD8"/>
                <w:sz w:val="20"/>
                <w:szCs w:val="20"/>
              </w:rPr>
              <w:t xml:space="preserve">→ </w:t>
            </w:r>
            <w:r>
              <w:rPr>
                <w:rFonts w:ascii="Arial" w:cs="Arial" w:eastAsia="Arial" w:hAnsi="Arial"/>
                <w:color w:val="1C1C1C"/>
                <w:sz w:val="20"/>
                <w:szCs w:val="20"/>
              </w:rPr>
              <w:t xml:space="preserve">Writing and using custom functions in MATLAB</w:t>
            </w:r>
          </w:p>
          <w:p>
            <w:r>
              <w:rPr>
                <w:rFonts w:ascii="Arial" w:cs="Arial" w:eastAsia="Arial" w:hAnsi="Arial"/>
                <w:b/>
                <w:bCs/>
                <w:color w:val="3B7DD8"/>
                <w:sz w:val="20"/>
                <w:szCs w:val="20"/>
              </w:rPr>
              <w:t xml:space="preserve">→ </w:t>
            </w:r>
            <w:r>
              <w:rPr>
                <w:rFonts w:ascii="Arial" w:cs="Arial" w:eastAsia="Arial" w:hAnsi="Arial"/>
                <w:color w:val="1C1C1C"/>
                <w:sz w:val="20"/>
                <w:szCs w:val="20"/>
              </w:rPr>
              <w:t xml:space="preserve">More advanced plotting: signals and waveforms replicating EEG data</w:t>
            </w:r>
          </w:p>
        </w:tc>
      </w:tr>
    </w:tbl>
    <w:p>
      <w:pPr>
        <w:spacing w:after="0" w:before="120"/>
      </w:pPr>
    </w:p>
    <w:sectPr>
      <w:headerReference w:type="default" r:id="rId7"/>
      <w:footerReference w:type="default" r:id="rId8"/>
      <w:pgSz w:w="12240" w:h="15840" w:orient="portrait"/>
      <w:pgMar w:top="1000" w:right="1080" w:bottom="10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Confidential — For Parent/Guardian Use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A4F8A" w:val="clear"/>
          <w:tcMar>
            <w:top w:type="dxa" w:w="80"/>
            <w:left w:type="dxa" w:w="200"/>
            <w:bottom w:type="dxa" w:w="80"/>
            <w:right w:type="dxa" w:w="200"/>
          </w:tcMar>
        </w:tcPr>
        <w:p>
          <w:r>
            <w:rPr>
              <w:rFonts w:ascii="Arial" w:cs="Arial" w:eastAsia="Arial" w:hAnsi="Arial"/>
              <w:b/>
              <w:bCs/>
              <w:color w:val="FFFFFF"/>
              <w:sz w:val="22"/>
              <w:szCs w:val="22"/>
            </w:rPr>
            <w:t xml:space="preserve">MATLAB Tutoring — Student Progress Report</w:t>
          </w:r>
          <w:r>
            <w:rPr>
              <w:rFonts w:ascii="Arial" w:cs="Arial" w:eastAsia="Arial" w:hAnsi="Arial"/>
              <w:color w:val="C8DEFF"/>
              <w:sz w:val="20"/>
              <w:szCs w:val="20"/>
            </w:rPr>
            <w:t xml:space="preserve">   |   Introduction to MATLAB Series</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0" w:before="0"/>
    </w:pPr>
    <w:rPr>
      <w:rFonts w:ascii="Arial" w:cs="Arial" w:eastAsia="Arial" w:hAnsi="Arial"/>
      <w:b/>
      <w:bCs/>
      <w:color w:val="FFFFFF"/>
      <w:sz w:val="36"/>
      <w:szCs w:val="3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2026-05-25T15:40:27.470Z</dcterms:created>
  <dcterms:modified xsi:type="dcterms:W3CDTF">2026-05-25T15:40:27.470Z</dcterms:modified>
</cp:coreProperties>
</file>

<file path=docProps/custom.xml><?xml version="1.0" encoding="utf-8"?>
<Properties xmlns="http://schemas.openxmlformats.org/officeDocument/2006/custom-properties" xmlns:vt="http://schemas.openxmlformats.org/officeDocument/2006/docPropsVTypes"/>
</file>