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2AD9" w14:textId="4358406E" w:rsidR="00F92CD2" w:rsidRDefault="00F92CD2">
      <w:pPr>
        <w:rPr>
          <w:lang w:val="en-US"/>
        </w:rPr>
      </w:pPr>
    </w:p>
    <w:p w14:paraId="4341380A" w14:textId="5BEA1FA7" w:rsidR="00DF5198" w:rsidRDefault="00DF5198" w:rsidP="00DF5198">
      <w:pPr>
        <w:rPr>
          <w:lang w:val="en-US"/>
        </w:rPr>
      </w:pPr>
      <w:r w:rsidRPr="00DF5198">
        <w:rPr>
          <w:noProof/>
          <w:lang w:val="en-US"/>
        </w:rPr>
        <mc:AlternateContent>
          <mc:Choice Requires="wps">
            <w:drawing>
              <wp:anchor distT="45720" distB="45720" distL="114300" distR="114300" simplePos="0" relativeHeight="251659264" behindDoc="0" locked="0" layoutInCell="1" allowOverlap="1" wp14:anchorId="3114F46E" wp14:editId="4C094CA6">
                <wp:simplePos x="0" y="0"/>
                <wp:positionH relativeFrom="column">
                  <wp:posOffset>914400</wp:posOffset>
                </wp:positionH>
                <wp:positionV relativeFrom="paragraph">
                  <wp:posOffset>147002</wp:posOffset>
                </wp:positionV>
                <wp:extent cx="3928745" cy="1323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745" cy="1323975"/>
                        </a:xfrm>
                        <a:prstGeom prst="rect">
                          <a:avLst/>
                        </a:prstGeom>
                        <a:solidFill>
                          <a:srgbClr val="FFFFFF"/>
                        </a:solidFill>
                        <a:ln w="9525">
                          <a:noFill/>
                          <a:miter lim="800000"/>
                          <a:headEnd/>
                          <a:tailEnd/>
                        </a:ln>
                      </wps:spPr>
                      <wps:txbx>
                        <w:txbxContent>
                          <w:p w14:paraId="41F5F8F9" w14:textId="1CE5376B" w:rsidR="00DF5198" w:rsidRPr="00DF5198" w:rsidRDefault="00DF5198" w:rsidP="00DF5198">
                            <w:pPr>
                              <w:tabs>
                                <w:tab w:val="left" w:pos="2552"/>
                              </w:tabs>
                              <w:jc w:val="center"/>
                              <w:rPr>
                                <w:sz w:val="48"/>
                                <w:szCs w:val="48"/>
                                <w:lang w:val="en-US"/>
                              </w:rPr>
                            </w:pPr>
                            <w:r w:rsidRPr="00DF5198">
                              <w:rPr>
                                <w:sz w:val="48"/>
                                <w:szCs w:val="48"/>
                                <w:lang w:val="en-US"/>
                              </w:rPr>
                              <w:t>Using Machine Learning for Speech and Writing Ability Assessment</w:t>
                            </w:r>
                            <w:r>
                              <w:rPr>
                                <w:sz w:val="48"/>
                                <w:szCs w:val="48"/>
                                <w:lang w:val="en-US"/>
                              </w:rPr>
                              <w:t>: an investigation</w:t>
                            </w:r>
                          </w:p>
                          <w:p w14:paraId="38A50F9A" w14:textId="433C23E2" w:rsidR="00DF5198" w:rsidRPr="00DF5198" w:rsidRDefault="00DF5198" w:rsidP="00DF5198">
                            <w:pPr>
                              <w:jc w:val="cente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4F46E" id="_x0000_t202" coordsize="21600,21600" o:spt="202" path="m,l,21600r21600,l21600,xe">
                <v:stroke joinstyle="miter"/>
                <v:path gradientshapeok="t" o:connecttype="rect"/>
              </v:shapetype>
              <v:shape id="Text Box 2" o:spid="_x0000_s1026" type="#_x0000_t202" style="position:absolute;margin-left:1in;margin-top:11.55pt;width:309.35pt;height:10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" stroked="f">
                <v:textbox>
                  <w:txbxContent>
                    <w:p w14:paraId="41F5F8F9" w14:textId="1CE5376B" w:rsidR="00DF5198" w:rsidRPr="00DF5198" w:rsidRDefault="00DF5198" w:rsidP="00DF5198">
                      <w:pPr>
                        <w:tabs>
                          <w:tab w:val="left" w:pos="2552"/>
                        </w:tabs>
                        <w:jc w:val="center"/>
                        <w:rPr>
                          <w:sz w:val="48"/>
                          <w:szCs w:val="48"/>
                          <w:lang w:val="en-US"/>
                        </w:rPr>
                      </w:pPr>
                      <w:r w:rsidRPr="00DF5198">
                        <w:rPr>
                          <w:sz w:val="48"/>
                          <w:szCs w:val="48"/>
                          <w:lang w:val="en-US"/>
                        </w:rPr>
                        <w:t>Using Machine Learning for Speech and Writing Ability Assessment</w:t>
                      </w:r>
                      <w:r>
                        <w:rPr>
                          <w:sz w:val="48"/>
                          <w:szCs w:val="48"/>
                          <w:lang w:val="en-US"/>
                        </w:rPr>
                        <w:t>: an investigation</w:t>
                      </w:r>
                    </w:p>
                    <w:p w14:paraId="38A50F9A" w14:textId="433C23E2" w:rsidR="00DF5198" w:rsidRPr="00DF5198" w:rsidRDefault="00DF5198" w:rsidP="00DF5198">
                      <w:pPr>
                        <w:jc w:val="center"/>
                        <w:rPr>
                          <w:sz w:val="48"/>
                          <w:szCs w:val="48"/>
                        </w:rPr>
                      </w:pPr>
                    </w:p>
                  </w:txbxContent>
                </v:textbox>
                <w10:wrap type="square"/>
              </v:shape>
            </w:pict>
          </mc:Fallback>
        </mc:AlternateContent>
      </w:r>
    </w:p>
    <w:p w14:paraId="06564FD1" w14:textId="298B312C" w:rsidR="00DF5198" w:rsidRDefault="00DF5198">
      <w:pPr>
        <w:rPr>
          <w:lang w:val="en-US"/>
        </w:rPr>
      </w:pPr>
    </w:p>
    <w:p w14:paraId="2A8168F4" w14:textId="77777777" w:rsidR="00DF5198" w:rsidRDefault="00DF5198">
      <w:pPr>
        <w:rPr>
          <w:lang w:val="en-US"/>
        </w:rPr>
      </w:pPr>
    </w:p>
    <w:p w14:paraId="13A99C3F" w14:textId="77777777" w:rsidR="00DF5198" w:rsidRDefault="00DF5198">
      <w:pPr>
        <w:rPr>
          <w:lang w:val="en-US"/>
        </w:rPr>
      </w:pPr>
    </w:p>
    <w:p w14:paraId="4A4DB501" w14:textId="77777777" w:rsidR="00DF5198" w:rsidRDefault="00DF5198">
      <w:pPr>
        <w:rPr>
          <w:lang w:val="en-US"/>
        </w:rPr>
      </w:pPr>
    </w:p>
    <w:p w14:paraId="1F82A1C5" w14:textId="77777777" w:rsidR="00DF5198" w:rsidRDefault="00DF5198">
      <w:pPr>
        <w:rPr>
          <w:lang w:val="en-US"/>
        </w:rPr>
      </w:pPr>
    </w:p>
    <w:p w14:paraId="0C9046EE" w14:textId="3658AFC1" w:rsidR="00DF5198" w:rsidRDefault="00DF5198" w:rsidP="00DF5198">
      <w:pPr>
        <w:jc w:val="center"/>
        <w:rPr>
          <w:lang w:val="en-US"/>
        </w:rPr>
      </w:pPr>
      <w:r>
        <w:rPr>
          <w:lang w:val="en-US"/>
        </w:rPr>
        <w:t>Daniel Karp, February 2024</w:t>
      </w:r>
    </w:p>
    <w:p w14:paraId="57A02608" w14:textId="77777777" w:rsidR="00DF5198" w:rsidRDefault="00DF5198" w:rsidP="00DF5198">
      <w:pPr>
        <w:jc w:val="center"/>
        <w:rPr>
          <w:lang w:val="en-US"/>
        </w:rPr>
      </w:pPr>
    </w:p>
    <w:p w14:paraId="6A97E35F" w14:textId="5FFAA70D" w:rsidR="00DF5198" w:rsidRDefault="00DF5198">
      <w:pPr>
        <w:rPr>
          <w:lang w:val="en-US"/>
        </w:rPr>
      </w:pPr>
      <w:r>
        <w:rPr>
          <w:lang w:val="en-US"/>
        </w:rPr>
        <w:br w:type="page"/>
      </w:r>
    </w:p>
    <w:p w14:paraId="2DE77B03" w14:textId="702EEB48" w:rsidR="00DF5198" w:rsidRDefault="00DF5198" w:rsidP="009B77B7">
      <w:pPr>
        <w:pStyle w:val="Heading1"/>
        <w:rPr>
          <w:lang w:val="en-US"/>
        </w:rPr>
      </w:pPr>
      <w:r>
        <w:rPr>
          <w:lang w:val="en-US"/>
        </w:rPr>
        <w:lastRenderedPageBreak/>
        <w:t>Introduction</w:t>
      </w:r>
    </w:p>
    <w:p w14:paraId="399BAFB5" w14:textId="77777777" w:rsidR="009B77B7" w:rsidRDefault="009B77B7" w:rsidP="00DF5198">
      <w:pPr>
        <w:rPr>
          <w:lang w:val="en-US"/>
        </w:rPr>
      </w:pPr>
    </w:p>
    <w:p w14:paraId="357DA5B1" w14:textId="56A24772" w:rsidR="009B77B7" w:rsidRDefault="00992FE8" w:rsidP="009B77B7">
      <w:r>
        <w:rPr>
          <w:noProof/>
        </w:rPr>
        <mc:AlternateContent>
          <mc:Choice Requires="wps">
            <w:drawing>
              <wp:anchor distT="0" distB="0" distL="114300" distR="114300" simplePos="0" relativeHeight="251662336" behindDoc="0" locked="0" layoutInCell="1" allowOverlap="1" wp14:anchorId="2A9BD42E" wp14:editId="076A9A71">
                <wp:simplePos x="0" y="0"/>
                <wp:positionH relativeFrom="column">
                  <wp:posOffset>0</wp:posOffset>
                </wp:positionH>
                <wp:positionV relativeFrom="paragraph">
                  <wp:posOffset>4510405</wp:posOffset>
                </wp:positionV>
                <wp:extent cx="1391920" cy="635"/>
                <wp:effectExtent l="0" t="0" r="0" b="0"/>
                <wp:wrapSquare wrapText="bothSides"/>
                <wp:docPr id="962828641" name="Text Box 1"/>
                <wp:cNvGraphicFramePr/>
                <a:graphic xmlns:a="http://schemas.openxmlformats.org/drawingml/2006/main">
                  <a:graphicData uri="http://schemas.microsoft.com/office/word/2010/wordprocessingShape">
                    <wps:wsp>
                      <wps:cNvSpPr txBox="1"/>
                      <wps:spPr>
                        <a:xfrm>
                          <a:off x="0" y="0"/>
                          <a:ext cx="1391920" cy="635"/>
                        </a:xfrm>
                        <a:prstGeom prst="rect">
                          <a:avLst/>
                        </a:prstGeom>
                        <a:solidFill>
                          <a:prstClr val="white"/>
                        </a:solidFill>
                        <a:ln>
                          <a:noFill/>
                        </a:ln>
                      </wps:spPr>
                      <wps:txbx>
                        <w:txbxContent>
                          <w:p w14:paraId="79562100" w14:textId="3864BBF7" w:rsidR="00992FE8" w:rsidRPr="009862B5" w:rsidRDefault="00992FE8" w:rsidP="00992FE8">
                            <w:pPr>
                              <w:pStyle w:val="Caption"/>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BD42E" id="Text Box 1" o:spid="_x0000_s1027" type="#_x0000_t202" style="position:absolute;margin-left:0;margin-top:355.15pt;width:109.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" stroked="f">
                <v:textbox style="mso-fit-shape-to-text:t" inset="0,0,0,0">
                  <w:txbxContent>
                    <w:p w14:paraId="79562100" w14:textId="3864BBF7" w:rsidR="00992FE8" w:rsidRPr="009862B5" w:rsidRDefault="00992FE8" w:rsidP="00992FE8">
                      <w:pPr>
                        <w:pStyle w:val="Caption"/>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992FE8">
        <w:drawing>
          <wp:anchor distT="0" distB="0" distL="114300" distR="114300" simplePos="0" relativeHeight="251660288" behindDoc="0" locked="0" layoutInCell="1" allowOverlap="1" wp14:anchorId="00A635CF" wp14:editId="5241EEFD">
            <wp:simplePos x="0" y="0"/>
            <wp:positionH relativeFrom="column">
              <wp:posOffset>0</wp:posOffset>
            </wp:positionH>
            <wp:positionV relativeFrom="paragraph">
              <wp:posOffset>568960</wp:posOffset>
            </wp:positionV>
            <wp:extent cx="1391920" cy="3884295"/>
            <wp:effectExtent l="0" t="0" r="0" b="1905"/>
            <wp:wrapSquare wrapText="bothSides"/>
            <wp:docPr id="80793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2024" name=""/>
                    <pic:cNvPicPr/>
                  </pic:nvPicPr>
                  <pic:blipFill>
                    <a:blip r:embed="rId5">
                      <a:extLst>
                        <a:ext uri="{28A0092B-C50C-407E-A947-70E740481C1C}">
                          <a14:useLocalDpi xmlns:a14="http://schemas.microsoft.com/office/drawing/2010/main" val="0"/>
                        </a:ext>
                      </a:extLst>
                    </a:blip>
                    <a:stretch>
                      <a:fillRect/>
                    </a:stretch>
                  </pic:blipFill>
                  <pic:spPr>
                    <a:xfrm>
                      <a:off x="0" y="0"/>
                      <a:ext cx="1391920" cy="3884295"/>
                    </a:xfrm>
                    <a:prstGeom prst="rect">
                      <a:avLst/>
                    </a:prstGeom>
                  </pic:spPr>
                </pic:pic>
              </a:graphicData>
            </a:graphic>
            <wp14:sizeRelH relativeFrom="margin">
              <wp14:pctWidth>0</wp14:pctWidth>
            </wp14:sizeRelH>
            <wp14:sizeRelV relativeFrom="margin">
              <wp14:pctHeight>0</wp14:pctHeight>
            </wp14:sizeRelV>
          </wp:anchor>
        </w:drawing>
      </w:r>
      <w:r w:rsidR="009B77B7">
        <w:t>The Common European Framework of Reference for Languages (CEFR) provides a comprehensive framework for assessing language proficiency across speaking and writing. With the increasing demand for accurate and efficient language assessment tools, the integration of modelling techniques offers a promising approach to enhance the evaluation process.</w:t>
      </w:r>
    </w:p>
    <w:p w14:paraId="373887AC" w14:textId="6F354258" w:rsidR="00992FE8" w:rsidRDefault="00992FE8" w:rsidP="009B77B7">
      <w:proofErr w:type="gramStart"/>
      <w:r>
        <w:t>Of course</w:t>
      </w:r>
      <w:proofErr w:type="gramEnd"/>
      <w:r>
        <w:t xml:space="preserve"> there are other methods of language assessments such as the Cambridge English Scale, which is broadly in-line with the CEFR. See Figure 1 to the left which shows the comparison (derived from </w:t>
      </w:r>
      <w:r w:rsidRPr="00992FE8">
        <w:rPr>
          <w:i/>
          <w:iCs/>
        </w:rPr>
        <w:t>https://www.cambridgeenglish.org/exams-and-tests/cefr/</w:t>
      </w:r>
      <w:r>
        <w:t xml:space="preserve">).  </w:t>
      </w:r>
    </w:p>
    <w:p w14:paraId="2CC19324" w14:textId="77777777" w:rsidR="009B77B7" w:rsidRDefault="009B77B7" w:rsidP="009B77B7">
      <w:r>
        <w:t>This report explores the application of modelling techniques in assessing speech and writing proficiency, aligned with the CEFR standards. By leveraging computational models, linguistic analysis, and machine learning algorithms, educators and language experts can gain valuable insights into learners' language capabilities, leading to more precise and reliable assessments.</w:t>
      </w:r>
    </w:p>
    <w:p w14:paraId="5F37A92C" w14:textId="7D5D628C" w:rsidR="009B77B7" w:rsidRDefault="009B77B7" w:rsidP="009B77B7">
      <w:r>
        <w:t>The CEFR offers a standardized framework that divides language proficiency into six levels, ranging from A1 (beginner) to C2 (proficient)</w:t>
      </w:r>
      <w:r w:rsidR="00162A23">
        <w:t xml:space="preserve"> (see </w:t>
      </w:r>
      <w:r w:rsidR="00162A23" w:rsidRPr="00162A23">
        <w:rPr>
          <w:i/>
          <w:iCs/>
        </w:rPr>
        <w:fldChar w:fldCharType="begin"/>
      </w:r>
      <w:r w:rsidR="00162A23" w:rsidRPr="00162A23">
        <w:rPr>
          <w:i/>
          <w:iCs/>
        </w:rPr>
        <w:instrText xml:space="preserve"> REF _Ref159106781 \h </w:instrText>
      </w:r>
      <w:r w:rsidR="00162A23" w:rsidRPr="00162A23">
        <w:rPr>
          <w:i/>
          <w:iCs/>
        </w:rPr>
      </w:r>
      <w:r w:rsidR="00162A23">
        <w:rPr>
          <w:i/>
          <w:iCs/>
        </w:rPr>
        <w:instrText xml:space="preserve"> \* MERGEFORMAT </w:instrText>
      </w:r>
      <w:r w:rsidR="00162A23" w:rsidRPr="00162A23">
        <w:rPr>
          <w:i/>
          <w:iCs/>
        </w:rPr>
        <w:fldChar w:fldCharType="separate"/>
      </w:r>
      <w:r w:rsidR="00162A23" w:rsidRPr="00B92840">
        <w:t>Appendi</w:t>
      </w:r>
      <w:r w:rsidR="00162A23" w:rsidRPr="00B92840">
        <w:t>x</w:t>
      </w:r>
      <w:r w:rsidR="00162A23" w:rsidRPr="00B92840">
        <w:t xml:space="preserve"> A:</w:t>
      </w:r>
      <w:r w:rsidR="00162A23" w:rsidRPr="00162A23">
        <w:rPr>
          <w:i/>
          <w:iCs/>
        </w:rPr>
        <w:t xml:space="preserve"> </w:t>
      </w:r>
      <w:r w:rsidR="00162A23" w:rsidRPr="00162A23">
        <w:rPr>
          <w:i/>
          <w:iCs/>
        </w:rPr>
        <w:t>Global scale - Table 1 (CEFR 3.3): Common Reference levels</w:t>
      </w:r>
      <w:r w:rsidR="00162A23" w:rsidRPr="00162A23">
        <w:rPr>
          <w:i/>
          <w:iCs/>
        </w:rPr>
        <w:fldChar w:fldCharType="end"/>
      </w:r>
      <w:r w:rsidR="00162A23">
        <w:t>)</w:t>
      </w:r>
      <w:r>
        <w:t>. Each level encompasses specific descriptors related to speaking and writing skills, providing a detailed roadmap for evaluating language competency. However, traditional assessment methods often rely on subjective judgments and limited sample sizes, which may not accurately capture an individual's true proficiency level.</w:t>
      </w:r>
      <w:r>
        <w:t xml:space="preserve"> </w:t>
      </w:r>
    </w:p>
    <w:p w14:paraId="3AD1D0D3" w14:textId="77777777" w:rsidR="00C03807" w:rsidRDefault="009B77B7" w:rsidP="009B77B7">
      <w:r>
        <w:t xml:space="preserve">Modelling techniques offer a solution to these challenges by providing objective, data-driven approaches to language assessment. By </w:t>
      </w:r>
      <w:proofErr w:type="spellStart"/>
      <w:r>
        <w:t>analyzing</w:t>
      </w:r>
      <w:proofErr w:type="spellEnd"/>
      <w:r>
        <w:t xml:space="preserve"> linguistic features, such as vocabulary usage, grammatical structures, and discourse coherence, models can generate quantitative metrics that align with CEFR proficiency levels. </w:t>
      </w:r>
    </w:p>
    <w:p w14:paraId="566F9D75" w14:textId="012EB274" w:rsidR="00C03807" w:rsidRDefault="00C03807" w:rsidP="009B77B7">
      <w:r>
        <w:t>These metrics are essentially a breakdown of the components of speech/writing as can be see in the table in</w:t>
      </w:r>
      <w:r w:rsidR="00B92840">
        <w:t xml:space="preserve"> </w:t>
      </w:r>
      <w:r w:rsidR="00B92840">
        <w:fldChar w:fldCharType="begin"/>
      </w:r>
      <w:r w:rsidR="00B92840">
        <w:instrText xml:space="preserve"> REF _Ref159107289 \h </w:instrText>
      </w:r>
      <w:r w:rsidR="00B92840">
        <w:instrText xml:space="preserve"> \* MERGEFORMAT </w:instrText>
      </w:r>
      <w:r w:rsidR="00B92840">
        <w:fldChar w:fldCharType="separate"/>
      </w:r>
      <w:r w:rsidR="00B92840">
        <w:t xml:space="preserve">Appendix B: </w:t>
      </w:r>
      <w:r w:rsidR="00B92840" w:rsidRPr="00B92840">
        <w:rPr>
          <w:i/>
          <w:iCs/>
        </w:rPr>
        <w:t>Qualitative aspects of spoken language use - Table 3 (CEFR 3.3): Common Reference levels</w:t>
      </w:r>
      <w:r w:rsidR="00B92840">
        <w:fldChar w:fldCharType="end"/>
      </w:r>
      <w:r w:rsidR="00B92840">
        <w:t>.</w:t>
      </w:r>
    </w:p>
    <w:p w14:paraId="48AE6977" w14:textId="1E44F4CA" w:rsidR="009B77B7" w:rsidRDefault="009B77B7" w:rsidP="009B77B7">
      <w:r>
        <w:t>Furthermore, machine learning algorithms can process large datasets of speech and writing samples, allowing for more comprehensive evaluations across diverse language contexts and learner populations.</w:t>
      </w:r>
    </w:p>
    <w:p w14:paraId="30CC6F62" w14:textId="46FA761E" w:rsidR="009B77B7" w:rsidRDefault="009B77B7" w:rsidP="009B77B7">
      <w:r>
        <w:t>Th</w:t>
      </w:r>
      <w:r>
        <w:t>e current</w:t>
      </w:r>
      <w:r>
        <w:t xml:space="preserve"> report will examine</w:t>
      </w:r>
      <w:r>
        <w:t xml:space="preserve"> </w:t>
      </w:r>
      <w:proofErr w:type="gramStart"/>
      <w:r>
        <w:t>a number of</w:t>
      </w:r>
      <w:proofErr w:type="gramEnd"/>
      <w:r>
        <w:t xml:space="preserve"> different modelling approaches used in assessing speech and writing proficiency, </w:t>
      </w:r>
      <w:r>
        <w:t>by predicting the CEFR from a range of derived features.</w:t>
      </w:r>
    </w:p>
    <w:p w14:paraId="038454A0" w14:textId="217469F5" w:rsidR="00DF5198" w:rsidRDefault="009B77B7" w:rsidP="009B77B7">
      <w:r>
        <w:t xml:space="preserve">Ultimately, the </w:t>
      </w:r>
      <w:r>
        <w:t>use</w:t>
      </w:r>
      <w:r>
        <w:t xml:space="preserve"> of modelling techniques </w:t>
      </w:r>
      <w:r>
        <w:t>for</w:t>
      </w:r>
      <w:r>
        <w:t xml:space="preserve"> language assessment holds great promise for enhancing the accuracy, efficiency, and fairness of evaluating speech and writing proficiency according to CEFR standards. </w:t>
      </w:r>
      <w:r>
        <w:t xml:space="preserve">It would allow assessment tools to be integrated into online </w:t>
      </w:r>
      <w:r w:rsidR="00110A85">
        <w:t>services that could be utilized across the board, standardizing the approach more widely.</w:t>
      </w:r>
    </w:p>
    <w:p w14:paraId="40E6BFCB" w14:textId="77777777" w:rsidR="00162A23" w:rsidRDefault="00162A23" w:rsidP="009B77B7"/>
    <w:p w14:paraId="352ECC59" w14:textId="44F270EB" w:rsidR="00162A23" w:rsidRDefault="00497586" w:rsidP="00E32FB2">
      <w:pPr>
        <w:pStyle w:val="Heading1"/>
      </w:pPr>
      <w:r>
        <w:lastRenderedPageBreak/>
        <w:t xml:space="preserve">A Short </w:t>
      </w:r>
      <w:r w:rsidR="00244205">
        <w:t>Literature Review</w:t>
      </w:r>
    </w:p>
    <w:p w14:paraId="3F0AC34D" w14:textId="77777777" w:rsidR="00E32FB2" w:rsidRDefault="00E32FB2" w:rsidP="009B77B7"/>
    <w:p w14:paraId="374D8ACA" w14:textId="7983596E" w:rsidR="0066045C" w:rsidRDefault="00561FBD" w:rsidP="009B77B7">
      <w:r>
        <w:t xml:space="preserve">According to </w:t>
      </w:r>
      <w:r w:rsidR="0066045C" w:rsidRPr="0066045C">
        <w:t>van Dalen</w:t>
      </w:r>
      <w:r w:rsidR="0066045C">
        <w:t xml:space="preserve"> et al </w:t>
      </w:r>
      <w:r>
        <w:t xml:space="preserve">(2015), There is a need to assess the proficiency level of learners both during their studies and for formal qualifications. In the almost decade since they published, this need has not gone away. They were also one of the first to propose an ‘automatic grader’ </w:t>
      </w:r>
      <w:proofErr w:type="gramStart"/>
      <w:r>
        <w:t>in order to</w:t>
      </w:r>
      <w:proofErr w:type="gramEnd"/>
      <w:r>
        <w:t xml:space="preserve"> accurately assess the learner’s ability level from spontaneous, prompted speech, independent of the quality of the audio recording and their primary language. They proposed a Gaussian-based grader, that would be used as a type of assistant to determine which assessments required further grading by a human.</w:t>
      </w:r>
    </w:p>
    <w:p w14:paraId="3BC257BD" w14:textId="37D96BCD" w:rsidR="000B3E47" w:rsidRDefault="000B3E47" w:rsidP="009B77B7">
      <w:r>
        <w:t xml:space="preserve">In </w:t>
      </w:r>
      <w:proofErr w:type="gramStart"/>
      <w:r>
        <w:t>fact</w:t>
      </w:r>
      <w:proofErr w:type="gramEnd"/>
      <w:r>
        <w:t xml:space="preserve"> Talia Isaacs (2018) underscored the need for machine learning being complemented by human ratings, as the ability to transcribe text accurately enough from machine recordings at that time was not as sophisticated as we now find ourselves in 2024.</w:t>
      </w:r>
    </w:p>
    <w:p w14:paraId="530E8D6B" w14:textId="57C325EE" w:rsidR="00561FBD" w:rsidRDefault="006C4601" w:rsidP="006C4601">
      <w:proofErr w:type="spellStart"/>
      <w:r>
        <w:t>Gaillat</w:t>
      </w:r>
      <w:proofErr w:type="spellEnd"/>
      <w:r>
        <w:t xml:space="preserve"> et al (2021) outlined various methods of automating the assessment process. </w:t>
      </w:r>
      <w:proofErr w:type="gramStart"/>
      <w:r>
        <w:t>However</w:t>
      </w:r>
      <w:proofErr w:type="gramEnd"/>
      <w:r>
        <w:t xml:space="preserve"> they only looked at CEFR grading for writing assessments. They concluded that </w:t>
      </w:r>
      <w:r>
        <w:t xml:space="preserve">a </w:t>
      </w:r>
      <w:r>
        <w:t>“…</w:t>
      </w:r>
      <w:r>
        <w:t xml:space="preserve">combination of lexical, syntactic, cohesive and accuracy features </w:t>
      </w:r>
      <w:proofErr w:type="gramStart"/>
      <w:r>
        <w:t>yields</w:t>
      </w:r>
      <w:proofErr w:type="gramEnd"/>
      <w:r>
        <w:t xml:space="preserve"> the most efficient classification across several</w:t>
      </w:r>
      <w:r>
        <w:t xml:space="preserve"> corpora”. With a balance accuracy of around 59%. They utilized </w:t>
      </w:r>
      <w:r w:rsidRPr="006C4601">
        <w:t>logistic regression and the elastic net models</w:t>
      </w:r>
      <w:r>
        <w:t>.</w:t>
      </w:r>
    </w:p>
    <w:p w14:paraId="4900ECCB" w14:textId="004C8565" w:rsidR="006C4601" w:rsidRDefault="00C55EE2" w:rsidP="006C4601">
      <w:r>
        <w:t>Settles, LaFlair and Hagiwara (2020) claim to have been the first to develop a machine learning/natural language processing methodology to align with proficiency scales and then use linguistic models to estimate difficulty directly for human adaptive testing. They developed the online Duolingo English Test, demonstrating that its scores “align significantly with other high-stakes English assessments”.</w:t>
      </w:r>
      <w:r w:rsidR="0093122E">
        <w:t xml:space="preserve"> They utilized a </w:t>
      </w:r>
      <w:r w:rsidR="0093122E" w:rsidRPr="0093122E">
        <w:t>six-way multinomial regression classifier to predict CEFR level</w:t>
      </w:r>
      <w:r w:rsidR="0093122E">
        <w:t xml:space="preserve"> as well as a linear regression model for comparison. Their linear regression models appeared to be the most accurate. They also used a variety of features, including </w:t>
      </w:r>
      <w:r w:rsidR="0093122E" w:rsidRPr="0093122E">
        <w:t>character length</w:t>
      </w:r>
      <w:r w:rsidR="0093122E">
        <w:t xml:space="preserve">, </w:t>
      </w:r>
      <w:r w:rsidR="0093122E" w:rsidRPr="0093122E">
        <w:t>corpus frequency</w:t>
      </w:r>
      <w:r w:rsidR="0093122E">
        <w:t xml:space="preserve">, </w:t>
      </w:r>
      <w:r w:rsidR="0093122E" w:rsidRPr="0093122E">
        <w:t>log-</w:t>
      </w:r>
      <w:proofErr w:type="gramStart"/>
      <w:r w:rsidR="0093122E" w:rsidRPr="0093122E">
        <w:t>likelihood</w:t>
      </w:r>
      <w:proofErr w:type="gramEnd"/>
      <w:r w:rsidR="0093122E">
        <w:t xml:space="preserve"> and </w:t>
      </w:r>
      <w:r w:rsidR="0093122E" w:rsidRPr="0093122E">
        <w:t xml:space="preserve">Fisher score of </w:t>
      </w:r>
      <w:r w:rsidR="0093122E">
        <w:t>each word.</w:t>
      </w:r>
    </w:p>
    <w:p w14:paraId="51D85A55" w14:textId="77777777" w:rsidR="001D5A50" w:rsidRDefault="001D5A50" w:rsidP="001D5A50">
      <w:pPr>
        <w:pStyle w:val="Heading1"/>
      </w:pPr>
    </w:p>
    <w:p w14:paraId="10AD776B" w14:textId="6B66625C" w:rsidR="001D5A50" w:rsidRDefault="001D5A50" w:rsidP="001D5A50">
      <w:pPr>
        <w:pStyle w:val="Heading1"/>
      </w:pPr>
      <w:r>
        <w:t>Data</w:t>
      </w:r>
    </w:p>
    <w:p w14:paraId="648F7AED" w14:textId="77777777" w:rsidR="001D5A50" w:rsidRPr="001D5A50" w:rsidRDefault="001D5A50" w:rsidP="001D5A50"/>
    <w:p w14:paraId="69CAF10D" w14:textId="71058F86" w:rsidR="001D5A50" w:rsidRDefault="001D5A50" w:rsidP="001D5A50">
      <w:r>
        <w:t xml:space="preserve">Data was derived from both mp3 audio files and text. The audio files were provided as five short responses for each respondent, and the average metrics of </w:t>
      </w:r>
      <w:r w:rsidRPr="001D5A50">
        <w:t>pronunciatio</w:t>
      </w:r>
      <w:r>
        <w:t>n</w:t>
      </w:r>
      <w:r w:rsidRPr="001D5A50">
        <w:t>, vocab, fluency, cohesion, grammar</w:t>
      </w:r>
      <w:r>
        <w:t xml:space="preserve"> and</w:t>
      </w:r>
      <w:r w:rsidRPr="001D5A50">
        <w:t xml:space="preserve"> </w:t>
      </w:r>
      <w:r>
        <w:t xml:space="preserve">CEFR score were calculated across them per respondent. Associated with 445 individual responses, were 328 transcripts. As such, </w:t>
      </w:r>
      <w:r w:rsidR="00E30C76">
        <w:t xml:space="preserve">this study </w:t>
      </w:r>
      <w:r>
        <w:t>was required to generate its own transcripts to fill in the missing data. This will be discussed further in the method section.</w:t>
      </w:r>
    </w:p>
    <w:p w14:paraId="059EF300" w14:textId="77777777" w:rsidR="00E30C76" w:rsidRDefault="00E30C76" w:rsidP="001D5A50"/>
    <w:p w14:paraId="298E6DDE" w14:textId="77777777" w:rsidR="001D5A50" w:rsidRDefault="001D5A50" w:rsidP="001D5A50">
      <w:pPr>
        <w:pStyle w:val="Heading1"/>
      </w:pPr>
      <w:r>
        <w:t>Method</w:t>
      </w:r>
    </w:p>
    <w:p w14:paraId="137CC284" w14:textId="77777777" w:rsidR="001D5A50" w:rsidRPr="001D5A50" w:rsidRDefault="001D5A50" w:rsidP="001D5A50"/>
    <w:p w14:paraId="6DFE52C5" w14:textId="64B922E1" w:rsidR="001D5A50" w:rsidRDefault="001D5A50" w:rsidP="00E30C76">
      <w:pPr>
        <w:pStyle w:val="Heading2"/>
      </w:pPr>
      <w:r>
        <w:t>Data Engineering</w:t>
      </w:r>
    </w:p>
    <w:p w14:paraId="02DDD161" w14:textId="50FF8FDE" w:rsidR="00C43383" w:rsidRDefault="00E30C76" w:rsidP="009B77B7">
      <w:r>
        <w:t>The mp3 audio files were loaded and file properties extracted. Utilising both the</w:t>
      </w:r>
      <w:r w:rsidRPr="00E30C76">
        <w:t xml:space="preserve"> </w:t>
      </w:r>
      <w:proofErr w:type="spellStart"/>
      <w:r w:rsidRPr="00E30C76">
        <w:t>AudioSegment</w:t>
      </w:r>
      <w:proofErr w:type="spellEnd"/>
      <w:r>
        <w:t xml:space="preserve"> and </w:t>
      </w:r>
      <w:proofErr w:type="spellStart"/>
      <w:r>
        <w:t>Librosa</w:t>
      </w:r>
      <w:proofErr w:type="spellEnd"/>
      <w:r>
        <w:t xml:space="preserve"> Python libraries, </w:t>
      </w:r>
      <w:r w:rsidR="003845B2">
        <w:t>several</w:t>
      </w:r>
      <w:r>
        <w:t xml:space="preserve"> features were extracted from the audio files. These included </w:t>
      </w:r>
      <w:r w:rsidRPr="00E30C76">
        <w:lastRenderedPageBreak/>
        <w:t>sampling</w:t>
      </w:r>
      <w:r>
        <w:t xml:space="preserve"> </w:t>
      </w:r>
      <w:r w:rsidRPr="00E30C76">
        <w:t>rate</w:t>
      </w:r>
      <w:r>
        <w:t xml:space="preserve">, number of </w:t>
      </w:r>
      <w:r w:rsidRPr="00E30C76">
        <w:t>channels</w:t>
      </w:r>
      <w:r>
        <w:t xml:space="preserve">, duration, </w:t>
      </w:r>
      <w:r w:rsidRPr="00E30C76">
        <w:t>formants</w:t>
      </w:r>
      <w:r>
        <w:t xml:space="preserve">, pitch, intensity, speech rate, duration of pauses, frequency of pauses, </w:t>
      </w:r>
      <w:proofErr w:type="spellStart"/>
      <w:r>
        <w:t>mel</w:t>
      </w:r>
      <w:proofErr w:type="spellEnd"/>
      <w:r>
        <w:t xml:space="preserve"> frequency </w:t>
      </w:r>
      <w:proofErr w:type="spellStart"/>
      <w:r>
        <w:t>ceptral</w:t>
      </w:r>
      <w:proofErr w:type="spellEnd"/>
      <w:r>
        <w:t xml:space="preserve"> coefficients</w:t>
      </w:r>
      <w:r w:rsidR="00C43383">
        <w:t xml:space="preserve">, and spectral centroid statistics. </w:t>
      </w:r>
    </w:p>
    <w:p w14:paraId="59A7C925" w14:textId="2936D942" w:rsidR="00C43383" w:rsidRDefault="00C43383" w:rsidP="00C43383">
      <w:r>
        <w:t xml:space="preserve">The audio files were subsequently transcribed utilizing the ChatGPT whisper-1 model. This was used as it was found to be the most accurate at transcribing the sound files. Other models used included </w:t>
      </w:r>
      <w:proofErr w:type="spellStart"/>
      <w:r>
        <w:t>deepspeech</w:t>
      </w:r>
      <w:proofErr w:type="spellEnd"/>
      <w:r>
        <w:t xml:space="preserve"> v0.3.9, </w:t>
      </w:r>
      <w:proofErr w:type="spellStart"/>
      <w:r>
        <w:t>huggingface</w:t>
      </w:r>
      <w:proofErr w:type="spellEnd"/>
      <w:r>
        <w:t xml:space="preserve">, </w:t>
      </w:r>
      <w:proofErr w:type="spellStart"/>
      <w:r>
        <w:t>vosk</w:t>
      </w:r>
      <w:proofErr w:type="spellEnd"/>
      <w:r>
        <w:t xml:space="preserve"> </w:t>
      </w:r>
      <w:r>
        <w:t>en-us-0.22-lgraph</w:t>
      </w:r>
      <w:r>
        <w:t xml:space="preserve"> and </w:t>
      </w:r>
      <w:r>
        <w:t>en-us-0.42-gigaspeech</w:t>
      </w:r>
      <w:r>
        <w:t xml:space="preserve"> models.</w:t>
      </w:r>
    </w:p>
    <w:p w14:paraId="07A74BD1" w14:textId="648A3D9C" w:rsidR="001D5A50" w:rsidRDefault="00062D28" w:rsidP="003845B2">
      <w:pPr>
        <w:rPr>
          <w:lang w:val="en-US"/>
        </w:rPr>
      </w:pPr>
      <w:r>
        <w:t xml:space="preserve">Once transcribed, additional features were derived from them. These included </w:t>
      </w:r>
      <w:r w:rsidRPr="00062D28">
        <w:rPr>
          <w:lang w:val="en-US"/>
        </w:rPr>
        <w:t>Brunets Index</w:t>
      </w:r>
      <w:r>
        <w:rPr>
          <w:lang w:val="en-US"/>
        </w:rPr>
        <w:t>, a</w:t>
      </w:r>
      <w:r w:rsidRPr="00062D28">
        <w:rPr>
          <w:lang w:val="en-US"/>
        </w:rPr>
        <w:t>verage sentence length</w:t>
      </w:r>
      <w:r>
        <w:t xml:space="preserve">, </w:t>
      </w:r>
      <w:r>
        <w:rPr>
          <w:lang w:val="en-US"/>
        </w:rPr>
        <w:t>t</w:t>
      </w:r>
      <w:r w:rsidRPr="00062D28">
        <w:rPr>
          <w:lang w:val="en-US"/>
        </w:rPr>
        <w:t>ext cohesion (</w:t>
      </w:r>
      <w:r>
        <w:rPr>
          <w:lang w:val="en-US"/>
        </w:rPr>
        <w:t xml:space="preserve">the </w:t>
      </w:r>
      <w:proofErr w:type="spellStart"/>
      <w:r w:rsidRPr="00062D28">
        <w:rPr>
          <w:lang w:val="en-US"/>
        </w:rPr>
        <w:t>GloVe</w:t>
      </w:r>
      <w:proofErr w:type="spellEnd"/>
      <w:r w:rsidRPr="00062D28">
        <w:rPr>
          <w:lang w:val="en-US"/>
        </w:rPr>
        <w:t xml:space="preserve"> 6B (100d) </w:t>
      </w:r>
      <w:r>
        <w:rPr>
          <w:lang w:val="en-US"/>
        </w:rPr>
        <w:t xml:space="preserve">embeddings were </w:t>
      </w:r>
      <w:r w:rsidRPr="00062D28">
        <w:rPr>
          <w:lang w:val="en-US"/>
        </w:rPr>
        <w:t>used here)</w:t>
      </w:r>
      <w:r>
        <w:t xml:space="preserve">, the </w:t>
      </w:r>
      <w:r w:rsidRPr="00062D28">
        <w:rPr>
          <w:lang w:val="en-US"/>
        </w:rPr>
        <w:t xml:space="preserve">Flesch-Kincaid Grade Level </w:t>
      </w:r>
      <w:r>
        <w:rPr>
          <w:lang w:val="en-US"/>
        </w:rPr>
        <w:t xml:space="preserve">and </w:t>
      </w:r>
      <w:r w:rsidRPr="00062D28">
        <w:t>Coleman-Liau Index</w:t>
      </w:r>
      <w:r w:rsidRPr="00062D28">
        <w:rPr>
          <w:lang w:val="en-US"/>
        </w:rPr>
        <w:t xml:space="preserve"> </w:t>
      </w:r>
      <w:r w:rsidRPr="00062D28">
        <w:rPr>
          <w:lang w:val="en-US"/>
        </w:rPr>
        <w:t xml:space="preserve">to assess </w:t>
      </w:r>
      <w:r w:rsidR="003845B2">
        <w:rPr>
          <w:lang w:val="en-US"/>
        </w:rPr>
        <w:t xml:space="preserve">readability, the </w:t>
      </w:r>
      <w:r w:rsidR="003845B2" w:rsidRPr="00062D28">
        <w:rPr>
          <w:lang w:val="en-US"/>
        </w:rPr>
        <w:t>Automated Readability Index</w:t>
      </w:r>
      <w:r w:rsidR="003845B2">
        <w:rPr>
          <w:lang w:val="en-US"/>
        </w:rPr>
        <w:t>, the number of detected r</w:t>
      </w:r>
      <w:r w:rsidR="003845B2" w:rsidRPr="00062D28">
        <w:rPr>
          <w:lang w:val="en-US"/>
        </w:rPr>
        <w:t>epetitions</w:t>
      </w:r>
      <w:r w:rsidR="003845B2">
        <w:rPr>
          <w:lang w:val="en-US"/>
        </w:rPr>
        <w:t xml:space="preserve"> and finally, filler words.</w:t>
      </w:r>
    </w:p>
    <w:p w14:paraId="5B58A02C" w14:textId="77777777" w:rsidR="003845B2" w:rsidRDefault="003845B2" w:rsidP="003845B2"/>
    <w:p w14:paraId="4F39F918" w14:textId="77777777" w:rsidR="003845B2" w:rsidRDefault="003845B2" w:rsidP="003845B2">
      <w:pPr>
        <w:pStyle w:val="Heading2"/>
      </w:pPr>
      <w:r>
        <w:t>Models</w:t>
      </w:r>
    </w:p>
    <w:p w14:paraId="7E15EB27" w14:textId="77777777" w:rsidR="003845B2" w:rsidRDefault="003845B2" w:rsidP="003845B2">
      <w:r>
        <w:t>Two separate CEFR scoring models were required – a speech-based model, to score audio recordings, and a writing-based model, to score written text.</w:t>
      </w:r>
    </w:p>
    <w:p w14:paraId="2FF469C5" w14:textId="2D9B7C43" w:rsidR="00561FBD" w:rsidRDefault="003845B2" w:rsidP="003845B2">
      <w:r>
        <w:t xml:space="preserve">While the literature review uncovered different approaches to modelling, including variations on regression, there was no consistent approach. In fact, most of the literature dealing with automated scoring dealt only with written texts, and not audio files. It appeared that the regression approaches were the most successful, so this investigation decided to utilize three different types of regression models – Scikit-Learn: </w:t>
      </w:r>
      <w:proofErr w:type="spellStart"/>
      <w:r>
        <w:t>RandomForestRegressor</w:t>
      </w:r>
      <w:proofErr w:type="spellEnd"/>
      <w:r>
        <w:t xml:space="preserve">, Scikit-Learn </w:t>
      </w:r>
      <w:proofErr w:type="spellStart"/>
      <w:r>
        <w:t>GradientBoostingRegressor</w:t>
      </w:r>
      <w:proofErr w:type="spellEnd"/>
      <w:r>
        <w:t xml:space="preserve">, and </w:t>
      </w:r>
      <w:proofErr w:type="spellStart"/>
      <w:r>
        <w:t>XGBoost</w:t>
      </w:r>
      <w:proofErr w:type="spellEnd"/>
      <w:r>
        <w:t xml:space="preserve">. It also decided to implement a classification model using a version of the </w:t>
      </w:r>
      <w:proofErr w:type="spellStart"/>
      <w:r>
        <w:t>BertTokenizer</w:t>
      </w:r>
      <w:proofErr w:type="spellEnd"/>
      <w:r>
        <w:t xml:space="preserve"> Transformer model to attempt to classify a particular text into one of the 6 CEFR classifications.</w:t>
      </w:r>
      <w:r w:rsidR="007436A6">
        <w:t xml:space="preserve"> Once classified, the scores were converted into numbers and evaluated.</w:t>
      </w:r>
    </w:p>
    <w:p w14:paraId="08D801B5" w14:textId="77777777" w:rsidR="003845B2" w:rsidRDefault="003845B2">
      <w:r>
        <w:t xml:space="preserve">These models were coded within Anaconda </w:t>
      </w:r>
      <w:proofErr w:type="spellStart"/>
      <w:r>
        <w:t>Jupyter</w:t>
      </w:r>
      <w:proofErr w:type="spellEnd"/>
      <w:r>
        <w:t xml:space="preserve"> notebooks using Python 3.9. Note: coding started with version 3.11, though </w:t>
      </w:r>
      <w:proofErr w:type="spellStart"/>
      <w:r>
        <w:t>deepspeech</w:t>
      </w:r>
      <w:proofErr w:type="spellEnd"/>
      <w:r>
        <w:t xml:space="preserve"> required version 3.9.</w:t>
      </w:r>
    </w:p>
    <w:p w14:paraId="3A246D42" w14:textId="1AA1F452" w:rsidR="003845B2" w:rsidRDefault="003845B2">
      <w:r>
        <w:t>Prior to ingestion into the models, all data was scaled.</w:t>
      </w:r>
    </w:p>
    <w:p w14:paraId="6FF5FF83" w14:textId="03128576" w:rsidR="003845B2" w:rsidRDefault="003845B2">
      <w:r>
        <w:t xml:space="preserve">The models were optimized using parameter Grid Search, and </w:t>
      </w:r>
      <w:r>
        <w:t xml:space="preserve">the results compared </w:t>
      </w:r>
      <w:r>
        <w:t xml:space="preserve">to find the best of the models. </w:t>
      </w:r>
    </w:p>
    <w:p w14:paraId="4AE36C31" w14:textId="415EE01A" w:rsidR="003845B2" w:rsidRDefault="003845B2">
      <w:r>
        <w:t>The best speech model was then converted into a microservice so that it could be made available for easy testing.</w:t>
      </w:r>
    </w:p>
    <w:p w14:paraId="6CB27630" w14:textId="77777777" w:rsidR="003845B2" w:rsidRDefault="003845B2"/>
    <w:p w14:paraId="1B16A1E7" w14:textId="77777777" w:rsidR="003845B2" w:rsidRDefault="003845B2" w:rsidP="003845B2">
      <w:pPr>
        <w:pStyle w:val="Heading1"/>
      </w:pPr>
      <w:r>
        <w:t>Results</w:t>
      </w:r>
    </w:p>
    <w:p w14:paraId="5E38F4F9" w14:textId="3FD391F5" w:rsidR="003845B2" w:rsidRDefault="003845B2"/>
    <w:p w14:paraId="024F40E0" w14:textId="4CD77B6C" w:rsidR="003057BA" w:rsidRDefault="003057BA">
      <w:r>
        <w:t xml:space="preserve">The speech model returned results almost double as accurate as the writing model. </w:t>
      </w:r>
    </w:p>
    <w:p w14:paraId="46FC964C" w14:textId="18E0E326" w:rsidR="003057BA" w:rsidRDefault="003057BA" w:rsidP="003057BA">
      <w:pPr>
        <w:pStyle w:val="Heading2"/>
      </w:pPr>
      <w:r>
        <w:t>Speech Model</w:t>
      </w:r>
    </w:p>
    <w:tbl>
      <w:tblPr>
        <w:tblStyle w:val="TableGrid"/>
        <w:tblW w:w="0" w:type="auto"/>
        <w:tblLook w:val="04A0" w:firstRow="1" w:lastRow="0" w:firstColumn="1" w:lastColumn="0" w:noHBand="0" w:noVBand="1"/>
      </w:tblPr>
      <w:tblGrid>
        <w:gridCol w:w="3005"/>
        <w:gridCol w:w="3005"/>
        <w:gridCol w:w="3006"/>
      </w:tblGrid>
      <w:tr w:rsidR="00045968" w:rsidRPr="00045968" w14:paraId="58EA624A" w14:textId="77777777" w:rsidTr="00045968">
        <w:tc>
          <w:tcPr>
            <w:tcW w:w="3005" w:type="dxa"/>
          </w:tcPr>
          <w:p w14:paraId="2AE7235E" w14:textId="7785835C" w:rsidR="00045968" w:rsidRPr="00045968" w:rsidRDefault="00045968">
            <w:pPr>
              <w:rPr>
                <w:b/>
                <w:bCs/>
              </w:rPr>
            </w:pPr>
            <w:r w:rsidRPr="00045968">
              <w:rPr>
                <w:b/>
                <w:bCs/>
              </w:rPr>
              <w:t>Model</w:t>
            </w:r>
          </w:p>
        </w:tc>
        <w:tc>
          <w:tcPr>
            <w:tcW w:w="3005" w:type="dxa"/>
          </w:tcPr>
          <w:p w14:paraId="004493F6" w14:textId="24D7F639" w:rsidR="00045968" w:rsidRPr="00045968" w:rsidRDefault="00045968" w:rsidP="00045968">
            <w:pPr>
              <w:jc w:val="center"/>
              <w:rPr>
                <w:b/>
                <w:bCs/>
              </w:rPr>
            </w:pPr>
            <w:r w:rsidRPr="00045968">
              <w:rPr>
                <w:b/>
                <w:bCs/>
              </w:rPr>
              <w:t>RMSE</w:t>
            </w:r>
          </w:p>
        </w:tc>
        <w:tc>
          <w:tcPr>
            <w:tcW w:w="3006" w:type="dxa"/>
          </w:tcPr>
          <w:p w14:paraId="61ECEA6E" w14:textId="4D049891" w:rsidR="00045968" w:rsidRPr="00045968" w:rsidRDefault="00045968" w:rsidP="00045968">
            <w:pPr>
              <w:jc w:val="center"/>
              <w:rPr>
                <w:b/>
                <w:bCs/>
              </w:rPr>
            </w:pPr>
            <w:r w:rsidRPr="00045968">
              <w:rPr>
                <w:b/>
                <w:bCs/>
              </w:rPr>
              <w:t>R²</w:t>
            </w:r>
          </w:p>
        </w:tc>
      </w:tr>
      <w:tr w:rsidR="00045968" w14:paraId="324B66A7" w14:textId="77777777" w:rsidTr="00045968">
        <w:tc>
          <w:tcPr>
            <w:tcW w:w="3005" w:type="dxa"/>
          </w:tcPr>
          <w:p w14:paraId="32C9A16D" w14:textId="1B68B7A3" w:rsidR="00045968" w:rsidRDefault="00045968">
            <w:proofErr w:type="spellStart"/>
            <w:r w:rsidRPr="00045968">
              <w:t>RandomForestRegressor</w:t>
            </w:r>
            <w:proofErr w:type="spellEnd"/>
          </w:p>
        </w:tc>
        <w:tc>
          <w:tcPr>
            <w:tcW w:w="3005" w:type="dxa"/>
          </w:tcPr>
          <w:p w14:paraId="7C42A5B1" w14:textId="459A3D4C" w:rsidR="00045968" w:rsidRDefault="00045968">
            <w:r w:rsidRPr="00045968">
              <w:t>0.6390628421636154</w:t>
            </w:r>
          </w:p>
        </w:tc>
        <w:tc>
          <w:tcPr>
            <w:tcW w:w="3006" w:type="dxa"/>
          </w:tcPr>
          <w:p w14:paraId="23DB6200" w14:textId="157D221E" w:rsidR="00045968" w:rsidRDefault="00045968">
            <w:r w:rsidRPr="00045968">
              <w:t>0.5205851270299446</w:t>
            </w:r>
          </w:p>
        </w:tc>
      </w:tr>
      <w:tr w:rsidR="00045968" w14:paraId="0B555149" w14:textId="77777777" w:rsidTr="00045968">
        <w:tc>
          <w:tcPr>
            <w:tcW w:w="3005" w:type="dxa"/>
          </w:tcPr>
          <w:p w14:paraId="11ADE78B" w14:textId="7215BD58" w:rsidR="00045968" w:rsidRDefault="007436A6">
            <w:proofErr w:type="spellStart"/>
            <w:r w:rsidRPr="007436A6">
              <w:t>GradientBoostingRegressor</w:t>
            </w:r>
            <w:proofErr w:type="spellEnd"/>
          </w:p>
        </w:tc>
        <w:tc>
          <w:tcPr>
            <w:tcW w:w="3005" w:type="dxa"/>
          </w:tcPr>
          <w:p w14:paraId="57986EED" w14:textId="6DAE2EF2" w:rsidR="00045968" w:rsidRDefault="007436A6">
            <w:r w:rsidRPr="007436A6">
              <w:t>0.6164068350131547</w:t>
            </w:r>
          </w:p>
        </w:tc>
        <w:tc>
          <w:tcPr>
            <w:tcW w:w="3006" w:type="dxa"/>
          </w:tcPr>
          <w:p w14:paraId="0DE4531E" w14:textId="130C7084" w:rsidR="00045968" w:rsidRDefault="007436A6">
            <w:r w:rsidRPr="007436A6">
              <w:t>0.5539749388098199</w:t>
            </w:r>
          </w:p>
        </w:tc>
      </w:tr>
      <w:tr w:rsidR="00045968" w14:paraId="481D0A39" w14:textId="77777777" w:rsidTr="00045968">
        <w:tc>
          <w:tcPr>
            <w:tcW w:w="3005" w:type="dxa"/>
          </w:tcPr>
          <w:p w14:paraId="631C1783" w14:textId="7134BD1A" w:rsidR="00045968" w:rsidRDefault="007436A6">
            <w:proofErr w:type="spellStart"/>
            <w:r>
              <w:t>XGBoost</w:t>
            </w:r>
            <w:proofErr w:type="spellEnd"/>
          </w:p>
        </w:tc>
        <w:tc>
          <w:tcPr>
            <w:tcW w:w="3005" w:type="dxa"/>
          </w:tcPr>
          <w:p w14:paraId="47BEED0F" w14:textId="20A9D263" w:rsidR="00045968" w:rsidRDefault="007436A6">
            <w:r w:rsidRPr="007436A6">
              <w:t>0.6015915152550213</w:t>
            </w:r>
          </w:p>
        </w:tc>
        <w:tc>
          <w:tcPr>
            <w:tcW w:w="3006" w:type="dxa"/>
          </w:tcPr>
          <w:p w14:paraId="02992495" w14:textId="31845E74" w:rsidR="00045968" w:rsidRDefault="007436A6">
            <w:r w:rsidRPr="007436A6">
              <w:t>0.5751576770379657</w:t>
            </w:r>
          </w:p>
        </w:tc>
      </w:tr>
      <w:tr w:rsidR="00045968" w14:paraId="2CC5CC3D" w14:textId="77777777" w:rsidTr="00045968">
        <w:tc>
          <w:tcPr>
            <w:tcW w:w="3005" w:type="dxa"/>
          </w:tcPr>
          <w:p w14:paraId="3BC10411" w14:textId="4146E005" w:rsidR="00045968" w:rsidRDefault="007436A6">
            <w:proofErr w:type="spellStart"/>
            <w:r w:rsidRPr="007436A6">
              <w:t>BertForSequenceClassification</w:t>
            </w:r>
            <w:proofErr w:type="spellEnd"/>
          </w:p>
        </w:tc>
        <w:tc>
          <w:tcPr>
            <w:tcW w:w="3005" w:type="dxa"/>
          </w:tcPr>
          <w:p w14:paraId="76C5E374" w14:textId="77777777" w:rsidR="00045968" w:rsidRDefault="00045968"/>
        </w:tc>
        <w:tc>
          <w:tcPr>
            <w:tcW w:w="3006" w:type="dxa"/>
          </w:tcPr>
          <w:p w14:paraId="20B3CCD5" w14:textId="43B2DB70" w:rsidR="00045968" w:rsidRDefault="007436A6">
            <w:r w:rsidRPr="007436A6">
              <w:t>-0.6687352326689657</w:t>
            </w:r>
          </w:p>
        </w:tc>
      </w:tr>
    </w:tbl>
    <w:p w14:paraId="424BAB25" w14:textId="6BE53925" w:rsidR="003057BA" w:rsidRPr="003057BA" w:rsidRDefault="003057BA" w:rsidP="003057BA">
      <w:pPr>
        <w:pStyle w:val="Heading2"/>
        <w:rPr>
          <w:rFonts w:asciiTheme="minorHAnsi" w:eastAsiaTheme="minorHAnsi" w:hAnsiTheme="minorHAnsi" w:cstheme="minorBidi"/>
          <w:color w:val="auto"/>
          <w:sz w:val="22"/>
          <w:szCs w:val="22"/>
        </w:rPr>
      </w:pPr>
      <w:r w:rsidRPr="003057BA">
        <w:rPr>
          <w:rFonts w:asciiTheme="minorHAnsi" w:eastAsiaTheme="minorHAnsi" w:hAnsiTheme="minorHAnsi" w:cstheme="minorBidi"/>
          <w:color w:val="auto"/>
          <w:sz w:val="22"/>
          <w:szCs w:val="22"/>
        </w:rPr>
        <w:lastRenderedPageBreak/>
        <w:t xml:space="preserve">It appears that the </w:t>
      </w:r>
      <w:proofErr w:type="spellStart"/>
      <w:r w:rsidRPr="003057BA">
        <w:rPr>
          <w:rFonts w:asciiTheme="minorHAnsi" w:eastAsiaTheme="minorHAnsi" w:hAnsiTheme="minorHAnsi" w:cstheme="minorBidi"/>
          <w:color w:val="auto"/>
          <w:sz w:val="22"/>
          <w:szCs w:val="22"/>
        </w:rPr>
        <w:t>XGBoost</w:t>
      </w:r>
      <w:proofErr w:type="spellEnd"/>
      <w:r w:rsidRPr="003057BA">
        <w:rPr>
          <w:rFonts w:asciiTheme="minorHAnsi" w:eastAsiaTheme="minorHAnsi" w:hAnsiTheme="minorHAnsi" w:cstheme="minorBidi"/>
          <w:color w:val="auto"/>
          <w:sz w:val="22"/>
          <w:szCs w:val="22"/>
        </w:rPr>
        <w:t xml:space="preserve"> regression model was the most accurate, with the features being able to explain almost 60% of the variance between scores.</w:t>
      </w:r>
    </w:p>
    <w:p w14:paraId="289602A8" w14:textId="5F5A037E" w:rsidR="003057BA" w:rsidRDefault="008D75D0" w:rsidP="003057BA">
      <w:r>
        <w:t xml:space="preserve">The </w:t>
      </w:r>
      <w:proofErr w:type="spellStart"/>
      <w:r w:rsidRPr="007436A6">
        <w:t>BertForSequenceClassification</w:t>
      </w:r>
      <w:proofErr w:type="spellEnd"/>
      <w:r>
        <w:t xml:space="preserve"> model appeared to be the worst performing model, with results being worse than chance.</w:t>
      </w:r>
    </w:p>
    <w:p w14:paraId="5447A355" w14:textId="27CE8269" w:rsidR="008D75D0" w:rsidRDefault="008D75D0" w:rsidP="003057BA">
      <w:r w:rsidRPr="008D75D0">
        <w:drawing>
          <wp:inline distT="0" distB="0" distL="0" distR="0" wp14:anchorId="386DABB8" wp14:editId="52458B33">
            <wp:extent cx="5507182" cy="2735287"/>
            <wp:effectExtent l="0" t="0" r="0" b="8255"/>
            <wp:docPr id="112374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6824" name=""/>
                    <pic:cNvPicPr/>
                  </pic:nvPicPr>
                  <pic:blipFill>
                    <a:blip r:embed="rId6"/>
                    <a:stretch>
                      <a:fillRect/>
                    </a:stretch>
                  </pic:blipFill>
                  <pic:spPr>
                    <a:xfrm>
                      <a:off x="0" y="0"/>
                      <a:ext cx="5510003" cy="2736688"/>
                    </a:xfrm>
                    <a:prstGeom prst="rect">
                      <a:avLst/>
                    </a:prstGeom>
                  </pic:spPr>
                </pic:pic>
              </a:graphicData>
            </a:graphic>
          </wp:inline>
        </w:drawing>
      </w:r>
    </w:p>
    <w:p w14:paraId="1239CD40" w14:textId="57F134EE" w:rsidR="008D75D0" w:rsidRDefault="008D75D0" w:rsidP="003057BA">
      <w:r>
        <w:t xml:space="preserve">The most important features contributing to the speech model appear to be the frequency of pauses, then the Coleman-Liau Index, the automated readability index, the Brunets </w:t>
      </w:r>
      <w:proofErr w:type="gramStart"/>
      <w:r>
        <w:t>index</w:t>
      </w:r>
      <w:proofErr w:type="gramEnd"/>
      <w:r>
        <w:t xml:space="preserve"> and the speech rate.</w:t>
      </w:r>
    </w:p>
    <w:p w14:paraId="6E6DC852" w14:textId="475FD3C3" w:rsidR="00045968" w:rsidRDefault="003057BA" w:rsidP="003057BA">
      <w:pPr>
        <w:pStyle w:val="Heading2"/>
      </w:pPr>
      <w:r>
        <w:t>Writing Model</w:t>
      </w:r>
    </w:p>
    <w:tbl>
      <w:tblPr>
        <w:tblStyle w:val="TableGrid"/>
        <w:tblW w:w="0" w:type="auto"/>
        <w:tblLook w:val="04A0" w:firstRow="1" w:lastRow="0" w:firstColumn="1" w:lastColumn="0" w:noHBand="0" w:noVBand="1"/>
      </w:tblPr>
      <w:tblGrid>
        <w:gridCol w:w="3005"/>
        <w:gridCol w:w="3005"/>
        <w:gridCol w:w="3006"/>
      </w:tblGrid>
      <w:tr w:rsidR="003057BA" w:rsidRPr="00045968" w14:paraId="57F7DD69" w14:textId="77777777" w:rsidTr="00510174">
        <w:tc>
          <w:tcPr>
            <w:tcW w:w="3005" w:type="dxa"/>
          </w:tcPr>
          <w:p w14:paraId="1B4BD0AD" w14:textId="77777777" w:rsidR="003057BA" w:rsidRPr="00045968" w:rsidRDefault="003057BA" w:rsidP="00510174">
            <w:pPr>
              <w:rPr>
                <w:b/>
                <w:bCs/>
              </w:rPr>
            </w:pPr>
            <w:r w:rsidRPr="00045968">
              <w:rPr>
                <w:b/>
                <w:bCs/>
              </w:rPr>
              <w:t>Model</w:t>
            </w:r>
          </w:p>
        </w:tc>
        <w:tc>
          <w:tcPr>
            <w:tcW w:w="3005" w:type="dxa"/>
          </w:tcPr>
          <w:p w14:paraId="469144A1" w14:textId="77777777" w:rsidR="003057BA" w:rsidRPr="00045968" w:rsidRDefault="003057BA" w:rsidP="00510174">
            <w:pPr>
              <w:jc w:val="center"/>
              <w:rPr>
                <w:b/>
                <w:bCs/>
              </w:rPr>
            </w:pPr>
            <w:r w:rsidRPr="00045968">
              <w:rPr>
                <w:b/>
                <w:bCs/>
              </w:rPr>
              <w:t>RMSE</w:t>
            </w:r>
          </w:p>
        </w:tc>
        <w:tc>
          <w:tcPr>
            <w:tcW w:w="3006" w:type="dxa"/>
          </w:tcPr>
          <w:p w14:paraId="4E02AEC7" w14:textId="77777777" w:rsidR="003057BA" w:rsidRPr="00045968" w:rsidRDefault="003057BA" w:rsidP="00510174">
            <w:pPr>
              <w:jc w:val="center"/>
              <w:rPr>
                <w:b/>
                <w:bCs/>
              </w:rPr>
            </w:pPr>
            <w:r w:rsidRPr="00045968">
              <w:rPr>
                <w:b/>
                <w:bCs/>
              </w:rPr>
              <w:t>R²</w:t>
            </w:r>
          </w:p>
        </w:tc>
      </w:tr>
      <w:tr w:rsidR="003057BA" w14:paraId="115A9A36" w14:textId="77777777" w:rsidTr="00510174">
        <w:tc>
          <w:tcPr>
            <w:tcW w:w="3005" w:type="dxa"/>
          </w:tcPr>
          <w:p w14:paraId="5AF5EC2B" w14:textId="77777777" w:rsidR="003057BA" w:rsidRDefault="003057BA" w:rsidP="00510174">
            <w:proofErr w:type="spellStart"/>
            <w:r w:rsidRPr="00045968">
              <w:t>RandomForestRegressor</w:t>
            </w:r>
            <w:proofErr w:type="spellEnd"/>
          </w:p>
        </w:tc>
        <w:tc>
          <w:tcPr>
            <w:tcW w:w="3005" w:type="dxa"/>
          </w:tcPr>
          <w:p w14:paraId="27722476" w14:textId="63BB7493" w:rsidR="003057BA" w:rsidRDefault="003057BA" w:rsidP="00510174">
            <w:r w:rsidRPr="003057BA">
              <w:t>0.8609932446424493</w:t>
            </w:r>
          </w:p>
        </w:tc>
        <w:tc>
          <w:tcPr>
            <w:tcW w:w="3006" w:type="dxa"/>
          </w:tcPr>
          <w:p w14:paraId="60ED797D" w14:textId="5093FFDF" w:rsidR="003057BA" w:rsidRDefault="003057BA" w:rsidP="00510174">
            <w:r w:rsidRPr="003057BA">
              <w:t>0.33890507689812954</w:t>
            </w:r>
          </w:p>
        </w:tc>
      </w:tr>
      <w:tr w:rsidR="003057BA" w14:paraId="24B21E9F" w14:textId="77777777" w:rsidTr="00510174">
        <w:tc>
          <w:tcPr>
            <w:tcW w:w="3005" w:type="dxa"/>
          </w:tcPr>
          <w:p w14:paraId="5BDACF60" w14:textId="77777777" w:rsidR="003057BA" w:rsidRDefault="003057BA" w:rsidP="00510174">
            <w:proofErr w:type="spellStart"/>
            <w:r w:rsidRPr="007436A6">
              <w:t>GradientBoostingRegressor</w:t>
            </w:r>
            <w:proofErr w:type="spellEnd"/>
          </w:p>
        </w:tc>
        <w:tc>
          <w:tcPr>
            <w:tcW w:w="3005" w:type="dxa"/>
          </w:tcPr>
          <w:p w14:paraId="745273D5" w14:textId="78B0E779" w:rsidR="003057BA" w:rsidRDefault="003057BA" w:rsidP="00510174">
            <w:r w:rsidRPr="003057BA">
              <w:t>0.9021420589314153</w:t>
            </w:r>
          </w:p>
        </w:tc>
        <w:tc>
          <w:tcPr>
            <w:tcW w:w="3006" w:type="dxa"/>
          </w:tcPr>
          <w:p w14:paraId="1A32AA0B" w14:textId="2EA31893" w:rsidR="003057BA" w:rsidRDefault="003057BA" w:rsidP="00510174">
            <w:r w:rsidRPr="003057BA">
              <w:t>0.2742046269444769</w:t>
            </w:r>
          </w:p>
        </w:tc>
      </w:tr>
      <w:tr w:rsidR="003057BA" w14:paraId="58CDC0FB" w14:textId="77777777" w:rsidTr="00510174">
        <w:tc>
          <w:tcPr>
            <w:tcW w:w="3005" w:type="dxa"/>
          </w:tcPr>
          <w:p w14:paraId="604D7D32" w14:textId="77777777" w:rsidR="003057BA" w:rsidRDefault="003057BA" w:rsidP="00510174">
            <w:proofErr w:type="spellStart"/>
            <w:r>
              <w:t>XGBoost</w:t>
            </w:r>
            <w:proofErr w:type="spellEnd"/>
          </w:p>
        </w:tc>
        <w:tc>
          <w:tcPr>
            <w:tcW w:w="3005" w:type="dxa"/>
          </w:tcPr>
          <w:p w14:paraId="17C8D34A" w14:textId="08B6D32A" w:rsidR="003057BA" w:rsidRDefault="003057BA" w:rsidP="00510174">
            <w:r w:rsidRPr="003057BA">
              <w:t>0.9145461964224739</w:t>
            </w:r>
          </w:p>
        </w:tc>
        <w:tc>
          <w:tcPr>
            <w:tcW w:w="3006" w:type="dxa"/>
          </w:tcPr>
          <w:p w14:paraId="0E5E757C" w14:textId="7F517973" w:rsidR="003057BA" w:rsidRDefault="003057BA" w:rsidP="00510174">
            <w:r w:rsidRPr="003057BA">
              <w:t>0.25410854865359633</w:t>
            </w:r>
          </w:p>
        </w:tc>
      </w:tr>
    </w:tbl>
    <w:p w14:paraId="3F278AF8" w14:textId="77777777" w:rsidR="008D75D0" w:rsidRDefault="008D75D0"/>
    <w:p w14:paraId="79FC2783" w14:textId="77777777" w:rsidR="008D75D0" w:rsidRDefault="008D75D0">
      <w:r>
        <w:t xml:space="preserve">The writing model appeared to perform much worse than the Speech model, with the </w:t>
      </w:r>
      <w:proofErr w:type="spellStart"/>
      <w:r>
        <w:t>RandomForestRegressor</w:t>
      </w:r>
      <w:proofErr w:type="spellEnd"/>
      <w:r>
        <w:t xml:space="preserve"> model working the best.</w:t>
      </w:r>
    </w:p>
    <w:p w14:paraId="55A64D04" w14:textId="564CBECA" w:rsidR="008D75D0" w:rsidRDefault="00E22774" w:rsidP="008D75D0">
      <w:r w:rsidRPr="00E22774">
        <w:drawing>
          <wp:inline distT="0" distB="0" distL="0" distR="0" wp14:anchorId="59401C87" wp14:editId="2637732C">
            <wp:extent cx="4869873" cy="2525039"/>
            <wp:effectExtent l="0" t="0" r="6985" b="8890"/>
            <wp:docPr id="58150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5837" name=""/>
                    <pic:cNvPicPr/>
                  </pic:nvPicPr>
                  <pic:blipFill>
                    <a:blip r:embed="rId7"/>
                    <a:stretch>
                      <a:fillRect/>
                    </a:stretch>
                  </pic:blipFill>
                  <pic:spPr>
                    <a:xfrm>
                      <a:off x="0" y="0"/>
                      <a:ext cx="4880737" cy="2530672"/>
                    </a:xfrm>
                    <a:prstGeom prst="rect">
                      <a:avLst/>
                    </a:prstGeom>
                  </pic:spPr>
                </pic:pic>
              </a:graphicData>
            </a:graphic>
          </wp:inline>
        </w:drawing>
      </w:r>
    </w:p>
    <w:p w14:paraId="06250B1C" w14:textId="0EBE5FC5" w:rsidR="008D75D0" w:rsidRDefault="008D75D0" w:rsidP="008D75D0">
      <w:r>
        <w:lastRenderedPageBreak/>
        <w:t xml:space="preserve">The most important features contributing to the </w:t>
      </w:r>
      <w:r>
        <w:t>writing</w:t>
      </w:r>
      <w:r>
        <w:t xml:space="preserve"> model appear to be the </w:t>
      </w:r>
      <w:r w:rsidR="00E22774">
        <w:t>Coleman-Liau Index</w:t>
      </w:r>
      <w:r>
        <w:t>,</w:t>
      </w:r>
      <w:r w:rsidR="00E22774">
        <w:t xml:space="preserve"> filler word count, cohesion score and</w:t>
      </w:r>
      <w:r>
        <w:t xml:space="preserve"> the Brunets index and the speech rate.</w:t>
      </w:r>
    </w:p>
    <w:p w14:paraId="6FA96B72" w14:textId="77777777" w:rsidR="008D75D0" w:rsidRDefault="008D75D0"/>
    <w:p w14:paraId="53A93C69" w14:textId="77777777" w:rsidR="008D75D0" w:rsidRDefault="008D75D0"/>
    <w:p w14:paraId="00AFB8FF" w14:textId="77777777" w:rsidR="008D75D0" w:rsidRDefault="008D75D0" w:rsidP="008D75D0">
      <w:pPr>
        <w:pStyle w:val="Heading1"/>
      </w:pPr>
      <w:r>
        <w:t>Discussion</w:t>
      </w:r>
    </w:p>
    <w:p w14:paraId="455D456C" w14:textId="77777777" w:rsidR="008D75D0" w:rsidRDefault="008D75D0">
      <w:r w:rsidRPr="008D75D0">
        <w:t xml:space="preserve">The superior performance of the speech models can be attributed to the richness of acoustic features extracted from audio files, which capture nuances of speech delivery and pronunciation, providing richer information for CEFR assessment. In contrast, written text features may not encapsulate such nuances comprehensively, leading to lower predictive accuracy in the writing model. The poor performance of the </w:t>
      </w:r>
      <w:proofErr w:type="spellStart"/>
      <w:r w:rsidRPr="008D75D0">
        <w:t>BertForSequenceClassification</w:t>
      </w:r>
      <w:proofErr w:type="spellEnd"/>
      <w:r w:rsidRPr="008D75D0">
        <w:t xml:space="preserve"> model suggests that classifying text directly into CEFR levels may be challenging, requiring further exploration or feature engineering.</w:t>
      </w:r>
    </w:p>
    <w:p w14:paraId="127FACAC" w14:textId="37F8BD7A" w:rsidR="008D75D0" w:rsidRDefault="00E22774">
      <w:r w:rsidRPr="00E22774">
        <w:t>The observed differences in the importance of features between the speech and writing models likely stem from the distinct characteristics of spoken and written language, as well as the nature of the features extracted from each modality.</w:t>
      </w:r>
    </w:p>
    <w:p w14:paraId="2D04786A" w14:textId="57247726" w:rsidR="00E22774" w:rsidRDefault="00E22774">
      <w:r w:rsidRPr="00E22774">
        <w:t>In spoken language, pauses play a crucial role in pacing, emphasis, and comprehension. A higher frequency of pauses may indicate hesitations, linguistic complexity, or deliberate pacing, all of which can provide insights into the speaker's fluency, coherence, and overall language proficiency. Additionally, speech rate, which measures the speed of speech delivery, is closely related to pause frequency. These features reflect the dynamic nature of spoken language and its temporal aspects, making them prominent indicators of language proficiency in the speech model.</w:t>
      </w:r>
    </w:p>
    <w:p w14:paraId="5231576A" w14:textId="68C69C6B" w:rsidR="00E22774" w:rsidRDefault="00E22774">
      <w:r w:rsidRPr="00E22774">
        <w:t>Surprisingly, readability indices such as the Coleman-Liau Index and the Automated Readability Index, typically associated with written text, also emerged as important features in the speech model. This unexpected finding may suggest that speakers with higher language proficiency tend to exhibit characteristics of clearer articulation, better organization, and smoother delivery, akin to traits associated with readability in written texts. Therefore, these indices might capture aspects of clarity, coherence, and linguistic complexity in spoken language, contributing significantly to the predictive power of the speech model.</w:t>
      </w:r>
    </w:p>
    <w:p w14:paraId="0D30EA07" w14:textId="23C407E8" w:rsidR="00E22774" w:rsidRDefault="00E22774">
      <w:r w:rsidRPr="00E22774">
        <w:t>Brunet's Index, a measure of lexical diversity, appeared as an important feature in both the speech and writing models. This suggests that vocabulary richness and variation are essential markers of language proficiency across modalities. Speakers and writers with a broader vocabulary repertoire are likely to express themselves more effectively, demonstrating a higher level of linguistic competence and sophistication.</w:t>
      </w:r>
    </w:p>
    <w:p w14:paraId="10938238" w14:textId="3E1A6E18" w:rsidR="00E22774" w:rsidRDefault="00E22774">
      <w:r w:rsidRPr="00E22774">
        <w:t xml:space="preserve">In contrast, features such as filler word count and cohesion score are more salient in the writing model. Filler words, including "um," "uh," and "like," are often indicative of hesitations, lack of fluency, or informal language use, which can detract from the clarity and coherence of written text. Cohesion, on the other hand, reflects the structural organization and flow of ideas within written </w:t>
      </w:r>
      <w:r>
        <w:t>text</w:t>
      </w:r>
      <w:r w:rsidRPr="00E22774">
        <w:t>, capturing how well sentences and paragraphs are interconnected and logically linked. These features are particularly relevant in assessing the coherence and effectiveness of written communication, hence their prominence in the writing model.</w:t>
      </w:r>
    </w:p>
    <w:p w14:paraId="39C73E92" w14:textId="5259F2A3" w:rsidR="00E22774" w:rsidRDefault="00E22774">
      <w:r>
        <w:t xml:space="preserve">It should be acknowledged, however, that although the ChatGPT whisper-1 model performed well, it was noted that it tended to excise many of the filler words from the transcripts. More </w:t>
      </w:r>
      <w:r>
        <w:lastRenderedPageBreak/>
        <w:t xml:space="preserve">experimentation with the hyperparameter settings of this model, especially Temperature, need to be conducted </w:t>
      </w:r>
      <w:proofErr w:type="gramStart"/>
      <w:r>
        <w:t>in order to</w:t>
      </w:r>
      <w:proofErr w:type="gramEnd"/>
      <w:r>
        <w:t xml:space="preserve"> determine if this can be rectified.</w:t>
      </w:r>
    </w:p>
    <w:p w14:paraId="5FC6220F" w14:textId="2D03A2C6" w:rsidR="008D75D0" w:rsidRDefault="008D75D0" w:rsidP="00FE0CC1">
      <w:r w:rsidRPr="008D75D0">
        <w:t xml:space="preserve">Despite the promising results, several limitations should be acknowledged. Firstly, the performance of the models may vary depending on the quality and diversity of the training data. </w:t>
      </w:r>
      <w:r w:rsidR="00E22774">
        <w:t xml:space="preserve">It was felt that more training data was required, especially covering </w:t>
      </w:r>
      <w:r w:rsidR="00FE0CC1">
        <w:t>more diverse</w:t>
      </w:r>
      <w:r w:rsidR="00E22774">
        <w:t xml:space="preserve"> voices from different parts of the world. </w:t>
      </w:r>
      <w:r w:rsidR="00FE0CC1">
        <w:t xml:space="preserve">Also, not enough time was spend exploring other model architectures, especially deep learning variants which were mentioned occasionally in the literature. </w:t>
      </w:r>
      <w:r w:rsidRPr="008D75D0">
        <w:t>Future research could explore incorporating additional features</w:t>
      </w:r>
      <w:r w:rsidR="00FE0CC1">
        <w:t>, especially those associated with written text, as this model had much lower performance.</w:t>
      </w:r>
      <w:r w:rsidRPr="008D75D0">
        <w:t xml:space="preserve"> Additionally, investigating interpretability techniques to understand the factors influencing CEFR predictions could enhance the practical utility of the developed models in educational and assessment contexts.</w:t>
      </w:r>
    </w:p>
    <w:p w14:paraId="1BC0C055" w14:textId="77777777" w:rsidR="008D75D0" w:rsidRDefault="008D75D0" w:rsidP="008D75D0">
      <w:pPr>
        <w:pStyle w:val="Heading1"/>
      </w:pPr>
      <w:r>
        <w:t>Conclusion</w:t>
      </w:r>
    </w:p>
    <w:p w14:paraId="7B13F30A" w14:textId="40103150" w:rsidR="003057BA" w:rsidRDefault="008D75D0">
      <w:pPr>
        <w:rPr>
          <w:rFonts w:asciiTheme="majorHAnsi" w:eastAsiaTheme="majorEastAsia" w:hAnsiTheme="majorHAnsi" w:cstheme="majorBidi"/>
          <w:color w:val="2F5496" w:themeColor="accent1" w:themeShade="BF"/>
          <w:sz w:val="32"/>
          <w:szCs w:val="32"/>
        </w:rPr>
      </w:pPr>
      <w:r w:rsidRPr="008D75D0">
        <w:t>In conclusion, this study demonstrated the feasibility of utilizing machine learning models for assessing language proficiency using both speech and written text data. The findings underscore the importance of feature selection and model choice in achieving accurate predictions, with speech-based models exhibiting superior performance over writing-based models. Moving forward, continued research in this domain could facilitate the development of robust and reliable language assessment tools with broader applicability and effectiveness.</w:t>
      </w:r>
      <w:r w:rsidR="003057BA">
        <w:br w:type="page"/>
      </w:r>
    </w:p>
    <w:p w14:paraId="2F6E84D7" w14:textId="211D4605" w:rsidR="00561FBD" w:rsidRDefault="00561FBD" w:rsidP="003845B2">
      <w:pPr>
        <w:pStyle w:val="Heading1"/>
      </w:pPr>
      <w:r>
        <w:lastRenderedPageBreak/>
        <w:t>References</w:t>
      </w:r>
    </w:p>
    <w:p w14:paraId="109A4CB9" w14:textId="6B626817" w:rsidR="00561FBD" w:rsidRDefault="00561FBD" w:rsidP="009B77B7">
      <w:r w:rsidRPr="00561FBD">
        <w:t xml:space="preserve">Dalen, </w:t>
      </w:r>
      <w:proofErr w:type="spellStart"/>
      <w:r w:rsidRPr="00561FBD">
        <w:t>R.C.v.</w:t>
      </w:r>
      <w:proofErr w:type="spellEnd"/>
      <w:r w:rsidRPr="00561FBD">
        <w:t>, Knill, K.M., Gales, M.J.F. (2015) Automatically grading learners’ English using a Gaussian process. Proc. Speech and Language Technology in Education (</w:t>
      </w:r>
      <w:proofErr w:type="spellStart"/>
      <w:r w:rsidRPr="00561FBD">
        <w:t>SLaTE</w:t>
      </w:r>
      <w:proofErr w:type="spellEnd"/>
      <w:r w:rsidRPr="00561FBD">
        <w:t xml:space="preserve"> 2015), 7-12, </w:t>
      </w:r>
      <w:proofErr w:type="spellStart"/>
      <w:r w:rsidRPr="00561FBD">
        <w:t>doi</w:t>
      </w:r>
      <w:proofErr w:type="spellEnd"/>
      <w:r w:rsidRPr="00561FBD">
        <w:t>: 10.21437/SLaTE.2015-2</w:t>
      </w:r>
    </w:p>
    <w:p w14:paraId="204271B2" w14:textId="52928655" w:rsidR="00561FBD" w:rsidRDefault="000B3E47" w:rsidP="009B77B7">
      <w:r>
        <w:t>Isaacs, T. (2018). Fully automated speaking assessment: Changes to proficiency testing and the role of pronunciation. In O. Kang, R. I. Thomson, &amp; J. Murphy (Eds.), The Routledge handbook of contemporary English pronunciation (pp. 570–584). Abingdon, UK: Routledge</w:t>
      </w:r>
    </w:p>
    <w:p w14:paraId="51A78089" w14:textId="1064D6B9" w:rsidR="00561FBD" w:rsidRDefault="006C4601" w:rsidP="009B77B7">
      <w:proofErr w:type="spellStart"/>
      <w:r w:rsidRPr="006C4601">
        <w:t>Gaillat</w:t>
      </w:r>
      <w:proofErr w:type="spellEnd"/>
      <w:r w:rsidRPr="006C4601">
        <w:t xml:space="preserve">, Thomas &amp; Simpkin, Andrew &amp; Ballier, Nicolas &amp; Stearns, Bernardo &amp; Sousa, </w:t>
      </w:r>
      <w:proofErr w:type="spellStart"/>
      <w:r w:rsidRPr="006C4601">
        <w:t>Annanda</w:t>
      </w:r>
      <w:proofErr w:type="spellEnd"/>
      <w:r w:rsidRPr="006C4601">
        <w:t xml:space="preserve"> &amp; </w:t>
      </w:r>
      <w:proofErr w:type="spellStart"/>
      <w:r w:rsidRPr="006C4601">
        <w:t>Bouyé</w:t>
      </w:r>
      <w:proofErr w:type="spellEnd"/>
      <w:r w:rsidRPr="006C4601">
        <w:t xml:space="preserve">, Manon &amp; </w:t>
      </w:r>
      <w:proofErr w:type="spellStart"/>
      <w:r w:rsidRPr="006C4601">
        <w:t>Zarrouk</w:t>
      </w:r>
      <w:proofErr w:type="spellEnd"/>
      <w:r w:rsidRPr="006C4601">
        <w:t xml:space="preserve">, Manel. (2021). Predicting CEFR levels in learners of English: The use of microsystem </w:t>
      </w:r>
      <w:proofErr w:type="gramStart"/>
      <w:r w:rsidRPr="006C4601">
        <w:t>criterial</w:t>
      </w:r>
      <w:proofErr w:type="gramEnd"/>
      <w:r w:rsidRPr="006C4601">
        <w:t xml:space="preserve"> features in a machine learning approach. </w:t>
      </w:r>
      <w:proofErr w:type="spellStart"/>
      <w:r w:rsidRPr="006C4601">
        <w:t>ReCALL</w:t>
      </w:r>
      <w:proofErr w:type="spellEnd"/>
      <w:r w:rsidRPr="006C4601">
        <w:t>. 34. 1-17. 10.1017/S095834402100029X.</w:t>
      </w:r>
    </w:p>
    <w:p w14:paraId="0272F607" w14:textId="1AF76AE1" w:rsidR="00C55EE2" w:rsidRDefault="00C55EE2" w:rsidP="009B77B7">
      <w:r w:rsidRPr="0093122E">
        <w:t>Settles, B., T. LaFlair, G. and Hagiwara, M., 2020. Machine learning–driven language assessment. </w:t>
      </w:r>
      <w:r w:rsidRPr="0093122E">
        <w:rPr>
          <w:i/>
          <w:iCs/>
        </w:rPr>
        <w:t>Transactions of the Association for computational Linguistics</w:t>
      </w:r>
      <w:r w:rsidRPr="0093122E">
        <w:t>, 8, pp.247-263.</w:t>
      </w:r>
    </w:p>
    <w:p w14:paraId="32CA5708" w14:textId="77777777" w:rsidR="00561FBD" w:rsidRDefault="00561FBD" w:rsidP="009B77B7"/>
    <w:p w14:paraId="228FE397" w14:textId="77777777" w:rsidR="00561FBD" w:rsidRDefault="00561FBD" w:rsidP="009B77B7"/>
    <w:p w14:paraId="745E1ADA" w14:textId="77777777" w:rsidR="00561FBD" w:rsidRDefault="00561FBD" w:rsidP="009B77B7"/>
    <w:p w14:paraId="29C6F2B1" w14:textId="77777777" w:rsidR="00561FBD" w:rsidRDefault="00561FBD" w:rsidP="009B77B7"/>
    <w:p w14:paraId="5984007B" w14:textId="77777777" w:rsidR="00162A23" w:rsidRDefault="00162A23" w:rsidP="009B77B7"/>
    <w:p w14:paraId="5913BC77" w14:textId="77777777" w:rsidR="00162A23" w:rsidRDefault="00162A23">
      <w:pPr>
        <w:rPr>
          <w:rFonts w:asciiTheme="majorHAnsi" w:eastAsiaTheme="majorEastAsia" w:hAnsiTheme="majorHAnsi" w:cstheme="majorBidi"/>
          <w:color w:val="2F5496" w:themeColor="accent1" w:themeShade="BF"/>
          <w:sz w:val="32"/>
          <w:szCs w:val="32"/>
        </w:rPr>
      </w:pPr>
      <w:r>
        <w:br w:type="page"/>
      </w:r>
    </w:p>
    <w:p w14:paraId="5ACBA092" w14:textId="383EB788" w:rsidR="00162A23" w:rsidRDefault="00162A23" w:rsidP="00162A23">
      <w:pPr>
        <w:pStyle w:val="Heading1"/>
      </w:pPr>
      <w:r>
        <w:lastRenderedPageBreak/>
        <w:t>Appendices</w:t>
      </w:r>
    </w:p>
    <w:p w14:paraId="7B6114ED" w14:textId="77777777" w:rsidR="00162A23" w:rsidRDefault="00162A23" w:rsidP="009B77B7"/>
    <w:p w14:paraId="28218EB7" w14:textId="750373B7" w:rsidR="00162A23" w:rsidRDefault="00162A23" w:rsidP="00162A23">
      <w:pPr>
        <w:pStyle w:val="Heading2"/>
      </w:pPr>
      <w:bookmarkStart w:id="0" w:name="_Ref159106781"/>
      <w:r>
        <w:t xml:space="preserve">Appendix A: </w:t>
      </w:r>
      <w:r w:rsidRPr="00162A23">
        <w:t>Global scale - Table 1 (CEFR 3.3): Common Reference levels</w:t>
      </w:r>
      <w:bookmarkEnd w:id="0"/>
    </w:p>
    <w:tbl>
      <w:tblPr>
        <w:tblW w:w="9639" w:type="dxa"/>
        <w:tblInd w:w="-6" w:type="dxa"/>
        <w:tblBorders>
          <w:top w:val="outset" w:sz="6" w:space="0" w:color="auto"/>
          <w:left w:val="outset" w:sz="6" w:space="0" w:color="auto"/>
          <w:bottom w:val="outset" w:sz="6" w:space="0" w:color="auto"/>
          <w:right w:val="outset" w:sz="6" w:space="0" w:color="auto"/>
        </w:tblBorders>
        <w:shd w:val="clear" w:color="auto" w:fill="F8F8F8"/>
        <w:tblCellMar>
          <w:top w:w="12" w:type="dxa"/>
          <w:left w:w="12" w:type="dxa"/>
          <w:bottom w:w="12" w:type="dxa"/>
          <w:right w:w="12" w:type="dxa"/>
        </w:tblCellMar>
        <w:tblLook w:val="04A0" w:firstRow="1" w:lastRow="0" w:firstColumn="1" w:lastColumn="0" w:noHBand="0" w:noVBand="1"/>
      </w:tblPr>
      <w:tblGrid>
        <w:gridCol w:w="1560"/>
        <w:gridCol w:w="617"/>
        <w:gridCol w:w="7462"/>
      </w:tblGrid>
      <w:tr w:rsidR="00162A23" w:rsidRPr="00162A23" w14:paraId="2D94F0B9" w14:textId="77777777" w:rsidTr="00162A23">
        <w:trPr>
          <w:trHeight w:val="1185"/>
        </w:trPr>
        <w:tc>
          <w:tcPr>
            <w:tcW w:w="1560" w:type="dxa"/>
            <w:vMerge w:val="restart"/>
            <w:tcBorders>
              <w:top w:val="outset" w:sz="6" w:space="0" w:color="auto"/>
              <w:left w:val="outset" w:sz="6" w:space="0" w:color="auto"/>
              <w:bottom w:val="outset" w:sz="6" w:space="0" w:color="auto"/>
              <w:right w:val="outset" w:sz="6" w:space="0" w:color="auto"/>
            </w:tcBorders>
            <w:shd w:val="clear" w:color="auto" w:fill="DDDDDD"/>
            <w:tcMar>
              <w:top w:w="168" w:type="dxa"/>
              <w:left w:w="168" w:type="dxa"/>
              <w:bottom w:w="168" w:type="dxa"/>
              <w:right w:w="168" w:type="dxa"/>
            </w:tcMar>
            <w:vAlign w:val="center"/>
            <w:hideMark/>
          </w:tcPr>
          <w:p w14:paraId="27CA7B49" w14:textId="77777777" w:rsidR="00162A23" w:rsidRPr="00162A23" w:rsidRDefault="00162A23" w:rsidP="00162A23">
            <w:pPr>
              <w:spacing w:after="0" w:line="240" w:lineRule="auto"/>
              <w:jc w:val="center"/>
              <w:rPr>
                <w:rFonts w:eastAsia="Times New Roman" w:cstheme="minorHAnsi"/>
                <w:color w:val="161616"/>
                <w:kern w:val="0"/>
                <w:sz w:val="20"/>
                <w:szCs w:val="20"/>
                <w:lang w:eastAsia="en-AU"/>
                <w14:ligatures w14:val="none"/>
              </w:rPr>
            </w:pPr>
            <w:r w:rsidRPr="00162A23">
              <w:rPr>
                <w:rFonts w:eastAsia="Times New Roman" w:cstheme="minorHAnsi"/>
                <w:b/>
                <w:bCs/>
                <w:color w:val="161616"/>
                <w:kern w:val="0"/>
                <w:sz w:val="20"/>
                <w:szCs w:val="20"/>
                <w:lang w:eastAsia="en-AU"/>
                <w14:ligatures w14:val="none"/>
              </w:rPr>
              <w:t>PROFICIENT USER</w:t>
            </w: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1DE86462"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C2</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775FB44D"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 xml:space="preserve">Can understand with ease virtually everything heard or read. Can summarise information from different spoken and written sources, reconstructing </w:t>
            </w:r>
            <w:proofErr w:type="gramStart"/>
            <w:r w:rsidRPr="00162A23">
              <w:rPr>
                <w:rFonts w:eastAsia="Times New Roman" w:cstheme="minorHAnsi"/>
                <w:color w:val="161616"/>
                <w:kern w:val="0"/>
                <w:sz w:val="20"/>
                <w:szCs w:val="20"/>
                <w:lang w:eastAsia="en-AU"/>
                <w14:ligatures w14:val="none"/>
              </w:rPr>
              <w:t>arguments</w:t>
            </w:r>
            <w:proofErr w:type="gramEnd"/>
            <w:r w:rsidRPr="00162A23">
              <w:rPr>
                <w:rFonts w:eastAsia="Times New Roman" w:cstheme="minorHAnsi"/>
                <w:color w:val="161616"/>
                <w:kern w:val="0"/>
                <w:sz w:val="20"/>
                <w:szCs w:val="20"/>
                <w:lang w:eastAsia="en-AU"/>
                <w14:ligatures w14:val="none"/>
              </w:rPr>
              <w:t xml:space="preserve"> and accounts in a coherent presentation. Can express him/herself spontaneously, very fluently and precisely, differentiating finer shades of meaning even in more complex situations.</w:t>
            </w:r>
          </w:p>
        </w:tc>
      </w:tr>
      <w:tr w:rsidR="00162A23" w:rsidRPr="00162A23" w14:paraId="3B87C72F" w14:textId="77777777" w:rsidTr="00162A23">
        <w:trPr>
          <w:trHeight w:val="146"/>
        </w:trPr>
        <w:tc>
          <w:tcPr>
            <w:tcW w:w="1560" w:type="dxa"/>
            <w:vMerge/>
            <w:tcBorders>
              <w:top w:val="outset" w:sz="6" w:space="0" w:color="auto"/>
              <w:left w:val="outset" w:sz="6" w:space="0" w:color="auto"/>
              <w:bottom w:val="outset" w:sz="6" w:space="0" w:color="auto"/>
              <w:right w:val="outset" w:sz="6" w:space="0" w:color="auto"/>
            </w:tcBorders>
            <w:shd w:val="clear" w:color="auto" w:fill="F8F8F8"/>
            <w:vAlign w:val="center"/>
            <w:hideMark/>
          </w:tcPr>
          <w:p w14:paraId="45E3C1B3"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4D8AB75C"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C1</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5DA91B43"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 xml:space="preserve">Can understand a wide range of demanding, longer texts, and recognise implicit meaning. Can express him/herself fluently and spontaneously without much obvious searching for expressions. Can use language flexibly and effectively for social, </w:t>
            </w:r>
            <w:proofErr w:type="gramStart"/>
            <w:r w:rsidRPr="00162A23">
              <w:rPr>
                <w:rFonts w:eastAsia="Times New Roman" w:cstheme="minorHAnsi"/>
                <w:color w:val="161616"/>
                <w:kern w:val="0"/>
                <w:sz w:val="20"/>
                <w:szCs w:val="20"/>
                <w:lang w:eastAsia="en-AU"/>
                <w14:ligatures w14:val="none"/>
              </w:rPr>
              <w:t>academic</w:t>
            </w:r>
            <w:proofErr w:type="gramEnd"/>
            <w:r w:rsidRPr="00162A23">
              <w:rPr>
                <w:rFonts w:eastAsia="Times New Roman" w:cstheme="minorHAnsi"/>
                <w:color w:val="161616"/>
                <w:kern w:val="0"/>
                <w:sz w:val="20"/>
                <w:szCs w:val="20"/>
                <w:lang w:eastAsia="en-AU"/>
                <w14:ligatures w14:val="none"/>
              </w:rPr>
              <w:t xml:space="preserve"> and professional purposes. Can produce clear, well-structured, detailed text on complex subjects, showing controlled use of organisational patterns, </w:t>
            </w:r>
            <w:proofErr w:type="gramStart"/>
            <w:r w:rsidRPr="00162A23">
              <w:rPr>
                <w:rFonts w:eastAsia="Times New Roman" w:cstheme="minorHAnsi"/>
                <w:color w:val="161616"/>
                <w:kern w:val="0"/>
                <w:sz w:val="20"/>
                <w:szCs w:val="20"/>
                <w:lang w:eastAsia="en-AU"/>
                <w14:ligatures w14:val="none"/>
              </w:rPr>
              <w:t>connectors</w:t>
            </w:r>
            <w:proofErr w:type="gramEnd"/>
            <w:r w:rsidRPr="00162A23">
              <w:rPr>
                <w:rFonts w:eastAsia="Times New Roman" w:cstheme="minorHAnsi"/>
                <w:color w:val="161616"/>
                <w:kern w:val="0"/>
                <w:sz w:val="20"/>
                <w:szCs w:val="20"/>
                <w:lang w:eastAsia="en-AU"/>
                <w14:ligatures w14:val="none"/>
              </w:rPr>
              <w:t xml:space="preserve"> and cohesive devices.</w:t>
            </w:r>
          </w:p>
        </w:tc>
      </w:tr>
      <w:tr w:rsidR="00162A23" w:rsidRPr="00162A23" w14:paraId="09B5B8C7" w14:textId="77777777" w:rsidTr="00162A23">
        <w:trPr>
          <w:trHeight w:val="1515"/>
        </w:trPr>
        <w:tc>
          <w:tcPr>
            <w:tcW w:w="1560" w:type="dxa"/>
            <w:vMerge w:val="restart"/>
            <w:tcBorders>
              <w:top w:val="outset" w:sz="6" w:space="0" w:color="auto"/>
              <w:left w:val="outset" w:sz="6" w:space="0" w:color="auto"/>
              <w:bottom w:val="outset" w:sz="6" w:space="0" w:color="auto"/>
              <w:right w:val="outset" w:sz="6" w:space="0" w:color="auto"/>
            </w:tcBorders>
            <w:shd w:val="clear" w:color="auto" w:fill="DDDDDD"/>
            <w:tcMar>
              <w:top w:w="168" w:type="dxa"/>
              <w:left w:w="168" w:type="dxa"/>
              <w:bottom w:w="168" w:type="dxa"/>
              <w:right w:w="168" w:type="dxa"/>
            </w:tcMar>
            <w:vAlign w:val="center"/>
            <w:hideMark/>
          </w:tcPr>
          <w:p w14:paraId="62F13ADA" w14:textId="77777777" w:rsidR="00162A23" w:rsidRPr="00162A23" w:rsidRDefault="00162A23" w:rsidP="00162A23">
            <w:pPr>
              <w:spacing w:after="0" w:line="240" w:lineRule="auto"/>
              <w:jc w:val="center"/>
              <w:rPr>
                <w:rFonts w:eastAsia="Times New Roman" w:cstheme="minorHAnsi"/>
                <w:color w:val="161616"/>
                <w:kern w:val="0"/>
                <w:sz w:val="20"/>
                <w:szCs w:val="20"/>
                <w:lang w:eastAsia="en-AU"/>
                <w14:ligatures w14:val="none"/>
              </w:rPr>
            </w:pPr>
            <w:r w:rsidRPr="00162A23">
              <w:rPr>
                <w:rFonts w:eastAsia="Times New Roman" w:cstheme="minorHAnsi"/>
                <w:b/>
                <w:bCs/>
                <w:color w:val="161616"/>
                <w:kern w:val="0"/>
                <w:sz w:val="20"/>
                <w:szCs w:val="20"/>
                <w:lang w:eastAsia="en-AU"/>
                <w14:ligatures w14:val="none"/>
              </w:rPr>
              <w:t>INDEPENDENT USER</w:t>
            </w: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5B6BA2CC"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B2</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4B5151A3"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r w:rsidR="00162A23" w:rsidRPr="00162A23" w14:paraId="2372F060" w14:textId="77777777" w:rsidTr="00162A23">
        <w:trPr>
          <w:trHeight w:val="146"/>
        </w:trPr>
        <w:tc>
          <w:tcPr>
            <w:tcW w:w="1560" w:type="dxa"/>
            <w:vMerge/>
            <w:tcBorders>
              <w:top w:val="outset" w:sz="6" w:space="0" w:color="auto"/>
              <w:left w:val="outset" w:sz="6" w:space="0" w:color="auto"/>
              <w:bottom w:val="outset" w:sz="6" w:space="0" w:color="auto"/>
              <w:right w:val="outset" w:sz="6" w:space="0" w:color="auto"/>
            </w:tcBorders>
            <w:shd w:val="clear" w:color="auto" w:fill="F8F8F8"/>
            <w:vAlign w:val="center"/>
            <w:hideMark/>
          </w:tcPr>
          <w:p w14:paraId="1B7E669D"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5B3350FA"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B1</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5AB66CA6"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162A23" w:rsidRPr="00162A23" w14:paraId="22F75E7F" w14:textId="77777777" w:rsidTr="00162A23">
        <w:trPr>
          <w:trHeight w:val="1515"/>
        </w:trPr>
        <w:tc>
          <w:tcPr>
            <w:tcW w:w="1560" w:type="dxa"/>
            <w:vMerge w:val="restart"/>
            <w:tcBorders>
              <w:top w:val="outset" w:sz="6" w:space="0" w:color="auto"/>
              <w:left w:val="outset" w:sz="6" w:space="0" w:color="auto"/>
              <w:bottom w:val="outset" w:sz="6" w:space="0" w:color="auto"/>
              <w:right w:val="outset" w:sz="6" w:space="0" w:color="auto"/>
            </w:tcBorders>
            <w:shd w:val="clear" w:color="auto" w:fill="DDDDDD"/>
            <w:tcMar>
              <w:top w:w="168" w:type="dxa"/>
              <w:left w:w="168" w:type="dxa"/>
              <w:bottom w:w="168" w:type="dxa"/>
              <w:right w:w="168" w:type="dxa"/>
            </w:tcMar>
            <w:vAlign w:val="center"/>
            <w:hideMark/>
          </w:tcPr>
          <w:p w14:paraId="0B7C6513" w14:textId="77777777" w:rsidR="00162A23" w:rsidRPr="00162A23" w:rsidRDefault="00162A23" w:rsidP="00162A23">
            <w:pPr>
              <w:spacing w:after="0" w:line="240" w:lineRule="auto"/>
              <w:jc w:val="center"/>
              <w:rPr>
                <w:rFonts w:eastAsia="Times New Roman" w:cstheme="minorHAnsi"/>
                <w:color w:val="161616"/>
                <w:kern w:val="0"/>
                <w:sz w:val="20"/>
                <w:szCs w:val="20"/>
                <w:lang w:eastAsia="en-AU"/>
                <w14:ligatures w14:val="none"/>
              </w:rPr>
            </w:pPr>
            <w:r w:rsidRPr="00162A23">
              <w:rPr>
                <w:rFonts w:eastAsia="Times New Roman" w:cstheme="minorHAnsi"/>
                <w:b/>
                <w:bCs/>
                <w:color w:val="161616"/>
                <w:kern w:val="0"/>
                <w:sz w:val="20"/>
                <w:szCs w:val="20"/>
                <w:lang w:eastAsia="en-AU"/>
                <w14:ligatures w14:val="none"/>
              </w:rPr>
              <w:t>BASIC</w:t>
            </w:r>
            <w:r w:rsidRPr="00162A23">
              <w:rPr>
                <w:rFonts w:eastAsia="Times New Roman" w:cstheme="minorHAnsi"/>
                <w:b/>
                <w:bCs/>
                <w:color w:val="161616"/>
                <w:kern w:val="0"/>
                <w:sz w:val="20"/>
                <w:szCs w:val="20"/>
                <w:lang w:eastAsia="en-AU"/>
                <w14:ligatures w14:val="none"/>
              </w:rPr>
              <w:br/>
              <w:t>USER</w:t>
            </w: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3E3E4758"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A2</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7643D2B5"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r w:rsidR="00162A23" w:rsidRPr="00162A23" w14:paraId="798B4BAA" w14:textId="77777777" w:rsidTr="00162A23">
        <w:trPr>
          <w:trHeight w:val="146"/>
        </w:trPr>
        <w:tc>
          <w:tcPr>
            <w:tcW w:w="1560" w:type="dxa"/>
            <w:vMerge/>
            <w:tcBorders>
              <w:top w:val="outset" w:sz="6" w:space="0" w:color="auto"/>
              <w:left w:val="outset" w:sz="6" w:space="0" w:color="auto"/>
              <w:bottom w:val="outset" w:sz="6" w:space="0" w:color="auto"/>
              <w:right w:val="outset" w:sz="6" w:space="0" w:color="auto"/>
            </w:tcBorders>
            <w:shd w:val="clear" w:color="auto" w:fill="F8F8F8"/>
            <w:vAlign w:val="center"/>
            <w:hideMark/>
          </w:tcPr>
          <w:p w14:paraId="06F0E19E"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p>
        </w:tc>
        <w:tc>
          <w:tcPr>
            <w:tcW w:w="617"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620C15B5" w14:textId="77777777" w:rsidR="00162A23" w:rsidRPr="00162A23" w:rsidRDefault="00162A23" w:rsidP="00162A23">
            <w:pPr>
              <w:spacing w:after="0" w:line="240" w:lineRule="auto"/>
              <w:rPr>
                <w:rFonts w:ascii="Open Sans" w:eastAsia="Times New Roman" w:hAnsi="Open Sans" w:cs="Open Sans"/>
                <w:color w:val="161616"/>
                <w:kern w:val="0"/>
                <w:sz w:val="23"/>
                <w:szCs w:val="23"/>
                <w:lang w:eastAsia="en-AU"/>
                <w14:ligatures w14:val="none"/>
              </w:rPr>
            </w:pPr>
            <w:r w:rsidRPr="00162A23">
              <w:rPr>
                <w:rFonts w:ascii="Open Sans" w:eastAsia="Times New Roman" w:hAnsi="Open Sans" w:cs="Open Sans"/>
                <w:color w:val="161616"/>
                <w:kern w:val="0"/>
                <w:sz w:val="23"/>
                <w:szCs w:val="23"/>
                <w:lang w:eastAsia="en-AU"/>
                <w14:ligatures w14:val="none"/>
              </w:rPr>
              <w:t>A1</w:t>
            </w:r>
          </w:p>
        </w:tc>
        <w:tc>
          <w:tcPr>
            <w:tcW w:w="7462" w:type="dxa"/>
            <w:tcBorders>
              <w:top w:val="outset" w:sz="6" w:space="0" w:color="auto"/>
              <w:left w:val="outset" w:sz="6" w:space="0" w:color="auto"/>
              <w:bottom w:val="outset" w:sz="6" w:space="0" w:color="auto"/>
              <w:right w:val="outset" w:sz="6" w:space="0" w:color="auto"/>
            </w:tcBorders>
            <w:shd w:val="clear" w:color="auto" w:fill="F8F8F8"/>
            <w:tcMar>
              <w:top w:w="168" w:type="dxa"/>
              <w:left w:w="168" w:type="dxa"/>
              <w:bottom w:w="168" w:type="dxa"/>
              <w:right w:w="168" w:type="dxa"/>
            </w:tcMar>
            <w:vAlign w:val="center"/>
            <w:hideMark/>
          </w:tcPr>
          <w:p w14:paraId="04A99A26" w14:textId="77777777" w:rsidR="00162A23" w:rsidRPr="00162A23" w:rsidRDefault="00162A23" w:rsidP="00162A23">
            <w:pPr>
              <w:spacing w:after="0" w:line="240" w:lineRule="auto"/>
              <w:rPr>
                <w:rFonts w:eastAsia="Times New Roman" w:cstheme="minorHAnsi"/>
                <w:color w:val="161616"/>
                <w:kern w:val="0"/>
                <w:sz w:val="20"/>
                <w:szCs w:val="20"/>
                <w:lang w:eastAsia="en-AU"/>
                <w14:ligatures w14:val="none"/>
              </w:rPr>
            </w:pPr>
            <w:r w:rsidRPr="00162A23">
              <w:rPr>
                <w:rFonts w:eastAsia="Times New Roman" w:cstheme="minorHAnsi"/>
                <w:color w:val="161616"/>
                <w:kern w:val="0"/>
                <w:sz w:val="20"/>
                <w:szCs w:val="20"/>
                <w:lang w:eastAsia="en-AU"/>
                <w14:ligatures w14:val="none"/>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bl>
    <w:p w14:paraId="4D970C63" w14:textId="7311740A" w:rsidR="00BA4645" w:rsidRPr="00162A23" w:rsidRDefault="00162A23" w:rsidP="00BA4645">
      <w:pPr>
        <w:shd w:val="clear" w:color="auto" w:fill="F8F8F8"/>
        <w:spacing w:after="150" w:line="360" w:lineRule="atLeast"/>
        <w:rPr>
          <w:rFonts w:ascii="Open Sans" w:eastAsia="Times New Roman" w:hAnsi="Open Sans" w:cs="Open Sans"/>
          <w:i/>
          <w:iCs/>
          <w:color w:val="161616"/>
          <w:kern w:val="0"/>
          <w:sz w:val="16"/>
          <w:szCs w:val="16"/>
          <w:lang w:eastAsia="en-AU"/>
          <w14:ligatures w14:val="none"/>
        </w:rPr>
      </w:pPr>
      <w:r w:rsidRPr="00BA4645">
        <w:rPr>
          <w:rFonts w:ascii="Open Sans" w:eastAsia="Times New Roman" w:hAnsi="Open Sans" w:cs="Open Sans"/>
          <w:i/>
          <w:iCs/>
          <w:color w:val="161616"/>
          <w:kern w:val="0"/>
          <w:sz w:val="16"/>
          <w:szCs w:val="16"/>
          <w:lang w:eastAsia="en-AU"/>
          <w14:ligatures w14:val="none"/>
        </w:rPr>
        <w:t xml:space="preserve">From the Council of Europe website: </w:t>
      </w:r>
      <w:hyperlink r:id="rId8" w:history="1">
        <w:r w:rsidR="00BA4645" w:rsidRPr="004507FB">
          <w:rPr>
            <w:rStyle w:val="Hyperlink"/>
            <w:rFonts w:ascii="Open Sans" w:eastAsia="Times New Roman" w:hAnsi="Open Sans" w:cs="Open Sans"/>
            <w:i/>
            <w:iCs/>
            <w:kern w:val="0"/>
            <w:sz w:val="16"/>
            <w:szCs w:val="16"/>
            <w:lang w:eastAsia="en-AU"/>
            <w14:ligatures w14:val="none"/>
          </w:rPr>
          <w:t>https://www.coe.int/en/web/common-european-framework-reference-languages/table-1-cefr-3.3-common-reference-levels-global-scale</w:t>
        </w:r>
      </w:hyperlink>
    </w:p>
    <w:p w14:paraId="3C4930AE" w14:textId="58A70B66" w:rsidR="00C03807" w:rsidRDefault="00C03807">
      <w:r>
        <w:br w:type="page"/>
      </w:r>
    </w:p>
    <w:p w14:paraId="12802972" w14:textId="25D4379C" w:rsidR="00C03807" w:rsidRDefault="00C03807" w:rsidP="00C03807">
      <w:pPr>
        <w:pStyle w:val="Heading2"/>
      </w:pPr>
      <w:bookmarkStart w:id="1" w:name="_Ref159107289"/>
      <w:r>
        <w:lastRenderedPageBreak/>
        <w:t xml:space="preserve">Appendix B: </w:t>
      </w:r>
      <w:r w:rsidRPr="00C03807">
        <w:t>Qualitative aspects of spoken language use - Table 3 (CEFR 3.3): Common Reference levels</w:t>
      </w:r>
      <w:bookmarkEnd w:id="1"/>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701"/>
        <w:gridCol w:w="1484"/>
        <w:gridCol w:w="1890"/>
        <w:gridCol w:w="1730"/>
        <w:gridCol w:w="1670"/>
        <w:gridCol w:w="1535"/>
      </w:tblGrid>
      <w:tr w:rsidR="00C03807" w:rsidRPr="00C03807" w14:paraId="78B6D18C" w14:textId="77777777" w:rsidTr="00BA4645">
        <w:trPr>
          <w:trHeight w:val="240"/>
          <w:tblHeader/>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018D9037"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 </w:t>
            </w:r>
          </w:p>
        </w:tc>
        <w:tc>
          <w:tcPr>
            <w:tcW w:w="1484"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2EE24EF2"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3AFB5FE6"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ACCURACY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589AD28F"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FLUENCY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468C8B92"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INTERACTION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18D32ECB"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COHERENCE</w:t>
            </w:r>
          </w:p>
        </w:tc>
      </w:tr>
      <w:tr w:rsidR="00C03807" w:rsidRPr="00C03807" w14:paraId="54A282C2"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1891E3B8"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C2</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2FD9C710"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Shows great flexibility reformulating ideas in differing linguistic forms to convey finer shades of meaning precisely, to give emphasis, to differentiate and to eliminate ambiguity. Also has a good command of idiomatic expressions and colloquialisms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0B673A6"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Maintains consistent grammatical control of complex language, even while attention is otherwise engaged (e.g. in forward planning, in monitoring others' reactions).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27F820C"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express him/herself spontaneously at length with a natural colloquial flow, avoiding or backtracking around any difficulty so smoothly that the interlocutor is hardly aware of 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70ACB88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interact with ease and skill, picking up and using non-verbal and intonational cues apparently effortlessly. Can interweave his/her contribution into the joint discourse with fully natural </w:t>
            </w:r>
            <w:proofErr w:type="spellStart"/>
            <w:r w:rsidRPr="00C03807">
              <w:rPr>
                <w:rFonts w:eastAsia="Times New Roman" w:cstheme="minorHAnsi"/>
                <w:color w:val="161616"/>
                <w:kern w:val="0"/>
                <w:sz w:val="20"/>
                <w:szCs w:val="20"/>
                <w:lang w:eastAsia="en-AU"/>
                <w14:ligatures w14:val="none"/>
              </w:rPr>
              <w:t>turntaking</w:t>
            </w:r>
            <w:proofErr w:type="spellEnd"/>
            <w:r w:rsidRPr="00C03807">
              <w:rPr>
                <w:rFonts w:eastAsia="Times New Roman" w:cstheme="minorHAnsi"/>
                <w:color w:val="161616"/>
                <w:kern w:val="0"/>
                <w:sz w:val="20"/>
                <w:szCs w:val="20"/>
                <w:lang w:eastAsia="en-AU"/>
                <w14:ligatures w14:val="none"/>
              </w:rPr>
              <w:t>, referencing, allusion making etc.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2D313A9E"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create coherent and cohesive discourse making full and appropriate use of a variety of organisational patterns and a wide range of connectors and other cohesive devices.</w:t>
            </w:r>
          </w:p>
        </w:tc>
      </w:tr>
      <w:tr w:rsidR="00C03807" w:rsidRPr="00C03807" w14:paraId="6C52C4D8"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797F31A0"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C1</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1F9FCF92"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Has a good command of a broad range of language allowing him/her to select a formulation to express him/ herself clearly in an appropriate style on a wide range of general, academic, professional or leisure topics without having to restrict what he/she wants to 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0EAE509"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Consistently maintains a high degree of grammatical accuracy; errors are rare, difficult to spot and generally corrected when they do occur.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E6171AB"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express him/herself fluently and spontaneously, almost effortlessly. Only a conceptually difficult subject can hinder a natural, smooth flow of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B52A06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select a suitable phrase from a readily available range of discourse functions to preface his remarks </w:t>
            </w:r>
            <w:proofErr w:type="gramStart"/>
            <w:r w:rsidRPr="00C03807">
              <w:rPr>
                <w:rFonts w:eastAsia="Times New Roman" w:cstheme="minorHAnsi"/>
                <w:color w:val="161616"/>
                <w:kern w:val="0"/>
                <w:sz w:val="20"/>
                <w:szCs w:val="20"/>
                <w:lang w:eastAsia="en-AU"/>
                <w14:ligatures w14:val="none"/>
              </w:rPr>
              <w:t>in order to</w:t>
            </w:r>
            <w:proofErr w:type="gramEnd"/>
            <w:r w:rsidRPr="00C03807">
              <w:rPr>
                <w:rFonts w:eastAsia="Times New Roman" w:cstheme="minorHAnsi"/>
                <w:color w:val="161616"/>
                <w:kern w:val="0"/>
                <w:sz w:val="20"/>
                <w:szCs w:val="20"/>
                <w:lang w:eastAsia="en-AU"/>
                <w14:ligatures w14:val="none"/>
              </w:rPr>
              <w:t xml:space="preserve"> get or to keep the floor and to relate his/her own contributions skilfully to those of other speakers.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BE1B112"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produce clear, </w:t>
            </w:r>
            <w:proofErr w:type="gramStart"/>
            <w:r w:rsidRPr="00C03807">
              <w:rPr>
                <w:rFonts w:eastAsia="Times New Roman" w:cstheme="minorHAnsi"/>
                <w:color w:val="161616"/>
                <w:kern w:val="0"/>
                <w:sz w:val="20"/>
                <w:szCs w:val="20"/>
                <w:lang w:eastAsia="en-AU"/>
                <w14:ligatures w14:val="none"/>
              </w:rPr>
              <w:t>smoothly-flowing</w:t>
            </w:r>
            <w:proofErr w:type="gramEnd"/>
            <w:r w:rsidRPr="00C03807">
              <w:rPr>
                <w:rFonts w:eastAsia="Times New Roman" w:cstheme="minorHAnsi"/>
                <w:color w:val="161616"/>
                <w:kern w:val="0"/>
                <w:sz w:val="20"/>
                <w:szCs w:val="20"/>
                <w:lang w:eastAsia="en-AU"/>
                <w14:ligatures w14:val="none"/>
              </w:rPr>
              <w:t>, well-structured speech, showing controlled use of organisational patterns, connectors and cohesive devices.</w:t>
            </w:r>
          </w:p>
        </w:tc>
      </w:tr>
      <w:tr w:rsidR="00C03807" w:rsidRPr="00C03807" w14:paraId="3089DC6F"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3E569359"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lastRenderedPageBreak/>
              <w:t>B2</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1A5F80F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Has a sufficient range of language to be able to give clear descriptions, express viewpoints on most general topics, without much con</w:t>
            </w:r>
            <w:r w:rsidRPr="00C03807">
              <w:rPr>
                <w:rFonts w:eastAsia="Times New Roman" w:cstheme="minorHAnsi"/>
                <w:color w:val="161616"/>
                <w:kern w:val="0"/>
                <w:sz w:val="20"/>
                <w:szCs w:val="20"/>
                <w:lang w:eastAsia="en-AU"/>
                <w14:ligatures w14:val="none"/>
              </w:rPr>
              <w:softHyphen/>
              <w:t>spicuous searching for words, using some complex sentence forms to do 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CE46AE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Shows a relatively high degree of grammatical control. Does not make errors which cause </w:t>
            </w:r>
            <w:proofErr w:type="gramStart"/>
            <w:r w:rsidRPr="00C03807">
              <w:rPr>
                <w:rFonts w:eastAsia="Times New Roman" w:cstheme="minorHAnsi"/>
                <w:color w:val="161616"/>
                <w:kern w:val="0"/>
                <w:sz w:val="20"/>
                <w:szCs w:val="20"/>
                <w:lang w:eastAsia="en-AU"/>
                <w14:ligatures w14:val="none"/>
              </w:rPr>
              <w:t>misunderstanding, and</w:t>
            </w:r>
            <w:proofErr w:type="gramEnd"/>
            <w:r w:rsidRPr="00C03807">
              <w:rPr>
                <w:rFonts w:eastAsia="Times New Roman" w:cstheme="minorHAnsi"/>
                <w:color w:val="161616"/>
                <w:kern w:val="0"/>
                <w:sz w:val="20"/>
                <w:szCs w:val="20"/>
                <w:lang w:eastAsia="en-AU"/>
                <w14:ligatures w14:val="none"/>
              </w:rPr>
              <w:t xml:space="preserve"> can correct most of his/her mistakes.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41E74AC9"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produce stretches of language with </w:t>
            </w:r>
            <w:proofErr w:type="gramStart"/>
            <w:r w:rsidRPr="00C03807">
              <w:rPr>
                <w:rFonts w:eastAsia="Times New Roman" w:cstheme="minorHAnsi"/>
                <w:color w:val="161616"/>
                <w:kern w:val="0"/>
                <w:sz w:val="20"/>
                <w:szCs w:val="20"/>
                <w:lang w:eastAsia="en-AU"/>
                <w14:ligatures w14:val="none"/>
              </w:rPr>
              <w:t>a fairly even</w:t>
            </w:r>
            <w:proofErr w:type="gramEnd"/>
            <w:r w:rsidRPr="00C03807">
              <w:rPr>
                <w:rFonts w:eastAsia="Times New Roman" w:cstheme="minorHAnsi"/>
                <w:color w:val="161616"/>
                <w:kern w:val="0"/>
                <w:sz w:val="20"/>
                <w:szCs w:val="20"/>
                <w:lang w:eastAsia="en-AU"/>
                <w14:ligatures w14:val="none"/>
              </w:rPr>
              <w:t xml:space="preserve"> tempo; although he/she can be hesitant as he or she searches for patterns and expressions, there are few noticeably long pauses.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612CD370"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initiate discourse, take his/her turn when appropriate and end conversation when he / she needs to, though he /she may not always do this elegantly.  Can help the discussion along on familiar ground confirming comprehen</w:t>
            </w:r>
            <w:r w:rsidRPr="00C03807">
              <w:rPr>
                <w:rFonts w:eastAsia="Times New Roman" w:cstheme="minorHAnsi"/>
                <w:color w:val="161616"/>
                <w:kern w:val="0"/>
                <w:sz w:val="20"/>
                <w:szCs w:val="20"/>
                <w:lang w:eastAsia="en-AU"/>
                <w14:ligatures w14:val="none"/>
              </w:rPr>
              <w:softHyphen/>
              <w:t>sion, inviting others in, etc.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FB86866"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use a limited number of cohesive devices to link his/her utterances into clear, coherent discourse, though there may be some "jumpiness" in a long con</w:t>
            </w:r>
            <w:r w:rsidRPr="00C03807">
              <w:rPr>
                <w:rFonts w:eastAsia="Times New Roman" w:cstheme="minorHAnsi"/>
                <w:color w:val="161616"/>
                <w:kern w:val="0"/>
                <w:sz w:val="20"/>
                <w:szCs w:val="20"/>
                <w:lang w:eastAsia="en-AU"/>
                <w14:ligatures w14:val="none"/>
              </w:rPr>
              <w:softHyphen/>
              <w:t>tribution.</w:t>
            </w:r>
          </w:p>
        </w:tc>
      </w:tr>
      <w:tr w:rsidR="00C03807" w:rsidRPr="00C03807" w14:paraId="6D6BBF08"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33DA5DD3"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B1</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5B4E36C6"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Has enough language to get by, with sufficient vocabulary to express him/herself with some hesitation and circum-locutions on topics such as family, hobbies and interests, work, travel, and current events.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629842F0"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Uses reasonably accurately a repertoire of frequently used "routines" and patterns asso</w:t>
            </w:r>
            <w:r w:rsidRPr="00C03807">
              <w:rPr>
                <w:rFonts w:eastAsia="Times New Roman" w:cstheme="minorHAnsi"/>
                <w:color w:val="161616"/>
                <w:kern w:val="0"/>
                <w:sz w:val="20"/>
                <w:szCs w:val="20"/>
                <w:lang w:eastAsia="en-AU"/>
                <w14:ligatures w14:val="none"/>
              </w:rPr>
              <w:softHyphen/>
              <w:t>ciated with more predictable situations.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64CD871"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keep going comprehensibly, even though pausing for grammatical and lexical planning and repair is very evident, especially in longer stretches of free production.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4D182611"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initiate, </w:t>
            </w:r>
            <w:proofErr w:type="gramStart"/>
            <w:r w:rsidRPr="00C03807">
              <w:rPr>
                <w:rFonts w:eastAsia="Times New Roman" w:cstheme="minorHAnsi"/>
                <w:color w:val="161616"/>
                <w:kern w:val="0"/>
                <w:sz w:val="20"/>
                <w:szCs w:val="20"/>
                <w:lang w:eastAsia="en-AU"/>
                <w14:ligatures w14:val="none"/>
              </w:rPr>
              <w:t>maintain</w:t>
            </w:r>
            <w:proofErr w:type="gramEnd"/>
            <w:r w:rsidRPr="00C03807">
              <w:rPr>
                <w:rFonts w:eastAsia="Times New Roman" w:cstheme="minorHAnsi"/>
                <w:color w:val="161616"/>
                <w:kern w:val="0"/>
                <w:sz w:val="20"/>
                <w:szCs w:val="20"/>
                <w:lang w:eastAsia="en-AU"/>
                <w14:ligatures w14:val="none"/>
              </w:rPr>
              <w:t xml:space="preserve"> and close simple face-to-face conversa</w:t>
            </w:r>
            <w:r w:rsidRPr="00C03807">
              <w:rPr>
                <w:rFonts w:eastAsia="Times New Roman" w:cstheme="minorHAnsi"/>
                <w:color w:val="161616"/>
                <w:kern w:val="0"/>
                <w:sz w:val="20"/>
                <w:szCs w:val="20"/>
                <w:lang w:eastAsia="en-AU"/>
                <w14:ligatures w14:val="none"/>
              </w:rPr>
              <w:softHyphen/>
              <w:t>tion on topics that are familiar or of personal interest. Can repeat back part of what someone has said to confirm mutual understanding.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32792ACD"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link a series of shorter, discrete simple elements into a connected, linear sequence of points.</w:t>
            </w:r>
          </w:p>
        </w:tc>
      </w:tr>
      <w:tr w:rsidR="00C03807" w:rsidRPr="00C03807" w14:paraId="644E9806"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598C7776"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A2</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7CCFD6E2"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Uses basic sentence patterns with memorised phrases, groups of a few words and formulae </w:t>
            </w:r>
            <w:proofErr w:type="gramStart"/>
            <w:r w:rsidRPr="00C03807">
              <w:rPr>
                <w:rFonts w:eastAsia="Times New Roman" w:cstheme="minorHAnsi"/>
                <w:color w:val="161616"/>
                <w:kern w:val="0"/>
                <w:sz w:val="20"/>
                <w:szCs w:val="20"/>
                <w:lang w:eastAsia="en-AU"/>
                <w14:ligatures w14:val="none"/>
              </w:rPr>
              <w:t>in order to</w:t>
            </w:r>
            <w:proofErr w:type="gramEnd"/>
            <w:r w:rsidRPr="00C03807">
              <w:rPr>
                <w:rFonts w:eastAsia="Times New Roman" w:cstheme="minorHAnsi"/>
                <w:color w:val="161616"/>
                <w:kern w:val="0"/>
                <w:sz w:val="20"/>
                <w:szCs w:val="20"/>
                <w:lang w:eastAsia="en-AU"/>
                <w14:ligatures w14:val="none"/>
              </w:rPr>
              <w:t xml:space="preserve"> commu</w:t>
            </w:r>
            <w:r w:rsidRPr="00C03807">
              <w:rPr>
                <w:rFonts w:eastAsia="Times New Roman" w:cstheme="minorHAnsi"/>
                <w:color w:val="161616"/>
                <w:kern w:val="0"/>
                <w:sz w:val="20"/>
                <w:szCs w:val="20"/>
                <w:lang w:eastAsia="en-AU"/>
                <w14:ligatures w14:val="none"/>
              </w:rPr>
              <w:softHyphen/>
              <w:t xml:space="preserve">nicate </w:t>
            </w:r>
            <w:r w:rsidRPr="00C03807">
              <w:rPr>
                <w:rFonts w:eastAsia="Times New Roman" w:cstheme="minorHAnsi"/>
                <w:color w:val="161616"/>
                <w:kern w:val="0"/>
                <w:sz w:val="20"/>
                <w:szCs w:val="20"/>
                <w:lang w:eastAsia="en-AU"/>
                <w14:ligatures w14:val="none"/>
              </w:rPr>
              <w:lastRenderedPageBreak/>
              <w:t>limited information in simple everyday situations.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4C73A751"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lastRenderedPageBreak/>
              <w:t>Uses some simple structures correctly, but still systematically makes basic mistakes.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BE6BB26"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make him/herself understood in very short utterances, even though pauses, false starts and reformulation are very evident.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2DA669C9"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answer questions and respond to simple statements. Can indicate when he/she is following but is rarely able to understand </w:t>
            </w:r>
            <w:r w:rsidRPr="00C03807">
              <w:rPr>
                <w:rFonts w:eastAsia="Times New Roman" w:cstheme="minorHAnsi"/>
                <w:color w:val="161616"/>
                <w:kern w:val="0"/>
                <w:sz w:val="20"/>
                <w:szCs w:val="20"/>
                <w:lang w:eastAsia="en-AU"/>
                <w14:ligatures w14:val="none"/>
              </w:rPr>
              <w:lastRenderedPageBreak/>
              <w:t>enough to keep conversation going of his/her own accord.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64351AB6"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lastRenderedPageBreak/>
              <w:t>Can link groups of words with simple connectors like "and, "but" and "because".</w:t>
            </w:r>
          </w:p>
        </w:tc>
      </w:tr>
      <w:tr w:rsidR="00C03807" w:rsidRPr="00C03807" w14:paraId="4E54F092" w14:textId="77777777" w:rsidTr="00BA4645">
        <w:trPr>
          <w:trHeight w:val="300"/>
        </w:trPr>
        <w:tc>
          <w:tcPr>
            <w:tcW w:w="701" w:type="dxa"/>
            <w:tcBorders>
              <w:top w:val="outset" w:sz="6" w:space="0" w:color="auto"/>
              <w:left w:val="outset" w:sz="6" w:space="0" w:color="auto"/>
              <w:bottom w:val="outset" w:sz="6" w:space="0" w:color="auto"/>
              <w:right w:val="outset" w:sz="6" w:space="0" w:color="auto"/>
            </w:tcBorders>
            <w:shd w:val="clear" w:color="auto" w:fill="FFFFFF"/>
            <w:noWrap/>
            <w:tcMar>
              <w:top w:w="168" w:type="dxa"/>
              <w:left w:w="168" w:type="dxa"/>
              <w:bottom w:w="168" w:type="dxa"/>
              <w:right w:w="168" w:type="dxa"/>
            </w:tcMar>
            <w:hideMark/>
          </w:tcPr>
          <w:p w14:paraId="362B0B34" w14:textId="77777777" w:rsidR="00C03807" w:rsidRPr="00C03807" w:rsidRDefault="00C03807" w:rsidP="00C03807">
            <w:pPr>
              <w:spacing w:after="0" w:line="360" w:lineRule="atLeast"/>
              <w:rPr>
                <w:rFonts w:ascii="Open Sans" w:eastAsia="Times New Roman" w:hAnsi="Open Sans" w:cs="Open Sans"/>
                <w:b/>
                <w:bCs/>
                <w:color w:val="161616"/>
                <w:kern w:val="0"/>
                <w:sz w:val="18"/>
                <w:szCs w:val="18"/>
                <w:lang w:eastAsia="en-AU"/>
                <w14:ligatures w14:val="none"/>
              </w:rPr>
            </w:pPr>
            <w:r w:rsidRPr="00C03807">
              <w:rPr>
                <w:rFonts w:ascii="Open Sans" w:eastAsia="Times New Roman" w:hAnsi="Open Sans" w:cs="Open Sans"/>
                <w:b/>
                <w:bCs/>
                <w:color w:val="161616"/>
                <w:kern w:val="0"/>
                <w:sz w:val="18"/>
                <w:szCs w:val="18"/>
                <w:lang w:eastAsia="en-AU"/>
                <w14:ligatures w14:val="none"/>
              </w:rPr>
              <w:t>A1</w:t>
            </w:r>
          </w:p>
        </w:tc>
        <w:tc>
          <w:tcPr>
            <w:tcW w:w="1484" w:type="dxa"/>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2C598862"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Has a very basic repertoire of words and simple phrases related to personal details and particular concrete situations.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01D1DDD0"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Shows only limited control of a few simple grammatical structures and sentence patterns in a memorised repertoire.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6B372F9B"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manage very short, isolated, mainly pre-packaged utterances, with much pausing to search for expressions, to articulate </w:t>
            </w:r>
            <w:proofErr w:type="gramStart"/>
            <w:r w:rsidRPr="00C03807">
              <w:rPr>
                <w:rFonts w:eastAsia="Times New Roman" w:cstheme="minorHAnsi"/>
                <w:color w:val="161616"/>
                <w:kern w:val="0"/>
                <w:sz w:val="20"/>
                <w:szCs w:val="20"/>
                <w:lang w:eastAsia="en-AU"/>
                <w14:ligatures w14:val="none"/>
              </w:rPr>
              <w:t>less</w:t>
            </w:r>
            <w:proofErr w:type="gramEnd"/>
            <w:r w:rsidRPr="00C03807">
              <w:rPr>
                <w:rFonts w:eastAsia="Times New Roman" w:cstheme="minorHAnsi"/>
                <w:color w:val="161616"/>
                <w:kern w:val="0"/>
                <w:sz w:val="20"/>
                <w:szCs w:val="20"/>
                <w:lang w:eastAsia="en-AU"/>
                <w14:ligatures w14:val="none"/>
              </w:rPr>
              <w:t xml:space="preserve"> familiar words, and to repair communication.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3F2A2C3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 xml:space="preserve">Can ask and answer questions about personal details. Can interact in a simple way but communication is totally dependent on repetition, </w:t>
            </w:r>
            <w:proofErr w:type="gramStart"/>
            <w:r w:rsidRPr="00C03807">
              <w:rPr>
                <w:rFonts w:eastAsia="Times New Roman" w:cstheme="minorHAnsi"/>
                <w:color w:val="161616"/>
                <w:kern w:val="0"/>
                <w:sz w:val="20"/>
                <w:szCs w:val="20"/>
                <w:lang w:eastAsia="en-AU"/>
                <w14:ligatures w14:val="none"/>
              </w:rPr>
              <w:t>rephrasing</w:t>
            </w:r>
            <w:proofErr w:type="gramEnd"/>
            <w:r w:rsidRPr="00C03807">
              <w:rPr>
                <w:rFonts w:eastAsia="Times New Roman" w:cstheme="minorHAnsi"/>
                <w:color w:val="161616"/>
                <w:kern w:val="0"/>
                <w:sz w:val="20"/>
                <w:szCs w:val="20"/>
                <w:lang w:eastAsia="en-AU"/>
                <w14:ligatures w14:val="none"/>
              </w:rPr>
              <w:t xml:space="preserve"> and repair.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68" w:type="dxa"/>
              <w:left w:w="168" w:type="dxa"/>
              <w:bottom w:w="168" w:type="dxa"/>
              <w:right w:w="168" w:type="dxa"/>
            </w:tcMar>
            <w:hideMark/>
          </w:tcPr>
          <w:p w14:paraId="4FF03CAF" w14:textId="77777777" w:rsidR="00C03807" w:rsidRPr="00C03807" w:rsidRDefault="00C03807" w:rsidP="00C03807">
            <w:pPr>
              <w:spacing w:after="0" w:line="240" w:lineRule="auto"/>
              <w:rPr>
                <w:rFonts w:eastAsia="Times New Roman" w:cstheme="minorHAnsi"/>
                <w:color w:val="161616"/>
                <w:kern w:val="0"/>
                <w:sz w:val="20"/>
                <w:szCs w:val="20"/>
                <w:lang w:eastAsia="en-AU"/>
                <w14:ligatures w14:val="none"/>
              </w:rPr>
            </w:pPr>
            <w:r w:rsidRPr="00C03807">
              <w:rPr>
                <w:rFonts w:eastAsia="Times New Roman" w:cstheme="minorHAnsi"/>
                <w:color w:val="161616"/>
                <w:kern w:val="0"/>
                <w:sz w:val="20"/>
                <w:szCs w:val="20"/>
                <w:lang w:eastAsia="en-AU"/>
                <w14:ligatures w14:val="none"/>
              </w:rPr>
              <w:t>Can link words or groups of words with very basic linear connectors like "and" or "then".</w:t>
            </w:r>
          </w:p>
        </w:tc>
      </w:tr>
    </w:tbl>
    <w:p w14:paraId="68D17D31" w14:textId="0C9E9D59" w:rsidR="00C03807" w:rsidRDefault="00BA4645" w:rsidP="00BA4645">
      <w:pPr>
        <w:shd w:val="clear" w:color="auto" w:fill="F8F8F8"/>
        <w:spacing w:after="150" w:line="360" w:lineRule="atLeast"/>
        <w:rPr>
          <w:rFonts w:ascii="Open Sans" w:eastAsia="Times New Roman" w:hAnsi="Open Sans" w:cs="Open Sans"/>
          <w:i/>
          <w:iCs/>
          <w:color w:val="161616"/>
          <w:kern w:val="0"/>
          <w:sz w:val="16"/>
          <w:szCs w:val="16"/>
          <w:lang w:eastAsia="en-AU"/>
          <w14:ligatures w14:val="none"/>
        </w:rPr>
      </w:pPr>
      <w:hyperlink r:id="rId9" w:history="1">
        <w:r w:rsidRPr="004507FB">
          <w:rPr>
            <w:rStyle w:val="Hyperlink"/>
            <w:rFonts w:ascii="Open Sans" w:eastAsia="Times New Roman" w:hAnsi="Open Sans" w:cs="Open Sans"/>
            <w:i/>
            <w:iCs/>
            <w:kern w:val="0"/>
            <w:sz w:val="16"/>
            <w:szCs w:val="16"/>
            <w:lang w:eastAsia="en-AU"/>
            <w14:ligatures w14:val="none"/>
          </w:rPr>
          <w:t>https://www.coe.int/en/web/common-european-framework-reference-languages/table-3-cefr-3.3-common-reference-levels-qualitative-aspects-of-spoken-language-use</w:t>
        </w:r>
      </w:hyperlink>
    </w:p>
    <w:p w14:paraId="5866D416" w14:textId="77777777" w:rsidR="00BA4645" w:rsidRPr="00BA4645" w:rsidRDefault="00BA4645" w:rsidP="00BA4645">
      <w:pPr>
        <w:shd w:val="clear" w:color="auto" w:fill="F8F8F8"/>
        <w:spacing w:after="150" w:line="360" w:lineRule="atLeast"/>
        <w:rPr>
          <w:rFonts w:ascii="Open Sans" w:eastAsia="Times New Roman" w:hAnsi="Open Sans" w:cs="Open Sans"/>
          <w:color w:val="161616"/>
          <w:kern w:val="0"/>
          <w:sz w:val="16"/>
          <w:szCs w:val="16"/>
          <w:lang w:eastAsia="en-AU"/>
          <w14:ligatures w14:val="none"/>
        </w:rPr>
      </w:pPr>
    </w:p>
    <w:sectPr w:rsidR="00BA4645" w:rsidRPr="00BA4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98"/>
    <w:rsid w:val="00045968"/>
    <w:rsid w:val="00062D28"/>
    <w:rsid w:val="000B3E47"/>
    <w:rsid w:val="00110A85"/>
    <w:rsid w:val="00162A23"/>
    <w:rsid w:val="001D5A50"/>
    <w:rsid w:val="00244205"/>
    <w:rsid w:val="003057BA"/>
    <w:rsid w:val="003845B2"/>
    <w:rsid w:val="00497586"/>
    <w:rsid w:val="00561FBD"/>
    <w:rsid w:val="0066045C"/>
    <w:rsid w:val="006C4601"/>
    <w:rsid w:val="007436A6"/>
    <w:rsid w:val="008D75D0"/>
    <w:rsid w:val="0093122E"/>
    <w:rsid w:val="00992FE8"/>
    <w:rsid w:val="009B77B7"/>
    <w:rsid w:val="00B92840"/>
    <w:rsid w:val="00BA4645"/>
    <w:rsid w:val="00C03807"/>
    <w:rsid w:val="00C332CC"/>
    <w:rsid w:val="00C43383"/>
    <w:rsid w:val="00C55EE2"/>
    <w:rsid w:val="00C6450F"/>
    <w:rsid w:val="00DF5198"/>
    <w:rsid w:val="00E22774"/>
    <w:rsid w:val="00E30C76"/>
    <w:rsid w:val="00E32FB2"/>
    <w:rsid w:val="00F92CD2"/>
    <w:rsid w:val="00FE0CC1"/>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26BF"/>
  <w15:chartTrackingRefBased/>
  <w15:docId w15:val="{B4E99908-14C2-419D-982C-26642902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A2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2A23"/>
    <w:rPr>
      <w:b/>
      <w:bCs/>
    </w:rPr>
  </w:style>
  <w:style w:type="paragraph" w:styleId="NormalWeb">
    <w:name w:val="Normal (Web)"/>
    <w:basedOn w:val="Normal"/>
    <w:uiPriority w:val="99"/>
    <w:semiHidden/>
    <w:unhideWhenUsed/>
    <w:rsid w:val="00162A2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BA4645"/>
    <w:rPr>
      <w:color w:val="0563C1" w:themeColor="hyperlink"/>
      <w:u w:val="single"/>
    </w:rPr>
  </w:style>
  <w:style w:type="character" w:styleId="UnresolvedMention">
    <w:name w:val="Unresolved Mention"/>
    <w:basedOn w:val="DefaultParagraphFont"/>
    <w:uiPriority w:val="99"/>
    <w:semiHidden/>
    <w:unhideWhenUsed/>
    <w:rsid w:val="00BA4645"/>
    <w:rPr>
      <w:color w:val="605E5C"/>
      <w:shd w:val="clear" w:color="auto" w:fill="E1DFDD"/>
    </w:rPr>
  </w:style>
  <w:style w:type="paragraph" w:styleId="Caption">
    <w:name w:val="caption"/>
    <w:basedOn w:val="Normal"/>
    <w:next w:val="Normal"/>
    <w:uiPriority w:val="35"/>
    <w:unhideWhenUsed/>
    <w:qFormat/>
    <w:rsid w:val="00992FE8"/>
    <w:pPr>
      <w:spacing w:after="200" w:line="240" w:lineRule="auto"/>
    </w:pPr>
    <w:rPr>
      <w:i/>
      <w:iCs/>
      <w:color w:val="44546A" w:themeColor="text2"/>
      <w:sz w:val="18"/>
      <w:szCs w:val="18"/>
    </w:rPr>
  </w:style>
  <w:style w:type="table" w:styleId="TableGrid">
    <w:name w:val="Table Grid"/>
    <w:basedOn w:val="TableNormal"/>
    <w:uiPriority w:val="39"/>
    <w:rsid w:val="00045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2769">
      <w:bodyDiv w:val="1"/>
      <w:marLeft w:val="0"/>
      <w:marRight w:val="0"/>
      <w:marTop w:val="0"/>
      <w:marBottom w:val="0"/>
      <w:divBdr>
        <w:top w:val="none" w:sz="0" w:space="0" w:color="auto"/>
        <w:left w:val="none" w:sz="0" w:space="0" w:color="auto"/>
        <w:bottom w:val="none" w:sz="0" w:space="0" w:color="auto"/>
        <w:right w:val="none" w:sz="0" w:space="0" w:color="auto"/>
      </w:divBdr>
    </w:div>
    <w:div w:id="214201355">
      <w:bodyDiv w:val="1"/>
      <w:marLeft w:val="0"/>
      <w:marRight w:val="0"/>
      <w:marTop w:val="0"/>
      <w:marBottom w:val="0"/>
      <w:divBdr>
        <w:top w:val="none" w:sz="0" w:space="0" w:color="auto"/>
        <w:left w:val="none" w:sz="0" w:space="0" w:color="auto"/>
        <w:bottom w:val="none" w:sz="0" w:space="0" w:color="auto"/>
        <w:right w:val="none" w:sz="0" w:space="0" w:color="auto"/>
      </w:divBdr>
    </w:div>
    <w:div w:id="288513391">
      <w:bodyDiv w:val="1"/>
      <w:marLeft w:val="0"/>
      <w:marRight w:val="0"/>
      <w:marTop w:val="0"/>
      <w:marBottom w:val="0"/>
      <w:divBdr>
        <w:top w:val="none" w:sz="0" w:space="0" w:color="auto"/>
        <w:left w:val="none" w:sz="0" w:space="0" w:color="auto"/>
        <w:bottom w:val="none" w:sz="0" w:space="0" w:color="auto"/>
        <w:right w:val="none" w:sz="0" w:space="0" w:color="auto"/>
      </w:divBdr>
    </w:div>
    <w:div w:id="472212016">
      <w:bodyDiv w:val="1"/>
      <w:marLeft w:val="0"/>
      <w:marRight w:val="0"/>
      <w:marTop w:val="0"/>
      <w:marBottom w:val="0"/>
      <w:divBdr>
        <w:top w:val="none" w:sz="0" w:space="0" w:color="auto"/>
        <w:left w:val="none" w:sz="0" w:space="0" w:color="auto"/>
        <w:bottom w:val="none" w:sz="0" w:space="0" w:color="auto"/>
        <w:right w:val="none" w:sz="0" w:space="0" w:color="auto"/>
      </w:divBdr>
    </w:div>
    <w:div w:id="627780936">
      <w:bodyDiv w:val="1"/>
      <w:marLeft w:val="0"/>
      <w:marRight w:val="0"/>
      <w:marTop w:val="0"/>
      <w:marBottom w:val="0"/>
      <w:divBdr>
        <w:top w:val="none" w:sz="0" w:space="0" w:color="auto"/>
        <w:left w:val="none" w:sz="0" w:space="0" w:color="auto"/>
        <w:bottom w:val="none" w:sz="0" w:space="0" w:color="auto"/>
        <w:right w:val="none" w:sz="0" w:space="0" w:color="auto"/>
      </w:divBdr>
    </w:div>
    <w:div w:id="723990950">
      <w:bodyDiv w:val="1"/>
      <w:marLeft w:val="0"/>
      <w:marRight w:val="0"/>
      <w:marTop w:val="0"/>
      <w:marBottom w:val="0"/>
      <w:divBdr>
        <w:top w:val="none" w:sz="0" w:space="0" w:color="auto"/>
        <w:left w:val="none" w:sz="0" w:space="0" w:color="auto"/>
        <w:bottom w:val="none" w:sz="0" w:space="0" w:color="auto"/>
        <w:right w:val="none" w:sz="0" w:space="0" w:color="auto"/>
      </w:divBdr>
    </w:div>
    <w:div w:id="1107118500">
      <w:bodyDiv w:val="1"/>
      <w:marLeft w:val="0"/>
      <w:marRight w:val="0"/>
      <w:marTop w:val="0"/>
      <w:marBottom w:val="0"/>
      <w:divBdr>
        <w:top w:val="none" w:sz="0" w:space="0" w:color="auto"/>
        <w:left w:val="none" w:sz="0" w:space="0" w:color="auto"/>
        <w:bottom w:val="none" w:sz="0" w:space="0" w:color="auto"/>
        <w:right w:val="none" w:sz="0" w:space="0" w:color="auto"/>
      </w:divBdr>
    </w:div>
    <w:div w:id="1410497493">
      <w:bodyDiv w:val="1"/>
      <w:marLeft w:val="0"/>
      <w:marRight w:val="0"/>
      <w:marTop w:val="0"/>
      <w:marBottom w:val="0"/>
      <w:divBdr>
        <w:top w:val="none" w:sz="0" w:space="0" w:color="auto"/>
        <w:left w:val="none" w:sz="0" w:space="0" w:color="auto"/>
        <w:bottom w:val="none" w:sz="0" w:space="0" w:color="auto"/>
        <w:right w:val="none" w:sz="0" w:space="0" w:color="auto"/>
      </w:divBdr>
    </w:div>
    <w:div w:id="14264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e.int/en/web/common-european-framework-reference-languages/table-1-cefr-3.3-common-reference-levels-global-sca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e.int/en/web/common-european-framework-reference-languages/table-3-cefr-3.3-common-reference-levels-qualitative-aspects-of-spoken-languag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825E-160D-4371-84D1-863FABF4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12</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Karp</dc:creator>
  <cp:keywords/>
  <dc:description/>
  <cp:lastModifiedBy>Daniel Karp</cp:lastModifiedBy>
  <cp:revision>11</cp:revision>
  <dcterms:created xsi:type="dcterms:W3CDTF">2024-02-16T09:54:00Z</dcterms:created>
  <dcterms:modified xsi:type="dcterms:W3CDTF">2024-02-18T00:40:00Z</dcterms:modified>
</cp:coreProperties>
</file>