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7C790" w14:textId="77777777" w:rsidR="00824375" w:rsidRPr="00C27BB5" w:rsidRDefault="00824375" w:rsidP="00824375">
      <w:pPr>
        <w:jc w:val="center"/>
        <w:rPr>
          <w:b/>
          <w:sz w:val="40"/>
          <w:szCs w:val="40"/>
        </w:rPr>
      </w:pPr>
      <w:r w:rsidRPr="00C27BB5">
        <w:rPr>
          <w:b/>
          <w:sz w:val="40"/>
          <w:szCs w:val="40"/>
        </w:rPr>
        <w:t>Global Vaccine Action Plan</w:t>
      </w:r>
    </w:p>
    <w:p w14:paraId="23EF8800" w14:textId="77777777" w:rsidR="00824375" w:rsidRDefault="00824375" w:rsidP="00824375">
      <w:pPr>
        <w:jc w:val="center"/>
        <w:rPr>
          <w:i/>
          <w:sz w:val="40"/>
          <w:szCs w:val="40"/>
        </w:rPr>
      </w:pPr>
      <w:r w:rsidRPr="00C27BB5">
        <w:rPr>
          <w:i/>
          <w:sz w:val="40"/>
          <w:szCs w:val="40"/>
        </w:rPr>
        <w:t>Secretariat Annual Report 2016</w:t>
      </w:r>
    </w:p>
    <w:p w14:paraId="374133AE" w14:textId="77777777" w:rsidR="00824375" w:rsidRDefault="00824375" w:rsidP="00824375">
      <w:pPr>
        <w:jc w:val="center"/>
        <w:rPr>
          <w:i/>
          <w:sz w:val="40"/>
          <w:szCs w:val="40"/>
        </w:rPr>
      </w:pPr>
      <w:r>
        <w:rPr>
          <w:i/>
          <w:sz w:val="40"/>
          <w:szCs w:val="40"/>
        </w:rPr>
        <w:t>Priority C</w:t>
      </w:r>
      <w:r w:rsidRPr="00C27BB5">
        <w:rPr>
          <w:i/>
          <w:sz w:val="40"/>
          <w:szCs w:val="40"/>
        </w:rPr>
        <w:t xml:space="preserve">ountry report on progress towards </w:t>
      </w:r>
    </w:p>
    <w:p w14:paraId="5B685F38" w14:textId="77777777" w:rsidR="00824375" w:rsidRPr="00C27BB5" w:rsidRDefault="00824375" w:rsidP="00824375">
      <w:pPr>
        <w:jc w:val="center"/>
        <w:rPr>
          <w:i/>
          <w:sz w:val="40"/>
          <w:szCs w:val="40"/>
        </w:rPr>
      </w:pPr>
      <w:r>
        <w:rPr>
          <w:i/>
          <w:sz w:val="40"/>
          <w:szCs w:val="40"/>
        </w:rPr>
        <w:t>GVAP-RVAP</w:t>
      </w:r>
      <w:r w:rsidRPr="00C27BB5">
        <w:rPr>
          <w:i/>
          <w:sz w:val="40"/>
          <w:szCs w:val="40"/>
        </w:rPr>
        <w:t xml:space="preserve"> goals </w:t>
      </w:r>
    </w:p>
    <w:p w14:paraId="4E19CC59" w14:textId="77777777" w:rsidR="00824375" w:rsidRDefault="00824375" w:rsidP="00824375">
      <w:pPr>
        <w:jc w:val="center"/>
        <w:rPr>
          <w:rFonts w:ascii="Arial" w:hAnsi="Arial"/>
          <w:b/>
          <w:sz w:val="32"/>
        </w:rPr>
      </w:pPr>
    </w:p>
    <w:p w14:paraId="4EC1467A" w14:textId="3B341500" w:rsidR="00824375" w:rsidRDefault="00824375" w:rsidP="00824375">
      <w:pPr>
        <w:jc w:val="center"/>
        <w:rPr>
          <w:rFonts w:ascii="Arial" w:hAnsi="Arial"/>
          <w:b/>
          <w:sz w:val="36"/>
        </w:rPr>
      </w:pPr>
      <w:r>
        <w:rPr>
          <w:rFonts w:ascii="Arial" w:hAnsi="Arial"/>
          <w:b/>
          <w:sz w:val="36"/>
        </w:rPr>
        <w:t>CHAD</w:t>
      </w:r>
    </w:p>
    <w:p w14:paraId="170D24CC" w14:textId="77777777" w:rsidR="00824375" w:rsidRDefault="00824375" w:rsidP="00E7073D">
      <w:pPr>
        <w:rPr>
          <w:rFonts w:ascii="Arial" w:hAnsi="Arial" w:cs="Arial"/>
          <w:b/>
          <w:sz w:val="32"/>
          <w:szCs w:val="32"/>
        </w:rPr>
      </w:pPr>
    </w:p>
    <w:p w14:paraId="213E64F8" w14:textId="77777777" w:rsidR="00E7073D" w:rsidRPr="00BB5F62" w:rsidRDefault="00E7073D" w:rsidP="00E7073D">
      <w:pPr>
        <w:pStyle w:val="ListParagraph"/>
        <w:numPr>
          <w:ilvl w:val="0"/>
          <w:numId w:val="3"/>
        </w:numPr>
        <w:rPr>
          <w:rFonts w:ascii="Arial" w:hAnsi="Arial" w:cs="Arial"/>
          <w:b/>
          <w:sz w:val="26"/>
          <w:szCs w:val="26"/>
        </w:rPr>
      </w:pPr>
      <w:r w:rsidRPr="00BB5F62">
        <w:rPr>
          <w:rFonts w:ascii="Arial" w:hAnsi="Arial" w:cs="Arial"/>
          <w:b/>
          <w:sz w:val="26"/>
          <w:szCs w:val="26"/>
        </w:rPr>
        <w:t xml:space="preserve">Progress towards achievement of GVAP goals </w:t>
      </w:r>
    </w:p>
    <w:p w14:paraId="71B42FB2" w14:textId="77777777" w:rsidR="00E7073D" w:rsidRPr="00457E0A" w:rsidRDefault="00E7073D" w:rsidP="00E7073D">
      <w:pPr>
        <w:pStyle w:val="ListParagraph"/>
        <w:rPr>
          <w:rFonts w:ascii="Arial" w:hAnsi="Arial" w:cs="Arial"/>
          <w:b/>
        </w:rPr>
      </w:pPr>
    </w:p>
    <w:p w14:paraId="2896A2F2" w14:textId="77777777" w:rsidR="00E7073D" w:rsidRPr="00BB5F62" w:rsidRDefault="00E7073D" w:rsidP="00E7073D">
      <w:pPr>
        <w:pStyle w:val="ListParagraph"/>
        <w:numPr>
          <w:ilvl w:val="0"/>
          <w:numId w:val="1"/>
        </w:numPr>
        <w:rPr>
          <w:rFonts w:ascii="Arial" w:hAnsi="Arial" w:cs="Arial"/>
          <w:b/>
          <w:sz w:val="24"/>
          <w:szCs w:val="24"/>
        </w:rPr>
      </w:pPr>
      <w:r w:rsidRPr="00BB5F62">
        <w:rPr>
          <w:rFonts w:ascii="Arial" w:hAnsi="Arial" w:cs="Arial"/>
          <w:b/>
          <w:sz w:val="24"/>
          <w:szCs w:val="24"/>
        </w:rPr>
        <w:t xml:space="preserve">Summary </w:t>
      </w:r>
    </w:p>
    <w:p w14:paraId="2A48FB84" w14:textId="39A5333E" w:rsidR="00BA2589" w:rsidRDefault="00BA2589" w:rsidP="00E30BC9">
      <w:pPr>
        <w:rPr>
          <w:rFonts w:ascii="Arial" w:hAnsi="Arial" w:cs="Arial"/>
        </w:rPr>
      </w:pPr>
      <w:r w:rsidRPr="0000352E">
        <w:rPr>
          <w:rFonts w:ascii="Arial" w:hAnsi="Arial" w:cs="Arial"/>
        </w:rPr>
        <w:t xml:space="preserve">This </w:t>
      </w:r>
      <w:r w:rsidR="006C334B">
        <w:rPr>
          <w:rFonts w:ascii="Arial" w:hAnsi="Arial" w:cs="Arial"/>
        </w:rPr>
        <w:t xml:space="preserve">summary table describes </w:t>
      </w:r>
      <w:r w:rsidRPr="0000352E">
        <w:rPr>
          <w:rFonts w:ascii="Arial" w:hAnsi="Arial" w:cs="Arial"/>
        </w:rPr>
        <w:t xml:space="preserve">the current situation in </w:t>
      </w:r>
      <w:r w:rsidR="00E30BC9">
        <w:rPr>
          <w:rFonts w:ascii="Arial" w:hAnsi="Arial" w:cs="Arial"/>
        </w:rPr>
        <w:t>Chad</w:t>
      </w:r>
      <w:r w:rsidRPr="0000352E">
        <w:rPr>
          <w:rFonts w:ascii="Arial" w:hAnsi="Arial" w:cs="Arial"/>
        </w:rPr>
        <w:t xml:space="preserve"> regarding achieving the GVAP goals.</w:t>
      </w:r>
      <w:r w:rsidR="00492F98">
        <w:rPr>
          <w:rFonts w:ascii="Arial" w:hAnsi="Arial" w:cs="Arial"/>
        </w:rPr>
        <w:t xml:space="preserve"> </w:t>
      </w:r>
      <w:r w:rsidR="00500171">
        <w:rPr>
          <w:rFonts w:ascii="Arial" w:hAnsi="Arial" w:cs="Arial"/>
        </w:rPr>
        <w:t>D</w:t>
      </w:r>
      <w:r w:rsidR="00696E6A">
        <w:rPr>
          <w:rFonts w:ascii="Arial" w:hAnsi="Arial" w:cs="Arial"/>
        </w:rPr>
        <w:t xml:space="preserve">ata </w:t>
      </w:r>
      <w:r w:rsidR="00E11B99">
        <w:rPr>
          <w:rFonts w:ascii="Arial" w:hAnsi="Arial" w:cs="Arial"/>
        </w:rPr>
        <w:t xml:space="preserve">used to assess progress towards achievement of </w:t>
      </w:r>
      <w:r w:rsidR="00696E6A">
        <w:rPr>
          <w:rFonts w:ascii="Arial" w:hAnsi="Arial" w:cs="Arial"/>
        </w:rPr>
        <w:t xml:space="preserve">GVAP </w:t>
      </w:r>
      <w:r w:rsidR="0008308B">
        <w:rPr>
          <w:rFonts w:ascii="Arial" w:hAnsi="Arial" w:cs="Arial"/>
        </w:rPr>
        <w:t>goals are included in the annex</w:t>
      </w:r>
      <w:r w:rsidR="00696E6A">
        <w:rPr>
          <w:rFonts w:ascii="Arial" w:hAnsi="Arial" w:cs="Arial"/>
        </w:rPr>
        <w:t>.</w:t>
      </w:r>
    </w:p>
    <w:tbl>
      <w:tblPr>
        <w:tblW w:w="9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0"/>
        <w:gridCol w:w="3677"/>
        <w:gridCol w:w="2423"/>
      </w:tblGrid>
      <w:tr w:rsidR="00067068" w:rsidRPr="00067068" w14:paraId="66254230" w14:textId="77777777" w:rsidTr="002A57FE">
        <w:trPr>
          <w:trHeight w:val="323"/>
          <w:tblHeader/>
          <w:jc w:val="center"/>
        </w:trPr>
        <w:tc>
          <w:tcPr>
            <w:tcW w:w="3220" w:type="dxa"/>
            <w:shd w:val="clear" w:color="auto" w:fill="auto"/>
            <w:hideMark/>
          </w:tcPr>
          <w:p w14:paraId="56DB7616"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Area</w:t>
            </w:r>
          </w:p>
        </w:tc>
        <w:tc>
          <w:tcPr>
            <w:tcW w:w="3677" w:type="dxa"/>
            <w:shd w:val="clear" w:color="auto" w:fill="auto"/>
            <w:hideMark/>
          </w:tcPr>
          <w:p w14:paraId="3C4E1FB5"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Indicator</w:t>
            </w:r>
          </w:p>
        </w:tc>
        <w:tc>
          <w:tcPr>
            <w:tcW w:w="2423" w:type="dxa"/>
            <w:shd w:val="clear" w:color="auto" w:fill="auto"/>
            <w:hideMark/>
          </w:tcPr>
          <w:p w14:paraId="0B26AF71" w14:textId="77777777" w:rsidR="00067068" w:rsidRPr="00067068" w:rsidRDefault="00067068" w:rsidP="0008308B">
            <w:pPr>
              <w:spacing w:after="0" w:line="240" w:lineRule="auto"/>
              <w:jc w:val="center"/>
              <w:rPr>
                <w:rFonts w:ascii="Calibri" w:eastAsia="Times New Roman" w:hAnsi="Calibri" w:cs="Calibri"/>
                <w:b/>
                <w:bCs/>
                <w:color w:val="000000"/>
                <w:sz w:val="28"/>
                <w:szCs w:val="28"/>
                <w:lang w:eastAsia="en-GB"/>
              </w:rPr>
            </w:pPr>
            <w:r w:rsidRPr="00067068">
              <w:rPr>
                <w:rFonts w:ascii="Calibri" w:eastAsia="Times New Roman" w:hAnsi="Calibri" w:cs="Calibri"/>
                <w:b/>
                <w:bCs/>
                <w:color w:val="000000"/>
                <w:sz w:val="28"/>
                <w:szCs w:val="28"/>
                <w:lang w:eastAsia="en-GB"/>
              </w:rPr>
              <w:t>Chad</w:t>
            </w:r>
          </w:p>
        </w:tc>
      </w:tr>
      <w:tr w:rsidR="00DD392C" w:rsidRPr="00067068" w14:paraId="346DE2C6" w14:textId="77777777" w:rsidTr="002A57FE">
        <w:trPr>
          <w:trHeight w:val="323"/>
          <w:jc w:val="center"/>
        </w:trPr>
        <w:tc>
          <w:tcPr>
            <w:tcW w:w="3220" w:type="dxa"/>
            <w:vMerge w:val="restart"/>
            <w:shd w:val="clear" w:color="000000" w:fill="EBF1DE"/>
            <w:hideMark/>
          </w:tcPr>
          <w:p w14:paraId="78B2A423" w14:textId="4157BD9A" w:rsidR="00DD392C" w:rsidRPr="00067068" w:rsidRDefault="00DD392C" w:rsidP="00DD392C">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5. Reach 90% national covera</w:t>
            </w:r>
            <w:r>
              <w:rPr>
                <w:rFonts w:ascii="Calibri" w:eastAsia="Times New Roman" w:hAnsi="Calibri" w:cs="Calibri"/>
                <w:b/>
                <w:bCs/>
                <w:color w:val="000000"/>
                <w:lang w:eastAsia="en-GB"/>
              </w:rPr>
              <w:t>ge and 80% in every district wi</w:t>
            </w:r>
            <w:r w:rsidRPr="00067068">
              <w:rPr>
                <w:rFonts w:ascii="Calibri" w:eastAsia="Times New Roman" w:hAnsi="Calibri" w:cs="Calibri"/>
                <w:b/>
                <w:bCs/>
                <w:color w:val="000000"/>
                <w:lang w:eastAsia="en-GB"/>
              </w:rPr>
              <w:t xml:space="preserve">th </w:t>
            </w:r>
            <w:r>
              <w:rPr>
                <w:rFonts w:ascii="Calibri" w:eastAsia="Times New Roman" w:hAnsi="Calibri" w:cs="Calibri"/>
                <w:b/>
                <w:bCs/>
                <w:color w:val="000000"/>
                <w:lang w:eastAsia="en-GB"/>
              </w:rPr>
              <w:t xml:space="preserve">third dose of </w:t>
            </w:r>
            <w:r w:rsidRPr="00067068">
              <w:rPr>
                <w:rFonts w:ascii="Calibri" w:eastAsia="Times New Roman" w:hAnsi="Calibri" w:cs="Calibri"/>
                <w:b/>
                <w:bCs/>
                <w:color w:val="000000"/>
                <w:lang w:eastAsia="en-GB"/>
              </w:rPr>
              <w:t>DTP</w:t>
            </w:r>
            <w:r>
              <w:rPr>
                <w:rFonts w:ascii="Calibri" w:eastAsia="Times New Roman" w:hAnsi="Calibri" w:cs="Calibri"/>
                <w:b/>
                <w:bCs/>
                <w:color w:val="000000"/>
                <w:lang w:eastAsia="en-GB"/>
              </w:rPr>
              <w:t>-containing vaccine</w:t>
            </w:r>
          </w:p>
        </w:tc>
        <w:tc>
          <w:tcPr>
            <w:tcW w:w="3677" w:type="dxa"/>
            <w:shd w:val="clear" w:color="000000" w:fill="EBF1DE"/>
            <w:hideMark/>
          </w:tcPr>
          <w:p w14:paraId="784FBDC9" w14:textId="2504F443" w:rsidR="00DD392C" w:rsidRPr="00067068" w:rsidRDefault="00DD392C" w:rsidP="00DD392C">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National coverage (WUENIC 201</w:t>
            </w:r>
            <w:r>
              <w:rPr>
                <w:rFonts w:ascii="Calibri" w:eastAsia="Times New Roman" w:hAnsi="Calibri" w:cs="Calibri"/>
                <w:b/>
                <w:bCs/>
                <w:color w:val="000000"/>
                <w:lang w:eastAsia="en-GB"/>
              </w:rPr>
              <w:t>5</w:t>
            </w:r>
            <w:r w:rsidRPr="00067068">
              <w:rPr>
                <w:rFonts w:ascii="Calibri" w:eastAsia="Times New Roman" w:hAnsi="Calibri" w:cs="Calibri"/>
                <w:b/>
                <w:bCs/>
                <w:color w:val="000000"/>
                <w:lang w:eastAsia="en-GB"/>
              </w:rPr>
              <w:t>)</w:t>
            </w:r>
          </w:p>
        </w:tc>
        <w:tc>
          <w:tcPr>
            <w:tcW w:w="2423" w:type="dxa"/>
            <w:shd w:val="clear" w:color="000000" w:fill="FF0000"/>
            <w:hideMark/>
          </w:tcPr>
          <w:p w14:paraId="35FFE12A" w14:textId="1B7B12F3" w:rsidR="00DD392C" w:rsidRPr="00067068" w:rsidRDefault="00DD392C" w:rsidP="00341AB8">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55</w:t>
            </w:r>
            <w:r w:rsidRPr="00067068">
              <w:rPr>
                <w:rFonts w:ascii="Calibri" w:eastAsia="Times New Roman" w:hAnsi="Calibri" w:cs="Calibri"/>
                <w:b/>
                <w:bCs/>
                <w:color w:val="000000"/>
                <w:lang w:eastAsia="en-GB"/>
              </w:rPr>
              <w:t>%</w:t>
            </w:r>
          </w:p>
        </w:tc>
      </w:tr>
      <w:tr w:rsidR="00DD392C" w:rsidRPr="00067068" w14:paraId="2AB6FC4F" w14:textId="77777777" w:rsidTr="002A57FE">
        <w:trPr>
          <w:trHeight w:val="900"/>
          <w:jc w:val="center"/>
        </w:trPr>
        <w:tc>
          <w:tcPr>
            <w:tcW w:w="3220" w:type="dxa"/>
            <w:vMerge/>
            <w:shd w:val="clear" w:color="000000" w:fill="EBF1DE"/>
          </w:tcPr>
          <w:p w14:paraId="76A18996" w14:textId="5E1183FA" w:rsidR="00DD392C" w:rsidRPr="00067068" w:rsidRDefault="00DD392C" w:rsidP="00341AB8">
            <w:pPr>
              <w:spacing w:after="0" w:line="240" w:lineRule="auto"/>
              <w:rPr>
                <w:rFonts w:ascii="Calibri" w:eastAsia="Times New Roman" w:hAnsi="Calibri" w:cs="Calibri"/>
                <w:b/>
                <w:bCs/>
                <w:color w:val="000000"/>
                <w:lang w:eastAsia="en-GB"/>
              </w:rPr>
            </w:pPr>
          </w:p>
        </w:tc>
        <w:tc>
          <w:tcPr>
            <w:tcW w:w="3677" w:type="dxa"/>
            <w:shd w:val="clear" w:color="000000" w:fill="EBF1DE"/>
            <w:hideMark/>
          </w:tcPr>
          <w:p w14:paraId="2E284085" w14:textId="437C248E" w:rsidR="00DD392C" w:rsidRPr="00067068" w:rsidRDefault="00DD392C" w:rsidP="00DD392C">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 xml:space="preserve">Dropout rate DTP1 </w:t>
            </w:r>
            <w:r>
              <w:rPr>
                <w:rFonts w:ascii="Calibri" w:eastAsia="Times New Roman" w:hAnsi="Calibri" w:cs="Calibri"/>
                <w:b/>
                <w:bCs/>
                <w:color w:val="000000"/>
                <w:lang w:eastAsia="en-GB"/>
              </w:rPr>
              <w:t xml:space="preserve">to </w:t>
            </w:r>
            <w:r w:rsidRPr="00067068">
              <w:rPr>
                <w:rFonts w:ascii="Calibri" w:eastAsia="Times New Roman" w:hAnsi="Calibri" w:cs="Calibri"/>
                <w:b/>
                <w:bCs/>
                <w:color w:val="000000"/>
                <w:lang w:eastAsia="en-GB"/>
              </w:rPr>
              <w:t>DTP3 (201</w:t>
            </w:r>
            <w:r>
              <w:rPr>
                <w:rFonts w:ascii="Calibri" w:eastAsia="Times New Roman" w:hAnsi="Calibri" w:cs="Calibri"/>
                <w:b/>
                <w:bCs/>
                <w:color w:val="000000"/>
                <w:lang w:eastAsia="en-GB"/>
              </w:rPr>
              <w:t>5 WUENIC)</w:t>
            </w:r>
          </w:p>
        </w:tc>
        <w:tc>
          <w:tcPr>
            <w:tcW w:w="2423" w:type="dxa"/>
            <w:shd w:val="clear" w:color="000000" w:fill="FF0000"/>
            <w:hideMark/>
          </w:tcPr>
          <w:p w14:paraId="0749866F" w14:textId="513EBA6B" w:rsidR="00DD392C" w:rsidRPr="00067068" w:rsidRDefault="0038449B" w:rsidP="00341AB8">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8</w:t>
            </w:r>
            <w:r w:rsidR="00DD392C" w:rsidRPr="00067068">
              <w:rPr>
                <w:rFonts w:ascii="Calibri" w:eastAsia="Times New Roman" w:hAnsi="Calibri" w:cs="Calibri"/>
                <w:b/>
                <w:bCs/>
                <w:color w:val="000000"/>
                <w:lang w:eastAsia="en-GB"/>
              </w:rPr>
              <w:t>%</w:t>
            </w:r>
          </w:p>
        </w:tc>
      </w:tr>
      <w:tr w:rsidR="00DD392C" w:rsidRPr="00067068" w14:paraId="29F8E326" w14:textId="77777777" w:rsidTr="002A57FE">
        <w:trPr>
          <w:trHeight w:val="900"/>
          <w:jc w:val="center"/>
        </w:trPr>
        <w:tc>
          <w:tcPr>
            <w:tcW w:w="3220" w:type="dxa"/>
            <w:vMerge/>
            <w:shd w:val="clear" w:color="000000" w:fill="EBF1DE"/>
          </w:tcPr>
          <w:p w14:paraId="48FA2E14" w14:textId="6100EF27" w:rsidR="00DD392C" w:rsidRPr="00067068" w:rsidRDefault="00DD392C" w:rsidP="00341AB8">
            <w:pPr>
              <w:spacing w:after="0" w:line="240" w:lineRule="auto"/>
              <w:rPr>
                <w:rFonts w:ascii="Calibri" w:eastAsia="Times New Roman" w:hAnsi="Calibri" w:cs="Calibri"/>
                <w:b/>
                <w:bCs/>
                <w:color w:val="000000"/>
                <w:lang w:eastAsia="en-GB"/>
              </w:rPr>
            </w:pPr>
          </w:p>
        </w:tc>
        <w:tc>
          <w:tcPr>
            <w:tcW w:w="3677" w:type="dxa"/>
            <w:shd w:val="clear" w:color="000000" w:fill="EBF1DE"/>
            <w:hideMark/>
          </w:tcPr>
          <w:p w14:paraId="40C684C4" w14:textId="1089DABF" w:rsidR="00DD392C" w:rsidRPr="00067068" w:rsidRDefault="00DD392C" w:rsidP="00DD392C">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 xml:space="preserve">Actual numbers of children </w:t>
            </w:r>
            <w:r>
              <w:rPr>
                <w:rFonts w:ascii="Calibri" w:eastAsia="Times New Roman" w:hAnsi="Calibri" w:cs="Calibri"/>
                <w:b/>
                <w:bCs/>
                <w:color w:val="000000"/>
                <w:lang w:eastAsia="en-GB"/>
              </w:rPr>
              <w:t>who</w:t>
            </w:r>
            <w:r w:rsidRPr="00067068">
              <w:rPr>
                <w:rFonts w:ascii="Calibri" w:eastAsia="Times New Roman" w:hAnsi="Calibri" w:cs="Calibri"/>
                <w:b/>
                <w:bCs/>
                <w:color w:val="000000"/>
                <w:lang w:eastAsia="en-GB"/>
              </w:rPr>
              <w:t xml:space="preserve"> dropped out (201</w:t>
            </w:r>
            <w:r>
              <w:rPr>
                <w:rFonts w:ascii="Calibri" w:eastAsia="Times New Roman" w:hAnsi="Calibri" w:cs="Calibri"/>
                <w:b/>
                <w:bCs/>
                <w:color w:val="000000"/>
                <w:lang w:eastAsia="en-GB"/>
              </w:rPr>
              <w:t>5</w:t>
            </w:r>
            <w:r w:rsidRPr="00067068">
              <w:rPr>
                <w:rFonts w:ascii="Calibri" w:eastAsia="Times New Roman" w:hAnsi="Calibri" w:cs="Calibri"/>
                <w:b/>
                <w:bCs/>
                <w:color w:val="000000"/>
                <w:lang w:eastAsia="en-GB"/>
              </w:rPr>
              <w:t xml:space="preserve"> WUENIC)</w:t>
            </w:r>
          </w:p>
        </w:tc>
        <w:tc>
          <w:tcPr>
            <w:tcW w:w="2423" w:type="dxa"/>
            <w:shd w:val="clear" w:color="000000" w:fill="FF0000"/>
            <w:hideMark/>
          </w:tcPr>
          <w:p w14:paraId="2391C32A" w14:textId="74C986F3" w:rsidR="00DD392C" w:rsidRPr="00067068" w:rsidRDefault="0038449B" w:rsidP="00341AB8">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28,600</w:t>
            </w:r>
          </w:p>
        </w:tc>
      </w:tr>
      <w:tr w:rsidR="00DD392C" w:rsidRPr="00067068" w14:paraId="16F8AC4F" w14:textId="77777777" w:rsidTr="002A57FE">
        <w:trPr>
          <w:trHeight w:val="593"/>
          <w:jc w:val="center"/>
        </w:trPr>
        <w:tc>
          <w:tcPr>
            <w:tcW w:w="3220" w:type="dxa"/>
            <w:vMerge/>
            <w:shd w:val="clear" w:color="000000" w:fill="EBF1DE"/>
          </w:tcPr>
          <w:p w14:paraId="4C2EE7D2" w14:textId="7BE38321" w:rsidR="00DD392C" w:rsidRPr="00067068" w:rsidRDefault="00DD392C" w:rsidP="00341AB8">
            <w:pPr>
              <w:spacing w:after="0" w:line="240" w:lineRule="auto"/>
              <w:rPr>
                <w:rFonts w:ascii="Calibri" w:eastAsia="Times New Roman" w:hAnsi="Calibri" w:cs="Calibri"/>
                <w:b/>
                <w:bCs/>
                <w:color w:val="000000"/>
                <w:lang w:eastAsia="en-GB"/>
              </w:rPr>
            </w:pPr>
          </w:p>
        </w:tc>
        <w:tc>
          <w:tcPr>
            <w:tcW w:w="3677" w:type="dxa"/>
            <w:shd w:val="clear" w:color="000000" w:fill="EBF1DE"/>
            <w:hideMark/>
          </w:tcPr>
          <w:p w14:paraId="3E8033EA" w14:textId="77777777" w:rsidR="00DD392C" w:rsidRPr="00067068" w:rsidRDefault="00DD392C"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Difference between poorest and richest quintile DTP3 coverage (2013 data)</w:t>
            </w:r>
          </w:p>
        </w:tc>
        <w:tc>
          <w:tcPr>
            <w:tcW w:w="2423" w:type="dxa"/>
            <w:shd w:val="clear" w:color="000000" w:fill="FF0000"/>
            <w:hideMark/>
          </w:tcPr>
          <w:p w14:paraId="5A70083B" w14:textId="77777777" w:rsidR="00DD392C" w:rsidRPr="00067068" w:rsidRDefault="00DD392C" w:rsidP="00341AB8">
            <w:pPr>
              <w:spacing w:after="0" w:line="240" w:lineRule="auto"/>
              <w:jc w:val="center"/>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38.3</w:t>
            </w:r>
          </w:p>
        </w:tc>
      </w:tr>
      <w:tr w:rsidR="00DD392C" w:rsidRPr="00067068" w14:paraId="7B1BA50B" w14:textId="77777777" w:rsidTr="002A57FE">
        <w:trPr>
          <w:trHeight w:val="620"/>
          <w:jc w:val="center"/>
        </w:trPr>
        <w:tc>
          <w:tcPr>
            <w:tcW w:w="3220" w:type="dxa"/>
            <w:vMerge/>
            <w:shd w:val="clear" w:color="000000" w:fill="EBF1DE"/>
          </w:tcPr>
          <w:p w14:paraId="5CF70340" w14:textId="622A92A1" w:rsidR="00DD392C" w:rsidRPr="00067068" w:rsidRDefault="00DD392C" w:rsidP="00341AB8">
            <w:pPr>
              <w:spacing w:after="0" w:line="240" w:lineRule="auto"/>
              <w:rPr>
                <w:rFonts w:ascii="Calibri" w:eastAsia="Times New Roman" w:hAnsi="Calibri" w:cs="Calibri"/>
                <w:b/>
                <w:bCs/>
                <w:color w:val="000000"/>
                <w:lang w:eastAsia="en-GB"/>
              </w:rPr>
            </w:pPr>
          </w:p>
        </w:tc>
        <w:tc>
          <w:tcPr>
            <w:tcW w:w="3677" w:type="dxa"/>
            <w:shd w:val="clear" w:color="000000" w:fill="EBF1DE"/>
            <w:hideMark/>
          </w:tcPr>
          <w:p w14:paraId="0B44A311" w14:textId="77777777" w:rsidR="00DD392C" w:rsidRPr="00067068" w:rsidRDefault="00DD392C" w:rsidP="00341AB8">
            <w:pPr>
              <w:spacing w:after="0" w:line="240" w:lineRule="auto"/>
              <w:rPr>
                <w:rFonts w:ascii="Calibri" w:eastAsia="Times New Roman" w:hAnsi="Calibri" w:cs="Calibri"/>
                <w:b/>
                <w:bCs/>
                <w:color w:val="000000"/>
                <w:lang w:eastAsia="en-GB"/>
              </w:rPr>
            </w:pPr>
            <w:r w:rsidRPr="00067068">
              <w:rPr>
                <w:rFonts w:ascii="Calibri" w:eastAsia="Times New Roman" w:hAnsi="Calibri" w:cs="Calibri"/>
                <w:b/>
                <w:bCs/>
                <w:color w:val="000000"/>
                <w:lang w:eastAsia="en-GB"/>
              </w:rPr>
              <w:t>% District coverage reaching 80% coverage from 2015 JRF</w:t>
            </w:r>
          </w:p>
        </w:tc>
        <w:tc>
          <w:tcPr>
            <w:tcW w:w="2423" w:type="dxa"/>
            <w:shd w:val="clear" w:color="000000" w:fill="FF0000"/>
            <w:hideMark/>
          </w:tcPr>
          <w:p w14:paraId="564A4A92" w14:textId="611C3181" w:rsidR="00DD392C" w:rsidRPr="00067068" w:rsidRDefault="00DD392C" w:rsidP="00DD392C">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51</w:t>
            </w:r>
            <w:r w:rsidRPr="00067068">
              <w:rPr>
                <w:rFonts w:ascii="Calibri" w:eastAsia="Times New Roman" w:hAnsi="Calibri" w:cs="Calibri"/>
                <w:b/>
                <w:bCs/>
                <w:color w:val="000000"/>
                <w:lang w:eastAsia="en-GB"/>
              </w:rPr>
              <w:t>%</w:t>
            </w:r>
          </w:p>
        </w:tc>
      </w:tr>
    </w:tbl>
    <w:p w14:paraId="4BCBFABB" w14:textId="77777777" w:rsidR="00641572" w:rsidRDefault="00641572">
      <w:pPr>
        <w:rPr>
          <w:rFonts w:ascii="Arial" w:hAnsi="Arial" w:cs="Arial"/>
        </w:rPr>
        <w:sectPr w:rsidR="00641572" w:rsidSect="000117E8">
          <w:footerReference w:type="default" r:id="rId9"/>
          <w:type w:val="continuous"/>
          <w:pgSz w:w="11906" w:h="16838"/>
          <w:pgMar w:top="1440" w:right="1440" w:bottom="1440" w:left="1440" w:header="709" w:footer="709" w:gutter="0"/>
          <w:cols w:space="708"/>
          <w:docGrid w:linePitch="360"/>
        </w:sectPr>
      </w:pPr>
    </w:p>
    <w:p w14:paraId="606420B1" w14:textId="148CF66A" w:rsidR="000117E8" w:rsidRPr="00373BA5" w:rsidRDefault="00D2654F" w:rsidP="000117E8">
      <w:pPr>
        <w:rPr>
          <w:rFonts w:ascii="Arial" w:hAnsi="Arial" w:cs="Arial"/>
          <w:b/>
        </w:rPr>
      </w:pPr>
      <w:r>
        <w:rPr>
          <w:rFonts w:ascii="Arial" w:hAnsi="Arial" w:cs="Arial"/>
          <w:b/>
        </w:rPr>
        <w:lastRenderedPageBreak/>
        <w:t xml:space="preserve">3.3 </w:t>
      </w:r>
      <w:r w:rsidR="000117E8">
        <w:rPr>
          <w:rFonts w:ascii="Arial" w:hAnsi="Arial" w:cs="Arial"/>
          <w:b/>
        </w:rPr>
        <w:t>Goal 3: M</w:t>
      </w:r>
      <w:r w:rsidR="000117E8" w:rsidRPr="00373BA5">
        <w:rPr>
          <w:rFonts w:ascii="Arial" w:hAnsi="Arial" w:cs="Arial"/>
          <w:b/>
        </w:rPr>
        <w:t>eet vaccination coverage targets</w:t>
      </w:r>
    </w:p>
    <w:p w14:paraId="7C47132B" w14:textId="7D5B4969" w:rsidR="000117E8" w:rsidRDefault="009C450A" w:rsidP="006E2E24">
      <w:pPr>
        <w:pStyle w:val="ListParagraph"/>
        <w:numPr>
          <w:ilvl w:val="1"/>
          <w:numId w:val="1"/>
        </w:numPr>
        <w:ind w:left="360"/>
        <w:contextualSpacing w:val="0"/>
        <w:rPr>
          <w:rFonts w:ascii="Arial" w:hAnsi="Arial" w:cs="Arial"/>
          <w:b/>
        </w:rPr>
      </w:pPr>
      <w:r>
        <w:rPr>
          <w:rFonts w:ascii="Arial" w:hAnsi="Arial" w:cs="Arial"/>
          <w:b/>
        </w:rPr>
        <w:t>Achieve 90% n</w:t>
      </w:r>
      <w:r w:rsidR="000117E8" w:rsidRPr="00825812">
        <w:rPr>
          <w:rFonts w:ascii="Arial" w:hAnsi="Arial" w:cs="Arial"/>
          <w:b/>
        </w:rPr>
        <w:t xml:space="preserve">ational coverage and 80% in every district with 3 doses of </w:t>
      </w:r>
      <w:r w:rsidRPr="00825812">
        <w:rPr>
          <w:rFonts w:ascii="Arial" w:hAnsi="Arial" w:cs="Arial"/>
          <w:b/>
        </w:rPr>
        <w:t>diphtheria</w:t>
      </w:r>
      <w:r w:rsidR="000117E8" w:rsidRPr="00825812">
        <w:rPr>
          <w:rFonts w:ascii="Arial" w:hAnsi="Arial" w:cs="Arial"/>
          <w:b/>
        </w:rPr>
        <w:t>-tetanus-pertussis containing vaccines</w:t>
      </w:r>
    </w:p>
    <w:p w14:paraId="522C7D45" w14:textId="17BCE166" w:rsidR="009C450A" w:rsidRDefault="00D60EC5" w:rsidP="009C450A">
      <w:pPr>
        <w:rPr>
          <w:rFonts w:ascii="Arial" w:hAnsi="Arial" w:cs="Arial"/>
        </w:rPr>
      </w:pPr>
      <w:r>
        <w:rPr>
          <w:rFonts w:ascii="Arial" w:hAnsi="Arial" w:cs="Arial"/>
        </w:rPr>
        <w:t xml:space="preserve">Chad is still quite far from meeting the national and district-level coverage targets for DPT-containing vaccine (pentavalent) and </w:t>
      </w:r>
      <w:r w:rsidR="00A071BA">
        <w:rPr>
          <w:rFonts w:ascii="Arial" w:hAnsi="Arial" w:cs="Arial"/>
        </w:rPr>
        <w:t xml:space="preserve">for </w:t>
      </w:r>
      <w:r>
        <w:rPr>
          <w:rFonts w:ascii="Arial" w:hAnsi="Arial" w:cs="Arial"/>
        </w:rPr>
        <w:t xml:space="preserve">all other vaccines in the immunization schedule. The 2015 WUENIC estimates show national coverage of 55% for three pentavalent doses, 62% for measles and for three doses of OPV, and 49% for yellow fever. </w:t>
      </w:r>
      <w:r w:rsidR="008F1958">
        <w:rPr>
          <w:rFonts w:ascii="Arial" w:hAnsi="Arial" w:cs="Arial"/>
        </w:rPr>
        <w:t>The 2014</w:t>
      </w:r>
      <w:r w:rsidR="00A05916">
        <w:rPr>
          <w:rFonts w:ascii="Arial" w:hAnsi="Arial" w:cs="Arial"/>
        </w:rPr>
        <w:t>-2015</w:t>
      </w:r>
      <w:r w:rsidR="008F1958">
        <w:rPr>
          <w:rFonts w:ascii="Arial" w:hAnsi="Arial" w:cs="Arial"/>
        </w:rPr>
        <w:t xml:space="preserve"> DH</w:t>
      </w:r>
      <w:r w:rsidR="00A05916">
        <w:rPr>
          <w:rFonts w:ascii="Arial" w:hAnsi="Arial" w:cs="Arial"/>
        </w:rPr>
        <w:t>S</w:t>
      </w:r>
      <w:r w:rsidR="008F1958">
        <w:rPr>
          <w:rFonts w:ascii="Arial" w:hAnsi="Arial" w:cs="Arial"/>
        </w:rPr>
        <w:t xml:space="preserve">/MICS </w:t>
      </w:r>
      <w:r w:rsidR="00A05916">
        <w:rPr>
          <w:rFonts w:ascii="Arial" w:hAnsi="Arial" w:cs="Arial"/>
        </w:rPr>
        <w:t>survey</w:t>
      </w:r>
      <w:r w:rsidR="008F1958">
        <w:rPr>
          <w:rFonts w:ascii="Arial" w:hAnsi="Arial" w:cs="Arial"/>
        </w:rPr>
        <w:t xml:space="preserve"> shows considerably lower coverage rates, however, with </w:t>
      </w:r>
      <w:r w:rsidR="00A071BA">
        <w:rPr>
          <w:rFonts w:ascii="Arial" w:hAnsi="Arial" w:cs="Arial"/>
        </w:rPr>
        <w:t xml:space="preserve">rates for three </w:t>
      </w:r>
      <w:r w:rsidR="00A071BA">
        <w:rPr>
          <w:rFonts w:ascii="Arial" w:hAnsi="Arial" w:cs="Arial"/>
        </w:rPr>
        <w:lastRenderedPageBreak/>
        <w:t>pentavalent vaccine doses among</w:t>
      </w:r>
      <w:r w:rsidR="008F1958">
        <w:rPr>
          <w:rFonts w:ascii="Arial" w:hAnsi="Arial" w:cs="Arial"/>
        </w:rPr>
        <w:t xml:space="preserve"> 12-23 month olds</w:t>
      </w:r>
      <w:r w:rsidR="00A071BA">
        <w:rPr>
          <w:rFonts w:ascii="Arial" w:hAnsi="Arial" w:cs="Arial"/>
        </w:rPr>
        <w:t xml:space="preserve"> of 33%</w:t>
      </w:r>
      <w:r w:rsidR="008F1958">
        <w:rPr>
          <w:rFonts w:ascii="Arial" w:hAnsi="Arial" w:cs="Arial"/>
        </w:rPr>
        <w:t xml:space="preserve">, 50% </w:t>
      </w:r>
      <w:r w:rsidR="00A071BA">
        <w:rPr>
          <w:rFonts w:ascii="Arial" w:hAnsi="Arial" w:cs="Arial"/>
        </w:rPr>
        <w:t>for</w:t>
      </w:r>
      <w:r w:rsidR="008F1958">
        <w:rPr>
          <w:rFonts w:ascii="Arial" w:hAnsi="Arial" w:cs="Arial"/>
        </w:rPr>
        <w:t xml:space="preserve"> three doses of polio vaccine, and 57% </w:t>
      </w:r>
      <w:r w:rsidR="00A071BA">
        <w:rPr>
          <w:rFonts w:ascii="Arial" w:hAnsi="Arial" w:cs="Arial"/>
        </w:rPr>
        <w:t>for</w:t>
      </w:r>
      <w:r w:rsidR="008F1958">
        <w:rPr>
          <w:rFonts w:ascii="Arial" w:hAnsi="Arial" w:cs="Arial"/>
        </w:rPr>
        <w:t xml:space="preserve"> measles</w:t>
      </w:r>
      <w:r w:rsidR="00A071BA">
        <w:rPr>
          <w:rFonts w:ascii="Arial" w:hAnsi="Arial" w:cs="Arial"/>
        </w:rPr>
        <w:t xml:space="preserve"> vaccination</w:t>
      </w:r>
      <w:r w:rsidR="008F1958">
        <w:rPr>
          <w:rFonts w:ascii="Arial" w:hAnsi="Arial" w:cs="Arial"/>
        </w:rPr>
        <w:t>.</w:t>
      </w:r>
      <w:r w:rsidR="008F1958">
        <w:rPr>
          <w:rStyle w:val="FootnoteReference"/>
          <w:rFonts w:ascii="Arial" w:hAnsi="Arial" w:cs="Arial"/>
        </w:rPr>
        <w:footnoteReference w:id="1"/>
      </w:r>
      <w:r w:rsidR="008F1958">
        <w:rPr>
          <w:rFonts w:ascii="Arial" w:hAnsi="Arial" w:cs="Arial"/>
        </w:rPr>
        <w:t xml:space="preserve"> </w:t>
      </w:r>
      <w:r>
        <w:rPr>
          <w:rFonts w:ascii="Arial" w:hAnsi="Arial" w:cs="Arial"/>
        </w:rPr>
        <w:t xml:space="preserve">High dropout rates – estimated to be 17-26% between DPT1 and DPT3 by several sources – are a major contributing factor for the low coverage rates of both </w:t>
      </w:r>
      <w:r w:rsidR="008F1958">
        <w:rPr>
          <w:rFonts w:ascii="Arial" w:hAnsi="Arial" w:cs="Arial"/>
        </w:rPr>
        <w:t>pentavalent and polio vaccines. Administrative data show that 51% of districts in 2015 had achieved DPT3 coverage of ≥80% and these rates are likely to be inflated.</w:t>
      </w:r>
      <w:r w:rsidR="008F1958">
        <w:rPr>
          <w:rStyle w:val="FootnoteReference"/>
          <w:rFonts w:ascii="Arial" w:hAnsi="Arial" w:cs="Arial"/>
        </w:rPr>
        <w:footnoteReference w:id="2"/>
      </w:r>
    </w:p>
    <w:p w14:paraId="2831146B" w14:textId="362C9499" w:rsidR="00A05916" w:rsidRDefault="00A05916" w:rsidP="009C450A">
      <w:pPr>
        <w:rPr>
          <w:rFonts w:ascii="Arial" w:hAnsi="Arial" w:cs="Arial"/>
        </w:rPr>
      </w:pPr>
      <w:r>
        <w:rPr>
          <w:rFonts w:ascii="Arial" w:hAnsi="Arial" w:cs="Arial"/>
        </w:rPr>
        <w:t xml:space="preserve">Nonetheless, immunization coverage rates have improved somewhat in the past five years or so, </w:t>
      </w:r>
      <w:r w:rsidR="00255BFD">
        <w:rPr>
          <w:rFonts w:ascii="Arial" w:hAnsi="Arial" w:cs="Arial"/>
        </w:rPr>
        <w:t xml:space="preserve">especially for DTP3 and polio 3, with a noticeable jump from 2014 to 2015 </w:t>
      </w:r>
      <w:r>
        <w:rPr>
          <w:rFonts w:ascii="Arial" w:hAnsi="Arial" w:cs="Arial"/>
        </w:rPr>
        <w:t xml:space="preserve">(Figure 2). This increase has been </w:t>
      </w:r>
      <w:r w:rsidR="00255BFD">
        <w:rPr>
          <w:rFonts w:ascii="Arial" w:hAnsi="Arial" w:cs="Arial"/>
        </w:rPr>
        <w:t xml:space="preserve">mainly </w:t>
      </w:r>
      <w:r>
        <w:rPr>
          <w:rFonts w:ascii="Arial" w:hAnsi="Arial" w:cs="Arial"/>
        </w:rPr>
        <w:t xml:space="preserve">attributed to the </w:t>
      </w:r>
      <w:r w:rsidR="00255BFD">
        <w:rPr>
          <w:rFonts w:ascii="Arial" w:hAnsi="Arial" w:cs="Arial"/>
        </w:rPr>
        <w:t xml:space="preserve">recent </w:t>
      </w:r>
      <w:r>
        <w:rPr>
          <w:rFonts w:ascii="Arial" w:hAnsi="Arial" w:cs="Arial"/>
        </w:rPr>
        <w:t>expansion of the RED strategy</w:t>
      </w:r>
      <w:r w:rsidR="00255BFD">
        <w:rPr>
          <w:rFonts w:ascii="Arial" w:hAnsi="Arial" w:cs="Arial"/>
        </w:rPr>
        <w:t xml:space="preserve"> </w:t>
      </w:r>
      <w:r>
        <w:rPr>
          <w:rFonts w:ascii="Arial" w:hAnsi="Arial" w:cs="Arial"/>
        </w:rPr>
        <w:t>– to now 54 of the country’s approximately 90 health districts</w:t>
      </w:r>
      <w:r w:rsidR="00255BFD">
        <w:rPr>
          <w:rFonts w:ascii="Arial" w:hAnsi="Arial" w:cs="Arial"/>
        </w:rPr>
        <w:t xml:space="preserve">. Efforts to improve coverage among </w:t>
      </w:r>
      <w:r>
        <w:rPr>
          <w:rFonts w:ascii="Arial" w:hAnsi="Arial" w:cs="Arial"/>
        </w:rPr>
        <w:t>hard-to-reach populations like nomadic herders</w:t>
      </w:r>
      <w:r w:rsidR="00255BFD">
        <w:rPr>
          <w:rFonts w:ascii="Arial" w:hAnsi="Arial" w:cs="Arial"/>
        </w:rPr>
        <w:t xml:space="preserve"> through intensified vaccination activities may have also played a role.</w:t>
      </w:r>
      <w:r>
        <w:rPr>
          <w:rFonts w:ascii="Arial" w:hAnsi="Arial" w:cs="Arial"/>
        </w:rPr>
        <w:t xml:space="preserve"> Other factors may include recent improvements in the security situation in the country and the movement of populations from insecure to secure areas, including camps, where they have better access to health care services. </w:t>
      </w:r>
    </w:p>
    <w:p w14:paraId="703A96EE" w14:textId="2A2849AC" w:rsidR="00A05916" w:rsidRPr="00A05916" w:rsidRDefault="00C51D8A" w:rsidP="00C51D8A">
      <w:pPr>
        <w:pStyle w:val="Caption"/>
        <w:rPr>
          <w:rFonts w:ascii="Arial" w:hAnsi="Arial" w:cs="Arial"/>
          <w:b w:val="0"/>
        </w:rPr>
      </w:pPr>
      <w:r>
        <w:t xml:space="preserve">Figure </w:t>
      </w:r>
      <w:r w:rsidR="00DC6E47">
        <w:fldChar w:fldCharType="begin"/>
      </w:r>
      <w:r w:rsidR="00DC6E47">
        <w:instrText xml:space="preserve"> SEQ Figure \* ARABIC </w:instrText>
      </w:r>
      <w:r w:rsidR="00DC6E47">
        <w:fldChar w:fldCharType="separate"/>
      </w:r>
      <w:r w:rsidR="006C216F">
        <w:rPr>
          <w:noProof/>
        </w:rPr>
        <w:t>2</w:t>
      </w:r>
      <w:r w:rsidR="00DC6E47">
        <w:rPr>
          <w:noProof/>
        </w:rPr>
        <w:fldChar w:fldCharType="end"/>
      </w:r>
      <w:r>
        <w:t xml:space="preserve">: </w:t>
      </w:r>
      <w:r w:rsidR="00A05916" w:rsidRPr="00A05916">
        <w:rPr>
          <w:rFonts w:ascii="Arial" w:hAnsi="Arial" w:cs="Arial"/>
        </w:rPr>
        <w:t>Trends in WUENIC immunization coverage rates in Chad</w:t>
      </w:r>
    </w:p>
    <w:p w14:paraId="473257B6" w14:textId="56F11C83" w:rsidR="00A05916" w:rsidRDefault="00A05916" w:rsidP="00A05916">
      <w:pPr>
        <w:jc w:val="center"/>
        <w:rPr>
          <w:rFonts w:ascii="Arial" w:hAnsi="Arial" w:cs="Arial"/>
        </w:rPr>
      </w:pPr>
      <w:r>
        <w:rPr>
          <w:noProof/>
          <w:lang w:eastAsia="zh-CN"/>
        </w:rPr>
        <w:drawing>
          <wp:inline distT="0" distB="0" distL="0" distR="0" wp14:anchorId="7AAE0C39" wp14:editId="674D73E4">
            <wp:extent cx="4114800" cy="242887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ADFB6A3" w14:textId="441FBF26" w:rsidR="00A05916" w:rsidRDefault="003A37E8" w:rsidP="00A05916">
      <w:pPr>
        <w:rPr>
          <w:rFonts w:ascii="Arial" w:hAnsi="Arial" w:cs="Arial"/>
        </w:rPr>
      </w:pPr>
      <w:r>
        <w:rPr>
          <w:rFonts w:ascii="Arial" w:hAnsi="Arial" w:cs="Arial"/>
        </w:rPr>
        <w:t>While there has not been a formal equity assessmen</w:t>
      </w:r>
      <w:r w:rsidR="00583EEF">
        <w:rPr>
          <w:rFonts w:ascii="Arial" w:hAnsi="Arial" w:cs="Arial"/>
        </w:rPr>
        <w:t>t</w:t>
      </w:r>
      <w:r>
        <w:rPr>
          <w:rFonts w:ascii="Arial" w:hAnsi="Arial" w:cs="Arial"/>
        </w:rPr>
        <w:t>, the 2014-15 DHS/MICS showed a 64% increase in pentavalent 3 coverage from the lowest to the highest income quintile (27% vs. 45%), double the coverage rates for children whose mothers ha</w:t>
      </w:r>
      <w:r w:rsidR="00A071BA">
        <w:rPr>
          <w:rFonts w:ascii="Arial" w:hAnsi="Arial" w:cs="Arial"/>
        </w:rPr>
        <w:t>d</w:t>
      </w:r>
      <w:r>
        <w:rPr>
          <w:rFonts w:ascii="Arial" w:hAnsi="Arial" w:cs="Arial"/>
        </w:rPr>
        <w:t xml:space="preserve"> a secondary school education </w:t>
      </w:r>
      <w:r w:rsidR="00A071BA">
        <w:rPr>
          <w:rFonts w:ascii="Arial" w:hAnsi="Arial" w:cs="Arial"/>
        </w:rPr>
        <w:t>over</w:t>
      </w:r>
      <w:r>
        <w:rPr>
          <w:rFonts w:ascii="Arial" w:hAnsi="Arial" w:cs="Arial"/>
        </w:rPr>
        <w:t xml:space="preserve"> those with no education (54% vs. 27%) and an eight-point higher coverage rate in urban than rural areas (40% vs. 32%). Coverage is especially low among nomadic and hard-to-reach populations living in remote desert areas.</w:t>
      </w:r>
    </w:p>
    <w:p w14:paraId="486A8E6D" w14:textId="034B10F8" w:rsidR="003A37E8" w:rsidRDefault="003A37E8" w:rsidP="00A05916">
      <w:pPr>
        <w:rPr>
          <w:rFonts w:ascii="Arial" w:hAnsi="Arial" w:cs="Arial"/>
        </w:rPr>
      </w:pPr>
      <w:r>
        <w:rPr>
          <w:rFonts w:ascii="Arial" w:hAnsi="Arial" w:cs="Arial"/>
        </w:rPr>
        <w:t>The main factors contributing to the low immunization coverage rates in Chad include:</w:t>
      </w:r>
    </w:p>
    <w:p w14:paraId="410BF88D" w14:textId="2631A398" w:rsidR="003A37E8" w:rsidRPr="000A5E5A" w:rsidRDefault="003A37E8" w:rsidP="003A37E8">
      <w:pPr>
        <w:pStyle w:val="ListParagraph"/>
        <w:numPr>
          <w:ilvl w:val="0"/>
          <w:numId w:val="29"/>
        </w:numPr>
        <w:contextualSpacing w:val="0"/>
        <w:rPr>
          <w:rFonts w:ascii="Arial" w:hAnsi="Arial" w:cs="Arial"/>
          <w:b/>
        </w:rPr>
      </w:pPr>
      <w:r w:rsidRPr="000A5E5A">
        <w:rPr>
          <w:rFonts w:ascii="Arial" w:hAnsi="Arial" w:cs="Arial"/>
          <w:b/>
        </w:rPr>
        <w:t>Insufficient availability of health services, including immunization</w:t>
      </w:r>
    </w:p>
    <w:p w14:paraId="771391F6" w14:textId="4429A2F6" w:rsidR="000A5E5A" w:rsidRDefault="000A5E5A" w:rsidP="000A5E5A">
      <w:pPr>
        <w:rPr>
          <w:rFonts w:ascii="Arial" w:hAnsi="Arial" w:cs="Arial"/>
        </w:rPr>
      </w:pPr>
      <w:r>
        <w:rPr>
          <w:rFonts w:ascii="Arial" w:hAnsi="Arial" w:cs="Arial"/>
        </w:rPr>
        <w:t xml:space="preserve">There are not enough health facilities in Chad to make health care services assessable to all. While the government’s plan is to have one health zone (consisting of a health facility) for every 10,000 people – which would require around 1,450 facilities – there are at present around 1,160 functioning health facilities. </w:t>
      </w:r>
      <w:r w:rsidR="00956E96">
        <w:rPr>
          <w:rFonts w:ascii="Arial" w:hAnsi="Arial" w:cs="Arial"/>
        </w:rPr>
        <w:t>Health facilities</w:t>
      </w:r>
      <w:r>
        <w:rPr>
          <w:rFonts w:ascii="Arial" w:hAnsi="Arial" w:cs="Arial"/>
        </w:rPr>
        <w:t xml:space="preserve"> are especially lacking in remote </w:t>
      </w:r>
      <w:r>
        <w:rPr>
          <w:rFonts w:ascii="Arial" w:hAnsi="Arial" w:cs="Arial"/>
        </w:rPr>
        <w:lastRenderedPageBreak/>
        <w:t>areas with sparse populations. In addition, the 2</w:t>
      </w:r>
      <w:r w:rsidR="00853D73">
        <w:rPr>
          <w:rFonts w:ascii="Arial" w:hAnsi="Arial" w:cs="Arial"/>
        </w:rPr>
        <w:t>012 EPI r</w:t>
      </w:r>
      <w:r>
        <w:rPr>
          <w:rFonts w:ascii="Arial" w:hAnsi="Arial" w:cs="Arial"/>
        </w:rPr>
        <w:t xml:space="preserve">eview found that about a quarter of health facilities (24%) </w:t>
      </w:r>
      <w:proofErr w:type="gramStart"/>
      <w:r>
        <w:rPr>
          <w:rFonts w:ascii="Arial" w:hAnsi="Arial" w:cs="Arial"/>
        </w:rPr>
        <w:t>do</w:t>
      </w:r>
      <w:proofErr w:type="gramEnd"/>
      <w:r>
        <w:rPr>
          <w:rFonts w:ascii="Arial" w:hAnsi="Arial" w:cs="Arial"/>
        </w:rPr>
        <w:t xml:space="preserve"> not offer immunization services.</w:t>
      </w:r>
      <w:r w:rsidR="00853D73">
        <w:rPr>
          <w:rStyle w:val="FootnoteReference"/>
          <w:rFonts w:ascii="Arial" w:hAnsi="Arial" w:cs="Arial"/>
        </w:rPr>
        <w:footnoteReference w:id="3"/>
      </w:r>
    </w:p>
    <w:p w14:paraId="70D55110" w14:textId="0740437C" w:rsidR="000A5E5A" w:rsidRPr="000A5E5A" w:rsidRDefault="000A5E5A" w:rsidP="000A5E5A">
      <w:pPr>
        <w:rPr>
          <w:rFonts w:ascii="Arial" w:hAnsi="Arial" w:cs="Arial"/>
          <w:lang w:val="en-US"/>
        </w:rPr>
      </w:pPr>
      <w:r w:rsidRPr="000A5E5A">
        <w:rPr>
          <w:rFonts w:ascii="Arial" w:hAnsi="Arial" w:cs="Arial"/>
          <w:lang w:val="en-US"/>
        </w:rPr>
        <w:t xml:space="preserve">The frequency of immunization services in </w:t>
      </w:r>
      <w:r w:rsidR="00853D73">
        <w:rPr>
          <w:rFonts w:ascii="Arial" w:hAnsi="Arial" w:cs="Arial"/>
          <w:lang w:val="en-US"/>
        </w:rPr>
        <w:t>health facilities</w:t>
      </w:r>
      <w:r w:rsidRPr="000A5E5A">
        <w:rPr>
          <w:rFonts w:ascii="Arial" w:hAnsi="Arial" w:cs="Arial"/>
          <w:lang w:val="en-US"/>
        </w:rPr>
        <w:t xml:space="preserve"> that </w:t>
      </w:r>
      <w:r w:rsidR="00A071BA">
        <w:rPr>
          <w:rFonts w:ascii="Arial" w:hAnsi="Arial" w:cs="Arial"/>
          <w:lang w:val="en-US"/>
        </w:rPr>
        <w:t>do provide this service</w:t>
      </w:r>
      <w:r w:rsidRPr="000A5E5A">
        <w:rPr>
          <w:rFonts w:ascii="Arial" w:hAnsi="Arial" w:cs="Arial"/>
          <w:lang w:val="en-US"/>
        </w:rPr>
        <w:t xml:space="preserve"> is quite favorable compared to several neighboring countries</w:t>
      </w:r>
      <w:r w:rsidR="00956E96">
        <w:rPr>
          <w:rFonts w:ascii="Arial" w:hAnsi="Arial" w:cs="Arial"/>
          <w:lang w:val="en-US"/>
        </w:rPr>
        <w:t xml:space="preserve">, </w:t>
      </w:r>
      <w:r w:rsidRPr="000A5E5A">
        <w:rPr>
          <w:rFonts w:ascii="Arial" w:hAnsi="Arial" w:cs="Arial"/>
          <w:lang w:val="en-US"/>
        </w:rPr>
        <w:t xml:space="preserve">with 51% </w:t>
      </w:r>
      <w:r>
        <w:rPr>
          <w:rFonts w:ascii="Arial" w:hAnsi="Arial" w:cs="Arial"/>
          <w:lang w:val="en-US"/>
        </w:rPr>
        <w:t>o</w:t>
      </w:r>
      <w:r w:rsidR="00853D73">
        <w:rPr>
          <w:rFonts w:ascii="Arial" w:hAnsi="Arial" w:cs="Arial"/>
          <w:lang w:val="en-US"/>
        </w:rPr>
        <w:t xml:space="preserve">f </w:t>
      </w:r>
      <w:r w:rsidR="003C75CD">
        <w:rPr>
          <w:rFonts w:ascii="Arial" w:hAnsi="Arial" w:cs="Arial"/>
          <w:lang w:val="en-US"/>
        </w:rPr>
        <w:t>those included</w:t>
      </w:r>
      <w:r w:rsidR="00853D73">
        <w:rPr>
          <w:rFonts w:ascii="Arial" w:hAnsi="Arial" w:cs="Arial"/>
          <w:lang w:val="en-US"/>
        </w:rPr>
        <w:t xml:space="preserve"> in the EPI r</w:t>
      </w:r>
      <w:r>
        <w:rPr>
          <w:rFonts w:ascii="Arial" w:hAnsi="Arial" w:cs="Arial"/>
          <w:lang w:val="en-US"/>
        </w:rPr>
        <w:t xml:space="preserve">eview reporting that they </w:t>
      </w:r>
      <w:r w:rsidRPr="000A5E5A">
        <w:rPr>
          <w:rFonts w:ascii="Arial" w:hAnsi="Arial" w:cs="Arial"/>
          <w:lang w:val="en-US"/>
        </w:rPr>
        <w:t>hold immunization sessions</w:t>
      </w:r>
      <w:r>
        <w:rPr>
          <w:rFonts w:ascii="Arial" w:hAnsi="Arial" w:cs="Arial"/>
          <w:lang w:val="en-US"/>
        </w:rPr>
        <w:t xml:space="preserve"> once or twice a week and 39% offering services 5-7 days a week.</w:t>
      </w:r>
      <w:r>
        <w:rPr>
          <w:rStyle w:val="FootnoteReference"/>
          <w:rFonts w:ascii="Arial" w:hAnsi="Arial" w:cs="Arial"/>
          <w:lang w:val="en-US"/>
        </w:rPr>
        <w:footnoteReference w:id="4"/>
      </w:r>
      <w:r>
        <w:rPr>
          <w:rFonts w:ascii="Arial" w:hAnsi="Arial" w:cs="Arial"/>
          <w:lang w:val="en-US"/>
        </w:rPr>
        <w:t xml:space="preserve"> </w:t>
      </w:r>
      <w:r w:rsidR="00853D73">
        <w:rPr>
          <w:rFonts w:ascii="Arial" w:hAnsi="Arial" w:cs="Arial"/>
          <w:lang w:val="en-US"/>
        </w:rPr>
        <w:t xml:space="preserve">However, the review also found that 27% of health centers had had to cancel planned immunization services in the prior six months, the main reasons being a lack of personnel, injection supplies and/or kerosene for their refrigerators (or broken down refrigerators). In addition, most vaccinations are provided at fixed sites and the frequency of outreach and mobile activities is inadequate, often </w:t>
      </w:r>
      <w:r w:rsidR="00E164ED">
        <w:rPr>
          <w:rFonts w:ascii="Arial" w:hAnsi="Arial" w:cs="Arial"/>
          <w:lang w:val="en-US"/>
        </w:rPr>
        <w:t>as a result of</w:t>
      </w:r>
      <w:r w:rsidR="00853D73">
        <w:rPr>
          <w:rFonts w:ascii="Arial" w:hAnsi="Arial" w:cs="Arial"/>
          <w:lang w:val="en-US"/>
        </w:rPr>
        <w:t xml:space="preserve"> a lack of staff </w:t>
      </w:r>
      <w:r w:rsidR="00956E96">
        <w:rPr>
          <w:rFonts w:ascii="Arial" w:hAnsi="Arial" w:cs="Arial"/>
          <w:lang w:val="en-US"/>
        </w:rPr>
        <w:t>and/</w:t>
      </w:r>
      <w:r w:rsidR="00853D73">
        <w:rPr>
          <w:rFonts w:ascii="Arial" w:hAnsi="Arial" w:cs="Arial"/>
          <w:lang w:val="en-US"/>
        </w:rPr>
        <w:t>or vehicles.</w:t>
      </w:r>
      <w:r w:rsidR="00853D73">
        <w:rPr>
          <w:rStyle w:val="FootnoteReference"/>
          <w:rFonts w:ascii="Arial" w:hAnsi="Arial" w:cs="Arial"/>
          <w:lang w:val="en-US"/>
        </w:rPr>
        <w:footnoteReference w:id="5"/>
      </w:r>
    </w:p>
    <w:p w14:paraId="035D1D17" w14:textId="5B7BF523" w:rsidR="003A37E8" w:rsidRPr="00853D73" w:rsidRDefault="003A37E8" w:rsidP="003A37E8">
      <w:pPr>
        <w:pStyle w:val="ListParagraph"/>
        <w:numPr>
          <w:ilvl w:val="0"/>
          <w:numId w:val="29"/>
        </w:numPr>
        <w:contextualSpacing w:val="0"/>
        <w:rPr>
          <w:rFonts w:ascii="Arial" w:hAnsi="Arial" w:cs="Arial"/>
          <w:b/>
        </w:rPr>
      </w:pPr>
      <w:r w:rsidRPr="00853D73">
        <w:rPr>
          <w:rFonts w:ascii="Arial" w:hAnsi="Arial" w:cs="Arial"/>
          <w:b/>
        </w:rPr>
        <w:t>Inadequate communications about immunization and weak community involvement in immunization activities</w:t>
      </w:r>
    </w:p>
    <w:p w14:paraId="32179D1D" w14:textId="4557D2D4" w:rsidR="00853D73" w:rsidRDefault="00853D73" w:rsidP="00853D73">
      <w:pPr>
        <w:rPr>
          <w:rFonts w:ascii="Arial" w:hAnsi="Arial" w:cs="Arial"/>
        </w:rPr>
      </w:pPr>
      <w:r>
        <w:rPr>
          <w:rFonts w:ascii="Arial" w:hAnsi="Arial" w:cs="Arial"/>
        </w:rPr>
        <w:t>Chad</w:t>
      </w:r>
      <w:r w:rsidR="00AA6315">
        <w:rPr>
          <w:rFonts w:ascii="Arial" w:hAnsi="Arial" w:cs="Arial"/>
        </w:rPr>
        <w:t xml:space="preserve"> </w:t>
      </w:r>
      <w:r w:rsidR="00A74BBC">
        <w:rPr>
          <w:rFonts w:ascii="Arial" w:hAnsi="Arial" w:cs="Arial"/>
        </w:rPr>
        <w:t>has a system of health volunteers (</w:t>
      </w:r>
      <w:r w:rsidR="00A74BBC" w:rsidRPr="00A74BBC">
        <w:rPr>
          <w:rFonts w:ascii="Arial" w:hAnsi="Arial" w:cs="Arial"/>
          <w:i/>
        </w:rPr>
        <w:t xml:space="preserve">agents de santé </w:t>
      </w:r>
      <w:proofErr w:type="spellStart"/>
      <w:r w:rsidR="00A74BBC" w:rsidRPr="00A74BBC">
        <w:rPr>
          <w:rFonts w:ascii="Arial" w:hAnsi="Arial" w:cs="Arial"/>
          <w:i/>
        </w:rPr>
        <w:t>communautaire</w:t>
      </w:r>
      <w:proofErr w:type="spellEnd"/>
      <w:r w:rsidR="00A74BBC">
        <w:rPr>
          <w:rFonts w:ascii="Arial" w:hAnsi="Arial" w:cs="Arial"/>
        </w:rPr>
        <w:t>) in each village, who, among other tasks, promote immunization, inform their communities about upcoming immunization activities and track vaccination defaulters. However, these mobilizers are reportedly not well motivated or involved much in immunization in many areas.</w:t>
      </w:r>
      <w:r w:rsidR="00A74BBC">
        <w:rPr>
          <w:rStyle w:val="FootnoteReference"/>
          <w:rFonts w:ascii="Arial" w:hAnsi="Arial" w:cs="Arial"/>
        </w:rPr>
        <w:footnoteReference w:id="6"/>
      </w:r>
      <w:r w:rsidR="00A74BBC">
        <w:rPr>
          <w:rFonts w:ascii="Arial" w:hAnsi="Arial" w:cs="Arial"/>
        </w:rPr>
        <w:t xml:space="preserve"> There </w:t>
      </w:r>
      <w:proofErr w:type="gramStart"/>
      <w:r w:rsidR="00A74BBC">
        <w:rPr>
          <w:rFonts w:ascii="Arial" w:hAnsi="Arial" w:cs="Arial"/>
        </w:rPr>
        <w:t>has also been in the past little involvement of civil society organizations</w:t>
      </w:r>
      <w:proofErr w:type="gramEnd"/>
      <w:r w:rsidR="00A74BBC">
        <w:rPr>
          <w:rFonts w:ascii="Arial" w:hAnsi="Arial" w:cs="Arial"/>
        </w:rPr>
        <w:t xml:space="preserve"> (CSOs) in immunization. In addition, the small (three-person) communication team within the central EPI office is over-stretched, has limited resources and focuses mainly on communications in conjunction with the national immunization days and other campaigns. </w:t>
      </w:r>
      <w:r w:rsidR="00DF5F2B">
        <w:rPr>
          <w:rFonts w:ascii="Arial" w:hAnsi="Arial" w:cs="Arial"/>
        </w:rPr>
        <w:t xml:space="preserve">While new vaccine introductions provide the opportunity to increase </w:t>
      </w:r>
      <w:r w:rsidR="00E164ED">
        <w:rPr>
          <w:rFonts w:ascii="Arial" w:hAnsi="Arial" w:cs="Arial"/>
        </w:rPr>
        <w:t xml:space="preserve">population </w:t>
      </w:r>
      <w:r w:rsidR="00DF5F2B">
        <w:rPr>
          <w:rFonts w:ascii="Arial" w:hAnsi="Arial" w:cs="Arial"/>
        </w:rPr>
        <w:t xml:space="preserve">awareness about immunization and to therefore increase demand, Chad has not introduced a new vaccine (other than IPV) since 2008. </w:t>
      </w:r>
      <w:r w:rsidR="00A74BBC">
        <w:rPr>
          <w:rFonts w:ascii="Arial" w:hAnsi="Arial" w:cs="Arial"/>
        </w:rPr>
        <w:t>Communications and social mobilization for routine imm</w:t>
      </w:r>
      <w:r w:rsidR="00467055">
        <w:rPr>
          <w:rFonts w:ascii="Arial" w:hAnsi="Arial" w:cs="Arial"/>
        </w:rPr>
        <w:t xml:space="preserve">unization is therefore inadequate. </w:t>
      </w:r>
      <w:r w:rsidR="00DF5F2B">
        <w:rPr>
          <w:rFonts w:ascii="Arial" w:hAnsi="Arial" w:cs="Arial"/>
        </w:rPr>
        <w:t>The low literacy rate among women in Chad (32%) create</w:t>
      </w:r>
      <w:r w:rsidR="00E164ED">
        <w:rPr>
          <w:rFonts w:ascii="Arial" w:hAnsi="Arial" w:cs="Arial"/>
        </w:rPr>
        <w:t>s</w:t>
      </w:r>
      <w:r w:rsidR="00DF5F2B">
        <w:rPr>
          <w:rFonts w:ascii="Arial" w:hAnsi="Arial" w:cs="Arial"/>
        </w:rPr>
        <w:t xml:space="preserve"> an additional communications challenge with the public about immunization.</w:t>
      </w:r>
    </w:p>
    <w:p w14:paraId="02830FC9" w14:textId="4BD7ACD6" w:rsidR="00DF5F2B" w:rsidRPr="00853D73" w:rsidRDefault="00DF5F2B" w:rsidP="00853D73">
      <w:pPr>
        <w:rPr>
          <w:rFonts w:ascii="Arial" w:hAnsi="Arial" w:cs="Arial"/>
        </w:rPr>
      </w:pPr>
      <w:r>
        <w:rPr>
          <w:rFonts w:ascii="Arial" w:hAnsi="Arial" w:cs="Arial"/>
        </w:rPr>
        <w:t xml:space="preserve">To improve this situation, 22 local associations in 10 districts </w:t>
      </w:r>
      <w:r w:rsidR="00E164ED">
        <w:rPr>
          <w:rFonts w:ascii="Arial" w:hAnsi="Arial" w:cs="Arial"/>
        </w:rPr>
        <w:t>where the RED approach is being implemented with</w:t>
      </w:r>
      <w:r>
        <w:rPr>
          <w:rFonts w:ascii="Arial" w:hAnsi="Arial" w:cs="Arial"/>
        </w:rPr>
        <w:t xml:space="preserve"> </w:t>
      </w:r>
      <w:r w:rsidR="00E164ED">
        <w:rPr>
          <w:rFonts w:ascii="Arial" w:hAnsi="Arial" w:cs="Arial"/>
        </w:rPr>
        <w:t>GAVI</w:t>
      </w:r>
      <w:r>
        <w:rPr>
          <w:rFonts w:ascii="Arial" w:hAnsi="Arial" w:cs="Arial"/>
        </w:rPr>
        <w:t xml:space="preserve"> support have signed an agreement</w:t>
      </w:r>
      <w:r w:rsidR="003C75CD">
        <w:rPr>
          <w:rFonts w:ascii="Arial" w:hAnsi="Arial" w:cs="Arial"/>
        </w:rPr>
        <w:t xml:space="preserve"> </w:t>
      </w:r>
      <w:r>
        <w:rPr>
          <w:rFonts w:ascii="Arial" w:hAnsi="Arial" w:cs="Arial"/>
        </w:rPr>
        <w:t xml:space="preserve">to promote vaccination in their communities, with assistance from UNICEF. As </w:t>
      </w:r>
      <w:r w:rsidR="003C75CD">
        <w:rPr>
          <w:rFonts w:ascii="Arial" w:hAnsi="Arial" w:cs="Arial"/>
        </w:rPr>
        <w:t xml:space="preserve">a </w:t>
      </w:r>
      <w:r>
        <w:rPr>
          <w:rFonts w:ascii="Arial" w:hAnsi="Arial" w:cs="Arial"/>
        </w:rPr>
        <w:t>result, 1,500 community leaders participated</w:t>
      </w:r>
      <w:r w:rsidR="003C75CD">
        <w:rPr>
          <w:rFonts w:ascii="Arial" w:hAnsi="Arial" w:cs="Arial"/>
        </w:rPr>
        <w:t xml:space="preserve"> in 2015</w:t>
      </w:r>
      <w:r>
        <w:rPr>
          <w:rFonts w:ascii="Arial" w:hAnsi="Arial" w:cs="Arial"/>
        </w:rPr>
        <w:t xml:space="preserve"> in promoting and assisting with immunization activities, 640 community volunteers were recruited and trained to conduct home visits, seek out defaulters and hold social mobilization meetings and other communications activities in their community. Through these efforts, nearly 46,000 children under the age of two were </w:t>
      </w:r>
      <w:r w:rsidR="000145E4">
        <w:rPr>
          <w:rFonts w:ascii="Arial" w:hAnsi="Arial" w:cs="Arial"/>
        </w:rPr>
        <w:t>enumerated – the vast majority of whom (86-87%) had not completed the</w:t>
      </w:r>
      <w:r w:rsidR="00E164ED">
        <w:rPr>
          <w:rFonts w:ascii="Arial" w:hAnsi="Arial" w:cs="Arial"/>
        </w:rPr>
        <w:t>ir</w:t>
      </w:r>
      <w:r w:rsidR="000145E4">
        <w:rPr>
          <w:rFonts w:ascii="Arial" w:hAnsi="Arial" w:cs="Arial"/>
        </w:rPr>
        <w:t xml:space="preserve"> vaccinations and were referred to health facilities to receive missed doses.</w:t>
      </w:r>
      <w:r w:rsidR="000145E4">
        <w:rPr>
          <w:rStyle w:val="FootnoteReference"/>
          <w:rFonts w:ascii="Arial" w:hAnsi="Arial" w:cs="Arial"/>
        </w:rPr>
        <w:footnoteReference w:id="7"/>
      </w:r>
      <w:r>
        <w:rPr>
          <w:rFonts w:ascii="Arial" w:hAnsi="Arial" w:cs="Arial"/>
        </w:rPr>
        <w:t xml:space="preserve"> </w:t>
      </w:r>
    </w:p>
    <w:p w14:paraId="2FFB6319" w14:textId="77777777" w:rsidR="003A37E8" w:rsidRDefault="003A37E8" w:rsidP="003A37E8">
      <w:pPr>
        <w:pStyle w:val="ListParagraph"/>
        <w:numPr>
          <w:ilvl w:val="0"/>
          <w:numId w:val="29"/>
        </w:numPr>
        <w:contextualSpacing w:val="0"/>
        <w:rPr>
          <w:rFonts w:ascii="Arial" w:hAnsi="Arial" w:cs="Arial"/>
          <w:b/>
        </w:rPr>
      </w:pPr>
      <w:r w:rsidRPr="000145E4">
        <w:rPr>
          <w:rFonts w:ascii="Arial" w:hAnsi="Arial" w:cs="Arial"/>
          <w:b/>
        </w:rPr>
        <w:t>Insufficient implementation of the Reach Every District (RED) strategy</w:t>
      </w:r>
    </w:p>
    <w:p w14:paraId="62B1D32E" w14:textId="77D4ED87" w:rsidR="000145E4" w:rsidRPr="001869B3" w:rsidRDefault="000145E4" w:rsidP="000145E4">
      <w:pPr>
        <w:rPr>
          <w:rFonts w:ascii="Arial" w:hAnsi="Arial" w:cs="Arial"/>
          <w:lang w:val="en-US"/>
        </w:rPr>
      </w:pPr>
      <w:r>
        <w:rPr>
          <w:rFonts w:ascii="Arial" w:hAnsi="Arial" w:cs="Arial"/>
        </w:rPr>
        <w:t xml:space="preserve">With WHO and UNICEF technical support and funding from the Gates Foundation, Chad began implementing the RED strategy in 18 districts in 2004. The program has expanded </w:t>
      </w:r>
      <w:r w:rsidR="00E164ED" w:rsidRPr="001869B3">
        <w:rPr>
          <w:rFonts w:ascii="Arial" w:hAnsi="Arial" w:cs="Arial"/>
          <w:lang w:val="en-US"/>
        </w:rPr>
        <w:lastRenderedPageBreak/>
        <w:t xml:space="preserve">gradually </w:t>
      </w:r>
      <w:r w:rsidRPr="001869B3">
        <w:rPr>
          <w:rFonts w:ascii="Arial" w:hAnsi="Arial" w:cs="Arial"/>
          <w:lang w:val="en-US"/>
        </w:rPr>
        <w:t>over time to now 54 of the country’s 90 or so districts, including 22 districts supported through the GAVI HSS grant. Through this support, districts have conducted a series of activities to increase vaccination coverage, including developing and implementing micro</w:t>
      </w:r>
      <w:r w:rsidR="00E164ED" w:rsidRPr="001869B3">
        <w:rPr>
          <w:rFonts w:ascii="Arial" w:hAnsi="Arial" w:cs="Arial"/>
          <w:lang w:val="en-US"/>
        </w:rPr>
        <w:t>-</w:t>
      </w:r>
      <w:r w:rsidRPr="001869B3">
        <w:rPr>
          <w:rFonts w:ascii="Arial" w:hAnsi="Arial" w:cs="Arial"/>
          <w:lang w:val="en-US"/>
        </w:rPr>
        <w:t>plans, having UNICEF-paid consultants go house-to-house to track defaulters and get them vaccinated, procuring cold chain equipment, increasing the frequency of outreach activities, conduc</w:t>
      </w:r>
      <w:r w:rsidR="00E164ED" w:rsidRPr="001869B3">
        <w:rPr>
          <w:rFonts w:ascii="Arial" w:hAnsi="Arial" w:cs="Arial"/>
          <w:lang w:val="en-US"/>
        </w:rPr>
        <w:t>t</w:t>
      </w:r>
      <w:r w:rsidRPr="001869B3">
        <w:rPr>
          <w:rFonts w:ascii="Arial" w:hAnsi="Arial" w:cs="Arial"/>
          <w:lang w:val="en-US"/>
        </w:rPr>
        <w:t xml:space="preserve">ing regular review meetings, and increasing supervisory visits. In 10 of the </w:t>
      </w:r>
      <w:r w:rsidR="003C75CD" w:rsidRPr="001869B3">
        <w:rPr>
          <w:rFonts w:ascii="Arial" w:hAnsi="Arial" w:cs="Arial"/>
          <w:lang w:val="en-US"/>
        </w:rPr>
        <w:t xml:space="preserve">districts supported by the </w:t>
      </w:r>
      <w:r w:rsidRPr="001869B3">
        <w:rPr>
          <w:rFonts w:ascii="Arial" w:hAnsi="Arial" w:cs="Arial"/>
          <w:lang w:val="en-US"/>
        </w:rPr>
        <w:t>GAVI</w:t>
      </w:r>
      <w:r w:rsidR="003C75CD" w:rsidRPr="001869B3">
        <w:rPr>
          <w:rFonts w:ascii="Arial" w:hAnsi="Arial" w:cs="Arial"/>
          <w:lang w:val="en-US"/>
        </w:rPr>
        <w:t xml:space="preserve"> HSS grant</w:t>
      </w:r>
      <w:r w:rsidRPr="001869B3">
        <w:rPr>
          <w:rFonts w:ascii="Arial" w:hAnsi="Arial" w:cs="Arial"/>
          <w:lang w:val="en-US"/>
        </w:rPr>
        <w:t>, 100 new health centers are also being built and equipped with cold chain equipment and motorcycles for outreach activities.</w:t>
      </w:r>
    </w:p>
    <w:p w14:paraId="288164A8" w14:textId="0FFEAD71" w:rsidR="009A71AA" w:rsidRPr="000145E4" w:rsidRDefault="009A71AA" w:rsidP="000145E4">
      <w:pPr>
        <w:rPr>
          <w:rFonts w:ascii="Arial" w:hAnsi="Arial" w:cs="Arial"/>
        </w:rPr>
      </w:pPr>
      <w:r>
        <w:rPr>
          <w:rFonts w:ascii="Arial" w:hAnsi="Arial" w:cs="Arial"/>
        </w:rPr>
        <w:t xml:space="preserve">The RED strategy is supposed to be </w:t>
      </w:r>
      <w:r w:rsidR="00811025">
        <w:rPr>
          <w:rFonts w:ascii="Arial" w:hAnsi="Arial" w:cs="Arial"/>
        </w:rPr>
        <w:t xml:space="preserve">applied </w:t>
      </w:r>
      <w:r>
        <w:rPr>
          <w:rFonts w:ascii="Arial" w:hAnsi="Arial" w:cs="Arial"/>
        </w:rPr>
        <w:t>nation-wide, but implementation is reportedly weak in the 40% of districts no</w:t>
      </w:r>
      <w:r w:rsidR="00545A94">
        <w:rPr>
          <w:rFonts w:ascii="Arial" w:hAnsi="Arial" w:cs="Arial"/>
        </w:rPr>
        <w:t>t</w:t>
      </w:r>
      <w:r>
        <w:rPr>
          <w:rFonts w:ascii="Arial" w:hAnsi="Arial" w:cs="Arial"/>
        </w:rPr>
        <w:t xml:space="preserve"> receiving international assistance</w:t>
      </w:r>
      <w:r w:rsidR="00545A94">
        <w:rPr>
          <w:rFonts w:ascii="Arial" w:hAnsi="Arial" w:cs="Arial"/>
        </w:rPr>
        <w:t xml:space="preserve"> for its implementation. Even those that do receive support have had to curtail planned activities due to the </w:t>
      </w:r>
      <w:r w:rsidR="00E164ED">
        <w:rPr>
          <w:rFonts w:ascii="Arial" w:hAnsi="Arial" w:cs="Arial"/>
        </w:rPr>
        <w:t>s</w:t>
      </w:r>
      <w:r w:rsidR="00545A94">
        <w:rPr>
          <w:rFonts w:ascii="Arial" w:hAnsi="Arial" w:cs="Arial"/>
        </w:rPr>
        <w:t xml:space="preserve">low </w:t>
      </w:r>
      <w:r w:rsidR="00E164ED">
        <w:rPr>
          <w:rFonts w:ascii="Arial" w:hAnsi="Arial" w:cs="Arial"/>
        </w:rPr>
        <w:t>release of govern</w:t>
      </w:r>
      <w:r w:rsidR="00545A94">
        <w:rPr>
          <w:rFonts w:ascii="Arial" w:hAnsi="Arial" w:cs="Arial"/>
        </w:rPr>
        <w:t xml:space="preserve">ment funds at times. In the GAVI-supported RED districts, activities that did not take place in 2014 due to delays in </w:t>
      </w:r>
      <w:r w:rsidR="00E164ED">
        <w:rPr>
          <w:rFonts w:ascii="Arial" w:hAnsi="Arial" w:cs="Arial"/>
        </w:rPr>
        <w:t xml:space="preserve">the disbursement of </w:t>
      </w:r>
      <w:r w:rsidR="00545A94">
        <w:rPr>
          <w:rFonts w:ascii="Arial" w:hAnsi="Arial" w:cs="Arial"/>
        </w:rPr>
        <w:t xml:space="preserve">government </w:t>
      </w:r>
      <w:r w:rsidR="00E164ED">
        <w:rPr>
          <w:rFonts w:ascii="Arial" w:hAnsi="Arial" w:cs="Arial"/>
        </w:rPr>
        <w:t>funds</w:t>
      </w:r>
      <w:r w:rsidR="00545A94">
        <w:rPr>
          <w:rFonts w:ascii="Arial" w:hAnsi="Arial" w:cs="Arial"/>
        </w:rPr>
        <w:t xml:space="preserve"> included the purchase of a refrigerated truck, MLM training for health workers, and supportive supervisory visits.</w:t>
      </w:r>
      <w:r w:rsidR="00545A94">
        <w:rPr>
          <w:rStyle w:val="FootnoteReference"/>
          <w:rFonts w:ascii="Arial" w:hAnsi="Arial" w:cs="Arial"/>
        </w:rPr>
        <w:footnoteReference w:id="8"/>
      </w:r>
      <w:r w:rsidR="00545A94">
        <w:rPr>
          <w:rFonts w:ascii="Arial" w:hAnsi="Arial" w:cs="Arial"/>
        </w:rPr>
        <w:t xml:space="preserve"> According to one WHO informant, the lack of available </w:t>
      </w:r>
      <w:r w:rsidR="00E164ED">
        <w:rPr>
          <w:rFonts w:ascii="Arial" w:hAnsi="Arial" w:cs="Arial"/>
        </w:rPr>
        <w:t xml:space="preserve">budgeted </w:t>
      </w:r>
      <w:r w:rsidR="00545A94">
        <w:rPr>
          <w:rFonts w:ascii="Arial" w:hAnsi="Arial" w:cs="Arial"/>
        </w:rPr>
        <w:t>funds at the local level is the first barrier that needs to be overcome to improve the performance of the immunization program.</w:t>
      </w:r>
    </w:p>
    <w:p w14:paraId="487FCA26" w14:textId="77777777" w:rsidR="003A37E8" w:rsidRPr="00545A94" w:rsidRDefault="003A37E8" w:rsidP="003A37E8">
      <w:pPr>
        <w:pStyle w:val="ListParagraph"/>
        <w:numPr>
          <w:ilvl w:val="0"/>
          <w:numId w:val="29"/>
        </w:numPr>
        <w:contextualSpacing w:val="0"/>
        <w:rPr>
          <w:rFonts w:ascii="Arial" w:hAnsi="Arial" w:cs="Arial"/>
          <w:b/>
        </w:rPr>
      </w:pPr>
      <w:r w:rsidRPr="00545A94">
        <w:rPr>
          <w:rFonts w:ascii="Arial" w:hAnsi="Arial" w:cs="Arial"/>
          <w:b/>
        </w:rPr>
        <w:t>Poor distribution of vaccines and supplies and an inadequate cold chain and logistics system</w:t>
      </w:r>
    </w:p>
    <w:p w14:paraId="22193A16" w14:textId="0F008357" w:rsidR="00545A94" w:rsidRPr="005A684D" w:rsidRDefault="00545A94" w:rsidP="00545A94">
      <w:pPr>
        <w:rPr>
          <w:rFonts w:ascii="Arial" w:hAnsi="Arial" w:cs="Arial"/>
          <w:lang w:val="en-US"/>
        </w:rPr>
      </w:pPr>
      <w:r w:rsidRPr="005A684D">
        <w:rPr>
          <w:rFonts w:ascii="Arial" w:hAnsi="Arial" w:cs="Arial"/>
          <w:lang w:val="en-US"/>
        </w:rPr>
        <w:t xml:space="preserve">Vaccine </w:t>
      </w:r>
      <w:proofErr w:type="spellStart"/>
      <w:r w:rsidRPr="005A684D">
        <w:rPr>
          <w:rFonts w:ascii="Arial" w:hAnsi="Arial" w:cs="Arial"/>
          <w:lang w:val="en-US"/>
        </w:rPr>
        <w:t>stockouts</w:t>
      </w:r>
      <w:proofErr w:type="spellEnd"/>
      <w:r w:rsidRPr="005A684D">
        <w:rPr>
          <w:rFonts w:ascii="Arial" w:hAnsi="Arial" w:cs="Arial"/>
          <w:lang w:val="en-US"/>
        </w:rPr>
        <w:t xml:space="preserve"> at the central level are not a serious problem in Chad, since the Government pays for traditional vaccines and co-financing for yellow fever and pentavalent vaccines in time and in full. However, </w:t>
      </w:r>
      <w:proofErr w:type="spellStart"/>
      <w:r w:rsidRPr="005A684D">
        <w:rPr>
          <w:rFonts w:ascii="Arial" w:hAnsi="Arial" w:cs="Arial"/>
          <w:lang w:val="en-US"/>
        </w:rPr>
        <w:t>stockouts</w:t>
      </w:r>
      <w:proofErr w:type="spellEnd"/>
      <w:r w:rsidRPr="005A684D">
        <w:rPr>
          <w:rFonts w:ascii="Arial" w:hAnsi="Arial" w:cs="Arial"/>
          <w:lang w:val="en-US"/>
        </w:rPr>
        <w:t xml:space="preserve"> of vaccines and related supplies are quite common at the regional, district and health center levels because of a poor vaccine distribution system and inadequate stock management. While a regular vaccine distribution </w:t>
      </w:r>
      <w:r w:rsidR="00E164ED">
        <w:rPr>
          <w:rFonts w:ascii="Arial" w:hAnsi="Arial" w:cs="Arial"/>
          <w:lang w:val="en-US"/>
        </w:rPr>
        <w:t xml:space="preserve">schedule </w:t>
      </w:r>
      <w:r w:rsidRPr="005A684D">
        <w:rPr>
          <w:rFonts w:ascii="Arial" w:hAnsi="Arial" w:cs="Arial"/>
          <w:lang w:val="en-US"/>
        </w:rPr>
        <w:t xml:space="preserve">exists on paper (with quarterly deliveries from the central stores to the regions and monthly deliveries from the regions to the health districts), in practice deliveries are </w:t>
      </w:r>
      <w:r w:rsidR="005A684D" w:rsidRPr="005A684D">
        <w:rPr>
          <w:rFonts w:ascii="Arial" w:hAnsi="Arial" w:cs="Arial"/>
          <w:lang w:val="en-US"/>
        </w:rPr>
        <w:t>erratic</w:t>
      </w:r>
      <w:r w:rsidRPr="005A684D">
        <w:rPr>
          <w:rFonts w:ascii="Arial" w:hAnsi="Arial" w:cs="Arial"/>
          <w:lang w:val="en-US"/>
        </w:rPr>
        <w:t xml:space="preserve"> and depend on the availa</w:t>
      </w:r>
      <w:r w:rsidR="005A684D" w:rsidRPr="005A684D">
        <w:rPr>
          <w:rFonts w:ascii="Arial" w:hAnsi="Arial" w:cs="Arial"/>
          <w:lang w:val="en-US"/>
        </w:rPr>
        <w:t>bility</w:t>
      </w:r>
      <w:r w:rsidRPr="005A684D">
        <w:rPr>
          <w:rFonts w:ascii="Arial" w:hAnsi="Arial" w:cs="Arial"/>
          <w:lang w:val="en-US"/>
        </w:rPr>
        <w:t xml:space="preserve"> of appropriate transport, which is often lacking. </w:t>
      </w:r>
    </w:p>
    <w:p w14:paraId="464B8C54" w14:textId="4A828E3F" w:rsidR="005A684D" w:rsidRPr="005A684D" w:rsidRDefault="005A684D" w:rsidP="00545A94">
      <w:pPr>
        <w:rPr>
          <w:rFonts w:ascii="Arial" w:hAnsi="Arial" w:cs="Arial"/>
          <w:lang w:val="en-US"/>
        </w:rPr>
      </w:pPr>
      <w:r w:rsidRPr="005A684D">
        <w:rPr>
          <w:rFonts w:ascii="Arial" w:hAnsi="Arial" w:cs="Arial"/>
          <w:lang w:val="en-US"/>
        </w:rPr>
        <w:t>At the local level, a 2015 cold chain inventory found that while 85% of health centers had refrigerators, only 72% of them were functioning and thus only 62% of health centers could store vaccines</w:t>
      </w:r>
      <w:r>
        <w:rPr>
          <w:rFonts w:ascii="Arial" w:hAnsi="Arial" w:cs="Arial"/>
          <w:lang w:val="en-US"/>
        </w:rPr>
        <w:t>.</w:t>
      </w:r>
      <w:r>
        <w:rPr>
          <w:rStyle w:val="FootnoteReference"/>
          <w:rFonts w:ascii="Arial" w:hAnsi="Arial" w:cs="Arial"/>
          <w:lang w:val="en-US"/>
        </w:rPr>
        <w:footnoteReference w:id="9"/>
      </w:r>
      <w:r>
        <w:rPr>
          <w:rFonts w:ascii="Arial" w:hAnsi="Arial" w:cs="Arial"/>
          <w:lang w:val="en-US"/>
        </w:rPr>
        <w:t xml:space="preserve"> This means that they must collect vaccine from the district stores or from another health center on the day of immunization sessions and are dependent on transportation being available. </w:t>
      </w:r>
    </w:p>
    <w:p w14:paraId="0EB0722F" w14:textId="77777777" w:rsidR="00545A94" w:rsidRPr="005A684D" w:rsidRDefault="00545A94" w:rsidP="00545A94">
      <w:pPr>
        <w:pStyle w:val="ListParagraph"/>
        <w:numPr>
          <w:ilvl w:val="0"/>
          <w:numId w:val="29"/>
        </w:numPr>
        <w:contextualSpacing w:val="0"/>
        <w:rPr>
          <w:rFonts w:ascii="Arial" w:hAnsi="Arial" w:cs="Arial"/>
          <w:b/>
        </w:rPr>
      </w:pPr>
      <w:r w:rsidRPr="005A684D">
        <w:rPr>
          <w:rFonts w:ascii="Arial" w:hAnsi="Arial" w:cs="Arial"/>
          <w:b/>
        </w:rPr>
        <w:t>Weak quality and monitoring of immunization program data</w:t>
      </w:r>
    </w:p>
    <w:p w14:paraId="58FA39B8" w14:textId="40FD9CC1" w:rsidR="00545A94" w:rsidRPr="005A684D" w:rsidRDefault="005A684D" w:rsidP="005A684D">
      <w:pPr>
        <w:rPr>
          <w:rFonts w:ascii="Arial" w:hAnsi="Arial" w:cs="Arial"/>
        </w:rPr>
      </w:pPr>
      <w:r>
        <w:rPr>
          <w:rFonts w:ascii="Arial" w:hAnsi="Arial" w:cs="Arial"/>
        </w:rPr>
        <w:t>Administrative coverage data show rates that are 20-40 percentage points higher than the WUENIC estimates; for instance 93% vs. 55% for three pentavalent doses in 2015 and 90% vs. 62% for measles.</w:t>
      </w:r>
      <w:r>
        <w:rPr>
          <w:rStyle w:val="FootnoteReference"/>
          <w:rFonts w:ascii="Arial" w:hAnsi="Arial" w:cs="Arial"/>
        </w:rPr>
        <w:footnoteReference w:id="10"/>
      </w:r>
      <w:r>
        <w:rPr>
          <w:rFonts w:ascii="Arial" w:hAnsi="Arial" w:cs="Arial"/>
        </w:rPr>
        <w:t xml:space="preserve"> These high, inaccurate rates can create a</w:t>
      </w:r>
      <w:r w:rsidR="00E164ED">
        <w:rPr>
          <w:rFonts w:ascii="Arial" w:hAnsi="Arial" w:cs="Arial"/>
        </w:rPr>
        <w:t xml:space="preserve">n unwarranted </w:t>
      </w:r>
      <w:r>
        <w:rPr>
          <w:rFonts w:ascii="Arial" w:hAnsi="Arial" w:cs="Arial"/>
        </w:rPr>
        <w:t xml:space="preserve">complacency and prevent the program from taking remedial action in low-performing areas. With partner assistance, district EPI coordinators in the 54 RED districts have been trained on the use of monitoring tools, data harmonization and validation meetings have taken place </w:t>
      </w:r>
      <w:r>
        <w:rPr>
          <w:rFonts w:ascii="Arial" w:hAnsi="Arial" w:cs="Arial"/>
        </w:rPr>
        <w:lastRenderedPageBreak/>
        <w:t>at the national level, and data review meetings are held at the district level. However, the district meetings are irregular in many places.</w:t>
      </w:r>
    </w:p>
    <w:p w14:paraId="2783B36C" w14:textId="3E365AA7" w:rsidR="003A37E8" w:rsidRPr="005A684D" w:rsidRDefault="003A37E8" w:rsidP="003A37E8">
      <w:pPr>
        <w:pStyle w:val="ListParagraph"/>
        <w:numPr>
          <w:ilvl w:val="0"/>
          <w:numId w:val="29"/>
        </w:numPr>
        <w:contextualSpacing w:val="0"/>
        <w:rPr>
          <w:rFonts w:ascii="Arial" w:hAnsi="Arial" w:cs="Arial"/>
          <w:b/>
        </w:rPr>
      </w:pPr>
      <w:r w:rsidRPr="005A684D">
        <w:rPr>
          <w:rFonts w:ascii="Arial" w:hAnsi="Arial" w:cs="Arial"/>
          <w:b/>
        </w:rPr>
        <w:t>Geographic inaccessibility and security issues</w:t>
      </w:r>
    </w:p>
    <w:p w14:paraId="448DDC6F" w14:textId="2A041341" w:rsidR="005A684D" w:rsidRDefault="005A684D" w:rsidP="005A684D">
      <w:pPr>
        <w:rPr>
          <w:rFonts w:ascii="Arial" w:hAnsi="Arial" w:cs="Arial"/>
        </w:rPr>
      </w:pPr>
      <w:r>
        <w:rPr>
          <w:rFonts w:ascii="Arial" w:hAnsi="Arial" w:cs="Arial"/>
        </w:rPr>
        <w:t xml:space="preserve">Around 4-7% of Chad’s population, including nomadic herders, live in remote areas with poor access to health services. They are also not sufficiently covered by outreach or mobile services, resulting in especially low immunization coverage rates. With support from WHO </w:t>
      </w:r>
      <w:r w:rsidR="002F1B54">
        <w:rPr>
          <w:rFonts w:ascii="Arial" w:hAnsi="Arial" w:cs="Arial"/>
        </w:rPr>
        <w:t>and other partners</w:t>
      </w:r>
      <w:r>
        <w:rPr>
          <w:rFonts w:ascii="Arial" w:hAnsi="Arial" w:cs="Arial"/>
        </w:rPr>
        <w:t>, a series of intensified</w:t>
      </w:r>
      <w:r w:rsidR="002F1B54">
        <w:rPr>
          <w:rFonts w:ascii="Arial" w:hAnsi="Arial" w:cs="Arial"/>
        </w:rPr>
        <w:t xml:space="preserve"> vaccination activities have been carried out in the past several years in seven zones to improve immunization coverage in this population. These are integrated outreach sessions that provide all vaccinations for children under the age of five</w:t>
      </w:r>
      <w:r w:rsidR="001B54B9">
        <w:rPr>
          <w:rFonts w:ascii="Arial" w:hAnsi="Arial" w:cs="Arial"/>
        </w:rPr>
        <w:t xml:space="preserve"> and</w:t>
      </w:r>
      <w:r w:rsidR="002F1B54">
        <w:rPr>
          <w:rFonts w:ascii="Arial" w:hAnsi="Arial" w:cs="Arial"/>
        </w:rPr>
        <w:t xml:space="preserve"> TT for pregnant women, </w:t>
      </w:r>
      <w:r w:rsidR="00811025">
        <w:rPr>
          <w:rFonts w:ascii="Arial" w:hAnsi="Arial" w:cs="Arial"/>
        </w:rPr>
        <w:t xml:space="preserve">as well as </w:t>
      </w:r>
      <w:r w:rsidR="002F1B54">
        <w:rPr>
          <w:rFonts w:ascii="Arial" w:hAnsi="Arial" w:cs="Arial"/>
        </w:rPr>
        <w:t xml:space="preserve">distribute malaria medicines and issue birth certificates. </w:t>
      </w:r>
      <w:r w:rsidR="00C252A3">
        <w:rPr>
          <w:rFonts w:ascii="Arial" w:hAnsi="Arial" w:cs="Arial"/>
        </w:rPr>
        <w:t>An innovative strategy that is used a</w:t>
      </w:r>
      <w:r w:rsidR="002F1B54">
        <w:rPr>
          <w:rFonts w:ascii="Arial" w:hAnsi="Arial" w:cs="Arial"/>
        </w:rPr>
        <w:t>s a further incentive to ensure high participation</w:t>
      </w:r>
      <w:r w:rsidR="00C252A3">
        <w:rPr>
          <w:rFonts w:ascii="Arial" w:hAnsi="Arial" w:cs="Arial"/>
        </w:rPr>
        <w:t xml:space="preserve"> in these events</w:t>
      </w:r>
      <w:r w:rsidR="002F1B54">
        <w:rPr>
          <w:rFonts w:ascii="Arial" w:hAnsi="Arial" w:cs="Arial"/>
        </w:rPr>
        <w:t xml:space="preserve"> </w:t>
      </w:r>
      <w:r w:rsidR="00C252A3">
        <w:rPr>
          <w:rFonts w:ascii="Arial" w:hAnsi="Arial" w:cs="Arial"/>
        </w:rPr>
        <w:t xml:space="preserve">is to </w:t>
      </w:r>
      <w:r w:rsidR="002F1B54">
        <w:rPr>
          <w:rFonts w:ascii="Arial" w:hAnsi="Arial" w:cs="Arial"/>
        </w:rPr>
        <w:t xml:space="preserve">also </w:t>
      </w:r>
      <w:r w:rsidR="00C252A3">
        <w:rPr>
          <w:rFonts w:ascii="Arial" w:hAnsi="Arial" w:cs="Arial"/>
        </w:rPr>
        <w:t>offer</w:t>
      </w:r>
      <w:r w:rsidR="002F1B54">
        <w:rPr>
          <w:rFonts w:ascii="Arial" w:hAnsi="Arial" w:cs="Arial"/>
        </w:rPr>
        <w:t xml:space="preserve"> vaccinations for their cattle (</w:t>
      </w:r>
      <w:r w:rsidR="00473276">
        <w:rPr>
          <w:rFonts w:ascii="Arial" w:hAnsi="Arial" w:cs="Arial"/>
        </w:rPr>
        <w:t xml:space="preserve">e.g., </w:t>
      </w:r>
      <w:r w:rsidR="002F1B54">
        <w:rPr>
          <w:rFonts w:ascii="Arial" w:hAnsi="Arial" w:cs="Arial"/>
        </w:rPr>
        <w:t xml:space="preserve">against </w:t>
      </w:r>
      <w:proofErr w:type="spellStart"/>
      <w:r w:rsidR="002F1B54">
        <w:rPr>
          <w:rFonts w:ascii="Arial" w:hAnsi="Arial" w:cs="Arial"/>
        </w:rPr>
        <w:t>pasteurellosis</w:t>
      </w:r>
      <w:proofErr w:type="spellEnd"/>
      <w:r w:rsidR="002F1B54">
        <w:rPr>
          <w:rFonts w:ascii="Arial" w:hAnsi="Arial" w:cs="Arial"/>
        </w:rPr>
        <w:t xml:space="preserve"> and contagious bovine </w:t>
      </w:r>
      <w:proofErr w:type="spellStart"/>
      <w:r w:rsidR="002F1B54">
        <w:rPr>
          <w:rFonts w:ascii="Arial" w:hAnsi="Arial" w:cs="Arial"/>
        </w:rPr>
        <w:t>pleuropnemonia</w:t>
      </w:r>
      <w:proofErr w:type="spellEnd"/>
      <w:r w:rsidR="002F1B54">
        <w:rPr>
          <w:rFonts w:ascii="Arial" w:hAnsi="Arial" w:cs="Arial"/>
        </w:rPr>
        <w:t>).</w:t>
      </w:r>
      <w:r w:rsidR="002F1B54">
        <w:rPr>
          <w:rStyle w:val="FootnoteReference"/>
          <w:rFonts w:ascii="Arial" w:hAnsi="Arial" w:cs="Arial"/>
        </w:rPr>
        <w:footnoteReference w:id="11"/>
      </w:r>
    </w:p>
    <w:p w14:paraId="65F3967A" w14:textId="4ECFA914" w:rsidR="002F1B54" w:rsidRPr="005A684D" w:rsidRDefault="002F1B54" w:rsidP="005A684D">
      <w:pPr>
        <w:rPr>
          <w:rFonts w:ascii="Arial" w:hAnsi="Arial" w:cs="Arial"/>
        </w:rPr>
      </w:pPr>
      <w:r>
        <w:rPr>
          <w:rFonts w:ascii="Arial" w:hAnsi="Arial" w:cs="Arial"/>
        </w:rPr>
        <w:t>A lack of security in certain areas, including the Lake Chad region due to Boko Haram terrorists, has also negatively affected immunization coverage rates in the recent past. This situation has recently improved with a four-country security agreement and the removal of residents from insecure areas (e.g., the islands in Lake Chad) to IDP camps and more secure areas.</w:t>
      </w:r>
    </w:p>
    <w:p w14:paraId="3FC6861A" w14:textId="257A1151" w:rsidR="003A37E8" w:rsidRPr="002F1B54" w:rsidRDefault="003A37E8" w:rsidP="003A37E8">
      <w:pPr>
        <w:pStyle w:val="ListParagraph"/>
        <w:numPr>
          <w:ilvl w:val="0"/>
          <w:numId w:val="29"/>
        </w:numPr>
        <w:contextualSpacing w:val="0"/>
        <w:rPr>
          <w:rFonts w:ascii="Arial" w:hAnsi="Arial" w:cs="Arial"/>
          <w:b/>
        </w:rPr>
      </w:pPr>
      <w:r w:rsidRPr="002F1B54">
        <w:rPr>
          <w:rFonts w:ascii="Arial" w:hAnsi="Arial" w:cs="Arial"/>
          <w:b/>
        </w:rPr>
        <w:t>Interruption of routine immunization services during frequent SIAs</w:t>
      </w:r>
    </w:p>
    <w:p w14:paraId="697ADE48" w14:textId="7BB92679" w:rsidR="003A37E8" w:rsidRPr="00C252A3" w:rsidRDefault="00993872" w:rsidP="003A37E8">
      <w:pPr>
        <w:rPr>
          <w:rFonts w:ascii="Arial" w:hAnsi="Arial" w:cs="Arial"/>
          <w:lang w:val="en-US"/>
        </w:rPr>
      </w:pPr>
      <w:r w:rsidRPr="00C252A3">
        <w:rPr>
          <w:rFonts w:ascii="Arial" w:hAnsi="Arial" w:cs="Arial"/>
          <w:lang w:val="en-US"/>
        </w:rPr>
        <w:t>Polio and other SIAs have been frequent in Chad, with and six polio campaigns in 2015 (four national and two local) and many more in the recent past (e.g., 10 or 11 polio campaigns per year in 2010 and 2011). The impact of these frequent events on the delivery of routine immunization services has been raised as a particular issue in Chad in several documents and in interviews with informants.</w:t>
      </w:r>
      <w:r w:rsidRPr="00C252A3">
        <w:rPr>
          <w:rStyle w:val="FootnoteReference"/>
          <w:rFonts w:ascii="Arial" w:hAnsi="Arial" w:cs="Arial"/>
          <w:lang w:val="en-US"/>
        </w:rPr>
        <w:footnoteReference w:id="12"/>
      </w:r>
      <w:r w:rsidRPr="00C252A3">
        <w:rPr>
          <w:rFonts w:ascii="Arial" w:hAnsi="Arial" w:cs="Arial"/>
          <w:lang w:val="en-US"/>
        </w:rPr>
        <w:t xml:space="preserve"> The 2012 EPI review found that 27% of health centers in the study reported that they stopped routine immunization services during the SIAs, mainly because of a lack of health workers and too heavy of a workload. Planning for the campaigns can also interfere with immunization services leading up to the events.</w:t>
      </w:r>
    </w:p>
    <w:p w14:paraId="43C4929B" w14:textId="7C7BA8DF" w:rsidR="000117E8" w:rsidRPr="00C252A3" w:rsidRDefault="00993872" w:rsidP="00993872">
      <w:pPr>
        <w:rPr>
          <w:rFonts w:ascii="Arial" w:hAnsi="Arial" w:cs="Arial"/>
          <w:lang w:val="en-US"/>
        </w:rPr>
      </w:pPr>
      <w:r w:rsidRPr="00C252A3">
        <w:rPr>
          <w:rFonts w:ascii="Arial" w:hAnsi="Arial" w:cs="Arial"/>
          <w:lang w:val="en-US"/>
        </w:rPr>
        <w:t xml:space="preserve">Efforts to address several of these bottlenecks </w:t>
      </w:r>
      <w:r w:rsidR="00473276" w:rsidRPr="00C252A3">
        <w:rPr>
          <w:rFonts w:ascii="Arial" w:hAnsi="Arial" w:cs="Arial"/>
          <w:lang w:val="en-US"/>
        </w:rPr>
        <w:t xml:space="preserve">with partner support </w:t>
      </w:r>
      <w:r w:rsidRPr="00C252A3">
        <w:rPr>
          <w:rFonts w:ascii="Arial" w:hAnsi="Arial" w:cs="Arial"/>
          <w:lang w:val="en-US"/>
        </w:rPr>
        <w:t>are discussed in Section B below.</w:t>
      </w:r>
    </w:p>
    <w:p w14:paraId="405FFBC5" w14:textId="77777777" w:rsidR="002909E3" w:rsidRDefault="002909E3">
      <w:pPr>
        <w:rPr>
          <w:rFonts w:ascii="Arial" w:hAnsi="Arial" w:cs="Arial"/>
          <w:b/>
        </w:rPr>
      </w:pPr>
      <w:r>
        <w:rPr>
          <w:rFonts w:ascii="Arial" w:hAnsi="Arial" w:cs="Arial"/>
          <w:b/>
        </w:rPr>
        <w:br w:type="page"/>
      </w:r>
    </w:p>
    <w:p w14:paraId="70CBFBFF" w14:textId="0141477B" w:rsidR="00806371" w:rsidRDefault="00806371" w:rsidP="00806371">
      <w:pPr>
        <w:rPr>
          <w:rFonts w:ascii="Arial" w:hAnsi="Arial" w:cs="Arial"/>
          <w:b/>
          <w:sz w:val="24"/>
        </w:rPr>
      </w:pPr>
      <w:r>
        <w:rPr>
          <w:rFonts w:ascii="Arial" w:hAnsi="Arial" w:cs="Arial"/>
          <w:b/>
          <w:sz w:val="24"/>
        </w:rPr>
        <w:lastRenderedPageBreak/>
        <w:t>Annex 1: Country immunization profile</w:t>
      </w:r>
    </w:p>
    <w:p w14:paraId="246E29D7" w14:textId="2DCC1A23" w:rsidR="006C216F" w:rsidRPr="006C216F" w:rsidRDefault="006C216F" w:rsidP="006C216F">
      <w:pPr>
        <w:pStyle w:val="Caption"/>
        <w:rPr>
          <w:rFonts w:ascii="Arial" w:hAnsi="Arial" w:cs="Arial"/>
          <w:color w:val="auto"/>
          <w:sz w:val="22"/>
        </w:rPr>
      </w:pPr>
      <w:r w:rsidRPr="006C216F">
        <w:rPr>
          <w:rFonts w:ascii="Arial" w:hAnsi="Arial" w:cs="Arial"/>
          <w:color w:val="auto"/>
          <w:sz w:val="22"/>
        </w:rPr>
        <w:t xml:space="preserve">Figure </w:t>
      </w:r>
      <w:r w:rsidRPr="006C216F">
        <w:rPr>
          <w:rFonts w:ascii="Arial" w:hAnsi="Arial" w:cs="Arial"/>
          <w:color w:val="auto"/>
          <w:sz w:val="22"/>
        </w:rPr>
        <w:fldChar w:fldCharType="begin"/>
      </w:r>
      <w:r w:rsidRPr="006C216F">
        <w:rPr>
          <w:rFonts w:ascii="Arial" w:hAnsi="Arial" w:cs="Arial"/>
          <w:color w:val="auto"/>
          <w:sz w:val="22"/>
        </w:rPr>
        <w:instrText xml:space="preserve"> SEQ Figure \* ARABIC </w:instrText>
      </w:r>
      <w:r w:rsidRPr="006C216F">
        <w:rPr>
          <w:rFonts w:ascii="Arial" w:hAnsi="Arial" w:cs="Arial"/>
          <w:color w:val="auto"/>
          <w:sz w:val="22"/>
        </w:rPr>
        <w:fldChar w:fldCharType="separate"/>
      </w:r>
      <w:r w:rsidRPr="006C216F">
        <w:rPr>
          <w:rFonts w:ascii="Arial" w:hAnsi="Arial" w:cs="Arial"/>
          <w:noProof/>
          <w:color w:val="auto"/>
          <w:sz w:val="22"/>
        </w:rPr>
        <w:t>4</w:t>
      </w:r>
      <w:r w:rsidRPr="006C216F">
        <w:rPr>
          <w:rFonts w:ascii="Arial" w:hAnsi="Arial" w:cs="Arial"/>
          <w:color w:val="auto"/>
          <w:sz w:val="22"/>
        </w:rPr>
        <w:fldChar w:fldCharType="end"/>
      </w:r>
      <w:r w:rsidRPr="006C216F">
        <w:rPr>
          <w:rFonts w:ascii="Arial" w:hAnsi="Arial" w:cs="Arial"/>
          <w:color w:val="auto"/>
          <w:sz w:val="22"/>
        </w:rPr>
        <w:t xml:space="preserve">: </w:t>
      </w:r>
      <w:r w:rsidRPr="006C216F">
        <w:rPr>
          <w:rFonts w:ascii="Arial" w:hAnsi="Arial" w:cs="Arial"/>
          <w:bCs w:val="0"/>
          <w:color w:val="auto"/>
          <w:sz w:val="22"/>
        </w:rPr>
        <w:t xml:space="preserve">All vaccines </w:t>
      </w:r>
      <w:r w:rsidRPr="006C216F">
        <w:rPr>
          <w:rFonts w:ascii="Arial" w:hAnsi="Arial" w:cs="Arial"/>
          <w:color w:val="auto"/>
          <w:sz w:val="22"/>
        </w:rPr>
        <w:t xml:space="preserve">national </w:t>
      </w:r>
      <w:r w:rsidRPr="006C216F">
        <w:rPr>
          <w:rFonts w:ascii="Arial" w:hAnsi="Arial" w:cs="Arial"/>
          <w:bCs w:val="0"/>
          <w:color w:val="auto"/>
          <w:sz w:val="22"/>
        </w:rPr>
        <w:t>coverage</w:t>
      </w:r>
      <w:r w:rsidRPr="006C216F">
        <w:rPr>
          <w:rFonts w:ascii="Arial" w:hAnsi="Arial" w:cs="Arial"/>
          <w:color w:val="auto"/>
          <w:sz w:val="22"/>
        </w:rPr>
        <w:t xml:space="preserve">, </w:t>
      </w:r>
      <w:r>
        <w:rPr>
          <w:rFonts w:ascii="Arial" w:hAnsi="Arial" w:cs="Arial"/>
          <w:color w:val="auto"/>
          <w:sz w:val="22"/>
        </w:rPr>
        <w:t>Chad</w:t>
      </w:r>
      <w:r w:rsidRPr="006C216F">
        <w:rPr>
          <w:rFonts w:ascii="Arial" w:hAnsi="Arial" w:cs="Arial"/>
          <w:color w:val="auto"/>
          <w:sz w:val="22"/>
        </w:rPr>
        <w:t>,</w:t>
      </w:r>
      <w:r w:rsidRPr="006C216F">
        <w:rPr>
          <w:rFonts w:ascii="Arial" w:hAnsi="Arial" w:cs="Arial"/>
          <w:bCs w:val="0"/>
          <w:color w:val="auto"/>
          <w:sz w:val="22"/>
        </w:rPr>
        <w:t xml:space="preserve"> 2000-201</w:t>
      </w:r>
      <w:r>
        <w:rPr>
          <w:rFonts w:ascii="Arial" w:hAnsi="Arial" w:cs="Arial"/>
          <w:bCs w:val="0"/>
          <w:color w:val="auto"/>
          <w:sz w:val="22"/>
        </w:rPr>
        <w:t>5</w:t>
      </w:r>
    </w:p>
    <w:p w14:paraId="3147D0E2" w14:textId="75D6CC8F" w:rsidR="006C216F" w:rsidRDefault="006C216F" w:rsidP="00222690">
      <w:pPr>
        <w:pStyle w:val="Caption"/>
      </w:pPr>
      <w:r>
        <w:rPr>
          <w:noProof/>
          <w:lang w:eastAsia="zh-CN"/>
        </w:rPr>
        <w:drawing>
          <wp:inline distT="0" distB="0" distL="0" distR="0" wp14:anchorId="2C3D219C" wp14:editId="45F8D381">
            <wp:extent cx="5724525" cy="4333875"/>
            <wp:effectExtent l="0" t="0" r="9525" b="9525"/>
            <wp:docPr id="5" name="Picture 5" descr="D:\data\GVAP Reports\2016\3. Scrore Cards 2016\jan visualizations DTP3 per country\Punch cards per country\ch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cha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4333875"/>
                    </a:xfrm>
                    <a:prstGeom prst="rect">
                      <a:avLst/>
                    </a:prstGeom>
                    <a:noFill/>
                    <a:ln>
                      <a:noFill/>
                    </a:ln>
                  </pic:spPr>
                </pic:pic>
              </a:graphicData>
            </a:graphic>
          </wp:inline>
        </w:drawing>
      </w:r>
    </w:p>
    <w:p w14:paraId="5097CE54" w14:textId="31DDBB84" w:rsidR="006C216F" w:rsidRPr="006C216F" w:rsidRDefault="00CA66C6" w:rsidP="006C216F">
      <w:r>
        <w:rPr>
          <w:noProof/>
          <w:lang w:eastAsia="zh-CN"/>
        </w:rPr>
        <w:drawing>
          <wp:inline distT="0" distB="0" distL="0" distR="0" wp14:anchorId="72E2F667" wp14:editId="758315D7">
            <wp:extent cx="4514850" cy="1040749"/>
            <wp:effectExtent l="0" t="0" r="0" b="7620"/>
            <wp:docPr id="6" name="Picture 6"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3. Scrore Cards 2016\jan visualizations DTP3 per country\Punch cards per country\_legend-punchcar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2990" cy="1042626"/>
                    </a:xfrm>
                    <a:prstGeom prst="rect">
                      <a:avLst/>
                    </a:prstGeom>
                    <a:noFill/>
                    <a:ln>
                      <a:noFill/>
                    </a:ln>
                  </pic:spPr>
                </pic:pic>
              </a:graphicData>
            </a:graphic>
          </wp:inline>
        </w:drawing>
      </w:r>
    </w:p>
    <w:p w14:paraId="61FE2E97" w14:textId="77777777" w:rsidR="00CA66C6" w:rsidRDefault="00CA66C6">
      <w:pPr>
        <w:rPr>
          <w:rFonts w:ascii="Arial" w:hAnsi="Arial" w:cs="Arial"/>
          <w:b/>
          <w:bCs/>
          <w:szCs w:val="18"/>
        </w:rPr>
      </w:pPr>
      <w:r>
        <w:rPr>
          <w:rFonts w:ascii="Arial" w:hAnsi="Arial" w:cs="Arial"/>
        </w:rPr>
        <w:br w:type="page"/>
      </w:r>
    </w:p>
    <w:p w14:paraId="1805BAEB" w14:textId="40E9BCD6" w:rsidR="00806371" w:rsidRPr="006C216F" w:rsidRDefault="00222690" w:rsidP="00222690">
      <w:pPr>
        <w:pStyle w:val="Caption"/>
        <w:rPr>
          <w:rFonts w:ascii="Arial" w:hAnsi="Arial" w:cs="Arial"/>
          <w:b w:val="0"/>
          <w:bCs w:val="0"/>
          <w:color w:val="auto"/>
          <w:sz w:val="22"/>
        </w:rPr>
      </w:pPr>
      <w:r w:rsidRPr="006C216F">
        <w:rPr>
          <w:rFonts w:ascii="Arial" w:hAnsi="Arial" w:cs="Arial"/>
          <w:color w:val="auto"/>
          <w:sz w:val="22"/>
        </w:rPr>
        <w:lastRenderedPageBreak/>
        <w:t xml:space="preserve">Table </w:t>
      </w:r>
      <w:r w:rsidR="00946333" w:rsidRPr="006C216F">
        <w:rPr>
          <w:rFonts w:ascii="Arial" w:hAnsi="Arial" w:cs="Arial"/>
          <w:color w:val="auto"/>
          <w:sz w:val="22"/>
        </w:rPr>
        <w:fldChar w:fldCharType="begin"/>
      </w:r>
      <w:r w:rsidR="00946333" w:rsidRPr="006C216F">
        <w:rPr>
          <w:rFonts w:ascii="Arial" w:hAnsi="Arial" w:cs="Arial"/>
          <w:color w:val="auto"/>
          <w:sz w:val="22"/>
        </w:rPr>
        <w:instrText xml:space="preserve"> SEQ Table \* ARABIC </w:instrText>
      </w:r>
      <w:r w:rsidR="00946333" w:rsidRPr="006C216F">
        <w:rPr>
          <w:rFonts w:ascii="Arial" w:hAnsi="Arial" w:cs="Arial"/>
          <w:color w:val="auto"/>
          <w:sz w:val="22"/>
        </w:rPr>
        <w:fldChar w:fldCharType="separate"/>
      </w:r>
      <w:r w:rsidRPr="006C216F">
        <w:rPr>
          <w:rFonts w:ascii="Arial" w:hAnsi="Arial" w:cs="Arial"/>
          <w:noProof/>
          <w:color w:val="auto"/>
          <w:sz w:val="22"/>
        </w:rPr>
        <w:t>2</w:t>
      </w:r>
      <w:r w:rsidR="00946333" w:rsidRPr="006C216F">
        <w:rPr>
          <w:rFonts w:ascii="Arial" w:hAnsi="Arial" w:cs="Arial"/>
          <w:noProof/>
          <w:color w:val="auto"/>
          <w:sz w:val="22"/>
        </w:rPr>
        <w:fldChar w:fldCharType="end"/>
      </w:r>
      <w:r w:rsidR="00806371" w:rsidRPr="006C216F">
        <w:rPr>
          <w:rFonts w:ascii="Arial" w:hAnsi="Arial" w:cs="Arial"/>
          <w:color w:val="auto"/>
          <w:sz w:val="22"/>
        </w:rPr>
        <w:t>: Reported DTPCV doses administered &amp; coverage, Chad, 2000-2015</w:t>
      </w:r>
    </w:p>
    <w:p w14:paraId="2EE09A72" w14:textId="677369A4" w:rsidR="00806371" w:rsidRDefault="00806371" w:rsidP="00B50752">
      <w:r>
        <w:rPr>
          <w:noProof/>
          <w:lang w:eastAsia="zh-CN"/>
        </w:rPr>
        <w:drawing>
          <wp:inline distT="0" distB="0" distL="0" distR="0" wp14:anchorId="15254D52" wp14:editId="1934960A">
            <wp:extent cx="6296025" cy="22317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03327" cy="2234354"/>
                    </a:xfrm>
                    <a:prstGeom prst="rect">
                      <a:avLst/>
                    </a:prstGeom>
                    <a:noFill/>
                  </pic:spPr>
                </pic:pic>
              </a:graphicData>
            </a:graphic>
          </wp:inline>
        </w:drawing>
      </w:r>
    </w:p>
    <w:p w14:paraId="7991CF6B" w14:textId="77777777" w:rsidR="00806371" w:rsidRPr="00222690" w:rsidRDefault="00806371" w:rsidP="001255ED">
      <w:pPr>
        <w:spacing w:after="0"/>
        <w:rPr>
          <w:sz w:val="18"/>
        </w:rPr>
      </w:pPr>
      <w:r w:rsidRPr="00222690">
        <w:rPr>
          <w:sz w:val="18"/>
        </w:rPr>
        <w:t>* COE: country Official Estimates</w:t>
      </w:r>
    </w:p>
    <w:p w14:paraId="1438783A" w14:textId="77777777" w:rsidR="00B775FA" w:rsidRPr="00222690" w:rsidRDefault="00B775FA" w:rsidP="001255ED">
      <w:pPr>
        <w:spacing w:after="0"/>
        <w:rPr>
          <w:sz w:val="18"/>
        </w:rPr>
      </w:pPr>
      <w:r w:rsidRPr="00222690">
        <w:rPr>
          <w:sz w:val="18"/>
          <w:lang w:val="en-US"/>
        </w:rPr>
        <w:t>Source:</w:t>
      </w:r>
    </w:p>
    <w:p w14:paraId="55690649" w14:textId="5F1DCA0A" w:rsidR="00B775FA" w:rsidRPr="00222690" w:rsidRDefault="00B775FA" w:rsidP="001255ED">
      <w:pPr>
        <w:spacing w:after="0"/>
        <w:rPr>
          <w:sz w:val="18"/>
        </w:rPr>
      </w:pPr>
      <w:r w:rsidRPr="00222690">
        <w:rPr>
          <w:sz w:val="18"/>
          <w:lang w:val="en-US"/>
        </w:rPr>
        <w:t>WHO/IVB database, data reported to WHO by member states as of 1 July 2016</w:t>
      </w:r>
    </w:p>
    <w:p w14:paraId="392307B8" w14:textId="77777777" w:rsidR="00B775FA" w:rsidRPr="00222690" w:rsidRDefault="00B775FA" w:rsidP="00222690">
      <w:pPr>
        <w:spacing w:after="0" w:line="240" w:lineRule="auto"/>
        <w:rPr>
          <w:sz w:val="18"/>
        </w:rPr>
      </w:pPr>
      <w:r w:rsidRPr="00222690">
        <w:rPr>
          <w:sz w:val="18"/>
          <w:lang w:val="en-US"/>
        </w:rPr>
        <w:t>WHO/UNICEF national coverage estimates, 2014 revision, data as of July 2015</w:t>
      </w:r>
    </w:p>
    <w:p w14:paraId="4EEDFC16" w14:textId="77777777" w:rsidR="00222690" w:rsidRDefault="00222690" w:rsidP="00222690">
      <w:pPr>
        <w:spacing w:line="240" w:lineRule="auto"/>
        <w:rPr>
          <w:b/>
        </w:rPr>
      </w:pPr>
    </w:p>
    <w:p w14:paraId="4BB3F3EE" w14:textId="555983B8" w:rsidR="00806371" w:rsidRPr="006C216F" w:rsidRDefault="00222690" w:rsidP="00222690">
      <w:pPr>
        <w:pStyle w:val="Caption"/>
        <w:rPr>
          <w:rFonts w:ascii="Arial" w:hAnsi="Arial" w:cs="Arial"/>
          <w:noProof/>
          <w:color w:val="auto"/>
          <w:sz w:val="22"/>
          <w:lang w:eastAsia="zh-CN"/>
        </w:rPr>
      </w:pPr>
      <w:r w:rsidRPr="006C216F">
        <w:rPr>
          <w:rFonts w:ascii="Arial" w:hAnsi="Arial" w:cs="Arial"/>
          <w:color w:val="auto"/>
          <w:sz w:val="22"/>
        </w:rPr>
        <w:t xml:space="preserve">Figure </w:t>
      </w:r>
      <w:r w:rsidR="00946333" w:rsidRPr="006C216F">
        <w:rPr>
          <w:rFonts w:ascii="Arial" w:hAnsi="Arial" w:cs="Arial"/>
          <w:color w:val="auto"/>
          <w:sz w:val="22"/>
        </w:rPr>
        <w:fldChar w:fldCharType="begin"/>
      </w:r>
      <w:r w:rsidR="00946333" w:rsidRPr="006C216F">
        <w:rPr>
          <w:rFonts w:ascii="Arial" w:hAnsi="Arial" w:cs="Arial"/>
          <w:color w:val="auto"/>
          <w:sz w:val="22"/>
        </w:rPr>
        <w:instrText xml:space="preserve"> SEQ Figure \* ARABIC </w:instrText>
      </w:r>
      <w:r w:rsidR="00946333" w:rsidRPr="006C216F">
        <w:rPr>
          <w:rFonts w:ascii="Arial" w:hAnsi="Arial" w:cs="Arial"/>
          <w:color w:val="auto"/>
          <w:sz w:val="22"/>
        </w:rPr>
        <w:fldChar w:fldCharType="separate"/>
      </w:r>
      <w:r w:rsidR="006C216F" w:rsidRPr="006C216F">
        <w:rPr>
          <w:rFonts w:ascii="Arial" w:hAnsi="Arial" w:cs="Arial"/>
          <w:noProof/>
          <w:color w:val="auto"/>
          <w:sz w:val="22"/>
        </w:rPr>
        <w:t>5</w:t>
      </w:r>
      <w:r w:rsidR="00946333" w:rsidRPr="006C216F">
        <w:rPr>
          <w:rFonts w:ascii="Arial" w:hAnsi="Arial" w:cs="Arial"/>
          <w:noProof/>
          <w:color w:val="auto"/>
          <w:sz w:val="22"/>
        </w:rPr>
        <w:fldChar w:fldCharType="end"/>
      </w:r>
      <w:r w:rsidR="00806371" w:rsidRPr="006C216F">
        <w:rPr>
          <w:rFonts w:ascii="Arial" w:hAnsi="Arial" w:cs="Arial"/>
          <w:color w:val="auto"/>
          <w:sz w:val="22"/>
        </w:rPr>
        <w:t>: Percentage of district achieving &lt;50%; 50-79% and ≥80% coverage, 2000-2015</w:t>
      </w:r>
    </w:p>
    <w:p w14:paraId="648CE445" w14:textId="1CCFD9B4" w:rsidR="00806371" w:rsidRDefault="00806371" w:rsidP="00806371">
      <w:pPr>
        <w:rPr>
          <w:b/>
        </w:rPr>
      </w:pPr>
      <w:r>
        <w:rPr>
          <w:noProof/>
          <w:lang w:eastAsia="zh-CN"/>
        </w:rPr>
        <w:drawing>
          <wp:inline distT="0" distB="0" distL="0" distR="0" wp14:anchorId="2046BD8E" wp14:editId="3D4BB79D">
            <wp:extent cx="5724525" cy="4295775"/>
            <wp:effectExtent l="0" t="0" r="9525" b="9525"/>
            <wp:docPr id="10" name="Picture 10" descr="Y:\GVAP\Priority_countries\T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GVAP\Priority_countries\TC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14:paraId="1B9A2141" w14:textId="77777777" w:rsidR="00CA66C6" w:rsidRDefault="00CA66C6">
      <w:pPr>
        <w:rPr>
          <w:rFonts w:ascii="Arial" w:hAnsi="Arial" w:cs="Arial"/>
          <w:b/>
          <w:bCs/>
          <w:szCs w:val="18"/>
        </w:rPr>
      </w:pPr>
      <w:r>
        <w:rPr>
          <w:rFonts w:ascii="Arial" w:hAnsi="Arial" w:cs="Arial"/>
        </w:rPr>
        <w:br w:type="page"/>
      </w:r>
    </w:p>
    <w:p w14:paraId="66015B7E" w14:textId="25A08EFC" w:rsidR="00222690" w:rsidRPr="006C216F" w:rsidRDefault="00222690" w:rsidP="00222690">
      <w:pPr>
        <w:pStyle w:val="Caption"/>
        <w:rPr>
          <w:rFonts w:ascii="Arial" w:hAnsi="Arial" w:cs="Arial"/>
          <w:noProof/>
          <w:color w:val="auto"/>
          <w:sz w:val="22"/>
          <w:lang w:eastAsia="zh-CN"/>
        </w:rPr>
      </w:pPr>
      <w:r w:rsidRPr="00CA66C6">
        <w:rPr>
          <w:rFonts w:ascii="Arial" w:hAnsi="Arial" w:cs="Arial"/>
          <w:color w:val="auto"/>
          <w:sz w:val="22"/>
        </w:rPr>
        <w:lastRenderedPageBreak/>
        <w:t xml:space="preserve">Figure </w:t>
      </w:r>
      <w:r w:rsidR="00946333" w:rsidRPr="00CA66C6">
        <w:rPr>
          <w:rFonts w:ascii="Arial" w:hAnsi="Arial" w:cs="Arial"/>
          <w:color w:val="auto"/>
          <w:sz w:val="22"/>
        </w:rPr>
        <w:fldChar w:fldCharType="begin"/>
      </w:r>
      <w:r w:rsidR="00946333" w:rsidRPr="00CA66C6">
        <w:rPr>
          <w:rFonts w:ascii="Arial" w:hAnsi="Arial" w:cs="Arial"/>
          <w:color w:val="auto"/>
          <w:sz w:val="22"/>
        </w:rPr>
        <w:instrText xml:space="preserve"> SEQ Figure \* ARABIC </w:instrText>
      </w:r>
      <w:r w:rsidR="00946333" w:rsidRPr="00CA66C6">
        <w:rPr>
          <w:rFonts w:ascii="Arial" w:hAnsi="Arial" w:cs="Arial"/>
          <w:color w:val="auto"/>
          <w:sz w:val="22"/>
        </w:rPr>
        <w:fldChar w:fldCharType="separate"/>
      </w:r>
      <w:r w:rsidR="006C216F" w:rsidRPr="00CA66C6">
        <w:rPr>
          <w:rFonts w:ascii="Arial" w:hAnsi="Arial" w:cs="Arial"/>
          <w:noProof/>
          <w:color w:val="auto"/>
          <w:sz w:val="22"/>
        </w:rPr>
        <w:t>6</w:t>
      </w:r>
      <w:r w:rsidR="00946333" w:rsidRPr="00CA66C6">
        <w:rPr>
          <w:rFonts w:ascii="Arial" w:hAnsi="Arial" w:cs="Arial"/>
          <w:noProof/>
          <w:color w:val="auto"/>
          <w:sz w:val="22"/>
        </w:rPr>
        <w:fldChar w:fldCharType="end"/>
      </w:r>
      <w:r w:rsidRPr="00CA66C6">
        <w:rPr>
          <w:rFonts w:ascii="Arial" w:hAnsi="Arial" w:cs="Arial"/>
          <w:color w:val="auto"/>
          <w:sz w:val="22"/>
        </w:rPr>
        <w:t xml:space="preserve">: </w:t>
      </w:r>
      <w:r w:rsidR="00806371" w:rsidRPr="00CA66C6">
        <w:rPr>
          <w:rFonts w:ascii="Arial" w:hAnsi="Arial" w:cs="Arial"/>
          <w:color w:val="auto"/>
          <w:sz w:val="22"/>
        </w:rPr>
        <w:t>DTP3 coverage by district/province</w:t>
      </w:r>
      <w:r w:rsidRPr="00CA66C6">
        <w:rPr>
          <w:rFonts w:ascii="Arial" w:hAnsi="Arial" w:cs="Arial"/>
          <w:color w:val="auto"/>
          <w:sz w:val="22"/>
        </w:rPr>
        <w:t>, Chad</w:t>
      </w:r>
      <w:proofErr w:type="gramStart"/>
      <w:r w:rsidRPr="00CA66C6">
        <w:rPr>
          <w:rFonts w:ascii="Arial" w:hAnsi="Arial" w:cs="Arial"/>
          <w:color w:val="auto"/>
          <w:sz w:val="22"/>
        </w:rPr>
        <w:t xml:space="preserve">, </w:t>
      </w:r>
      <w:r w:rsidR="00806371" w:rsidRPr="00CA66C6">
        <w:rPr>
          <w:rFonts w:ascii="Arial" w:hAnsi="Arial" w:cs="Arial"/>
          <w:color w:val="auto"/>
          <w:sz w:val="22"/>
        </w:rPr>
        <w:t xml:space="preserve"> 2010</w:t>
      </w:r>
      <w:proofErr w:type="gramEnd"/>
      <w:r w:rsidR="00806371" w:rsidRPr="00CA66C6">
        <w:rPr>
          <w:rFonts w:ascii="Arial" w:hAnsi="Arial" w:cs="Arial"/>
          <w:color w:val="auto"/>
          <w:sz w:val="22"/>
        </w:rPr>
        <w:t xml:space="preserve"> and 2015 (admin)</w:t>
      </w:r>
      <w:r w:rsidR="00806371" w:rsidRPr="006C216F">
        <w:rPr>
          <w:rFonts w:ascii="Arial" w:hAnsi="Arial" w:cs="Arial"/>
          <w:noProof/>
          <w:color w:val="auto"/>
          <w:sz w:val="22"/>
          <w:lang w:eastAsia="zh-CN"/>
        </w:rPr>
        <w:t xml:space="preserve"> </w:t>
      </w:r>
    </w:p>
    <w:p w14:paraId="56F10672" w14:textId="63141EA9" w:rsidR="00806371" w:rsidRDefault="00806371" w:rsidP="00222690">
      <w:pPr>
        <w:pStyle w:val="Caption"/>
        <w:jc w:val="center"/>
        <w:rPr>
          <w:b w:val="0"/>
        </w:rPr>
      </w:pPr>
      <w:r>
        <w:rPr>
          <w:b w:val="0"/>
          <w:noProof/>
          <w:lang w:eastAsia="zh-CN"/>
        </w:rPr>
        <w:drawing>
          <wp:inline distT="0" distB="0" distL="0" distR="0" wp14:anchorId="4DED6F18" wp14:editId="0E18F7C0">
            <wp:extent cx="4219363" cy="3164669"/>
            <wp:effectExtent l="19050" t="19050" r="10160" b="171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0144" cy="3165255"/>
                    </a:xfrm>
                    <a:prstGeom prst="rect">
                      <a:avLst/>
                    </a:prstGeom>
                    <a:noFill/>
                    <a:ln>
                      <a:solidFill>
                        <a:schemeClr val="tx1"/>
                      </a:solidFill>
                    </a:ln>
                  </pic:spPr>
                </pic:pic>
              </a:graphicData>
            </a:graphic>
          </wp:inline>
        </w:drawing>
      </w:r>
    </w:p>
    <w:p w14:paraId="2D56AB25" w14:textId="77777777" w:rsidR="00222690" w:rsidRDefault="00222690" w:rsidP="00806371">
      <w:pPr>
        <w:rPr>
          <w:b/>
        </w:rPr>
      </w:pPr>
    </w:p>
    <w:p w14:paraId="694AD044" w14:textId="43818BCF" w:rsidR="00806371" w:rsidRPr="006C216F" w:rsidRDefault="00222690" w:rsidP="00222690">
      <w:pPr>
        <w:pStyle w:val="Caption"/>
        <w:rPr>
          <w:rFonts w:ascii="Arial" w:hAnsi="Arial" w:cs="Arial"/>
          <w:color w:val="auto"/>
          <w:sz w:val="22"/>
        </w:rPr>
      </w:pPr>
      <w:r w:rsidRPr="006C216F">
        <w:rPr>
          <w:rFonts w:ascii="Arial" w:hAnsi="Arial" w:cs="Arial"/>
          <w:color w:val="auto"/>
          <w:sz w:val="22"/>
        </w:rPr>
        <w:t xml:space="preserve">Figure </w:t>
      </w:r>
      <w:r w:rsidR="00946333" w:rsidRPr="006C216F">
        <w:rPr>
          <w:rFonts w:ascii="Arial" w:hAnsi="Arial" w:cs="Arial"/>
          <w:color w:val="auto"/>
          <w:sz w:val="22"/>
        </w:rPr>
        <w:fldChar w:fldCharType="begin"/>
      </w:r>
      <w:r w:rsidR="00946333" w:rsidRPr="006C216F">
        <w:rPr>
          <w:rFonts w:ascii="Arial" w:hAnsi="Arial" w:cs="Arial"/>
          <w:color w:val="auto"/>
          <w:sz w:val="22"/>
        </w:rPr>
        <w:instrText xml:space="preserve"> SEQ Figure \* ARABIC </w:instrText>
      </w:r>
      <w:r w:rsidR="00946333" w:rsidRPr="006C216F">
        <w:rPr>
          <w:rFonts w:ascii="Arial" w:hAnsi="Arial" w:cs="Arial"/>
          <w:color w:val="auto"/>
          <w:sz w:val="22"/>
        </w:rPr>
        <w:fldChar w:fldCharType="separate"/>
      </w:r>
      <w:r w:rsidR="006C216F" w:rsidRPr="006C216F">
        <w:rPr>
          <w:rFonts w:ascii="Arial" w:hAnsi="Arial" w:cs="Arial"/>
          <w:noProof/>
          <w:color w:val="auto"/>
          <w:sz w:val="22"/>
        </w:rPr>
        <w:t>7</w:t>
      </w:r>
      <w:r w:rsidR="00946333" w:rsidRPr="006C216F">
        <w:rPr>
          <w:rFonts w:ascii="Arial" w:hAnsi="Arial" w:cs="Arial"/>
          <w:noProof/>
          <w:color w:val="auto"/>
          <w:sz w:val="22"/>
        </w:rPr>
        <w:fldChar w:fldCharType="end"/>
      </w:r>
      <w:r w:rsidR="00806371" w:rsidRPr="006C216F">
        <w:rPr>
          <w:rFonts w:ascii="Arial" w:hAnsi="Arial" w:cs="Arial"/>
          <w:color w:val="auto"/>
          <w:sz w:val="22"/>
        </w:rPr>
        <w:t xml:space="preserve">: Immunization coverage data disaggregated by sex and wealth quintile </w:t>
      </w:r>
    </w:p>
    <w:p w14:paraId="5CDF4114" w14:textId="490FB372" w:rsidR="00222690" w:rsidRDefault="00824375" w:rsidP="00806371">
      <w:r>
        <w:rPr>
          <w:noProof/>
          <w:lang w:eastAsia="zh-CN"/>
        </w:rPr>
        <w:drawing>
          <wp:inline distT="0" distB="0" distL="0" distR="0" wp14:anchorId="1F3E9CEF" wp14:editId="0B832419">
            <wp:extent cx="4114800" cy="4114800"/>
            <wp:effectExtent l="0" t="0" r="0" b="0"/>
            <wp:docPr id="4" name="Picture 4" descr="D:\data\GVAP Reports\2016\1. GVAP secretariat report 2016\3. 10 priority countries reports\Chad\TCD_disaggregated_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GVAP Reports\2016\1. GVAP secretariat report 2016\3. 10 priority countries reports\Chad\TCD_disaggregated_data.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4B587F4D" w14:textId="3D4A9659" w:rsidR="00E86411" w:rsidRPr="001255ED" w:rsidRDefault="00E86411" w:rsidP="002909E3">
      <w:bookmarkStart w:id="0" w:name="_GoBack"/>
      <w:bookmarkEnd w:id="0"/>
    </w:p>
    <w:sectPr w:rsidR="00E86411" w:rsidRPr="001255ED" w:rsidSect="000117E8">
      <w:type w:val="continuous"/>
      <w:pgSz w:w="11906" w:h="16838"/>
      <w:pgMar w:top="1440" w:right="1440" w:bottom="1440" w:left="1440"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933F3E" w15:done="0"/>
  <w15:commentEx w15:paraId="13998B76" w15:done="0"/>
  <w15:commentEx w15:paraId="60B9959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0E750F" w14:textId="77777777" w:rsidR="005D59E6" w:rsidRDefault="005D59E6">
      <w:pPr>
        <w:spacing w:after="0" w:line="240" w:lineRule="auto"/>
      </w:pPr>
      <w:r>
        <w:separator/>
      </w:r>
    </w:p>
  </w:endnote>
  <w:endnote w:type="continuationSeparator" w:id="0">
    <w:p w14:paraId="2B956DA4" w14:textId="77777777" w:rsidR="005D59E6" w:rsidRDefault="005D5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79523"/>
      <w:docPartObj>
        <w:docPartGallery w:val="Page Numbers (Bottom of Page)"/>
        <w:docPartUnique/>
      </w:docPartObj>
    </w:sdtPr>
    <w:sdtEndPr>
      <w:rPr>
        <w:noProof/>
      </w:rPr>
    </w:sdtEndPr>
    <w:sdtContent>
      <w:p w14:paraId="7CFCD3F8" w14:textId="25072BAB" w:rsidR="00BE25DC" w:rsidRDefault="00BE25DC">
        <w:pPr>
          <w:pStyle w:val="Footer"/>
          <w:jc w:val="center"/>
        </w:pPr>
        <w:r>
          <w:fldChar w:fldCharType="begin"/>
        </w:r>
        <w:r>
          <w:instrText xml:space="preserve"> PAGE   \* MERGEFORMAT </w:instrText>
        </w:r>
        <w:r>
          <w:fldChar w:fldCharType="separate"/>
        </w:r>
        <w:r w:rsidR="002909E3">
          <w:rPr>
            <w:noProof/>
          </w:rPr>
          <w:t>8</w:t>
        </w:r>
        <w:r>
          <w:rPr>
            <w:noProof/>
          </w:rPr>
          <w:fldChar w:fldCharType="end"/>
        </w:r>
      </w:p>
    </w:sdtContent>
  </w:sdt>
  <w:p w14:paraId="780E7B36" w14:textId="588B8F14" w:rsidR="00BE25DC" w:rsidRDefault="00BE25DC" w:rsidP="00C311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7FF66D" w14:textId="77777777" w:rsidR="005D59E6" w:rsidRDefault="005D59E6">
      <w:pPr>
        <w:spacing w:after="0" w:line="240" w:lineRule="auto"/>
      </w:pPr>
      <w:r>
        <w:separator/>
      </w:r>
    </w:p>
  </w:footnote>
  <w:footnote w:type="continuationSeparator" w:id="0">
    <w:p w14:paraId="74B1826E" w14:textId="77777777" w:rsidR="005D59E6" w:rsidRDefault="005D59E6">
      <w:pPr>
        <w:spacing w:after="0" w:line="240" w:lineRule="auto"/>
      </w:pPr>
      <w:r>
        <w:continuationSeparator/>
      </w:r>
    </w:p>
  </w:footnote>
  <w:footnote w:id="1">
    <w:p w14:paraId="6A6CBA62" w14:textId="4015E9B5" w:rsidR="00BE25DC" w:rsidRPr="008F1958" w:rsidRDefault="00BE25DC">
      <w:pPr>
        <w:pStyle w:val="FootnoteText"/>
      </w:pPr>
      <w:r>
        <w:rPr>
          <w:rStyle w:val="FootnoteReference"/>
        </w:rPr>
        <w:footnoteRef/>
      </w:r>
      <w:r>
        <w:t xml:space="preserve"> </w:t>
      </w:r>
      <w:r>
        <w:rPr>
          <w:lang w:val="en-US"/>
        </w:rPr>
        <w:t xml:space="preserve">Republic of Chad, Demographic and Health Survey (DHS) and </w:t>
      </w:r>
      <w:proofErr w:type="gramStart"/>
      <w:r>
        <w:rPr>
          <w:lang w:val="en-US"/>
        </w:rPr>
        <w:t>Multiple</w:t>
      </w:r>
      <w:proofErr w:type="gramEnd"/>
      <w:r>
        <w:rPr>
          <w:lang w:val="en-US"/>
        </w:rPr>
        <w:t xml:space="preserve"> indicator Cluster Survey (MICS), 2015.</w:t>
      </w:r>
    </w:p>
  </w:footnote>
  <w:footnote w:id="2">
    <w:p w14:paraId="47E5D28A" w14:textId="7F4E42F9" w:rsidR="00BE25DC" w:rsidRPr="008F1958" w:rsidRDefault="00BE25DC">
      <w:pPr>
        <w:pStyle w:val="FootnoteText"/>
        <w:rPr>
          <w:lang w:val="en-US"/>
        </w:rPr>
      </w:pPr>
      <w:r>
        <w:rPr>
          <w:rStyle w:val="FootnoteReference"/>
        </w:rPr>
        <w:footnoteRef/>
      </w:r>
      <w:r>
        <w:t xml:space="preserve"> WHO </w:t>
      </w:r>
      <w:r>
        <w:rPr>
          <w:lang w:val="en-US"/>
        </w:rPr>
        <w:t xml:space="preserve">Immunization country profile (do link). </w:t>
      </w:r>
    </w:p>
  </w:footnote>
  <w:footnote w:id="3">
    <w:p w14:paraId="43F02284" w14:textId="4F640E97" w:rsidR="00BE25DC" w:rsidRPr="00853D73" w:rsidRDefault="00BE25DC">
      <w:pPr>
        <w:pStyle w:val="FootnoteText"/>
      </w:pPr>
      <w:r>
        <w:rPr>
          <w:rStyle w:val="FootnoteReference"/>
        </w:rPr>
        <w:footnoteRef/>
      </w:r>
      <w:r>
        <w:t xml:space="preserve"> </w:t>
      </w:r>
      <w:r w:rsidRPr="000A5E5A">
        <w:rPr>
          <w:lang w:val="en-US"/>
        </w:rPr>
        <w:t>Report of the External Review of the Chad EPI, June 2012</w:t>
      </w:r>
    </w:p>
  </w:footnote>
  <w:footnote w:id="4">
    <w:p w14:paraId="29E43815" w14:textId="2AB96589" w:rsidR="00BE25DC" w:rsidRPr="000A5E5A" w:rsidRDefault="00BE25DC">
      <w:pPr>
        <w:pStyle w:val="FootnoteText"/>
        <w:rPr>
          <w:lang w:val="en-US"/>
        </w:rPr>
      </w:pPr>
      <w:r w:rsidRPr="000A5E5A">
        <w:rPr>
          <w:rStyle w:val="FootnoteReference"/>
          <w:lang w:val="en-US"/>
        </w:rPr>
        <w:footnoteRef/>
      </w:r>
      <w:r w:rsidRPr="000A5E5A">
        <w:rPr>
          <w:lang w:val="en-US"/>
        </w:rPr>
        <w:t xml:space="preserve"> Report of the External Review of the Chad EPI, June 2012.</w:t>
      </w:r>
    </w:p>
  </w:footnote>
  <w:footnote w:id="5">
    <w:p w14:paraId="7CFED4E9" w14:textId="69CD5657" w:rsidR="00BE25DC" w:rsidRPr="00853D73" w:rsidRDefault="00BE25DC">
      <w:pPr>
        <w:pStyle w:val="FootnoteText"/>
        <w:rPr>
          <w:lang w:val="en-US"/>
        </w:rPr>
      </w:pPr>
      <w:r>
        <w:rPr>
          <w:rStyle w:val="FootnoteReference"/>
        </w:rPr>
        <w:footnoteRef/>
      </w:r>
      <w:r>
        <w:t xml:space="preserve"> </w:t>
      </w:r>
      <w:proofErr w:type="gramStart"/>
      <w:r>
        <w:rPr>
          <w:lang w:val="en-US"/>
        </w:rPr>
        <w:t>Joint Appraisal report 2016.</w:t>
      </w:r>
      <w:proofErr w:type="gramEnd"/>
    </w:p>
  </w:footnote>
  <w:footnote w:id="6">
    <w:p w14:paraId="3BE277D0" w14:textId="1C2618B7" w:rsidR="00BE25DC" w:rsidRPr="00A74BBC" w:rsidRDefault="00BE25DC">
      <w:pPr>
        <w:pStyle w:val="FootnoteText"/>
        <w:rPr>
          <w:lang w:val="en-US"/>
        </w:rPr>
      </w:pPr>
      <w:r>
        <w:rPr>
          <w:rStyle w:val="FootnoteReference"/>
        </w:rPr>
        <w:footnoteRef/>
      </w:r>
      <w:r>
        <w:t xml:space="preserve"> </w:t>
      </w:r>
      <w:proofErr w:type="spellStart"/>
      <w:proofErr w:type="gramStart"/>
      <w:r>
        <w:rPr>
          <w:lang w:val="en-US"/>
        </w:rPr>
        <w:t>cMYP</w:t>
      </w:r>
      <w:proofErr w:type="spellEnd"/>
      <w:proofErr w:type="gramEnd"/>
      <w:r>
        <w:rPr>
          <w:lang w:val="en-US"/>
        </w:rPr>
        <w:t xml:space="preserve"> 2013-2017.</w:t>
      </w:r>
    </w:p>
  </w:footnote>
  <w:footnote w:id="7">
    <w:p w14:paraId="3DFE0C3F" w14:textId="12FBD89E" w:rsidR="00BE25DC" w:rsidRPr="000145E4" w:rsidRDefault="00BE25DC">
      <w:pPr>
        <w:pStyle w:val="FootnoteText"/>
        <w:rPr>
          <w:lang w:val="en-US"/>
        </w:rPr>
      </w:pPr>
      <w:r>
        <w:rPr>
          <w:rStyle w:val="FootnoteReference"/>
        </w:rPr>
        <w:footnoteRef/>
      </w:r>
      <w:r>
        <w:t xml:space="preserve"> </w:t>
      </w:r>
      <w:r>
        <w:rPr>
          <w:lang w:val="en-US"/>
        </w:rPr>
        <w:t>Chad Annual EPI Action Plan, 2016</w:t>
      </w:r>
    </w:p>
  </w:footnote>
  <w:footnote w:id="8">
    <w:p w14:paraId="1BD925F8" w14:textId="02304E76" w:rsidR="00BE25DC" w:rsidRPr="00545A94" w:rsidRDefault="00BE25DC">
      <w:pPr>
        <w:pStyle w:val="FootnoteText"/>
        <w:rPr>
          <w:lang w:val="en-US"/>
        </w:rPr>
      </w:pPr>
      <w:r>
        <w:rPr>
          <w:rStyle w:val="FootnoteReference"/>
        </w:rPr>
        <w:footnoteRef/>
      </w:r>
      <w:r>
        <w:t xml:space="preserve"> </w:t>
      </w:r>
      <w:proofErr w:type="gramStart"/>
      <w:r>
        <w:rPr>
          <w:lang w:val="en-US"/>
        </w:rPr>
        <w:t>Joint appraisal report 2015.</w:t>
      </w:r>
      <w:proofErr w:type="gramEnd"/>
    </w:p>
  </w:footnote>
  <w:footnote w:id="9">
    <w:p w14:paraId="4F1AD0A5" w14:textId="7EB44E13" w:rsidR="00BE25DC" w:rsidRPr="005A684D" w:rsidRDefault="00BE25DC">
      <w:pPr>
        <w:pStyle w:val="FootnoteText"/>
        <w:rPr>
          <w:lang w:val="en-US"/>
        </w:rPr>
      </w:pPr>
      <w:r>
        <w:rPr>
          <w:rStyle w:val="FootnoteReference"/>
        </w:rPr>
        <w:footnoteRef/>
      </w:r>
      <w:r>
        <w:t xml:space="preserve"> </w:t>
      </w:r>
      <w:proofErr w:type="gramStart"/>
      <w:r>
        <w:rPr>
          <w:lang w:val="en-US"/>
        </w:rPr>
        <w:t>Chad EPI Annual Action Plan 2016.</w:t>
      </w:r>
      <w:proofErr w:type="gramEnd"/>
    </w:p>
  </w:footnote>
  <w:footnote w:id="10">
    <w:p w14:paraId="65016901" w14:textId="43988272" w:rsidR="00BE25DC" w:rsidRPr="005A684D" w:rsidRDefault="00BE25DC">
      <w:pPr>
        <w:pStyle w:val="FootnoteText"/>
        <w:rPr>
          <w:lang w:val="en-US"/>
        </w:rPr>
      </w:pPr>
      <w:r>
        <w:rPr>
          <w:rStyle w:val="FootnoteReference"/>
        </w:rPr>
        <w:footnoteRef/>
      </w:r>
      <w:r>
        <w:t xml:space="preserve"> </w:t>
      </w:r>
      <w:proofErr w:type="gramStart"/>
      <w:r>
        <w:rPr>
          <w:lang w:val="en-US"/>
        </w:rPr>
        <w:t>Joint appraisal report 2016.</w:t>
      </w:r>
      <w:proofErr w:type="gramEnd"/>
    </w:p>
  </w:footnote>
  <w:footnote w:id="11">
    <w:p w14:paraId="7C807B2D" w14:textId="5A855AF0" w:rsidR="00BE25DC" w:rsidRPr="002F1B54" w:rsidRDefault="00BE25DC">
      <w:pPr>
        <w:pStyle w:val="FootnoteText"/>
        <w:rPr>
          <w:lang w:val="en-US"/>
        </w:rPr>
      </w:pPr>
      <w:r>
        <w:rPr>
          <w:rStyle w:val="FootnoteReference"/>
        </w:rPr>
        <w:footnoteRef/>
      </w:r>
      <w:r>
        <w:t xml:space="preserve"> </w:t>
      </w:r>
      <w:proofErr w:type="gramStart"/>
      <w:r w:rsidR="00C252A3">
        <w:t>Government of Chad and WHO.</w:t>
      </w:r>
      <w:proofErr w:type="gramEnd"/>
      <w:r w:rsidR="00C252A3">
        <w:t xml:space="preserve"> </w:t>
      </w:r>
      <w:proofErr w:type="gramStart"/>
      <w:r w:rsidR="00C252A3">
        <w:t>Report of the third routine vaccination round for nomadic and cross-border populations in the health district of Mani, 7-16 November 2015.</w:t>
      </w:r>
      <w:proofErr w:type="gramEnd"/>
    </w:p>
  </w:footnote>
  <w:footnote w:id="12">
    <w:p w14:paraId="0905F914" w14:textId="69BC104F" w:rsidR="00BE25DC" w:rsidRPr="00993872" w:rsidRDefault="00BE25DC">
      <w:pPr>
        <w:pStyle w:val="FootnoteText"/>
        <w:rPr>
          <w:lang w:val="en-US"/>
        </w:rPr>
      </w:pPr>
      <w:r>
        <w:rPr>
          <w:rStyle w:val="FootnoteReference"/>
        </w:rPr>
        <w:footnoteRef/>
      </w:r>
      <w:r>
        <w:t xml:space="preserve"> </w:t>
      </w:r>
      <w:proofErr w:type="gramStart"/>
      <w:r>
        <w:rPr>
          <w:lang w:val="en-US"/>
        </w:rPr>
        <w:t xml:space="preserve">EPI review, </w:t>
      </w:r>
      <w:proofErr w:type="spellStart"/>
      <w:r>
        <w:rPr>
          <w:lang w:val="en-US"/>
        </w:rPr>
        <w:t>cMYP</w:t>
      </w:r>
      <w:proofErr w:type="spellEnd"/>
      <w:r>
        <w:rPr>
          <w:lang w:val="en-US"/>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72D2CE5"/>
    <w:multiLevelType w:val="multilevel"/>
    <w:tmpl w:val="F58C9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D5180B"/>
    <w:multiLevelType w:val="hybridMultilevel"/>
    <w:tmpl w:val="AAA283B2"/>
    <w:lvl w:ilvl="0" w:tplc="10421B90">
      <w:numFmt w:val="bullet"/>
      <w:lvlText w:val="-"/>
      <w:lvlJc w:val="left"/>
      <w:pPr>
        <w:ind w:left="1080" w:hanging="360"/>
      </w:pPr>
      <w:rPr>
        <w:rFonts w:ascii="Arial" w:eastAsiaTheme="minorHAns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9AB2663"/>
    <w:multiLevelType w:val="multilevel"/>
    <w:tmpl w:val="37DE8C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nsid w:val="3B821CFF"/>
    <w:multiLevelType w:val="hybridMultilevel"/>
    <w:tmpl w:val="85B4CC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14">
    <w:nsid w:val="41E943A5"/>
    <w:multiLevelType w:val="multilevel"/>
    <w:tmpl w:val="A3D492D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16">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20">
    <w:nsid w:val="699F3763"/>
    <w:multiLevelType w:val="hybridMultilevel"/>
    <w:tmpl w:val="53E87108"/>
    <w:lvl w:ilvl="0" w:tplc="1EF4D39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22">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7BDF7363"/>
    <w:multiLevelType w:val="hybridMultilevel"/>
    <w:tmpl w:val="59B2751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25">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18"/>
  </w:num>
  <w:num w:numId="6">
    <w:abstractNumId w:val="1"/>
  </w:num>
  <w:num w:numId="7">
    <w:abstractNumId w:val="5"/>
  </w:num>
  <w:num w:numId="8">
    <w:abstractNumId w:val="16"/>
  </w:num>
  <w:num w:numId="9">
    <w:abstractNumId w:val="4"/>
  </w:num>
  <w:num w:numId="10">
    <w:abstractNumId w:val="22"/>
  </w:num>
  <w:num w:numId="11">
    <w:abstractNumId w:val="21"/>
  </w:num>
  <w:num w:numId="12">
    <w:abstractNumId w:val="13"/>
  </w:num>
  <w:num w:numId="13">
    <w:abstractNumId w:val="19"/>
  </w:num>
  <w:num w:numId="14">
    <w:abstractNumId w:val="15"/>
  </w:num>
  <w:num w:numId="15">
    <w:abstractNumId w:val="24"/>
  </w:num>
  <w:num w:numId="16">
    <w:abstractNumId w:val="7"/>
  </w:num>
  <w:num w:numId="17">
    <w:abstractNumId w:val="17"/>
  </w:num>
  <w:num w:numId="18">
    <w:abstractNumId w:val="10"/>
  </w:num>
  <w:num w:numId="19">
    <w:abstractNumId w:val="25"/>
  </w:num>
  <w:num w:numId="20">
    <w:abstractNumId w:val="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5"/>
  </w:num>
  <w:num w:numId="25">
    <w:abstractNumId w:val="8"/>
  </w:num>
  <w:num w:numId="26">
    <w:abstractNumId w:val="6"/>
  </w:num>
  <w:num w:numId="27">
    <w:abstractNumId w:val="14"/>
  </w:num>
  <w:num w:numId="28">
    <w:abstractNumId w:val="12"/>
  </w:num>
  <w:num w:numId="29">
    <w:abstractNumId w:val="23"/>
  </w:num>
  <w:num w:numId="30">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eRoeck">
    <w15:presenceInfo w15:providerId="Windows Live" w15:userId="dd5ab0a71e4737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117E8"/>
    <w:rsid w:val="000145A8"/>
    <w:rsid w:val="000145E4"/>
    <w:rsid w:val="00052693"/>
    <w:rsid w:val="0005408F"/>
    <w:rsid w:val="00067068"/>
    <w:rsid w:val="0007442D"/>
    <w:rsid w:val="00076DF1"/>
    <w:rsid w:val="0008308B"/>
    <w:rsid w:val="00096E70"/>
    <w:rsid w:val="000A5E5A"/>
    <w:rsid w:val="000C2C44"/>
    <w:rsid w:val="000E3D3E"/>
    <w:rsid w:val="00103BA7"/>
    <w:rsid w:val="00110F1E"/>
    <w:rsid w:val="001121B4"/>
    <w:rsid w:val="001255ED"/>
    <w:rsid w:val="00160897"/>
    <w:rsid w:val="00163179"/>
    <w:rsid w:val="00163F2D"/>
    <w:rsid w:val="00175787"/>
    <w:rsid w:val="001869B3"/>
    <w:rsid w:val="001B0097"/>
    <w:rsid w:val="001B3C99"/>
    <w:rsid w:val="001B54B9"/>
    <w:rsid w:val="001C1193"/>
    <w:rsid w:val="001C1E4D"/>
    <w:rsid w:val="001C5026"/>
    <w:rsid w:val="001F2D8D"/>
    <w:rsid w:val="002149FF"/>
    <w:rsid w:val="00222690"/>
    <w:rsid w:val="002258E3"/>
    <w:rsid w:val="002327A5"/>
    <w:rsid w:val="00232D9A"/>
    <w:rsid w:val="0024354C"/>
    <w:rsid w:val="00255BFD"/>
    <w:rsid w:val="0025776D"/>
    <w:rsid w:val="002607B7"/>
    <w:rsid w:val="002766DB"/>
    <w:rsid w:val="002818D0"/>
    <w:rsid w:val="00281CEF"/>
    <w:rsid w:val="002909E3"/>
    <w:rsid w:val="00292589"/>
    <w:rsid w:val="0029412C"/>
    <w:rsid w:val="002A57FE"/>
    <w:rsid w:val="002B73D6"/>
    <w:rsid w:val="002C0BCF"/>
    <w:rsid w:val="002D61F5"/>
    <w:rsid w:val="002D762A"/>
    <w:rsid w:val="002F1749"/>
    <w:rsid w:val="002F1B54"/>
    <w:rsid w:val="002F20C9"/>
    <w:rsid w:val="0032046D"/>
    <w:rsid w:val="003324F6"/>
    <w:rsid w:val="00335736"/>
    <w:rsid w:val="00341AB8"/>
    <w:rsid w:val="00344B26"/>
    <w:rsid w:val="00346824"/>
    <w:rsid w:val="0035798C"/>
    <w:rsid w:val="003646AF"/>
    <w:rsid w:val="00370616"/>
    <w:rsid w:val="00371B50"/>
    <w:rsid w:val="00373BA5"/>
    <w:rsid w:val="0038449B"/>
    <w:rsid w:val="003A37E8"/>
    <w:rsid w:val="003B6F84"/>
    <w:rsid w:val="003C75CD"/>
    <w:rsid w:val="003D24BB"/>
    <w:rsid w:val="003D6679"/>
    <w:rsid w:val="003E30EC"/>
    <w:rsid w:val="003F21BA"/>
    <w:rsid w:val="003F4825"/>
    <w:rsid w:val="00413A0A"/>
    <w:rsid w:val="004223DB"/>
    <w:rsid w:val="00432B70"/>
    <w:rsid w:val="00436537"/>
    <w:rsid w:val="00441EDC"/>
    <w:rsid w:val="00457E0A"/>
    <w:rsid w:val="00467055"/>
    <w:rsid w:val="00473276"/>
    <w:rsid w:val="004826EF"/>
    <w:rsid w:val="00492F98"/>
    <w:rsid w:val="004A394A"/>
    <w:rsid w:val="004B5B75"/>
    <w:rsid w:val="004D307D"/>
    <w:rsid w:val="004F6777"/>
    <w:rsid w:val="00500171"/>
    <w:rsid w:val="0050564C"/>
    <w:rsid w:val="005133F8"/>
    <w:rsid w:val="00513BF2"/>
    <w:rsid w:val="00530FEA"/>
    <w:rsid w:val="00532476"/>
    <w:rsid w:val="00534013"/>
    <w:rsid w:val="00545A94"/>
    <w:rsid w:val="00550B61"/>
    <w:rsid w:val="00552D04"/>
    <w:rsid w:val="0058000D"/>
    <w:rsid w:val="0058017E"/>
    <w:rsid w:val="00583EEF"/>
    <w:rsid w:val="005A684D"/>
    <w:rsid w:val="005B6B29"/>
    <w:rsid w:val="005C10A5"/>
    <w:rsid w:val="005C6F1C"/>
    <w:rsid w:val="005D59E6"/>
    <w:rsid w:val="005F0283"/>
    <w:rsid w:val="0063770B"/>
    <w:rsid w:val="00640E2D"/>
    <w:rsid w:val="006410AE"/>
    <w:rsid w:val="00641572"/>
    <w:rsid w:val="006761A8"/>
    <w:rsid w:val="0068148C"/>
    <w:rsid w:val="0068183F"/>
    <w:rsid w:val="00682F31"/>
    <w:rsid w:val="006842AB"/>
    <w:rsid w:val="00696E6A"/>
    <w:rsid w:val="006A4380"/>
    <w:rsid w:val="006C0843"/>
    <w:rsid w:val="006C216F"/>
    <w:rsid w:val="006C334B"/>
    <w:rsid w:val="006C5AD0"/>
    <w:rsid w:val="006E2E24"/>
    <w:rsid w:val="007033F7"/>
    <w:rsid w:val="0076408F"/>
    <w:rsid w:val="0076490E"/>
    <w:rsid w:val="0076607C"/>
    <w:rsid w:val="00767749"/>
    <w:rsid w:val="0077052F"/>
    <w:rsid w:val="00770EEA"/>
    <w:rsid w:val="0079008F"/>
    <w:rsid w:val="007A35F6"/>
    <w:rsid w:val="007B053A"/>
    <w:rsid w:val="007C5F79"/>
    <w:rsid w:val="007D16A4"/>
    <w:rsid w:val="007D2AA9"/>
    <w:rsid w:val="007E0DEE"/>
    <w:rsid w:val="007F0729"/>
    <w:rsid w:val="008053B7"/>
    <w:rsid w:val="00806371"/>
    <w:rsid w:val="008105B2"/>
    <w:rsid w:val="00811025"/>
    <w:rsid w:val="00824375"/>
    <w:rsid w:val="00824C6B"/>
    <w:rsid w:val="00825812"/>
    <w:rsid w:val="0083568C"/>
    <w:rsid w:val="008462BD"/>
    <w:rsid w:val="00853D73"/>
    <w:rsid w:val="00856B69"/>
    <w:rsid w:val="00863F77"/>
    <w:rsid w:val="00865907"/>
    <w:rsid w:val="00870C44"/>
    <w:rsid w:val="00883C0A"/>
    <w:rsid w:val="008A1C67"/>
    <w:rsid w:val="008A59F9"/>
    <w:rsid w:val="008C1347"/>
    <w:rsid w:val="008D621C"/>
    <w:rsid w:val="008E4926"/>
    <w:rsid w:val="008E7AA0"/>
    <w:rsid w:val="008F1958"/>
    <w:rsid w:val="008F4F49"/>
    <w:rsid w:val="009236BE"/>
    <w:rsid w:val="009266C9"/>
    <w:rsid w:val="009318B8"/>
    <w:rsid w:val="00946333"/>
    <w:rsid w:val="009563E8"/>
    <w:rsid w:val="00956E96"/>
    <w:rsid w:val="00964AC5"/>
    <w:rsid w:val="00993872"/>
    <w:rsid w:val="009A5026"/>
    <w:rsid w:val="009A71AA"/>
    <w:rsid w:val="009B091D"/>
    <w:rsid w:val="009C09D8"/>
    <w:rsid w:val="009C450A"/>
    <w:rsid w:val="009C7E9F"/>
    <w:rsid w:val="009E1E59"/>
    <w:rsid w:val="00A05916"/>
    <w:rsid w:val="00A071BA"/>
    <w:rsid w:val="00A11AC1"/>
    <w:rsid w:val="00A44D74"/>
    <w:rsid w:val="00A74BBC"/>
    <w:rsid w:val="00A837E0"/>
    <w:rsid w:val="00A86982"/>
    <w:rsid w:val="00AA6315"/>
    <w:rsid w:val="00AE7557"/>
    <w:rsid w:val="00B13423"/>
    <w:rsid w:val="00B218CC"/>
    <w:rsid w:val="00B35B49"/>
    <w:rsid w:val="00B45256"/>
    <w:rsid w:val="00B47984"/>
    <w:rsid w:val="00B50752"/>
    <w:rsid w:val="00B534B7"/>
    <w:rsid w:val="00B53E57"/>
    <w:rsid w:val="00B775FA"/>
    <w:rsid w:val="00BA2589"/>
    <w:rsid w:val="00BE25DC"/>
    <w:rsid w:val="00BF14CF"/>
    <w:rsid w:val="00BF4CFA"/>
    <w:rsid w:val="00C252A3"/>
    <w:rsid w:val="00C31153"/>
    <w:rsid w:val="00C36CCB"/>
    <w:rsid w:val="00C51D8A"/>
    <w:rsid w:val="00C67C9D"/>
    <w:rsid w:val="00C93036"/>
    <w:rsid w:val="00C950B4"/>
    <w:rsid w:val="00CA66C6"/>
    <w:rsid w:val="00CA71B3"/>
    <w:rsid w:val="00CD3FD9"/>
    <w:rsid w:val="00CF0E45"/>
    <w:rsid w:val="00D00DC6"/>
    <w:rsid w:val="00D17551"/>
    <w:rsid w:val="00D24340"/>
    <w:rsid w:val="00D2654F"/>
    <w:rsid w:val="00D27E92"/>
    <w:rsid w:val="00D30DD8"/>
    <w:rsid w:val="00D439C2"/>
    <w:rsid w:val="00D60EC5"/>
    <w:rsid w:val="00D732C7"/>
    <w:rsid w:val="00D875AC"/>
    <w:rsid w:val="00D9435D"/>
    <w:rsid w:val="00D9513D"/>
    <w:rsid w:val="00D9563B"/>
    <w:rsid w:val="00DC5960"/>
    <w:rsid w:val="00DC6E47"/>
    <w:rsid w:val="00DD392C"/>
    <w:rsid w:val="00DF5F2B"/>
    <w:rsid w:val="00DF6833"/>
    <w:rsid w:val="00E11B99"/>
    <w:rsid w:val="00E164ED"/>
    <w:rsid w:val="00E1686A"/>
    <w:rsid w:val="00E22290"/>
    <w:rsid w:val="00E30BC9"/>
    <w:rsid w:val="00E37109"/>
    <w:rsid w:val="00E7073D"/>
    <w:rsid w:val="00E755BF"/>
    <w:rsid w:val="00E86411"/>
    <w:rsid w:val="00E87908"/>
    <w:rsid w:val="00EC5704"/>
    <w:rsid w:val="00EF1751"/>
    <w:rsid w:val="00F13FB4"/>
    <w:rsid w:val="00F2563B"/>
    <w:rsid w:val="00F33B83"/>
    <w:rsid w:val="00F428FC"/>
    <w:rsid w:val="00F577A7"/>
    <w:rsid w:val="00F63D60"/>
    <w:rsid w:val="00F81B65"/>
    <w:rsid w:val="00F85BA5"/>
    <w:rsid w:val="00FB4CDE"/>
    <w:rsid w:val="00FD68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basedOn w:val="DefaultParagraphFont"/>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513BF2"/>
    <w:rPr>
      <w:rFonts w:eastAsiaTheme="minorEastAsia"/>
      <w:lang w:eastAsia="zh-CN"/>
    </w:rPr>
  </w:style>
  <w:style w:type="table" w:styleId="TableGrid">
    <w:name w:val="Table Grid"/>
    <w:basedOn w:val="TableNormal"/>
    <w:uiPriority w:val="59"/>
    <w:rsid w:val="00513BF2"/>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3BF2"/>
    <w:rPr>
      <w:rFonts w:ascii="Tahoma" w:hAnsi="Tahoma" w:cs="Tahoma"/>
      <w:sz w:val="16"/>
      <w:szCs w:val="16"/>
    </w:rPr>
  </w:style>
  <w:style w:type="character" w:styleId="FollowedHyperlink">
    <w:name w:val="FollowedHyperlink"/>
    <w:basedOn w:val="DefaultParagraphFont"/>
    <w:uiPriority w:val="99"/>
    <w:semiHidden/>
    <w:unhideWhenUsed/>
    <w:rsid w:val="00513BF2"/>
    <w:rPr>
      <w:color w:val="800080" w:themeColor="followedHyperlink"/>
      <w:u w:val="single"/>
    </w:rPr>
  </w:style>
  <w:style w:type="character" w:styleId="CommentReference">
    <w:name w:val="annotation reference"/>
    <w:basedOn w:val="DefaultParagraphFont"/>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basedOn w:val="DefaultParagraphFont"/>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basedOn w:val="CommentText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2766D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66DB"/>
    <w:rPr>
      <w:sz w:val="20"/>
      <w:szCs w:val="20"/>
    </w:rPr>
  </w:style>
  <w:style w:type="character" w:styleId="FootnoteReference">
    <w:name w:val="footnote reference"/>
    <w:basedOn w:val="DefaultParagraphFont"/>
    <w:uiPriority w:val="99"/>
    <w:semiHidden/>
    <w:unhideWhenUsed/>
    <w:rsid w:val="002766DB"/>
    <w:rPr>
      <w:vertAlign w:val="superscript"/>
    </w:rPr>
  </w:style>
  <w:style w:type="paragraph" w:styleId="Caption">
    <w:name w:val="caption"/>
    <w:basedOn w:val="Normal"/>
    <w:next w:val="Normal"/>
    <w:uiPriority w:val="35"/>
    <w:unhideWhenUsed/>
    <w:qFormat/>
    <w:rsid w:val="00C51D8A"/>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537400086">
          <w:marLeft w:val="806"/>
          <w:marRight w:val="0"/>
          <w:marTop w:val="72"/>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sChild>
    </w:div>
    <w:div w:id="814184859">
      <w:bodyDiv w:val="1"/>
      <w:marLeft w:val="0"/>
      <w:marRight w:val="0"/>
      <w:marTop w:val="0"/>
      <w:marBottom w:val="0"/>
      <w:divBdr>
        <w:top w:val="none" w:sz="0" w:space="0" w:color="auto"/>
        <w:left w:val="none" w:sz="0" w:space="0" w:color="auto"/>
        <w:bottom w:val="none" w:sz="0" w:space="0" w:color="auto"/>
        <w:right w:val="none" w:sz="0" w:space="0" w:color="auto"/>
      </w:divBdr>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933973919">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03307069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2050450190">
          <w:marLeft w:val="806"/>
          <w:marRight w:val="0"/>
          <w:marTop w:val="86"/>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59450289">
          <w:marLeft w:val="1440"/>
          <w:marRight w:val="0"/>
          <w:marTop w:val="72"/>
          <w:marBottom w:val="0"/>
          <w:divBdr>
            <w:top w:val="none" w:sz="0" w:space="0" w:color="auto"/>
            <w:left w:val="none" w:sz="0" w:space="0" w:color="auto"/>
            <w:bottom w:val="none" w:sz="0" w:space="0" w:color="auto"/>
            <w:right w:val="none" w:sz="0" w:space="0" w:color="auto"/>
          </w:divBdr>
        </w:div>
      </w:divsChild>
    </w:div>
    <w:div w:id="1724794187">
      <w:bodyDiv w:val="1"/>
      <w:marLeft w:val="0"/>
      <w:marRight w:val="0"/>
      <w:marTop w:val="0"/>
      <w:marBottom w:val="0"/>
      <w:divBdr>
        <w:top w:val="none" w:sz="0" w:space="0" w:color="auto"/>
        <w:left w:val="none" w:sz="0" w:space="0" w:color="auto"/>
        <w:bottom w:val="none" w:sz="0" w:space="0" w:color="auto"/>
        <w:right w:val="none" w:sz="0" w:space="0" w:color="auto"/>
      </w:divBdr>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201787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Chad!$B$24</c:f>
              <c:strCache>
                <c:ptCount val="1"/>
                <c:pt idx="0">
                  <c:v>DTP3</c:v>
                </c:pt>
              </c:strCache>
            </c:strRef>
          </c:tx>
          <c:spPr>
            <a:ln w="28575" cap="rnd">
              <a:solidFill>
                <a:srgbClr val="FF0000"/>
              </a:solidFill>
              <a:round/>
            </a:ln>
            <a:effectLst/>
          </c:spPr>
          <c:marker>
            <c:symbol val="square"/>
            <c:size val="5"/>
            <c:spPr>
              <a:solidFill>
                <a:srgbClr val="FF0000"/>
              </a:solidFill>
              <a:ln w="9525">
                <a:solidFill>
                  <a:srgbClr val="FF0000"/>
                </a:solidFill>
              </a:ln>
              <a:effectLst/>
            </c:spPr>
          </c:marker>
          <c:cat>
            <c:numRef>
              <c:f>Chad!$A$25:$A$29</c:f>
              <c:numCache>
                <c:formatCode>General</c:formatCode>
                <c:ptCount val="5"/>
                <c:pt idx="0">
                  <c:v>2011</c:v>
                </c:pt>
                <c:pt idx="1">
                  <c:v>2012</c:v>
                </c:pt>
                <c:pt idx="2">
                  <c:v>2013</c:v>
                </c:pt>
                <c:pt idx="3">
                  <c:v>2014</c:v>
                </c:pt>
                <c:pt idx="4">
                  <c:v>2015</c:v>
                </c:pt>
              </c:numCache>
            </c:numRef>
          </c:cat>
          <c:val>
            <c:numRef>
              <c:f>Chad!$B$25:$B$29</c:f>
              <c:numCache>
                <c:formatCode>General</c:formatCode>
                <c:ptCount val="5"/>
                <c:pt idx="0">
                  <c:v>33</c:v>
                </c:pt>
                <c:pt idx="1">
                  <c:v>45</c:v>
                </c:pt>
                <c:pt idx="2">
                  <c:v>48</c:v>
                </c:pt>
                <c:pt idx="3">
                  <c:v>46</c:v>
                </c:pt>
                <c:pt idx="4">
                  <c:v>55</c:v>
                </c:pt>
              </c:numCache>
            </c:numRef>
          </c:val>
          <c:smooth val="0"/>
        </c:ser>
        <c:ser>
          <c:idx val="1"/>
          <c:order val="1"/>
          <c:tx>
            <c:strRef>
              <c:f>Chad!$C$24</c:f>
              <c:strCache>
                <c:ptCount val="1"/>
                <c:pt idx="0">
                  <c:v>Polio 3</c:v>
                </c:pt>
              </c:strCache>
            </c:strRef>
          </c:tx>
          <c:spPr>
            <a:ln w="28575" cap="rnd">
              <a:solidFill>
                <a:schemeClr val="tx2"/>
              </a:solidFill>
              <a:round/>
            </a:ln>
            <a:effectLst/>
          </c:spPr>
          <c:marker>
            <c:symbol val="circle"/>
            <c:size val="5"/>
            <c:spPr>
              <a:solidFill>
                <a:schemeClr val="tx2"/>
              </a:solidFill>
              <a:ln w="9525">
                <a:solidFill>
                  <a:schemeClr val="tx2"/>
                </a:solidFill>
              </a:ln>
              <a:effectLst/>
            </c:spPr>
          </c:marker>
          <c:cat>
            <c:numRef>
              <c:f>Chad!$A$25:$A$29</c:f>
              <c:numCache>
                <c:formatCode>General</c:formatCode>
                <c:ptCount val="5"/>
                <c:pt idx="0">
                  <c:v>2011</c:v>
                </c:pt>
                <c:pt idx="1">
                  <c:v>2012</c:v>
                </c:pt>
                <c:pt idx="2">
                  <c:v>2013</c:v>
                </c:pt>
                <c:pt idx="3">
                  <c:v>2014</c:v>
                </c:pt>
                <c:pt idx="4">
                  <c:v>2015</c:v>
                </c:pt>
              </c:numCache>
            </c:numRef>
          </c:cat>
          <c:val>
            <c:numRef>
              <c:f>Chad!$C$25:$C$29</c:f>
              <c:numCache>
                <c:formatCode>General</c:formatCode>
                <c:ptCount val="5"/>
                <c:pt idx="0">
                  <c:v>40</c:v>
                </c:pt>
                <c:pt idx="1">
                  <c:v>56</c:v>
                </c:pt>
                <c:pt idx="2">
                  <c:v>56</c:v>
                </c:pt>
                <c:pt idx="3">
                  <c:v>54</c:v>
                </c:pt>
                <c:pt idx="4">
                  <c:v>62</c:v>
                </c:pt>
              </c:numCache>
            </c:numRef>
          </c:val>
          <c:smooth val="0"/>
        </c:ser>
        <c:ser>
          <c:idx val="2"/>
          <c:order val="2"/>
          <c:tx>
            <c:strRef>
              <c:f>Chad!$D$24</c:f>
              <c:strCache>
                <c:ptCount val="1"/>
                <c:pt idx="0">
                  <c:v>Measles</c:v>
                </c:pt>
              </c:strCache>
            </c:strRef>
          </c:tx>
          <c:spPr>
            <a:ln w="28575" cap="rnd">
              <a:solidFill>
                <a:srgbClr val="00B050"/>
              </a:solidFill>
              <a:round/>
            </a:ln>
            <a:effectLst/>
          </c:spPr>
          <c:marker>
            <c:symbol val="diamond"/>
            <c:size val="8"/>
            <c:spPr>
              <a:solidFill>
                <a:srgbClr val="00B050"/>
              </a:solidFill>
              <a:ln w="9525">
                <a:solidFill>
                  <a:schemeClr val="accent3"/>
                </a:solidFill>
              </a:ln>
              <a:effectLst/>
            </c:spPr>
          </c:marker>
          <c:cat>
            <c:numRef>
              <c:f>Chad!$A$25:$A$29</c:f>
              <c:numCache>
                <c:formatCode>General</c:formatCode>
                <c:ptCount val="5"/>
                <c:pt idx="0">
                  <c:v>2011</c:v>
                </c:pt>
                <c:pt idx="1">
                  <c:v>2012</c:v>
                </c:pt>
                <c:pt idx="2">
                  <c:v>2013</c:v>
                </c:pt>
                <c:pt idx="3">
                  <c:v>2014</c:v>
                </c:pt>
                <c:pt idx="4">
                  <c:v>2015</c:v>
                </c:pt>
              </c:numCache>
            </c:numRef>
          </c:cat>
          <c:val>
            <c:numRef>
              <c:f>Chad!$D$25:$D$29</c:f>
              <c:numCache>
                <c:formatCode>General</c:formatCode>
                <c:ptCount val="5"/>
                <c:pt idx="0">
                  <c:v>54</c:v>
                </c:pt>
                <c:pt idx="1">
                  <c:v>64</c:v>
                </c:pt>
                <c:pt idx="2">
                  <c:v>59</c:v>
                </c:pt>
                <c:pt idx="3">
                  <c:v>54</c:v>
                </c:pt>
                <c:pt idx="4">
                  <c:v>62</c:v>
                </c:pt>
              </c:numCache>
            </c:numRef>
          </c:val>
          <c:smooth val="0"/>
        </c:ser>
        <c:dLbls>
          <c:showLegendKey val="0"/>
          <c:showVal val="0"/>
          <c:showCatName val="0"/>
          <c:showSerName val="0"/>
          <c:showPercent val="0"/>
          <c:showBubbleSize val="0"/>
        </c:dLbls>
        <c:marker val="1"/>
        <c:smooth val="0"/>
        <c:axId val="230024704"/>
        <c:axId val="272199680"/>
      </c:lineChart>
      <c:catAx>
        <c:axId val="23002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72199680"/>
        <c:crosses val="autoZero"/>
        <c:auto val="1"/>
        <c:lblAlgn val="ctr"/>
        <c:lblOffset val="100"/>
        <c:noMultiLvlLbl val="0"/>
      </c:catAx>
      <c:valAx>
        <c:axId val="27219968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23002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6D3DC2FD-E09A-4CED-A3BC-D4840A220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1949</Words>
  <Characters>11112</Characters>
  <Application>Microsoft Office Word</Application>
  <DocSecurity>0</DocSecurity>
  <Lines>92</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World Health Organization</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Majumder, Anwesha</cp:lastModifiedBy>
  <cp:revision>2</cp:revision>
  <cp:lastPrinted>2016-06-28T06:36:00Z</cp:lastPrinted>
  <dcterms:created xsi:type="dcterms:W3CDTF">2016-08-25T11:09:00Z</dcterms:created>
  <dcterms:modified xsi:type="dcterms:W3CDTF">2016-08-25T11:09:00Z</dcterms:modified>
</cp:coreProperties>
</file>