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37C790" w14:textId="77777777" w:rsidR="00824375" w:rsidRPr="00C27BB5" w:rsidRDefault="00824375" w:rsidP="00824375">
      <w:pPr>
        <w:jc w:val="center"/>
        <w:rPr>
          <w:b/>
          <w:sz w:val="40"/>
          <w:szCs w:val="40"/>
        </w:rPr>
      </w:pPr>
      <w:r w:rsidRPr="00C27BB5">
        <w:rPr>
          <w:b/>
          <w:sz w:val="40"/>
          <w:szCs w:val="40"/>
        </w:rPr>
        <w:t>Global Vaccine Action Plan</w:t>
      </w:r>
    </w:p>
    <w:p w14:paraId="23EF8800" w14:textId="77777777" w:rsidR="00824375" w:rsidRDefault="00824375" w:rsidP="00824375">
      <w:pPr>
        <w:jc w:val="center"/>
        <w:rPr>
          <w:i/>
          <w:sz w:val="40"/>
          <w:szCs w:val="40"/>
        </w:rPr>
      </w:pPr>
      <w:r w:rsidRPr="00C27BB5">
        <w:rPr>
          <w:i/>
          <w:sz w:val="40"/>
          <w:szCs w:val="40"/>
        </w:rPr>
        <w:t>Secretariat Annual Report 2016</w:t>
      </w:r>
    </w:p>
    <w:p w14:paraId="374133AE" w14:textId="77777777" w:rsidR="00824375" w:rsidRDefault="00824375" w:rsidP="00824375">
      <w:pPr>
        <w:jc w:val="center"/>
        <w:rPr>
          <w:i/>
          <w:sz w:val="40"/>
          <w:szCs w:val="40"/>
        </w:rPr>
      </w:pPr>
      <w:r>
        <w:rPr>
          <w:i/>
          <w:sz w:val="40"/>
          <w:szCs w:val="40"/>
        </w:rPr>
        <w:t>Priority C</w:t>
      </w:r>
      <w:r w:rsidRPr="00C27BB5">
        <w:rPr>
          <w:i/>
          <w:sz w:val="40"/>
          <w:szCs w:val="40"/>
        </w:rPr>
        <w:t xml:space="preserve">ountry report on progress towards </w:t>
      </w:r>
    </w:p>
    <w:p w14:paraId="5B685F38" w14:textId="77777777" w:rsidR="00824375" w:rsidRPr="00C27BB5" w:rsidRDefault="00824375" w:rsidP="00824375">
      <w:pPr>
        <w:jc w:val="center"/>
        <w:rPr>
          <w:i/>
          <w:sz w:val="40"/>
          <w:szCs w:val="40"/>
        </w:rPr>
      </w:pPr>
      <w:r>
        <w:rPr>
          <w:i/>
          <w:sz w:val="40"/>
          <w:szCs w:val="40"/>
        </w:rPr>
        <w:t>GVAP-RVAP</w:t>
      </w:r>
      <w:r w:rsidRPr="00C27BB5">
        <w:rPr>
          <w:i/>
          <w:sz w:val="40"/>
          <w:szCs w:val="40"/>
        </w:rPr>
        <w:t xml:space="preserve"> goals </w:t>
      </w:r>
    </w:p>
    <w:p w14:paraId="4E19CC59" w14:textId="77777777" w:rsidR="00824375" w:rsidRDefault="00824375" w:rsidP="00824375">
      <w:pPr>
        <w:jc w:val="center"/>
        <w:rPr>
          <w:rFonts w:ascii="Arial" w:hAnsi="Arial"/>
          <w:b/>
          <w:sz w:val="32"/>
        </w:rPr>
      </w:pPr>
    </w:p>
    <w:p w14:paraId="4EC1467A" w14:textId="3B341500" w:rsidR="00824375" w:rsidRDefault="00824375" w:rsidP="00824375">
      <w:pPr>
        <w:jc w:val="center"/>
        <w:rPr>
          <w:rFonts w:ascii="Arial" w:hAnsi="Arial"/>
          <w:b/>
          <w:sz w:val="36"/>
        </w:rPr>
      </w:pPr>
      <w:r>
        <w:rPr>
          <w:rFonts w:ascii="Arial" w:hAnsi="Arial"/>
          <w:b/>
          <w:sz w:val="36"/>
        </w:rPr>
        <w:t>CHAD</w:t>
      </w:r>
    </w:p>
    <w:p w14:paraId="170D24CC" w14:textId="77777777" w:rsidR="00824375" w:rsidRDefault="00824375" w:rsidP="00E7073D">
      <w:pPr>
        <w:rPr>
          <w:rFonts w:ascii="Arial" w:hAnsi="Arial" w:cs="Arial"/>
          <w:b/>
          <w:sz w:val="32"/>
          <w:szCs w:val="32"/>
        </w:rPr>
      </w:pPr>
    </w:p>
    <w:p w14:paraId="213E64F8" w14:textId="77777777" w:rsidR="00E7073D" w:rsidRPr="00BB5F62" w:rsidRDefault="00E7073D" w:rsidP="00E7073D">
      <w:pPr>
        <w:pStyle w:val="ListParagraph"/>
        <w:numPr>
          <w:ilvl w:val="0"/>
          <w:numId w:val="3"/>
        </w:numPr>
        <w:rPr>
          <w:rFonts w:ascii="Arial" w:hAnsi="Arial" w:cs="Arial"/>
          <w:b/>
          <w:sz w:val="26"/>
          <w:szCs w:val="26"/>
        </w:rPr>
      </w:pPr>
      <w:r w:rsidRPr="00BB5F62">
        <w:rPr>
          <w:rFonts w:ascii="Arial" w:hAnsi="Arial" w:cs="Arial"/>
          <w:b/>
          <w:sz w:val="26"/>
          <w:szCs w:val="26"/>
        </w:rPr>
        <w:t xml:space="preserve">Progress towards achievement of GVAP goals </w:t>
      </w:r>
    </w:p>
    <w:p w14:paraId="71B42FB2" w14:textId="77777777" w:rsidR="00E7073D" w:rsidRPr="00457E0A" w:rsidRDefault="00E7073D" w:rsidP="00E7073D">
      <w:pPr>
        <w:pStyle w:val="ListParagraph"/>
        <w:rPr>
          <w:rFonts w:ascii="Arial" w:hAnsi="Arial" w:cs="Arial"/>
          <w:b/>
        </w:rPr>
      </w:pPr>
    </w:p>
    <w:p w14:paraId="2896A2F2" w14:textId="77777777" w:rsidR="00E7073D" w:rsidRPr="00BB5F62" w:rsidRDefault="00E7073D" w:rsidP="00E7073D">
      <w:pPr>
        <w:pStyle w:val="ListParagraph"/>
        <w:numPr>
          <w:ilvl w:val="0"/>
          <w:numId w:val="1"/>
        </w:numPr>
        <w:rPr>
          <w:rFonts w:ascii="Arial" w:hAnsi="Arial" w:cs="Arial"/>
          <w:b/>
          <w:sz w:val="24"/>
          <w:szCs w:val="24"/>
        </w:rPr>
      </w:pPr>
      <w:r w:rsidRPr="00BB5F62">
        <w:rPr>
          <w:rFonts w:ascii="Arial" w:hAnsi="Arial" w:cs="Arial"/>
          <w:b/>
          <w:sz w:val="24"/>
          <w:szCs w:val="24"/>
        </w:rPr>
        <w:t xml:space="preserve">Summary </w:t>
      </w:r>
    </w:p>
    <w:p w14:paraId="2A48FB84" w14:textId="39A5333E" w:rsidR="00BA2589" w:rsidRDefault="00BA2589" w:rsidP="00E30BC9">
      <w:pPr>
        <w:rPr>
          <w:rFonts w:ascii="Arial" w:hAnsi="Arial" w:cs="Arial"/>
        </w:rPr>
      </w:pPr>
      <w:r w:rsidRPr="0000352E">
        <w:rPr>
          <w:rFonts w:ascii="Arial" w:hAnsi="Arial" w:cs="Arial"/>
        </w:rPr>
        <w:t xml:space="preserve">This </w:t>
      </w:r>
      <w:r w:rsidR="006C334B">
        <w:rPr>
          <w:rFonts w:ascii="Arial" w:hAnsi="Arial" w:cs="Arial"/>
        </w:rPr>
        <w:t xml:space="preserve">summary table describes </w:t>
      </w:r>
      <w:r w:rsidRPr="0000352E">
        <w:rPr>
          <w:rFonts w:ascii="Arial" w:hAnsi="Arial" w:cs="Arial"/>
        </w:rPr>
        <w:t xml:space="preserve">the current situation in </w:t>
      </w:r>
      <w:r w:rsidR="00E30BC9">
        <w:rPr>
          <w:rFonts w:ascii="Arial" w:hAnsi="Arial" w:cs="Arial"/>
        </w:rPr>
        <w:t>Chad</w:t>
      </w:r>
      <w:r w:rsidRPr="0000352E">
        <w:rPr>
          <w:rFonts w:ascii="Arial" w:hAnsi="Arial" w:cs="Arial"/>
        </w:rPr>
        <w:t xml:space="preserve"> regarding achieving the GVAP goals.</w:t>
      </w:r>
      <w:r w:rsidR="00492F98">
        <w:rPr>
          <w:rFonts w:ascii="Arial" w:hAnsi="Arial" w:cs="Arial"/>
        </w:rPr>
        <w:t xml:space="preserve"> </w:t>
      </w:r>
      <w:r w:rsidR="00500171">
        <w:rPr>
          <w:rFonts w:ascii="Arial" w:hAnsi="Arial" w:cs="Arial"/>
        </w:rPr>
        <w:t>D</w:t>
      </w:r>
      <w:r w:rsidR="00696E6A">
        <w:rPr>
          <w:rFonts w:ascii="Arial" w:hAnsi="Arial" w:cs="Arial"/>
        </w:rPr>
        <w:t xml:space="preserve">ata </w:t>
      </w:r>
      <w:r w:rsidR="00E11B99">
        <w:rPr>
          <w:rFonts w:ascii="Arial" w:hAnsi="Arial" w:cs="Arial"/>
        </w:rPr>
        <w:t xml:space="preserve">used to assess progress towards achievement of </w:t>
      </w:r>
      <w:r w:rsidR="00696E6A">
        <w:rPr>
          <w:rFonts w:ascii="Arial" w:hAnsi="Arial" w:cs="Arial"/>
        </w:rPr>
        <w:t xml:space="preserve">GVAP </w:t>
      </w:r>
      <w:r w:rsidR="0008308B">
        <w:rPr>
          <w:rFonts w:ascii="Arial" w:hAnsi="Arial" w:cs="Arial"/>
        </w:rPr>
        <w:t>goals are included in the annex</w:t>
      </w:r>
      <w:r w:rsidR="00696E6A">
        <w:rPr>
          <w:rFonts w:ascii="Arial" w:hAnsi="Arial" w:cs="Arial"/>
        </w:rPr>
        <w:t>.</w:t>
      </w:r>
    </w:p>
    <w:tbl>
      <w:tblPr>
        <w:tblW w:w="93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0"/>
        <w:gridCol w:w="3677"/>
        <w:gridCol w:w="2423"/>
      </w:tblGrid>
      <w:tr w:rsidR="00067068" w:rsidRPr="00067068" w14:paraId="66254230" w14:textId="77777777" w:rsidTr="002A57FE">
        <w:trPr>
          <w:trHeight w:val="323"/>
          <w:tblHeader/>
          <w:jc w:val="center"/>
        </w:trPr>
        <w:tc>
          <w:tcPr>
            <w:tcW w:w="3220" w:type="dxa"/>
            <w:shd w:val="clear" w:color="auto" w:fill="auto"/>
            <w:hideMark/>
          </w:tcPr>
          <w:p w14:paraId="56DB7616" w14:textId="77777777" w:rsidR="00067068" w:rsidRPr="00067068" w:rsidRDefault="00067068" w:rsidP="0008308B">
            <w:pPr>
              <w:spacing w:after="0" w:line="240" w:lineRule="auto"/>
              <w:jc w:val="center"/>
              <w:rPr>
                <w:rFonts w:ascii="Calibri" w:eastAsia="Times New Roman" w:hAnsi="Calibri" w:cs="Calibri"/>
                <w:b/>
                <w:bCs/>
                <w:color w:val="000000"/>
                <w:sz w:val="28"/>
                <w:szCs w:val="28"/>
                <w:lang w:eastAsia="en-GB"/>
              </w:rPr>
            </w:pPr>
            <w:r w:rsidRPr="00067068">
              <w:rPr>
                <w:rFonts w:ascii="Calibri" w:eastAsia="Times New Roman" w:hAnsi="Calibri" w:cs="Calibri"/>
                <w:b/>
                <w:bCs/>
                <w:color w:val="000000"/>
                <w:sz w:val="28"/>
                <w:szCs w:val="28"/>
                <w:lang w:eastAsia="en-GB"/>
              </w:rPr>
              <w:t>Area</w:t>
            </w:r>
          </w:p>
        </w:tc>
        <w:tc>
          <w:tcPr>
            <w:tcW w:w="3677" w:type="dxa"/>
            <w:shd w:val="clear" w:color="auto" w:fill="auto"/>
            <w:hideMark/>
          </w:tcPr>
          <w:p w14:paraId="3C4E1FB5" w14:textId="77777777" w:rsidR="00067068" w:rsidRPr="00067068" w:rsidRDefault="00067068" w:rsidP="0008308B">
            <w:pPr>
              <w:spacing w:after="0" w:line="240" w:lineRule="auto"/>
              <w:jc w:val="center"/>
              <w:rPr>
                <w:rFonts w:ascii="Calibri" w:eastAsia="Times New Roman" w:hAnsi="Calibri" w:cs="Calibri"/>
                <w:b/>
                <w:bCs/>
                <w:color w:val="000000"/>
                <w:sz w:val="28"/>
                <w:szCs w:val="28"/>
                <w:lang w:eastAsia="en-GB"/>
              </w:rPr>
            </w:pPr>
            <w:r w:rsidRPr="00067068">
              <w:rPr>
                <w:rFonts w:ascii="Calibri" w:eastAsia="Times New Roman" w:hAnsi="Calibri" w:cs="Calibri"/>
                <w:b/>
                <w:bCs/>
                <w:color w:val="000000"/>
                <w:sz w:val="28"/>
                <w:szCs w:val="28"/>
                <w:lang w:eastAsia="en-GB"/>
              </w:rPr>
              <w:t>Indicator</w:t>
            </w:r>
          </w:p>
        </w:tc>
        <w:tc>
          <w:tcPr>
            <w:tcW w:w="2423" w:type="dxa"/>
            <w:shd w:val="clear" w:color="auto" w:fill="auto"/>
            <w:hideMark/>
          </w:tcPr>
          <w:p w14:paraId="0B26AF71" w14:textId="77777777" w:rsidR="00067068" w:rsidRPr="00067068" w:rsidRDefault="00067068" w:rsidP="0008308B">
            <w:pPr>
              <w:spacing w:after="0" w:line="240" w:lineRule="auto"/>
              <w:jc w:val="center"/>
              <w:rPr>
                <w:rFonts w:ascii="Calibri" w:eastAsia="Times New Roman" w:hAnsi="Calibri" w:cs="Calibri"/>
                <w:b/>
                <w:bCs/>
                <w:color w:val="000000"/>
                <w:sz w:val="28"/>
                <w:szCs w:val="28"/>
                <w:lang w:eastAsia="en-GB"/>
              </w:rPr>
            </w:pPr>
            <w:r w:rsidRPr="00067068">
              <w:rPr>
                <w:rFonts w:ascii="Calibri" w:eastAsia="Times New Roman" w:hAnsi="Calibri" w:cs="Calibri"/>
                <w:b/>
                <w:bCs/>
                <w:color w:val="000000"/>
                <w:sz w:val="28"/>
                <w:szCs w:val="28"/>
                <w:lang w:eastAsia="en-GB"/>
              </w:rPr>
              <w:t>Chad</w:t>
            </w:r>
          </w:p>
        </w:tc>
      </w:tr>
      <w:tr w:rsidR="00067068" w:rsidRPr="00067068" w14:paraId="458043AC" w14:textId="77777777" w:rsidTr="002A57FE">
        <w:trPr>
          <w:trHeight w:val="260"/>
          <w:jc w:val="center"/>
        </w:trPr>
        <w:tc>
          <w:tcPr>
            <w:tcW w:w="3220" w:type="dxa"/>
            <w:shd w:val="clear" w:color="000000" w:fill="FDE9D9"/>
            <w:hideMark/>
          </w:tcPr>
          <w:p w14:paraId="28B47FCD" w14:textId="77777777" w:rsidR="00067068" w:rsidRPr="00067068" w:rsidRDefault="00067068" w:rsidP="00341AB8">
            <w:pPr>
              <w:spacing w:after="0" w:line="240" w:lineRule="auto"/>
              <w:rPr>
                <w:rFonts w:ascii="Calibri" w:eastAsia="Times New Roman" w:hAnsi="Calibri" w:cs="Calibri"/>
                <w:b/>
                <w:bCs/>
                <w:color w:val="000000"/>
                <w:lang w:eastAsia="en-GB"/>
              </w:rPr>
            </w:pPr>
            <w:r w:rsidRPr="00067068">
              <w:rPr>
                <w:rFonts w:ascii="Calibri" w:eastAsia="Times New Roman" w:hAnsi="Calibri" w:cs="Calibri"/>
                <w:b/>
                <w:bCs/>
                <w:color w:val="000000"/>
                <w:lang w:eastAsia="en-GB"/>
              </w:rPr>
              <w:t>9. NITAG</w:t>
            </w:r>
          </w:p>
        </w:tc>
        <w:tc>
          <w:tcPr>
            <w:tcW w:w="3677" w:type="dxa"/>
            <w:shd w:val="clear" w:color="000000" w:fill="FDE9D9"/>
            <w:hideMark/>
          </w:tcPr>
          <w:p w14:paraId="2F97A2A8" w14:textId="77777777" w:rsidR="00067068" w:rsidRPr="00067068" w:rsidRDefault="00067068" w:rsidP="00341AB8">
            <w:pPr>
              <w:spacing w:after="0" w:line="240" w:lineRule="auto"/>
              <w:rPr>
                <w:rFonts w:ascii="Calibri" w:eastAsia="Times New Roman" w:hAnsi="Calibri" w:cs="Calibri"/>
                <w:b/>
                <w:bCs/>
                <w:color w:val="000000"/>
                <w:lang w:eastAsia="en-GB"/>
              </w:rPr>
            </w:pPr>
            <w:r w:rsidRPr="00067068">
              <w:rPr>
                <w:rFonts w:ascii="Calibri" w:eastAsia="Times New Roman" w:hAnsi="Calibri" w:cs="Calibri"/>
                <w:b/>
                <w:bCs/>
                <w:color w:val="000000"/>
                <w:lang w:eastAsia="en-GB"/>
              </w:rPr>
              <w:t>NITAG established?</w:t>
            </w:r>
          </w:p>
        </w:tc>
        <w:tc>
          <w:tcPr>
            <w:tcW w:w="2423" w:type="dxa"/>
            <w:shd w:val="clear" w:color="000000" w:fill="FF0000"/>
            <w:hideMark/>
          </w:tcPr>
          <w:p w14:paraId="4900F9E9" w14:textId="7BF3139E" w:rsidR="00067068" w:rsidRPr="00067068" w:rsidRDefault="00067068" w:rsidP="00341AB8">
            <w:pPr>
              <w:spacing w:after="0" w:line="240" w:lineRule="auto"/>
              <w:jc w:val="center"/>
              <w:rPr>
                <w:rFonts w:ascii="Calibri" w:eastAsia="Times New Roman" w:hAnsi="Calibri" w:cs="Calibri"/>
                <w:b/>
                <w:bCs/>
                <w:color w:val="000000"/>
                <w:lang w:eastAsia="en-GB"/>
              </w:rPr>
            </w:pPr>
            <w:r w:rsidRPr="00067068">
              <w:rPr>
                <w:rFonts w:ascii="Calibri" w:eastAsia="Times New Roman" w:hAnsi="Calibri" w:cs="Calibri"/>
                <w:b/>
                <w:bCs/>
                <w:color w:val="000000"/>
                <w:lang w:eastAsia="en-GB"/>
              </w:rPr>
              <w:t>No</w:t>
            </w:r>
          </w:p>
        </w:tc>
      </w:tr>
    </w:tbl>
    <w:p w14:paraId="4BCBFABB" w14:textId="77777777" w:rsidR="00641572" w:rsidRDefault="00641572">
      <w:pPr>
        <w:rPr>
          <w:rFonts w:ascii="Arial" w:hAnsi="Arial" w:cs="Arial"/>
        </w:rPr>
        <w:sectPr w:rsidR="00641572" w:rsidSect="000117E8">
          <w:footerReference w:type="default" r:id="rId9"/>
          <w:type w:val="continuous"/>
          <w:pgSz w:w="11906" w:h="16838"/>
          <w:pgMar w:top="1440" w:right="1440" w:bottom="1440" w:left="1440" w:header="709" w:footer="709" w:gutter="0"/>
          <w:cols w:space="708"/>
          <w:docGrid w:linePitch="360"/>
        </w:sectPr>
      </w:pPr>
    </w:p>
    <w:p w14:paraId="1F32014E" w14:textId="795E3C96" w:rsidR="000117E8" w:rsidRPr="002A57FE" w:rsidRDefault="000117E8" w:rsidP="002A57FE">
      <w:pPr>
        <w:pStyle w:val="ListParagraph"/>
        <w:numPr>
          <w:ilvl w:val="0"/>
          <w:numId w:val="1"/>
        </w:numPr>
        <w:contextualSpacing w:val="0"/>
        <w:rPr>
          <w:rFonts w:ascii="Arial" w:hAnsi="Arial" w:cs="Arial"/>
          <w:b/>
          <w:sz w:val="24"/>
          <w:szCs w:val="24"/>
        </w:rPr>
      </w:pPr>
      <w:r w:rsidRPr="002A57FE">
        <w:rPr>
          <w:rFonts w:ascii="Arial" w:hAnsi="Arial" w:cs="Arial"/>
          <w:b/>
          <w:sz w:val="24"/>
          <w:szCs w:val="24"/>
        </w:rPr>
        <w:lastRenderedPageBreak/>
        <w:t>Country ownership of the immunization programme</w:t>
      </w:r>
    </w:p>
    <w:p w14:paraId="5C68C05C" w14:textId="79435558" w:rsidR="000117E8" w:rsidRPr="002A57FE" w:rsidRDefault="000117E8" w:rsidP="002A57FE">
      <w:pPr>
        <w:pStyle w:val="ListParagraph"/>
        <w:numPr>
          <w:ilvl w:val="1"/>
          <w:numId w:val="26"/>
        </w:numPr>
        <w:contextualSpacing w:val="0"/>
        <w:rPr>
          <w:rFonts w:ascii="Arial" w:hAnsi="Arial" w:cs="Arial"/>
          <w:b/>
        </w:rPr>
      </w:pPr>
      <w:r w:rsidRPr="002A57FE">
        <w:rPr>
          <w:rFonts w:ascii="Arial" w:hAnsi="Arial" w:cs="Arial"/>
          <w:b/>
        </w:rPr>
        <w:t>Immunization policy decision-making capacity</w:t>
      </w:r>
    </w:p>
    <w:p w14:paraId="02E9A422" w14:textId="2C697AD4" w:rsidR="000117E8" w:rsidRPr="004223DB" w:rsidRDefault="002A57FE" w:rsidP="002A57FE">
      <w:pPr>
        <w:rPr>
          <w:rFonts w:ascii="Arial" w:hAnsi="Arial" w:cs="Arial"/>
        </w:rPr>
      </w:pPr>
      <w:r w:rsidRPr="004223DB">
        <w:rPr>
          <w:rFonts w:ascii="Arial" w:hAnsi="Arial" w:cs="Arial"/>
        </w:rPr>
        <w:t>The main decision-making body for immunization in Chad is the ICC, chaired by the Minister of Health or his representative, and consisting of high-level officials from other government ministries (e.g., Finance</w:t>
      </w:r>
      <w:r w:rsidR="004223DB" w:rsidRPr="004223DB">
        <w:rPr>
          <w:rFonts w:ascii="Arial" w:hAnsi="Arial" w:cs="Arial"/>
        </w:rPr>
        <w:t>, Communications, Social Affairs</w:t>
      </w:r>
      <w:r w:rsidRPr="004223DB">
        <w:rPr>
          <w:rFonts w:ascii="Arial" w:hAnsi="Arial" w:cs="Arial"/>
        </w:rPr>
        <w:t>) and various UN partner organizations. The committee approves the EPI annual plan and other key decisions, coordinates partner activities, mobilizes resources for different activities, and serves as a link between development partners and government agencies. The ICC does not meet regularly to plan and monitor activities, but instead meets on an “as needed” basis to approve recommendations, sign off on key documents (e.g., GAVI proposals and Joint Appraisal reports) and make other major decisions.</w:t>
      </w:r>
    </w:p>
    <w:p w14:paraId="66A94B38" w14:textId="4FBFFF60" w:rsidR="002A57FE" w:rsidRDefault="002A57FE" w:rsidP="002A57FE">
      <w:pPr>
        <w:rPr>
          <w:rFonts w:ascii="Arial" w:hAnsi="Arial" w:cs="Arial"/>
        </w:rPr>
      </w:pPr>
      <w:r>
        <w:rPr>
          <w:rFonts w:ascii="Arial" w:hAnsi="Arial" w:cs="Arial"/>
        </w:rPr>
        <w:t>Recommendations for the immunization program are made by the EPI Technical Support Committee (</w:t>
      </w:r>
      <w:r w:rsidRPr="0032046D">
        <w:rPr>
          <w:rFonts w:ascii="Arial" w:hAnsi="Arial" w:cs="Arial"/>
          <w:i/>
        </w:rPr>
        <w:t>Comité</w:t>
      </w:r>
      <w:r w:rsidR="0032046D" w:rsidRPr="0032046D">
        <w:rPr>
          <w:rFonts w:ascii="Arial" w:hAnsi="Arial" w:cs="Arial"/>
          <w:i/>
        </w:rPr>
        <w:t xml:space="preserve"> technique d’appui du PEV</w:t>
      </w:r>
      <w:r w:rsidR="0032046D">
        <w:rPr>
          <w:rFonts w:ascii="Arial" w:hAnsi="Arial" w:cs="Arial"/>
        </w:rPr>
        <w:t xml:space="preserve"> or CTA/PEV), which is chaired by the EPI Director and made up of MOH technical staff and the immunization focal points of the major partner organizations. The CTA/PEV meets weekly to plan immunization activities, develop documents, such as annual action plans, and monitor immunization activities. All recommendations and key documents developed by the CTA/PEV then go to the ICC for approval.</w:t>
      </w:r>
    </w:p>
    <w:p w14:paraId="25232144" w14:textId="461EAE5C" w:rsidR="0032046D" w:rsidRPr="002A57FE" w:rsidRDefault="0032046D" w:rsidP="002A57FE">
      <w:pPr>
        <w:rPr>
          <w:rFonts w:ascii="Arial" w:hAnsi="Arial" w:cs="Arial"/>
        </w:rPr>
      </w:pPr>
      <w:r>
        <w:rPr>
          <w:rFonts w:ascii="Arial" w:hAnsi="Arial" w:cs="Arial"/>
        </w:rPr>
        <w:lastRenderedPageBreak/>
        <w:t xml:space="preserve">No independent national advisory committee on immunization (NITAG) yet </w:t>
      </w:r>
      <w:r w:rsidR="004223DB">
        <w:rPr>
          <w:rFonts w:ascii="Arial" w:hAnsi="Arial" w:cs="Arial"/>
        </w:rPr>
        <w:t>exists</w:t>
      </w:r>
      <w:r>
        <w:rPr>
          <w:rFonts w:ascii="Arial" w:hAnsi="Arial" w:cs="Arial"/>
        </w:rPr>
        <w:t xml:space="preserve"> in Chad, although there is a </w:t>
      </w:r>
      <w:r w:rsidR="004223DB">
        <w:rPr>
          <w:rFonts w:ascii="Arial" w:hAnsi="Arial" w:cs="Arial"/>
        </w:rPr>
        <w:t xml:space="preserve">high-level </w:t>
      </w:r>
      <w:r>
        <w:rPr>
          <w:rFonts w:ascii="Arial" w:hAnsi="Arial" w:cs="Arial"/>
        </w:rPr>
        <w:t xml:space="preserve">technical advisory group </w:t>
      </w:r>
      <w:r w:rsidR="004223DB">
        <w:rPr>
          <w:rFonts w:ascii="Arial" w:hAnsi="Arial" w:cs="Arial"/>
        </w:rPr>
        <w:t xml:space="preserve">(TAG) </w:t>
      </w:r>
      <w:r>
        <w:rPr>
          <w:rFonts w:ascii="Arial" w:hAnsi="Arial" w:cs="Arial"/>
        </w:rPr>
        <w:t xml:space="preserve">for polio that </w:t>
      </w:r>
      <w:r w:rsidR="004223DB">
        <w:rPr>
          <w:rFonts w:ascii="Arial" w:hAnsi="Arial" w:cs="Arial"/>
        </w:rPr>
        <w:t xml:space="preserve">meets twice a year to make recommendations that are then presented to the Prime Minister or President. The TAG, which includes both national and international members, </w:t>
      </w:r>
      <w:r>
        <w:rPr>
          <w:rFonts w:ascii="Arial" w:hAnsi="Arial" w:cs="Arial"/>
        </w:rPr>
        <w:t>has expanded its portfolio to other vaccine preventable diseases. T</w:t>
      </w:r>
      <w:r w:rsidR="004223DB">
        <w:rPr>
          <w:rFonts w:ascii="Arial" w:hAnsi="Arial" w:cs="Arial"/>
        </w:rPr>
        <w:t>here have been initial discussions about est</w:t>
      </w:r>
      <w:r>
        <w:rPr>
          <w:rFonts w:ascii="Arial" w:hAnsi="Arial" w:cs="Arial"/>
        </w:rPr>
        <w:t>ablish</w:t>
      </w:r>
      <w:r w:rsidR="004223DB">
        <w:rPr>
          <w:rFonts w:ascii="Arial" w:hAnsi="Arial" w:cs="Arial"/>
        </w:rPr>
        <w:t xml:space="preserve">ing </w:t>
      </w:r>
      <w:r>
        <w:rPr>
          <w:rFonts w:ascii="Arial" w:hAnsi="Arial" w:cs="Arial"/>
        </w:rPr>
        <w:t xml:space="preserve">a NITAG </w:t>
      </w:r>
      <w:r w:rsidR="004223DB">
        <w:rPr>
          <w:rFonts w:ascii="Arial" w:hAnsi="Arial" w:cs="Arial"/>
        </w:rPr>
        <w:t>to replace the polio TAG</w:t>
      </w:r>
      <w:r>
        <w:rPr>
          <w:rFonts w:ascii="Arial" w:hAnsi="Arial" w:cs="Arial"/>
        </w:rPr>
        <w:t>.</w:t>
      </w:r>
    </w:p>
    <w:p w14:paraId="77F01390" w14:textId="1CC9E3D3" w:rsidR="000117E8" w:rsidRDefault="0032046D" w:rsidP="0032046D">
      <w:pPr>
        <w:pStyle w:val="ListParagraph"/>
        <w:ind w:left="0"/>
        <w:contextualSpacing w:val="0"/>
        <w:rPr>
          <w:rFonts w:ascii="Arial" w:hAnsi="Arial" w:cs="Arial"/>
          <w:b/>
        </w:rPr>
      </w:pPr>
      <w:r>
        <w:rPr>
          <w:rFonts w:ascii="Arial" w:hAnsi="Arial" w:cs="Arial"/>
          <w:b/>
        </w:rPr>
        <w:t xml:space="preserve">2.3 </w:t>
      </w:r>
      <w:r w:rsidR="000117E8">
        <w:rPr>
          <w:rFonts w:ascii="Arial" w:hAnsi="Arial" w:cs="Arial"/>
          <w:b/>
        </w:rPr>
        <w:t>Human resource situation</w:t>
      </w:r>
    </w:p>
    <w:p w14:paraId="502B83D5" w14:textId="6C245DA9" w:rsidR="000117E8" w:rsidRDefault="001B3C99" w:rsidP="0032046D">
      <w:pPr>
        <w:pStyle w:val="ListParagraph"/>
        <w:ind w:left="0"/>
        <w:contextualSpacing w:val="0"/>
        <w:rPr>
          <w:rFonts w:ascii="Arial" w:hAnsi="Arial" w:cs="Arial"/>
        </w:rPr>
      </w:pPr>
      <w:r w:rsidRPr="001B3C99">
        <w:rPr>
          <w:rFonts w:ascii="Arial" w:hAnsi="Arial" w:cs="Arial"/>
        </w:rPr>
        <w:t>The number of perman</w:t>
      </w:r>
      <w:r>
        <w:rPr>
          <w:rFonts w:ascii="Arial" w:hAnsi="Arial" w:cs="Arial"/>
        </w:rPr>
        <w:t xml:space="preserve">ent staff positions in the immunization program in Chad is quite small – with  five medical officers and a total of 29 </w:t>
      </w:r>
      <w:r w:rsidR="00160897">
        <w:rPr>
          <w:rFonts w:ascii="Arial" w:hAnsi="Arial" w:cs="Arial"/>
        </w:rPr>
        <w:t>persons</w:t>
      </w:r>
      <w:r>
        <w:rPr>
          <w:rFonts w:ascii="Arial" w:hAnsi="Arial" w:cs="Arial"/>
        </w:rPr>
        <w:t xml:space="preserve"> (including support staff) at the central level and 23 regional EPI focal points (one per region).</w:t>
      </w:r>
      <w:r>
        <w:rPr>
          <w:rStyle w:val="FootnoteReference"/>
          <w:rFonts w:ascii="Arial" w:hAnsi="Arial" w:cs="Arial"/>
        </w:rPr>
        <w:footnoteReference w:id="1"/>
      </w:r>
      <w:r>
        <w:rPr>
          <w:rFonts w:ascii="Arial" w:hAnsi="Arial" w:cs="Arial"/>
        </w:rPr>
        <w:t xml:space="preserve"> Three of the professional staff in the central EPI office are CDC or WHO consultants. The small number of professional and technical staff in the central office has severely constrained the team’s ability to provide adequate technical support, oversight and financial management of the program. Considerable staff turnover in recent years has also affected the program</w:t>
      </w:r>
      <w:r w:rsidR="006E2E24">
        <w:rPr>
          <w:rFonts w:ascii="Arial" w:hAnsi="Arial" w:cs="Arial"/>
        </w:rPr>
        <w:t xml:space="preserve">. To supplement this staff, partners (UNICEF, WHO and GAVI) </w:t>
      </w:r>
      <w:r w:rsidR="00E87908">
        <w:rPr>
          <w:rFonts w:ascii="Arial" w:hAnsi="Arial" w:cs="Arial"/>
        </w:rPr>
        <w:t xml:space="preserve">support a contingency of 145 </w:t>
      </w:r>
      <w:r w:rsidR="006E2E24">
        <w:rPr>
          <w:rFonts w:ascii="Arial" w:hAnsi="Arial" w:cs="Arial"/>
        </w:rPr>
        <w:t>surveillance medical officers, communications officers and other experts, who are under contract. Many of the WHO positions are funded with polio program funds, which will be reduced, starting in 2017, under the polio transition plan.</w:t>
      </w:r>
    </w:p>
    <w:p w14:paraId="35F8A349" w14:textId="30F1BE40" w:rsidR="006E2E24" w:rsidRPr="001B3C99" w:rsidRDefault="006E2E24" w:rsidP="0032046D">
      <w:pPr>
        <w:pStyle w:val="ListParagraph"/>
        <w:ind w:left="0"/>
        <w:contextualSpacing w:val="0"/>
        <w:rPr>
          <w:rFonts w:ascii="Arial" w:hAnsi="Arial" w:cs="Arial"/>
        </w:rPr>
      </w:pPr>
      <w:r>
        <w:rPr>
          <w:rFonts w:ascii="Arial" w:hAnsi="Arial" w:cs="Arial"/>
        </w:rPr>
        <w:t xml:space="preserve">The Government has been increasing its health workforce, </w:t>
      </w:r>
      <w:r w:rsidR="00E87908">
        <w:rPr>
          <w:rFonts w:ascii="Arial" w:hAnsi="Arial" w:cs="Arial"/>
        </w:rPr>
        <w:t>which now numbers</w:t>
      </w:r>
      <w:r>
        <w:rPr>
          <w:rFonts w:ascii="Arial" w:hAnsi="Arial" w:cs="Arial"/>
        </w:rPr>
        <w:t xml:space="preserve"> around 9,200 health workers (mainly nurses) – an increase of 1,000 since 2013.</w:t>
      </w:r>
      <w:r>
        <w:rPr>
          <w:rStyle w:val="FootnoteReference"/>
          <w:rFonts w:ascii="Arial" w:hAnsi="Arial" w:cs="Arial"/>
        </w:rPr>
        <w:footnoteReference w:id="2"/>
      </w:r>
      <w:r>
        <w:rPr>
          <w:rFonts w:ascii="Arial" w:hAnsi="Arial" w:cs="Arial"/>
        </w:rPr>
        <w:t xml:space="preserve"> While this yields a ratio of one health worker per 1,500 people, this workforce is very poorly distributed within the country and not all </w:t>
      </w:r>
      <w:r w:rsidR="00E87908">
        <w:rPr>
          <w:rFonts w:ascii="Arial" w:hAnsi="Arial" w:cs="Arial"/>
        </w:rPr>
        <w:t xml:space="preserve">of them </w:t>
      </w:r>
      <w:r>
        <w:rPr>
          <w:rFonts w:ascii="Arial" w:hAnsi="Arial" w:cs="Arial"/>
        </w:rPr>
        <w:t>administer vaccinations. The skills level of health workers also varie</w:t>
      </w:r>
      <w:r w:rsidR="00E87908">
        <w:rPr>
          <w:rFonts w:ascii="Arial" w:hAnsi="Arial" w:cs="Arial"/>
        </w:rPr>
        <w:t>s</w:t>
      </w:r>
      <w:r>
        <w:rPr>
          <w:rFonts w:ascii="Arial" w:hAnsi="Arial" w:cs="Arial"/>
        </w:rPr>
        <w:t>; the EPI review of 2012 found that only 54% of health workers who provided immunizations had received any formal training and only half of the immunization trainings planned in 2011 (in vaccine and cold chain management, communication, safe injections) actually took place.</w:t>
      </w:r>
    </w:p>
    <w:p w14:paraId="306D5A45" w14:textId="65F691EF" w:rsidR="000117E8" w:rsidRPr="001C1193" w:rsidRDefault="006E2E24" w:rsidP="0032046D">
      <w:pPr>
        <w:pStyle w:val="ListParagraph"/>
        <w:ind w:left="0"/>
        <w:contextualSpacing w:val="0"/>
        <w:rPr>
          <w:rFonts w:ascii="Arial" w:hAnsi="Arial" w:cs="Arial"/>
        </w:rPr>
      </w:pPr>
      <w:r>
        <w:rPr>
          <w:rFonts w:ascii="Arial" w:hAnsi="Arial" w:cs="Arial"/>
        </w:rPr>
        <w:t>To further increase the number of health workers, the HSS II proposal, which is being resubmitted, calls for hiring and training an additional 174 health workers, who will focus on immunization activities.</w:t>
      </w:r>
      <w:r>
        <w:rPr>
          <w:rStyle w:val="FootnoteReference"/>
          <w:rFonts w:ascii="Arial" w:hAnsi="Arial" w:cs="Arial"/>
        </w:rPr>
        <w:footnoteReference w:id="3"/>
      </w:r>
    </w:p>
    <w:p w14:paraId="48842019" w14:textId="23105068" w:rsidR="000117E8" w:rsidRDefault="000117E8" w:rsidP="000117E8">
      <w:pPr>
        <w:pStyle w:val="ListParagraph"/>
        <w:numPr>
          <w:ilvl w:val="0"/>
          <w:numId w:val="3"/>
        </w:numPr>
        <w:rPr>
          <w:rFonts w:ascii="Arial" w:hAnsi="Arial" w:cs="Arial"/>
          <w:b/>
          <w:sz w:val="24"/>
        </w:rPr>
      </w:pPr>
      <w:r>
        <w:rPr>
          <w:rFonts w:ascii="Arial" w:hAnsi="Arial" w:cs="Arial"/>
          <w:b/>
          <w:sz w:val="24"/>
        </w:rPr>
        <w:t>P</w:t>
      </w:r>
      <w:r w:rsidRPr="00457E0A">
        <w:rPr>
          <w:rFonts w:ascii="Arial" w:hAnsi="Arial" w:cs="Arial"/>
          <w:b/>
          <w:sz w:val="24"/>
        </w:rPr>
        <w:t xml:space="preserve">artner support </w:t>
      </w:r>
      <w:r>
        <w:rPr>
          <w:rFonts w:ascii="Arial" w:hAnsi="Arial" w:cs="Arial"/>
          <w:b/>
          <w:sz w:val="24"/>
        </w:rPr>
        <w:t>to</w:t>
      </w:r>
      <w:r w:rsidRPr="00457E0A">
        <w:rPr>
          <w:rFonts w:ascii="Arial" w:hAnsi="Arial" w:cs="Arial"/>
          <w:b/>
          <w:sz w:val="24"/>
        </w:rPr>
        <w:t xml:space="preserve"> </w:t>
      </w:r>
      <w:r>
        <w:rPr>
          <w:rFonts w:ascii="Arial" w:hAnsi="Arial" w:cs="Arial"/>
          <w:b/>
          <w:sz w:val="24"/>
        </w:rPr>
        <w:t xml:space="preserve">address </w:t>
      </w:r>
      <w:r w:rsidR="0005408F">
        <w:rPr>
          <w:rFonts w:ascii="Arial" w:hAnsi="Arial" w:cs="Arial"/>
          <w:b/>
          <w:sz w:val="24"/>
        </w:rPr>
        <w:t>key</w:t>
      </w:r>
      <w:r>
        <w:rPr>
          <w:rFonts w:ascii="Arial" w:hAnsi="Arial" w:cs="Arial"/>
          <w:b/>
          <w:sz w:val="24"/>
        </w:rPr>
        <w:t xml:space="preserve"> challenges to meet</w:t>
      </w:r>
      <w:r w:rsidR="0005408F">
        <w:rPr>
          <w:rFonts w:ascii="Arial" w:hAnsi="Arial" w:cs="Arial"/>
          <w:b/>
          <w:sz w:val="24"/>
        </w:rPr>
        <w:t>ing the GVAP goals</w:t>
      </w:r>
    </w:p>
    <w:p w14:paraId="7CF2A540" w14:textId="5131977E" w:rsidR="0005408F" w:rsidRDefault="0005408F" w:rsidP="000117E8">
      <w:pPr>
        <w:rPr>
          <w:rFonts w:ascii="Arial" w:hAnsi="Arial" w:cs="Arial"/>
        </w:rPr>
      </w:pPr>
      <w:r>
        <w:rPr>
          <w:rFonts w:ascii="Arial" w:hAnsi="Arial" w:cs="Arial"/>
        </w:rPr>
        <w:t xml:space="preserve">As mentioned in Section 2.2. above, development partners cover the majority of costs of the immunization program, with large portions of expenditures going towards polio, measles and other vaccination campaigns, improvements in the logistics and cold chain system, and implementation of the RED strategy in 54 districts. In addition, but WHO and UNICEF provide </w:t>
      </w:r>
      <w:r w:rsidR="0077052F">
        <w:rPr>
          <w:rFonts w:ascii="Arial" w:hAnsi="Arial" w:cs="Arial"/>
        </w:rPr>
        <w:t xml:space="preserve">145 </w:t>
      </w:r>
      <w:r>
        <w:rPr>
          <w:rFonts w:ascii="Arial" w:hAnsi="Arial" w:cs="Arial"/>
        </w:rPr>
        <w:t xml:space="preserve">staff and consultants to fill in the considerable gap in personnel for the immunization program. </w:t>
      </w:r>
      <w:r w:rsidR="0077052F">
        <w:rPr>
          <w:rFonts w:ascii="Arial" w:hAnsi="Arial" w:cs="Arial"/>
        </w:rPr>
        <w:t xml:space="preserve">These include 55 staff and consultants paid by </w:t>
      </w:r>
      <w:r>
        <w:rPr>
          <w:rFonts w:ascii="Arial" w:hAnsi="Arial" w:cs="Arial"/>
        </w:rPr>
        <w:t xml:space="preserve">WHO </w:t>
      </w:r>
      <w:r w:rsidR="0077052F">
        <w:rPr>
          <w:rFonts w:ascii="Arial" w:hAnsi="Arial" w:cs="Arial"/>
        </w:rPr>
        <w:t>to</w:t>
      </w:r>
      <w:r>
        <w:rPr>
          <w:rFonts w:ascii="Arial" w:hAnsi="Arial" w:cs="Arial"/>
        </w:rPr>
        <w:t xml:space="preserve"> assist with RED activities, the intensified vaccination campaigns for nomads and other hard-to-reach populations described above, and other efforts to improve vaccination coverage and reduce missed opportunities. UNICEF’s workforce includes more than 60 consultants providing on-the-ground assistance with communications and implementation of RED strategies.</w:t>
      </w:r>
    </w:p>
    <w:p w14:paraId="34762BCC" w14:textId="615CEC6D" w:rsidR="0005408F" w:rsidRDefault="0005408F" w:rsidP="000117E8">
      <w:pPr>
        <w:rPr>
          <w:rFonts w:ascii="Arial" w:hAnsi="Arial" w:cs="Arial"/>
        </w:rPr>
      </w:pPr>
      <w:r>
        <w:rPr>
          <w:rFonts w:ascii="Arial" w:hAnsi="Arial" w:cs="Arial"/>
        </w:rPr>
        <w:lastRenderedPageBreak/>
        <w:t>Three areas of support from international partners that have been the most critical to the functioning of and improvements with Chad’s immunization program are:</w:t>
      </w:r>
    </w:p>
    <w:p w14:paraId="44E6F5A0" w14:textId="5D21E2D2" w:rsidR="0005408F" w:rsidRPr="009266C9" w:rsidRDefault="0005408F" w:rsidP="009266C9">
      <w:pPr>
        <w:pStyle w:val="ListParagraph"/>
        <w:numPr>
          <w:ilvl w:val="0"/>
          <w:numId w:val="29"/>
        </w:numPr>
        <w:contextualSpacing w:val="0"/>
        <w:rPr>
          <w:rFonts w:ascii="Arial" w:hAnsi="Arial" w:cs="Arial"/>
          <w:lang w:val="en-US"/>
        </w:rPr>
      </w:pPr>
      <w:r w:rsidRPr="009266C9">
        <w:rPr>
          <w:rFonts w:ascii="Arial" w:hAnsi="Arial" w:cs="Arial"/>
          <w:b/>
          <w:lang w:val="en-US"/>
        </w:rPr>
        <w:t>Rehabi</w:t>
      </w:r>
      <w:r w:rsidR="00B50752" w:rsidRPr="009266C9">
        <w:rPr>
          <w:rFonts w:ascii="Arial" w:hAnsi="Arial" w:cs="Arial"/>
          <w:b/>
          <w:lang w:val="en-US"/>
        </w:rPr>
        <w:t>litation and expansion of the c</w:t>
      </w:r>
      <w:r w:rsidRPr="009266C9">
        <w:rPr>
          <w:rFonts w:ascii="Arial" w:hAnsi="Arial" w:cs="Arial"/>
          <w:b/>
          <w:lang w:val="en-US"/>
        </w:rPr>
        <w:t>old chain and logistics system</w:t>
      </w:r>
      <w:r w:rsidRPr="009266C9">
        <w:rPr>
          <w:rFonts w:ascii="Arial" w:hAnsi="Arial" w:cs="Arial"/>
          <w:lang w:val="en-US"/>
        </w:rPr>
        <w:t>.</w:t>
      </w:r>
      <w:r w:rsidR="00B50752" w:rsidRPr="009266C9">
        <w:rPr>
          <w:rFonts w:ascii="Arial" w:hAnsi="Arial" w:cs="Arial"/>
          <w:lang w:val="en-US"/>
        </w:rPr>
        <w:t xml:space="preserve"> With support from the GAVI HSS grant and technical support from several partners, the central cold rooms have b</w:t>
      </w:r>
      <w:r w:rsidR="0077052F">
        <w:rPr>
          <w:rFonts w:ascii="Arial" w:hAnsi="Arial" w:cs="Arial"/>
          <w:lang w:val="en-US"/>
        </w:rPr>
        <w:t>een expanded from four to seven</w:t>
      </w:r>
      <w:r w:rsidR="00B50752" w:rsidRPr="009266C9">
        <w:rPr>
          <w:rFonts w:ascii="Arial" w:hAnsi="Arial" w:cs="Arial"/>
          <w:lang w:val="en-US"/>
        </w:rPr>
        <w:t xml:space="preserve">, four sub-national depots with cold rooms have been built, and solar-powered refrigerators </w:t>
      </w:r>
      <w:r w:rsidR="001B54B9">
        <w:rPr>
          <w:rFonts w:ascii="Arial" w:hAnsi="Arial" w:cs="Arial"/>
          <w:lang w:val="en-US"/>
        </w:rPr>
        <w:t>are being</w:t>
      </w:r>
      <w:r w:rsidR="00B50752" w:rsidRPr="009266C9">
        <w:rPr>
          <w:rFonts w:ascii="Arial" w:hAnsi="Arial" w:cs="Arial"/>
          <w:lang w:val="en-US"/>
        </w:rPr>
        <w:t xml:space="preserve"> procured for the district stores and health centers to reduce the need for kerosene. The plan is to have a </w:t>
      </w:r>
      <w:r w:rsidR="001B54B9">
        <w:rPr>
          <w:rFonts w:ascii="Arial" w:hAnsi="Arial" w:cs="Arial"/>
          <w:lang w:val="en-US"/>
        </w:rPr>
        <w:t xml:space="preserve">(solar) </w:t>
      </w:r>
      <w:r w:rsidR="00B50752" w:rsidRPr="009266C9">
        <w:rPr>
          <w:rFonts w:ascii="Arial" w:hAnsi="Arial" w:cs="Arial"/>
          <w:lang w:val="en-US"/>
        </w:rPr>
        <w:t xml:space="preserve">refrigerator in all of the nation’s </w:t>
      </w:r>
      <w:r w:rsidR="0077052F">
        <w:rPr>
          <w:rFonts w:ascii="Arial" w:hAnsi="Arial" w:cs="Arial"/>
          <w:lang w:val="en-US"/>
        </w:rPr>
        <w:t xml:space="preserve">1,100 </w:t>
      </w:r>
      <w:r w:rsidR="00B50752" w:rsidRPr="009266C9">
        <w:rPr>
          <w:rFonts w:ascii="Arial" w:hAnsi="Arial" w:cs="Arial"/>
          <w:lang w:val="en-US"/>
        </w:rPr>
        <w:t>health centers.</w:t>
      </w:r>
      <w:r w:rsidR="00B50752" w:rsidRPr="009266C9">
        <w:rPr>
          <w:rStyle w:val="FootnoteReference"/>
          <w:rFonts w:ascii="Arial" w:hAnsi="Arial" w:cs="Arial"/>
          <w:lang w:val="en-US"/>
        </w:rPr>
        <w:footnoteReference w:id="4"/>
      </w:r>
      <w:r w:rsidR="009266C9" w:rsidRPr="009266C9">
        <w:rPr>
          <w:rFonts w:ascii="Arial" w:hAnsi="Arial" w:cs="Arial"/>
          <w:lang w:val="en-US"/>
        </w:rPr>
        <w:t xml:space="preserve"> Partners are also providing technical support and training in cold maintenance, vaccine management and data monitoring.</w:t>
      </w:r>
    </w:p>
    <w:p w14:paraId="4094183E" w14:textId="3633B09B" w:rsidR="0005408F" w:rsidRPr="00D24340" w:rsidRDefault="00B50752" w:rsidP="009266C9">
      <w:pPr>
        <w:pStyle w:val="ListParagraph"/>
        <w:numPr>
          <w:ilvl w:val="0"/>
          <w:numId w:val="29"/>
        </w:numPr>
        <w:contextualSpacing w:val="0"/>
        <w:rPr>
          <w:rFonts w:ascii="Arial" w:hAnsi="Arial" w:cs="Arial"/>
          <w:lang w:val="en-US"/>
        </w:rPr>
      </w:pPr>
      <w:r w:rsidRPr="00D24340">
        <w:rPr>
          <w:rFonts w:ascii="Arial" w:hAnsi="Arial" w:cs="Arial"/>
          <w:b/>
          <w:lang w:val="en-US"/>
        </w:rPr>
        <w:t>RED strategy implementation</w:t>
      </w:r>
      <w:r w:rsidR="009266C9" w:rsidRPr="00D24340">
        <w:rPr>
          <w:rFonts w:ascii="Arial" w:hAnsi="Arial" w:cs="Arial"/>
          <w:lang w:val="en-US"/>
        </w:rPr>
        <w:t xml:space="preserve">. This has been a major effort, involving many partners (the Gates Foundation, WHO, UNICEF, GAVI and others) to improve the routine immunization program in </w:t>
      </w:r>
      <w:r w:rsidR="0077052F" w:rsidRPr="00D24340">
        <w:rPr>
          <w:rFonts w:ascii="Arial" w:hAnsi="Arial" w:cs="Arial"/>
          <w:lang w:val="en-US"/>
        </w:rPr>
        <w:t>selected low-performing</w:t>
      </w:r>
      <w:r w:rsidR="009266C9" w:rsidRPr="00D24340">
        <w:rPr>
          <w:rFonts w:ascii="Arial" w:hAnsi="Arial" w:cs="Arial"/>
          <w:lang w:val="en-US"/>
        </w:rPr>
        <w:t xml:space="preserve"> health districts, now 54. GAVI, jointly with the Government</w:t>
      </w:r>
      <w:r w:rsidR="00D24340" w:rsidRPr="00D24340">
        <w:rPr>
          <w:rFonts w:ascii="Arial" w:hAnsi="Arial" w:cs="Arial"/>
          <w:lang w:val="en-US"/>
        </w:rPr>
        <w:t>,</w:t>
      </w:r>
      <w:r w:rsidR="009266C9" w:rsidRPr="00D24340">
        <w:rPr>
          <w:rFonts w:ascii="Arial" w:hAnsi="Arial" w:cs="Arial"/>
          <w:lang w:val="en-US"/>
        </w:rPr>
        <w:t xml:space="preserve"> supports implementation of the RED strategy in 22 districts, UNICEF supports another 22 districts and WHO supports ten.</w:t>
      </w:r>
      <w:r w:rsidR="009266C9" w:rsidRPr="00D24340">
        <w:rPr>
          <w:rStyle w:val="FootnoteReference"/>
          <w:rFonts w:ascii="Arial" w:hAnsi="Arial" w:cs="Arial"/>
          <w:lang w:val="en-US"/>
        </w:rPr>
        <w:footnoteReference w:id="5"/>
      </w:r>
      <w:r w:rsidR="009266C9" w:rsidRPr="00D24340">
        <w:rPr>
          <w:rFonts w:ascii="Arial" w:hAnsi="Arial" w:cs="Arial"/>
          <w:lang w:val="en-US"/>
        </w:rPr>
        <w:t xml:space="preserve"> This funding has gone into creating and equipping new health centers in under-served areas, procuring cold chain equipment and vehicles, and </w:t>
      </w:r>
      <w:r w:rsidR="00D24340">
        <w:rPr>
          <w:rFonts w:ascii="Arial" w:hAnsi="Arial" w:cs="Arial"/>
          <w:lang w:val="en-US"/>
        </w:rPr>
        <w:t>paying for</w:t>
      </w:r>
      <w:r w:rsidR="009266C9" w:rsidRPr="00D24340">
        <w:rPr>
          <w:rFonts w:ascii="Arial" w:hAnsi="Arial" w:cs="Arial"/>
          <w:lang w:val="en-US"/>
        </w:rPr>
        <w:t xml:space="preserve"> operational expenses such as fuel for vehicles and refrigerators. Besides funding, partners have provided technical assistance, though national and international staff and consultants – in developing micro-plans, working with communities to increase coverages rates through home visits and default tracking, </w:t>
      </w:r>
      <w:r w:rsidR="00D24340">
        <w:rPr>
          <w:rFonts w:ascii="Arial" w:hAnsi="Arial" w:cs="Arial"/>
          <w:lang w:val="en-US"/>
        </w:rPr>
        <w:t>among</w:t>
      </w:r>
      <w:r w:rsidR="009266C9" w:rsidRPr="00D24340">
        <w:rPr>
          <w:rFonts w:ascii="Arial" w:hAnsi="Arial" w:cs="Arial"/>
          <w:lang w:val="en-US"/>
        </w:rPr>
        <w:t xml:space="preserve"> other </w:t>
      </w:r>
      <w:r w:rsidR="001B54B9" w:rsidRPr="00D24340">
        <w:rPr>
          <w:rFonts w:ascii="Arial" w:hAnsi="Arial" w:cs="Arial"/>
          <w:lang w:val="en-US"/>
        </w:rPr>
        <w:t>activities</w:t>
      </w:r>
      <w:r w:rsidR="009266C9" w:rsidRPr="00D24340">
        <w:rPr>
          <w:rFonts w:ascii="Arial" w:hAnsi="Arial" w:cs="Arial"/>
          <w:lang w:val="en-US"/>
        </w:rPr>
        <w:t>. Administrative data show a significant increase in immunization coverage in the partner-supported districts, likely contributing to the increase in national WUENIC estimates from 2014 to 2015.</w:t>
      </w:r>
    </w:p>
    <w:p w14:paraId="6A311BC5" w14:textId="77E7BE23" w:rsidR="00B50752" w:rsidRPr="0005408F" w:rsidRDefault="00B50752" w:rsidP="009266C9">
      <w:pPr>
        <w:pStyle w:val="ListParagraph"/>
        <w:numPr>
          <w:ilvl w:val="0"/>
          <w:numId w:val="29"/>
        </w:numPr>
        <w:contextualSpacing w:val="0"/>
        <w:rPr>
          <w:rFonts w:ascii="Arial" w:hAnsi="Arial" w:cs="Arial"/>
        </w:rPr>
      </w:pPr>
      <w:r w:rsidRPr="001255ED">
        <w:rPr>
          <w:rFonts w:ascii="Arial" w:hAnsi="Arial" w:cs="Arial"/>
          <w:b/>
        </w:rPr>
        <w:t>Training and capacity-building</w:t>
      </w:r>
      <w:r w:rsidR="009266C9">
        <w:rPr>
          <w:rFonts w:ascii="Arial" w:hAnsi="Arial" w:cs="Arial"/>
        </w:rPr>
        <w:t xml:space="preserve">. Partners have provided and are </w:t>
      </w:r>
      <w:r w:rsidR="00D24340">
        <w:rPr>
          <w:rFonts w:ascii="Arial" w:hAnsi="Arial" w:cs="Arial"/>
        </w:rPr>
        <w:t>continuing to provide</w:t>
      </w:r>
      <w:r w:rsidR="009266C9">
        <w:rPr>
          <w:rFonts w:ascii="Arial" w:hAnsi="Arial" w:cs="Arial"/>
        </w:rPr>
        <w:t xml:space="preserve"> financial and technical support for a range of trainings to increase the sk</w:t>
      </w:r>
      <w:r w:rsidR="001255ED">
        <w:rPr>
          <w:rFonts w:ascii="Arial" w:hAnsi="Arial" w:cs="Arial"/>
        </w:rPr>
        <w:t>i</w:t>
      </w:r>
      <w:r w:rsidR="009266C9">
        <w:rPr>
          <w:rFonts w:ascii="Arial" w:hAnsi="Arial" w:cs="Arial"/>
        </w:rPr>
        <w:t xml:space="preserve">lls and capacity of those involved in immunization and disease surveillance. This includes training </w:t>
      </w:r>
      <w:r w:rsidR="00D24340">
        <w:rPr>
          <w:rFonts w:ascii="Arial" w:hAnsi="Arial" w:cs="Arial"/>
        </w:rPr>
        <w:t>of health staff in</w:t>
      </w:r>
      <w:r w:rsidR="009266C9">
        <w:rPr>
          <w:rFonts w:ascii="Arial" w:hAnsi="Arial" w:cs="Arial"/>
        </w:rPr>
        <w:t xml:space="preserve"> RED activities</w:t>
      </w:r>
      <w:r w:rsidR="00D24340">
        <w:rPr>
          <w:rFonts w:ascii="Arial" w:hAnsi="Arial" w:cs="Arial"/>
        </w:rPr>
        <w:t>;</w:t>
      </w:r>
      <w:r w:rsidR="009266C9">
        <w:rPr>
          <w:rFonts w:ascii="Arial" w:hAnsi="Arial" w:cs="Arial"/>
        </w:rPr>
        <w:t xml:space="preserve"> surveillance training for zonal surveillance focal points</w:t>
      </w:r>
      <w:r w:rsidR="00D24340">
        <w:rPr>
          <w:rFonts w:ascii="Arial" w:hAnsi="Arial" w:cs="Arial"/>
        </w:rPr>
        <w:t>;</w:t>
      </w:r>
      <w:r w:rsidR="009266C9">
        <w:rPr>
          <w:rFonts w:ascii="Arial" w:hAnsi="Arial" w:cs="Arial"/>
        </w:rPr>
        <w:t xml:space="preserve"> training of </w:t>
      </w:r>
      <w:r w:rsidR="002149FF">
        <w:rPr>
          <w:rFonts w:ascii="Arial" w:hAnsi="Arial" w:cs="Arial"/>
        </w:rPr>
        <w:t xml:space="preserve">Reginal EPI focal </w:t>
      </w:r>
      <w:r w:rsidR="00D24340">
        <w:rPr>
          <w:rFonts w:ascii="Arial" w:hAnsi="Arial" w:cs="Arial"/>
        </w:rPr>
        <w:t>p</w:t>
      </w:r>
      <w:r w:rsidR="002149FF">
        <w:rPr>
          <w:rFonts w:ascii="Arial" w:hAnsi="Arial" w:cs="Arial"/>
        </w:rPr>
        <w:t>oint</w:t>
      </w:r>
      <w:r w:rsidR="00D24340">
        <w:rPr>
          <w:rFonts w:ascii="Arial" w:hAnsi="Arial" w:cs="Arial"/>
        </w:rPr>
        <w:t>s</w:t>
      </w:r>
      <w:r w:rsidR="002149FF">
        <w:rPr>
          <w:rFonts w:ascii="Arial" w:hAnsi="Arial" w:cs="Arial"/>
        </w:rPr>
        <w:t xml:space="preserve"> </w:t>
      </w:r>
      <w:r w:rsidR="001255ED">
        <w:rPr>
          <w:rFonts w:ascii="Arial" w:hAnsi="Arial" w:cs="Arial"/>
        </w:rPr>
        <w:t>in data collection, data management and interpretation using the DVD-MT software to improve data quality</w:t>
      </w:r>
      <w:r w:rsidR="00D24340">
        <w:rPr>
          <w:rFonts w:ascii="Arial" w:hAnsi="Arial" w:cs="Arial"/>
        </w:rPr>
        <w:t>;</w:t>
      </w:r>
      <w:r w:rsidR="001255ED">
        <w:rPr>
          <w:rFonts w:ascii="Arial" w:hAnsi="Arial" w:cs="Arial"/>
        </w:rPr>
        <w:t xml:space="preserve"> and mid-level managers (MLM) training at the regional level.</w:t>
      </w:r>
    </w:p>
    <w:p w14:paraId="572B50D4" w14:textId="5510B4BD" w:rsidR="000117E8" w:rsidRPr="00EC5704" w:rsidRDefault="000117E8" w:rsidP="000117E8">
      <w:pPr>
        <w:rPr>
          <w:rFonts w:ascii="Arial" w:hAnsi="Arial" w:cs="Arial"/>
        </w:rPr>
      </w:pPr>
      <w:r w:rsidRPr="00EC5704">
        <w:rPr>
          <w:rFonts w:ascii="Arial" w:hAnsi="Arial" w:cs="Arial"/>
        </w:rPr>
        <w:br w:type="page"/>
      </w:r>
    </w:p>
    <w:p w14:paraId="70CBFBFF" w14:textId="77777777" w:rsidR="00806371" w:rsidRDefault="00806371" w:rsidP="00806371">
      <w:pPr>
        <w:rPr>
          <w:rFonts w:ascii="Arial" w:hAnsi="Arial" w:cs="Arial"/>
          <w:b/>
          <w:sz w:val="24"/>
        </w:rPr>
      </w:pPr>
      <w:r>
        <w:rPr>
          <w:rFonts w:ascii="Arial" w:hAnsi="Arial" w:cs="Arial"/>
          <w:b/>
          <w:sz w:val="24"/>
        </w:rPr>
        <w:lastRenderedPageBreak/>
        <w:t>Annex 1: Country immunization profile</w:t>
      </w:r>
    </w:p>
    <w:p w14:paraId="65BEE5F8" w14:textId="77777777" w:rsidR="00806371" w:rsidRDefault="00806371" w:rsidP="00806371">
      <w:pPr>
        <w:spacing w:after="0"/>
      </w:pPr>
    </w:p>
    <w:p w14:paraId="0FB21DE6" w14:textId="77777777" w:rsidR="00806371" w:rsidRDefault="00806371" w:rsidP="00806371">
      <w:pPr>
        <w:pStyle w:val="ListParagraph"/>
        <w:numPr>
          <w:ilvl w:val="0"/>
          <w:numId w:val="25"/>
        </w:numPr>
      </w:pPr>
      <w:r>
        <w:t>Planning and management:</w:t>
      </w:r>
    </w:p>
    <w:p w14:paraId="3F31C7D0" w14:textId="32890B5F" w:rsidR="00806371" w:rsidRPr="00824375" w:rsidRDefault="00824375" w:rsidP="00806371">
      <w:pPr>
        <w:pStyle w:val="ListParagraph"/>
        <w:numPr>
          <w:ilvl w:val="1"/>
          <w:numId w:val="25"/>
        </w:numPr>
      </w:pPr>
      <w:r w:rsidRPr="00824375">
        <w:t>Vaccines s</w:t>
      </w:r>
      <w:r w:rsidR="00806371" w:rsidRPr="00824375">
        <w:t>tockout</w:t>
      </w:r>
      <w:r w:rsidRPr="00824375">
        <w:t>: no event in 2015</w:t>
      </w:r>
    </w:p>
    <w:p w14:paraId="5BC0E99A" w14:textId="18F03E24" w:rsidR="00806371" w:rsidRDefault="00806371" w:rsidP="00806371">
      <w:pPr>
        <w:pStyle w:val="ListParagraph"/>
        <w:numPr>
          <w:ilvl w:val="1"/>
          <w:numId w:val="25"/>
        </w:numPr>
      </w:pPr>
      <w:r>
        <w:t>cMYP: 2013-2017</w:t>
      </w:r>
    </w:p>
    <w:p w14:paraId="12CE9602" w14:textId="77777777" w:rsidR="00806371" w:rsidRDefault="00806371" w:rsidP="00806371">
      <w:pPr>
        <w:pStyle w:val="ListParagraph"/>
        <w:numPr>
          <w:ilvl w:val="1"/>
          <w:numId w:val="25"/>
        </w:numPr>
      </w:pPr>
      <w:r>
        <w:t>Annual Plan: Yes</w:t>
      </w:r>
    </w:p>
    <w:p w14:paraId="4B587F4D" w14:textId="7F0431AD" w:rsidR="00E86411" w:rsidRPr="001255ED" w:rsidRDefault="00806371" w:rsidP="00F22A26">
      <w:pPr>
        <w:pStyle w:val="ListParagraph"/>
        <w:numPr>
          <w:ilvl w:val="0"/>
          <w:numId w:val="25"/>
        </w:numPr>
      </w:pPr>
      <w:r>
        <w:t>Country decision making: No NITAG</w:t>
      </w:r>
      <w:bookmarkStart w:id="0" w:name="_GoBack"/>
      <w:bookmarkEnd w:id="0"/>
    </w:p>
    <w:sectPr w:rsidR="00E86411" w:rsidRPr="001255ED" w:rsidSect="000117E8">
      <w:type w:val="continuous"/>
      <w:pgSz w:w="11906" w:h="16838"/>
      <w:pgMar w:top="1440" w:right="1440" w:bottom="1440" w:left="1440" w:header="709" w:footer="709"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933F3E" w15:done="0"/>
  <w15:commentEx w15:paraId="13998B76" w15:done="0"/>
  <w15:commentEx w15:paraId="60B9959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5CF63" w14:textId="77777777" w:rsidR="00B10394" w:rsidRDefault="00B10394">
      <w:pPr>
        <w:spacing w:after="0" w:line="240" w:lineRule="auto"/>
      </w:pPr>
      <w:r>
        <w:separator/>
      </w:r>
    </w:p>
  </w:endnote>
  <w:endnote w:type="continuationSeparator" w:id="0">
    <w:p w14:paraId="3FA761D8" w14:textId="77777777" w:rsidR="00B10394" w:rsidRDefault="00B10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979523"/>
      <w:docPartObj>
        <w:docPartGallery w:val="Page Numbers (Bottom of Page)"/>
        <w:docPartUnique/>
      </w:docPartObj>
    </w:sdtPr>
    <w:sdtEndPr>
      <w:rPr>
        <w:noProof/>
      </w:rPr>
    </w:sdtEndPr>
    <w:sdtContent>
      <w:p w14:paraId="7CFCD3F8" w14:textId="25072BAB" w:rsidR="00BE25DC" w:rsidRDefault="00BE25DC">
        <w:pPr>
          <w:pStyle w:val="Footer"/>
          <w:jc w:val="center"/>
        </w:pPr>
        <w:r>
          <w:fldChar w:fldCharType="begin"/>
        </w:r>
        <w:r>
          <w:instrText xml:space="preserve"> PAGE   \* MERGEFORMAT </w:instrText>
        </w:r>
        <w:r>
          <w:fldChar w:fldCharType="separate"/>
        </w:r>
        <w:r w:rsidR="00F22A26">
          <w:rPr>
            <w:noProof/>
          </w:rPr>
          <w:t>4</w:t>
        </w:r>
        <w:r>
          <w:rPr>
            <w:noProof/>
          </w:rPr>
          <w:fldChar w:fldCharType="end"/>
        </w:r>
      </w:p>
    </w:sdtContent>
  </w:sdt>
  <w:p w14:paraId="780E7B36" w14:textId="588B8F14" w:rsidR="00BE25DC" w:rsidRDefault="00BE25DC" w:rsidP="00C311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E702B6" w14:textId="77777777" w:rsidR="00B10394" w:rsidRDefault="00B10394">
      <w:pPr>
        <w:spacing w:after="0" w:line="240" w:lineRule="auto"/>
      </w:pPr>
      <w:r>
        <w:separator/>
      </w:r>
    </w:p>
  </w:footnote>
  <w:footnote w:type="continuationSeparator" w:id="0">
    <w:p w14:paraId="358BE074" w14:textId="77777777" w:rsidR="00B10394" w:rsidRDefault="00B10394">
      <w:pPr>
        <w:spacing w:after="0" w:line="240" w:lineRule="auto"/>
      </w:pPr>
      <w:r>
        <w:continuationSeparator/>
      </w:r>
    </w:p>
  </w:footnote>
  <w:footnote w:id="1">
    <w:p w14:paraId="5930F3F9" w14:textId="22FB195B" w:rsidR="00BE25DC" w:rsidRPr="001B3C99" w:rsidRDefault="00BE25DC">
      <w:pPr>
        <w:pStyle w:val="FootnoteText"/>
        <w:rPr>
          <w:lang w:val="en-US"/>
        </w:rPr>
      </w:pPr>
      <w:r>
        <w:rPr>
          <w:rStyle w:val="FootnoteReference"/>
        </w:rPr>
        <w:footnoteRef/>
      </w:r>
      <w:r>
        <w:t xml:space="preserve"> </w:t>
      </w:r>
      <w:r>
        <w:rPr>
          <w:lang w:val="en-US"/>
        </w:rPr>
        <w:t>Chad Annual EPI Action Plan, 2016.</w:t>
      </w:r>
    </w:p>
  </w:footnote>
  <w:footnote w:id="2">
    <w:p w14:paraId="1CBBAF54" w14:textId="08DFFA4A" w:rsidR="00BE25DC" w:rsidRPr="006E2E24" w:rsidRDefault="00BE25DC">
      <w:pPr>
        <w:pStyle w:val="FootnoteText"/>
        <w:rPr>
          <w:lang w:val="en-US"/>
        </w:rPr>
      </w:pPr>
      <w:r>
        <w:rPr>
          <w:rStyle w:val="FootnoteReference"/>
        </w:rPr>
        <w:footnoteRef/>
      </w:r>
      <w:r>
        <w:t xml:space="preserve"> </w:t>
      </w:r>
      <w:r>
        <w:rPr>
          <w:lang w:val="en-US"/>
        </w:rPr>
        <w:t>Joint Appraisal report 2016.</w:t>
      </w:r>
    </w:p>
  </w:footnote>
  <w:footnote w:id="3">
    <w:p w14:paraId="3F4972F1" w14:textId="78E65A68" w:rsidR="00BE25DC" w:rsidRPr="006E2E24" w:rsidRDefault="00BE25DC">
      <w:pPr>
        <w:pStyle w:val="FootnoteText"/>
        <w:rPr>
          <w:lang w:val="en-US"/>
        </w:rPr>
      </w:pPr>
      <w:r>
        <w:rPr>
          <w:rStyle w:val="FootnoteReference"/>
        </w:rPr>
        <w:footnoteRef/>
      </w:r>
      <w:r>
        <w:t xml:space="preserve"> </w:t>
      </w:r>
      <w:r>
        <w:rPr>
          <w:lang w:val="en-US"/>
        </w:rPr>
        <w:t>Joint Appraisal report 2016.</w:t>
      </w:r>
    </w:p>
  </w:footnote>
  <w:footnote w:id="4">
    <w:p w14:paraId="3EEF073B" w14:textId="007BB333" w:rsidR="00BE25DC" w:rsidRPr="00B50752" w:rsidRDefault="00BE25DC">
      <w:pPr>
        <w:pStyle w:val="FootnoteText"/>
        <w:rPr>
          <w:lang w:val="en-US"/>
        </w:rPr>
      </w:pPr>
      <w:r>
        <w:rPr>
          <w:rStyle w:val="FootnoteReference"/>
        </w:rPr>
        <w:footnoteRef/>
      </w:r>
      <w:r>
        <w:t xml:space="preserve"> </w:t>
      </w:r>
      <w:r>
        <w:rPr>
          <w:lang w:val="en-US"/>
        </w:rPr>
        <w:t>Joint appraisal report 2016.</w:t>
      </w:r>
    </w:p>
  </w:footnote>
  <w:footnote w:id="5">
    <w:p w14:paraId="113DA3DB" w14:textId="6464046D" w:rsidR="00BE25DC" w:rsidRPr="009266C9" w:rsidRDefault="00BE25DC">
      <w:pPr>
        <w:pStyle w:val="FootnoteText"/>
        <w:rPr>
          <w:lang w:val="en-US"/>
        </w:rPr>
      </w:pPr>
      <w:r>
        <w:rPr>
          <w:rStyle w:val="FootnoteReference"/>
        </w:rPr>
        <w:footnoteRef/>
      </w:r>
      <w:r>
        <w:t xml:space="preserve"> </w:t>
      </w:r>
      <w:r>
        <w:rPr>
          <w:lang w:val="en-US"/>
        </w:rPr>
        <w:t>Joint appraisal report 2016.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C0D88"/>
    <w:multiLevelType w:val="hybridMultilevel"/>
    <w:tmpl w:val="92B475DA"/>
    <w:lvl w:ilvl="0" w:tplc="04090005">
      <w:start w:val="1"/>
      <w:numFmt w:val="bullet"/>
      <w:lvlText w:val=""/>
      <w:lvlJc w:val="left"/>
      <w:pPr>
        <w:ind w:left="720" w:hanging="360"/>
      </w:pPr>
      <w:rPr>
        <w:rFonts w:ascii="Wingdings" w:hAnsi="Wingding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8F710BA"/>
    <w:multiLevelType w:val="hybridMultilevel"/>
    <w:tmpl w:val="D80015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BFE4796"/>
    <w:multiLevelType w:val="hybridMultilevel"/>
    <w:tmpl w:val="2D6047F6"/>
    <w:lvl w:ilvl="0" w:tplc="04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15201945"/>
    <w:multiLevelType w:val="hybridMultilevel"/>
    <w:tmpl w:val="EE3E514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179F56FE"/>
    <w:multiLevelType w:val="hybridMultilevel"/>
    <w:tmpl w:val="4EFCB3F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20910D11"/>
    <w:multiLevelType w:val="hybridMultilevel"/>
    <w:tmpl w:val="ECF662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272D2CE5"/>
    <w:multiLevelType w:val="multilevel"/>
    <w:tmpl w:val="F58C9C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36F6781"/>
    <w:multiLevelType w:val="multilevel"/>
    <w:tmpl w:val="12F245C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4851C67"/>
    <w:multiLevelType w:val="hybridMultilevel"/>
    <w:tmpl w:val="FA10CC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4D5180B"/>
    <w:multiLevelType w:val="hybridMultilevel"/>
    <w:tmpl w:val="AAA283B2"/>
    <w:lvl w:ilvl="0" w:tplc="10421B90">
      <w:numFmt w:val="bullet"/>
      <w:lvlText w:val="-"/>
      <w:lvlJc w:val="left"/>
      <w:pPr>
        <w:ind w:left="1080" w:hanging="360"/>
      </w:pPr>
      <w:rPr>
        <w:rFonts w:ascii="Arial" w:eastAsiaTheme="minorHAnsi" w:hAnsi="Arial" w:cs="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39AB2663"/>
    <w:multiLevelType w:val="multilevel"/>
    <w:tmpl w:val="37DE8CD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A9B0E47"/>
    <w:multiLevelType w:val="hybridMultilevel"/>
    <w:tmpl w:val="F146A0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nsid w:val="3B821CFF"/>
    <w:multiLevelType w:val="hybridMultilevel"/>
    <w:tmpl w:val="85B4CC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251F34"/>
    <w:multiLevelType w:val="hybridMultilevel"/>
    <w:tmpl w:val="77B83EF6"/>
    <w:lvl w:ilvl="0" w:tplc="CC78D78A">
      <w:start w:val="1"/>
      <w:numFmt w:val="lowerLetter"/>
      <w:lvlText w:val="%1."/>
      <w:lvlJc w:val="left"/>
      <w:pPr>
        <w:tabs>
          <w:tab w:val="num" w:pos="720"/>
        </w:tabs>
        <w:ind w:left="720" w:hanging="360"/>
      </w:pPr>
    </w:lvl>
    <w:lvl w:ilvl="1" w:tplc="65FE4AFC">
      <w:start w:val="835"/>
      <w:numFmt w:val="bullet"/>
      <w:lvlText w:val="–"/>
      <w:lvlJc w:val="left"/>
      <w:pPr>
        <w:tabs>
          <w:tab w:val="num" w:pos="1440"/>
        </w:tabs>
        <w:ind w:left="1440" w:hanging="360"/>
      </w:pPr>
      <w:rPr>
        <w:rFonts w:ascii="Arial" w:hAnsi="Arial" w:hint="default"/>
      </w:rPr>
    </w:lvl>
    <w:lvl w:ilvl="2" w:tplc="08F4FAD2">
      <w:start w:val="835"/>
      <w:numFmt w:val="bullet"/>
      <w:lvlText w:val="•"/>
      <w:lvlJc w:val="left"/>
      <w:pPr>
        <w:tabs>
          <w:tab w:val="num" w:pos="2160"/>
        </w:tabs>
        <w:ind w:left="2160" w:hanging="360"/>
      </w:pPr>
      <w:rPr>
        <w:rFonts w:ascii="Arial" w:hAnsi="Arial" w:hint="default"/>
      </w:rPr>
    </w:lvl>
    <w:lvl w:ilvl="3" w:tplc="F1E43FCC" w:tentative="1">
      <w:start w:val="1"/>
      <w:numFmt w:val="lowerLetter"/>
      <w:lvlText w:val="%4."/>
      <w:lvlJc w:val="left"/>
      <w:pPr>
        <w:tabs>
          <w:tab w:val="num" w:pos="2880"/>
        </w:tabs>
        <w:ind w:left="2880" w:hanging="360"/>
      </w:pPr>
    </w:lvl>
    <w:lvl w:ilvl="4" w:tplc="EF30CAAE" w:tentative="1">
      <w:start w:val="1"/>
      <w:numFmt w:val="lowerLetter"/>
      <w:lvlText w:val="%5."/>
      <w:lvlJc w:val="left"/>
      <w:pPr>
        <w:tabs>
          <w:tab w:val="num" w:pos="3600"/>
        </w:tabs>
        <w:ind w:left="3600" w:hanging="360"/>
      </w:pPr>
    </w:lvl>
    <w:lvl w:ilvl="5" w:tplc="1D3C0E56" w:tentative="1">
      <w:start w:val="1"/>
      <w:numFmt w:val="lowerLetter"/>
      <w:lvlText w:val="%6."/>
      <w:lvlJc w:val="left"/>
      <w:pPr>
        <w:tabs>
          <w:tab w:val="num" w:pos="4320"/>
        </w:tabs>
        <w:ind w:left="4320" w:hanging="360"/>
      </w:pPr>
    </w:lvl>
    <w:lvl w:ilvl="6" w:tplc="347E5004" w:tentative="1">
      <w:start w:val="1"/>
      <w:numFmt w:val="lowerLetter"/>
      <w:lvlText w:val="%7."/>
      <w:lvlJc w:val="left"/>
      <w:pPr>
        <w:tabs>
          <w:tab w:val="num" w:pos="5040"/>
        </w:tabs>
        <w:ind w:left="5040" w:hanging="360"/>
      </w:pPr>
    </w:lvl>
    <w:lvl w:ilvl="7" w:tplc="1C181A00" w:tentative="1">
      <w:start w:val="1"/>
      <w:numFmt w:val="lowerLetter"/>
      <w:lvlText w:val="%8."/>
      <w:lvlJc w:val="left"/>
      <w:pPr>
        <w:tabs>
          <w:tab w:val="num" w:pos="5760"/>
        </w:tabs>
        <w:ind w:left="5760" w:hanging="360"/>
      </w:pPr>
    </w:lvl>
    <w:lvl w:ilvl="8" w:tplc="C89A567E" w:tentative="1">
      <w:start w:val="1"/>
      <w:numFmt w:val="lowerLetter"/>
      <w:lvlText w:val="%9."/>
      <w:lvlJc w:val="left"/>
      <w:pPr>
        <w:tabs>
          <w:tab w:val="num" w:pos="6480"/>
        </w:tabs>
        <w:ind w:left="6480" w:hanging="360"/>
      </w:pPr>
    </w:lvl>
  </w:abstractNum>
  <w:abstractNum w:abstractNumId="14">
    <w:nsid w:val="41E943A5"/>
    <w:multiLevelType w:val="multilevel"/>
    <w:tmpl w:val="A3D492DE"/>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510A3FD3"/>
    <w:multiLevelType w:val="hybridMultilevel"/>
    <w:tmpl w:val="60D2E280"/>
    <w:lvl w:ilvl="0" w:tplc="F75E9D44">
      <w:start w:val="1"/>
      <w:numFmt w:val="lowerLetter"/>
      <w:lvlText w:val="%1."/>
      <w:lvlJc w:val="left"/>
      <w:pPr>
        <w:tabs>
          <w:tab w:val="num" w:pos="720"/>
        </w:tabs>
        <w:ind w:left="720" w:hanging="360"/>
      </w:pPr>
    </w:lvl>
    <w:lvl w:ilvl="1" w:tplc="C09222A4" w:tentative="1">
      <w:start w:val="1"/>
      <w:numFmt w:val="lowerLetter"/>
      <w:lvlText w:val="%2."/>
      <w:lvlJc w:val="left"/>
      <w:pPr>
        <w:tabs>
          <w:tab w:val="num" w:pos="1440"/>
        </w:tabs>
        <w:ind w:left="1440" w:hanging="360"/>
      </w:pPr>
    </w:lvl>
    <w:lvl w:ilvl="2" w:tplc="62F4B0F6" w:tentative="1">
      <w:start w:val="1"/>
      <w:numFmt w:val="lowerLetter"/>
      <w:lvlText w:val="%3."/>
      <w:lvlJc w:val="left"/>
      <w:pPr>
        <w:tabs>
          <w:tab w:val="num" w:pos="2160"/>
        </w:tabs>
        <w:ind w:left="2160" w:hanging="360"/>
      </w:pPr>
    </w:lvl>
    <w:lvl w:ilvl="3" w:tplc="4E0CA842" w:tentative="1">
      <w:start w:val="1"/>
      <w:numFmt w:val="lowerLetter"/>
      <w:lvlText w:val="%4."/>
      <w:lvlJc w:val="left"/>
      <w:pPr>
        <w:tabs>
          <w:tab w:val="num" w:pos="2880"/>
        </w:tabs>
        <w:ind w:left="2880" w:hanging="360"/>
      </w:pPr>
    </w:lvl>
    <w:lvl w:ilvl="4" w:tplc="7F66CE10" w:tentative="1">
      <w:start w:val="1"/>
      <w:numFmt w:val="lowerLetter"/>
      <w:lvlText w:val="%5."/>
      <w:lvlJc w:val="left"/>
      <w:pPr>
        <w:tabs>
          <w:tab w:val="num" w:pos="3600"/>
        </w:tabs>
        <w:ind w:left="3600" w:hanging="360"/>
      </w:pPr>
    </w:lvl>
    <w:lvl w:ilvl="5" w:tplc="C7246AA8" w:tentative="1">
      <w:start w:val="1"/>
      <w:numFmt w:val="lowerLetter"/>
      <w:lvlText w:val="%6."/>
      <w:lvlJc w:val="left"/>
      <w:pPr>
        <w:tabs>
          <w:tab w:val="num" w:pos="4320"/>
        </w:tabs>
        <w:ind w:left="4320" w:hanging="360"/>
      </w:pPr>
    </w:lvl>
    <w:lvl w:ilvl="6" w:tplc="31D4196E" w:tentative="1">
      <w:start w:val="1"/>
      <w:numFmt w:val="lowerLetter"/>
      <w:lvlText w:val="%7."/>
      <w:lvlJc w:val="left"/>
      <w:pPr>
        <w:tabs>
          <w:tab w:val="num" w:pos="5040"/>
        </w:tabs>
        <w:ind w:left="5040" w:hanging="360"/>
      </w:pPr>
    </w:lvl>
    <w:lvl w:ilvl="7" w:tplc="FBCED516" w:tentative="1">
      <w:start w:val="1"/>
      <w:numFmt w:val="lowerLetter"/>
      <w:lvlText w:val="%8."/>
      <w:lvlJc w:val="left"/>
      <w:pPr>
        <w:tabs>
          <w:tab w:val="num" w:pos="5760"/>
        </w:tabs>
        <w:ind w:left="5760" w:hanging="360"/>
      </w:pPr>
    </w:lvl>
    <w:lvl w:ilvl="8" w:tplc="2864C6DA" w:tentative="1">
      <w:start w:val="1"/>
      <w:numFmt w:val="lowerLetter"/>
      <w:lvlText w:val="%9."/>
      <w:lvlJc w:val="left"/>
      <w:pPr>
        <w:tabs>
          <w:tab w:val="num" w:pos="6480"/>
        </w:tabs>
        <w:ind w:left="6480" w:hanging="360"/>
      </w:pPr>
    </w:lvl>
  </w:abstractNum>
  <w:abstractNum w:abstractNumId="16">
    <w:nsid w:val="514B7582"/>
    <w:multiLevelType w:val="hybridMultilevel"/>
    <w:tmpl w:val="9AFEA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27F13EF"/>
    <w:multiLevelType w:val="multilevel"/>
    <w:tmpl w:val="F324700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82970CC"/>
    <w:multiLevelType w:val="hybridMultilevel"/>
    <w:tmpl w:val="334C477E"/>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64D05912"/>
    <w:multiLevelType w:val="hybridMultilevel"/>
    <w:tmpl w:val="8CCE2F44"/>
    <w:lvl w:ilvl="0" w:tplc="AC7C927C">
      <w:start w:val="1"/>
      <w:numFmt w:val="lowerLetter"/>
      <w:lvlText w:val="%1."/>
      <w:lvlJc w:val="left"/>
      <w:pPr>
        <w:tabs>
          <w:tab w:val="num" w:pos="720"/>
        </w:tabs>
        <w:ind w:left="720" w:hanging="360"/>
      </w:pPr>
    </w:lvl>
    <w:lvl w:ilvl="1" w:tplc="491AC57C" w:tentative="1">
      <w:start w:val="1"/>
      <w:numFmt w:val="lowerLetter"/>
      <w:lvlText w:val="%2."/>
      <w:lvlJc w:val="left"/>
      <w:pPr>
        <w:tabs>
          <w:tab w:val="num" w:pos="1440"/>
        </w:tabs>
        <w:ind w:left="1440" w:hanging="360"/>
      </w:pPr>
    </w:lvl>
    <w:lvl w:ilvl="2" w:tplc="CA2EF9FC" w:tentative="1">
      <w:start w:val="1"/>
      <w:numFmt w:val="lowerLetter"/>
      <w:lvlText w:val="%3."/>
      <w:lvlJc w:val="left"/>
      <w:pPr>
        <w:tabs>
          <w:tab w:val="num" w:pos="2160"/>
        </w:tabs>
        <w:ind w:left="2160" w:hanging="360"/>
      </w:pPr>
    </w:lvl>
    <w:lvl w:ilvl="3" w:tplc="E204790E" w:tentative="1">
      <w:start w:val="1"/>
      <w:numFmt w:val="lowerLetter"/>
      <w:lvlText w:val="%4."/>
      <w:lvlJc w:val="left"/>
      <w:pPr>
        <w:tabs>
          <w:tab w:val="num" w:pos="2880"/>
        </w:tabs>
        <w:ind w:left="2880" w:hanging="360"/>
      </w:pPr>
    </w:lvl>
    <w:lvl w:ilvl="4" w:tplc="8FE4B9D0" w:tentative="1">
      <w:start w:val="1"/>
      <w:numFmt w:val="lowerLetter"/>
      <w:lvlText w:val="%5."/>
      <w:lvlJc w:val="left"/>
      <w:pPr>
        <w:tabs>
          <w:tab w:val="num" w:pos="3600"/>
        </w:tabs>
        <w:ind w:left="3600" w:hanging="360"/>
      </w:pPr>
    </w:lvl>
    <w:lvl w:ilvl="5" w:tplc="0416FB90" w:tentative="1">
      <w:start w:val="1"/>
      <w:numFmt w:val="lowerLetter"/>
      <w:lvlText w:val="%6."/>
      <w:lvlJc w:val="left"/>
      <w:pPr>
        <w:tabs>
          <w:tab w:val="num" w:pos="4320"/>
        </w:tabs>
        <w:ind w:left="4320" w:hanging="360"/>
      </w:pPr>
    </w:lvl>
    <w:lvl w:ilvl="6" w:tplc="8EF4CA38" w:tentative="1">
      <w:start w:val="1"/>
      <w:numFmt w:val="lowerLetter"/>
      <w:lvlText w:val="%7."/>
      <w:lvlJc w:val="left"/>
      <w:pPr>
        <w:tabs>
          <w:tab w:val="num" w:pos="5040"/>
        </w:tabs>
        <w:ind w:left="5040" w:hanging="360"/>
      </w:pPr>
    </w:lvl>
    <w:lvl w:ilvl="7" w:tplc="6CBA7550" w:tentative="1">
      <w:start w:val="1"/>
      <w:numFmt w:val="lowerLetter"/>
      <w:lvlText w:val="%8."/>
      <w:lvlJc w:val="left"/>
      <w:pPr>
        <w:tabs>
          <w:tab w:val="num" w:pos="5760"/>
        </w:tabs>
        <w:ind w:left="5760" w:hanging="360"/>
      </w:pPr>
    </w:lvl>
    <w:lvl w:ilvl="8" w:tplc="0ECCE49A" w:tentative="1">
      <w:start w:val="1"/>
      <w:numFmt w:val="lowerLetter"/>
      <w:lvlText w:val="%9."/>
      <w:lvlJc w:val="left"/>
      <w:pPr>
        <w:tabs>
          <w:tab w:val="num" w:pos="6480"/>
        </w:tabs>
        <w:ind w:left="6480" w:hanging="360"/>
      </w:pPr>
    </w:lvl>
  </w:abstractNum>
  <w:abstractNum w:abstractNumId="20">
    <w:nsid w:val="699F3763"/>
    <w:multiLevelType w:val="hybridMultilevel"/>
    <w:tmpl w:val="53E87108"/>
    <w:lvl w:ilvl="0" w:tplc="1EF4D39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2F01F3F"/>
    <w:multiLevelType w:val="hybridMultilevel"/>
    <w:tmpl w:val="F0AC8CE0"/>
    <w:lvl w:ilvl="0" w:tplc="0AEA3742">
      <w:start w:val="1"/>
      <w:numFmt w:val="lowerLetter"/>
      <w:lvlText w:val="%1."/>
      <w:lvlJc w:val="left"/>
      <w:pPr>
        <w:tabs>
          <w:tab w:val="num" w:pos="720"/>
        </w:tabs>
        <w:ind w:left="720" w:hanging="360"/>
      </w:pPr>
    </w:lvl>
    <w:lvl w:ilvl="1" w:tplc="35D24552" w:tentative="1">
      <w:start w:val="1"/>
      <w:numFmt w:val="lowerLetter"/>
      <w:lvlText w:val="%2."/>
      <w:lvlJc w:val="left"/>
      <w:pPr>
        <w:tabs>
          <w:tab w:val="num" w:pos="1440"/>
        </w:tabs>
        <w:ind w:left="1440" w:hanging="360"/>
      </w:pPr>
    </w:lvl>
    <w:lvl w:ilvl="2" w:tplc="B9CEC44A" w:tentative="1">
      <w:start w:val="1"/>
      <w:numFmt w:val="lowerLetter"/>
      <w:lvlText w:val="%3."/>
      <w:lvlJc w:val="left"/>
      <w:pPr>
        <w:tabs>
          <w:tab w:val="num" w:pos="2160"/>
        </w:tabs>
        <w:ind w:left="2160" w:hanging="360"/>
      </w:pPr>
    </w:lvl>
    <w:lvl w:ilvl="3" w:tplc="D34A7FE2" w:tentative="1">
      <w:start w:val="1"/>
      <w:numFmt w:val="lowerLetter"/>
      <w:lvlText w:val="%4."/>
      <w:lvlJc w:val="left"/>
      <w:pPr>
        <w:tabs>
          <w:tab w:val="num" w:pos="2880"/>
        </w:tabs>
        <w:ind w:left="2880" w:hanging="360"/>
      </w:pPr>
    </w:lvl>
    <w:lvl w:ilvl="4" w:tplc="8BFA7378" w:tentative="1">
      <w:start w:val="1"/>
      <w:numFmt w:val="lowerLetter"/>
      <w:lvlText w:val="%5."/>
      <w:lvlJc w:val="left"/>
      <w:pPr>
        <w:tabs>
          <w:tab w:val="num" w:pos="3600"/>
        </w:tabs>
        <w:ind w:left="3600" w:hanging="360"/>
      </w:pPr>
    </w:lvl>
    <w:lvl w:ilvl="5" w:tplc="43BCEA14" w:tentative="1">
      <w:start w:val="1"/>
      <w:numFmt w:val="lowerLetter"/>
      <w:lvlText w:val="%6."/>
      <w:lvlJc w:val="left"/>
      <w:pPr>
        <w:tabs>
          <w:tab w:val="num" w:pos="4320"/>
        </w:tabs>
        <w:ind w:left="4320" w:hanging="360"/>
      </w:pPr>
    </w:lvl>
    <w:lvl w:ilvl="6" w:tplc="C3F62F62" w:tentative="1">
      <w:start w:val="1"/>
      <w:numFmt w:val="lowerLetter"/>
      <w:lvlText w:val="%7."/>
      <w:lvlJc w:val="left"/>
      <w:pPr>
        <w:tabs>
          <w:tab w:val="num" w:pos="5040"/>
        </w:tabs>
        <w:ind w:left="5040" w:hanging="360"/>
      </w:pPr>
    </w:lvl>
    <w:lvl w:ilvl="7" w:tplc="0FCEC840" w:tentative="1">
      <w:start w:val="1"/>
      <w:numFmt w:val="lowerLetter"/>
      <w:lvlText w:val="%8."/>
      <w:lvlJc w:val="left"/>
      <w:pPr>
        <w:tabs>
          <w:tab w:val="num" w:pos="5760"/>
        </w:tabs>
        <w:ind w:left="5760" w:hanging="360"/>
      </w:pPr>
    </w:lvl>
    <w:lvl w:ilvl="8" w:tplc="FD5A1B24" w:tentative="1">
      <w:start w:val="1"/>
      <w:numFmt w:val="lowerLetter"/>
      <w:lvlText w:val="%9."/>
      <w:lvlJc w:val="left"/>
      <w:pPr>
        <w:tabs>
          <w:tab w:val="num" w:pos="6480"/>
        </w:tabs>
        <w:ind w:left="6480" w:hanging="360"/>
      </w:pPr>
    </w:lvl>
  </w:abstractNum>
  <w:abstractNum w:abstractNumId="22">
    <w:nsid w:val="7B8A3DE2"/>
    <w:multiLevelType w:val="hybridMultilevel"/>
    <w:tmpl w:val="956020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7BDF7363"/>
    <w:multiLevelType w:val="hybridMultilevel"/>
    <w:tmpl w:val="59B2751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C120FF5"/>
    <w:multiLevelType w:val="hybridMultilevel"/>
    <w:tmpl w:val="AAAAC672"/>
    <w:lvl w:ilvl="0" w:tplc="9872F6A8">
      <w:start w:val="1"/>
      <w:numFmt w:val="lowerLetter"/>
      <w:lvlText w:val="%1."/>
      <w:lvlJc w:val="left"/>
      <w:pPr>
        <w:tabs>
          <w:tab w:val="num" w:pos="720"/>
        </w:tabs>
        <w:ind w:left="720" w:hanging="360"/>
      </w:pPr>
    </w:lvl>
    <w:lvl w:ilvl="1" w:tplc="570002C6" w:tentative="1">
      <w:start w:val="1"/>
      <w:numFmt w:val="lowerLetter"/>
      <w:lvlText w:val="%2."/>
      <w:lvlJc w:val="left"/>
      <w:pPr>
        <w:tabs>
          <w:tab w:val="num" w:pos="1440"/>
        </w:tabs>
        <w:ind w:left="1440" w:hanging="360"/>
      </w:pPr>
    </w:lvl>
    <w:lvl w:ilvl="2" w:tplc="E7044478" w:tentative="1">
      <w:start w:val="1"/>
      <w:numFmt w:val="lowerLetter"/>
      <w:lvlText w:val="%3."/>
      <w:lvlJc w:val="left"/>
      <w:pPr>
        <w:tabs>
          <w:tab w:val="num" w:pos="2160"/>
        </w:tabs>
        <w:ind w:left="2160" w:hanging="360"/>
      </w:pPr>
    </w:lvl>
    <w:lvl w:ilvl="3" w:tplc="21B6B786" w:tentative="1">
      <w:start w:val="1"/>
      <w:numFmt w:val="lowerLetter"/>
      <w:lvlText w:val="%4."/>
      <w:lvlJc w:val="left"/>
      <w:pPr>
        <w:tabs>
          <w:tab w:val="num" w:pos="2880"/>
        </w:tabs>
        <w:ind w:left="2880" w:hanging="360"/>
      </w:pPr>
    </w:lvl>
    <w:lvl w:ilvl="4" w:tplc="1B560EC0" w:tentative="1">
      <w:start w:val="1"/>
      <w:numFmt w:val="lowerLetter"/>
      <w:lvlText w:val="%5."/>
      <w:lvlJc w:val="left"/>
      <w:pPr>
        <w:tabs>
          <w:tab w:val="num" w:pos="3600"/>
        </w:tabs>
        <w:ind w:left="3600" w:hanging="360"/>
      </w:pPr>
    </w:lvl>
    <w:lvl w:ilvl="5" w:tplc="1B60A3DC" w:tentative="1">
      <w:start w:val="1"/>
      <w:numFmt w:val="lowerLetter"/>
      <w:lvlText w:val="%6."/>
      <w:lvlJc w:val="left"/>
      <w:pPr>
        <w:tabs>
          <w:tab w:val="num" w:pos="4320"/>
        </w:tabs>
        <w:ind w:left="4320" w:hanging="360"/>
      </w:pPr>
    </w:lvl>
    <w:lvl w:ilvl="6" w:tplc="A0AA011E" w:tentative="1">
      <w:start w:val="1"/>
      <w:numFmt w:val="lowerLetter"/>
      <w:lvlText w:val="%7."/>
      <w:lvlJc w:val="left"/>
      <w:pPr>
        <w:tabs>
          <w:tab w:val="num" w:pos="5040"/>
        </w:tabs>
        <w:ind w:left="5040" w:hanging="360"/>
      </w:pPr>
    </w:lvl>
    <w:lvl w:ilvl="7" w:tplc="38DA9660" w:tentative="1">
      <w:start w:val="1"/>
      <w:numFmt w:val="lowerLetter"/>
      <w:lvlText w:val="%8."/>
      <w:lvlJc w:val="left"/>
      <w:pPr>
        <w:tabs>
          <w:tab w:val="num" w:pos="5760"/>
        </w:tabs>
        <w:ind w:left="5760" w:hanging="360"/>
      </w:pPr>
    </w:lvl>
    <w:lvl w:ilvl="8" w:tplc="6EC27BF0" w:tentative="1">
      <w:start w:val="1"/>
      <w:numFmt w:val="lowerLetter"/>
      <w:lvlText w:val="%9."/>
      <w:lvlJc w:val="left"/>
      <w:pPr>
        <w:tabs>
          <w:tab w:val="num" w:pos="6480"/>
        </w:tabs>
        <w:ind w:left="6480" w:hanging="360"/>
      </w:pPr>
    </w:lvl>
  </w:abstractNum>
  <w:abstractNum w:abstractNumId="25">
    <w:nsid w:val="7EE615B6"/>
    <w:multiLevelType w:val="hybridMultilevel"/>
    <w:tmpl w:val="2132F91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2"/>
  </w:num>
  <w:num w:numId="4">
    <w:abstractNumId w:val="8"/>
  </w:num>
  <w:num w:numId="5">
    <w:abstractNumId w:val="18"/>
  </w:num>
  <w:num w:numId="6">
    <w:abstractNumId w:val="1"/>
  </w:num>
  <w:num w:numId="7">
    <w:abstractNumId w:val="5"/>
  </w:num>
  <w:num w:numId="8">
    <w:abstractNumId w:val="16"/>
  </w:num>
  <w:num w:numId="9">
    <w:abstractNumId w:val="4"/>
  </w:num>
  <w:num w:numId="10">
    <w:abstractNumId w:val="22"/>
  </w:num>
  <w:num w:numId="11">
    <w:abstractNumId w:val="21"/>
  </w:num>
  <w:num w:numId="12">
    <w:abstractNumId w:val="13"/>
  </w:num>
  <w:num w:numId="13">
    <w:abstractNumId w:val="19"/>
  </w:num>
  <w:num w:numId="14">
    <w:abstractNumId w:val="15"/>
  </w:num>
  <w:num w:numId="15">
    <w:abstractNumId w:val="24"/>
  </w:num>
  <w:num w:numId="16">
    <w:abstractNumId w:val="7"/>
  </w:num>
  <w:num w:numId="17">
    <w:abstractNumId w:val="17"/>
  </w:num>
  <w:num w:numId="18">
    <w:abstractNumId w:val="10"/>
  </w:num>
  <w:num w:numId="19">
    <w:abstractNumId w:val="25"/>
  </w:num>
  <w:num w:numId="20">
    <w:abstractNumId w:val="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5"/>
  </w:num>
  <w:num w:numId="25">
    <w:abstractNumId w:val="8"/>
  </w:num>
  <w:num w:numId="26">
    <w:abstractNumId w:val="6"/>
  </w:num>
  <w:num w:numId="27">
    <w:abstractNumId w:val="14"/>
  </w:num>
  <w:num w:numId="28">
    <w:abstractNumId w:val="12"/>
  </w:num>
  <w:num w:numId="29">
    <w:abstractNumId w:val="23"/>
  </w:num>
  <w:num w:numId="30">
    <w:abstractNumId w:val="2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nise DeRoeck">
    <w15:presenceInfo w15:providerId="Windows Live" w15:userId="dd5ab0a71e4737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179"/>
    <w:rsid w:val="0000352E"/>
    <w:rsid w:val="000117E8"/>
    <w:rsid w:val="000145A8"/>
    <w:rsid w:val="000145E4"/>
    <w:rsid w:val="00052693"/>
    <w:rsid w:val="0005408F"/>
    <w:rsid w:val="00067068"/>
    <w:rsid w:val="0007442D"/>
    <w:rsid w:val="00076DF1"/>
    <w:rsid w:val="0008308B"/>
    <w:rsid w:val="00096E70"/>
    <w:rsid w:val="000A5E5A"/>
    <w:rsid w:val="000C2C44"/>
    <w:rsid w:val="000E3D3E"/>
    <w:rsid w:val="00103BA7"/>
    <w:rsid w:val="00110F1E"/>
    <w:rsid w:val="001121B4"/>
    <w:rsid w:val="001255ED"/>
    <w:rsid w:val="00160897"/>
    <w:rsid w:val="00163179"/>
    <w:rsid w:val="00163F2D"/>
    <w:rsid w:val="00175787"/>
    <w:rsid w:val="001869B3"/>
    <w:rsid w:val="001B0097"/>
    <w:rsid w:val="001B3C99"/>
    <w:rsid w:val="001B54B9"/>
    <w:rsid w:val="001C1193"/>
    <w:rsid w:val="001C1E4D"/>
    <w:rsid w:val="001C5026"/>
    <w:rsid w:val="001F2D8D"/>
    <w:rsid w:val="002149FF"/>
    <w:rsid w:val="00222690"/>
    <w:rsid w:val="002258E3"/>
    <w:rsid w:val="002327A5"/>
    <w:rsid w:val="00232D9A"/>
    <w:rsid w:val="0024354C"/>
    <w:rsid w:val="00255BFD"/>
    <w:rsid w:val="002574E8"/>
    <w:rsid w:val="0025776D"/>
    <w:rsid w:val="002607B7"/>
    <w:rsid w:val="002766DB"/>
    <w:rsid w:val="002818D0"/>
    <w:rsid w:val="00281CEF"/>
    <w:rsid w:val="002909E3"/>
    <w:rsid w:val="00292589"/>
    <w:rsid w:val="0029412C"/>
    <w:rsid w:val="002A57FE"/>
    <w:rsid w:val="002B73D6"/>
    <w:rsid w:val="002C0BCF"/>
    <w:rsid w:val="002D61F5"/>
    <w:rsid w:val="002D762A"/>
    <w:rsid w:val="002F1749"/>
    <w:rsid w:val="002F1B54"/>
    <w:rsid w:val="002F20C9"/>
    <w:rsid w:val="0032046D"/>
    <w:rsid w:val="003324F6"/>
    <w:rsid w:val="00335736"/>
    <w:rsid w:val="00341AB8"/>
    <w:rsid w:val="00344B26"/>
    <w:rsid w:val="00346824"/>
    <w:rsid w:val="0035798C"/>
    <w:rsid w:val="003646AF"/>
    <w:rsid w:val="00370616"/>
    <w:rsid w:val="00371B50"/>
    <w:rsid w:val="00373BA5"/>
    <w:rsid w:val="0038449B"/>
    <w:rsid w:val="003A37E8"/>
    <w:rsid w:val="003B6F84"/>
    <w:rsid w:val="003C75CD"/>
    <w:rsid w:val="003D24BB"/>
    <w:rsid w:val="003D6679"/>
    <w:rsid w:val="003E30EC"/>
    <w:rsid w:val="003F21BA"/>
    <w:rsid w:val="003F4825"/>
    <w:rsid w:val="00413A0A"/>
    <w:rsid w:val="004223DB"/>
    <w:rsid w:val="00432B70"/>
    <w:rsid w:val="00436537"/>
    <w:rsid w:val="00441EDC"/>
    <w:rsid w:val="00457E0A"/>
    <w:rsid w:val="00467055"/>
    <w:rsid w:val="00473276"/>
    <w:rsid w:val="004826EF"/>
    <w:rsid w:val="00492F98"/>
    <w:rsid w:val="004A394A"/>
    <w:rsid w:val="004B5B75"/>
    <w:rsid w:val="004D307D"/>
    <w:rsid w:val="004F6777"/>
    <w:rsid w:val="00500171"/>
    <w:rsid w:val="0050564C"/>
    <w:rsid w:val="005133F8"/>
    <w:rsid w:val="00513BF2"/>
    <w:rsid w:val="00530FEA"/>
    <w:rsid w:val="00532476"/>
    <w:rsid w:val="00534013"/>
    <w:rsid w:val="00545A94"/>
    <w:rsid w:val="00550B61"/>
    <w:rsid w:val="00552D04"/>
    <w:rsid w:val="0058000D"/>
    <w:rsid w:val="0058017E"/>
    <w:rsid w:val="00583EEF"/>
    <w:rsid w:val="005A684D"/>
    <w:rsid w:val="005B6B29"/>
    <w:rsid w:val="005C10A5"/>
    <w:rsid w:val="005C6F1C"/>
    <w:rsid w:val="005F0283"/>
    <w:rsid w:val="0063770B"/>
    <w:rsid w:val="00640E2D"/>
    <w:rsid w:val="006410AE"/>
    <w:rsid w:val="00641572"/>
    <w:rsid w:val="006761A8"/>
    <w:rsid w:val="0068148C"/>
    <w:rsid w:val="0068183F"/>
    <w:rsid w:val="00682F31"/>
    <w:rsid w:val="006842AB"/>
    <w:rsid w:val="00696E6A"/>
    <w:rsid w:val="006A4380"/>
    <w:rsid w:val="006C0843"/>
    <w:rsid w:val="006C216F"/>
    <w:rsid w:val="006C334B"/>
    <w:rsid w:val="006C5AD0"/>
    <w:rsid w:val="006E2E24"/>
    <w:rsid w:val="007033F7"/>
    <w:rsid w:val="0076408F"/>
    <w:rsid w:val="0076490E"/>
    <w:rsid w:val="0076607C"/>
    <w:rsid w:val="00767749"/>
    <w:rsid w:val="0077052F"/>
    <w:rsid w:val="00770EEA"/>
    <w:rsid w:val="0079008F"/>
    <w:rsid w:val="007A35F6"/>
    <w:rsid w:val="007B053A"/>
    <w:rsid w:val="007C5F79"/>
    <w:rsid w:val="007D16A4"/>
    <w:rsid w:val="007D2AA9"/>
    <w:rsid w:val="007E0DEE"/>
    <w:rsid w:val="007F0729"/>
    <w:rsid w:val="008053B7"/>
    <w:rsid w:val="00806371"/>
    <w:rsid w:val="008105B2"/>
    <w:rsid w:val="00811025"/>
    <w:rsid w:val="00824375"/>
    <w:rsid w:val="00824C6B"/>
    <w:rsid w:val="00825812"/>
    <w:rsid w:val="0083568C"/>
    <w:rsid w:val="008462BD"/>
    <w:rsid w:val="00853D73"/>
    <w:rsid w:val="00856B69"/>
    <w:rsid w:val="00863F77"/>
    <w:rsid w:val="00865907"/>
    <w:rsid w:val="00870C44"/>
    <w:rsid w:val="00883C0A"/>
    <w:rsid w:val="008A1C67"/>
    <w:rsid w:val="008A59F9"/>
    <w:rsid w:val="008C1347"/>
    <w:rsid w:val="008D621C"/>
    <w:rsid w:val="008E4926"/>
    <w:rsid w:val="008E7AA0"/>
    <w:rsid w:val="008F1958"/>
    <w:rsid w:val="008F4F49"/>
    <w:rsid w:val="009236BE"/>
    <w:rsid w:val="009266C9"/>
    <w:rsid w:val="009318B8"/>
    <w:rsid w:val="00946333"/>
    <w:rsid w:val="009563E8"/>
    <w:rsid w:val="00956E96"/>
    <w:rsid w:val="00964AC5"/>
    <w:rsid w:val="00993872"/>
    <w:rsid w:val="009A5026"/>
    <w:rsid w:val="009A71AA"/>
    <w:rsid w:val="009B091D"/>
    <w:rsid w:val="009C09D8"/>
    <w:rsid w:val="009C450A"/>
    <w:rsid w:val="009C7E9F"/>
    <w:rsid w:val="009E1E59"/>
    <w:rsid w:val="00A05916"/>
    <w:rsid w:val="00A071BA"/>
    <w:rsid w:val="00A11AC1"/>
    <w:rsid w:val="00A44D74"/>
    <w:rsid w:val="00A74BBC"/>
    <w:rsid w:val="00A837E0"/>
    <w:rsid w:val="00A86982"/>
    <w:rsid w:val="00AA6315"/>
    <w:rsid w:val="00AE7557"/>
    <w:rsid w:val="00B10394"/>
    <w:rsid w:val="00B13423"/>
    <w:rsid w:val="00B218CC"/>
    <w:rsid w:val="00B35B49"/>
    <w:rsid w:val="00B45256"/>
    <w:rsid w:val="00B47984"/>
    <w:rsid w:val="00B50752"/>
    <w:rsid w:val="00B534B7"/>
    <w:rsid w:val="00B53E57"/>
    <w:rsid w:val="00B775FA"/>
    <w:rsid w:val="00BA2589"/>
    <w:rsid w:val="00BE25DC"/>
    <w:rsid w:val="00BF14CF"/>
    <w:rsid w:val="00BF4CFA"/>
    <w:rsid w:val="00C252A3"/>
    <w:rsid w:val="00C31153"/>
    <w:rsid w:val="00C36CCB"/>
    <w:rsid w:val="00C51D8A"/>
    <w:rsid w:val="00C67C9D"/>
    <w:rsid w:val="00C93036"/>
    <w:rsid w:val="00C950B4"/>
    <w:rsid w:val="00CA66C6"/>
    <w:rsid w:val="00CA71B3"/>
    <w:rsid w:val="00CD3FD9"/>
    <w:rsid w:val="00CF0E45"/>
    <w:rsid w:val="00D00DC6"/>
    <w:rsid w:val="00D13FC9"/>
    <w:rsid w:val="00D17551"/>
    <w:rsid w:val="00D24340"/>
    <w:rsid w:val="00D2654F"/>
    <w:rsid w:val="00D27E92"/>
    <w:rsid w:val="00D30DD8"/>
    <w:rsid w:val="00D439C2"/>
    <w:rsid w:val="00D60EC5"/>
    <w:rsid w:val="00D732C7"/>
    <w:rsid w:val="00D875AC"/>
    <w:rsid w:val="00D9435D"/>
    <w:rsid w:val="00D9513D"/>
    <w:rsid w:val="00D9563B"/>
    <w:rsid w:val="00DC5960"/>
    <w:rsid w:val="00DC6E47"/>
    <w:rsid w:val="00DD392C"/>
    <w:rsid w:val="00DF5F2B"/>
    <w:rsid w:val="00DF6833"/>
    <w:rsid w:val="00E11B99"/>
    <w:rsid w:val="00E164ED"/>
    <w:rsid w:val="00E1686A"/>
    <w:rsid w:val="00E22290"/>
    <w:rsid w:val="00E30BC9"/>
    <w:rsid w:val="00E37109"/>
    <w:rsid w:val="00E7073D"/>
    <w:rsid w:val="00E755BF"/>
    <w:rsid w:val="00E86411"/>
    <w:rsid w:val="00E87908"/>
    <w:rsid w:val="00EC5704"/>
    <w:rsid w:val="00EF1751"/>
    <w:rsid w:val="00F13FB4"/>
    <w:rsid w:val="00F22A26"/>
    <w:rsid w:val="00F2563B"/>
    <w:rsid w:val="00F33B83"/>
    <w:rsid w:val="00F428FC"/>
    <w:rsid w:val="00F577A7"/>
    <w:rsid w:val="00F63D60"/>
    <w:rsid w:val="00F81B65"/>
    <w:rsid w:val="00F85BA5"/>
    <w:rsid w:val="00FB4CDE"/>
    <w:rsid w:val="00FD688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3F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semiHidden/>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semiHidden/>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2766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66DB"/>
    <w:rPr>
      <w:sz w:val="20"/>
      <w:szCs w:val="20"/>
    </w:rPr>
  </w:style>
  <w:style w:type="character" w:styleId="FootnoteReference">
    <w:name w:val="footnote reference"/>
    <w:basedOn w:val="DefaultParagraphFont"/>
    <w:uiPriority w:val="99"/>
    <w:semiHidden/>
    <w:unhideWhenUsed/>
    <w:rsid w:val="002766DB"/>
    <w:rPr>
      <w:vertAlign w:val="superscript"/>
    </w:rPr>
  </w:style>
  <w:style w:type="paragraph" w:styleId="Caption">
    <w:name w:val="caption"/>
    <w:basedOn w:val="Normal"/>
    <w:next w:val="Normal"/>
    <w:uiPriority w:val="35"/>
    <w:unhideWhenUsed/>
    <w:qFormat/>
    <w:rsid w:val="00C51D8A"/>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semiHidden/>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semiHidden/>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2766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66DB"/>
    <w:rPr>
      <w:sz w:val="20"/>
      <w:szCs w:val="20"/>
    </w:rPr>
  </w:style>
  <w:style w:type="character" w:styleId="FootnoteReference">
    <w:name w:val="footnote reference"/>
    <w:basedOn w:val="DefaultParagraphFont"/>
    <w:uiPriority w:val="99"/>
    <w:semiHidden/>
    <w:unhideWhenUsed/>
    <w:rsid w:val="002766DB"/>
    <w:rPr>
      <w:vertAlign w:val="superscript"/>
    </w:rPr>
  </w:style>
  <w:style w:type="paragraph" w:styleId="Caption">
    <w:name w:val="caption"/>
    <w:basedOn w:val="Normal"/>
    <w:next w:val="Normal"/>
    <w:uiPriority w:val="35"/>
    <w:unhideWhenUsed/>
    <w:qFormat/>
    <w:rsid w:val="00C51D8A"/>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971470">
      <w:bodyDiv w:val="1"/>
      <w:marLeft w:val="0"/>
      <w:marRight w:val="0"/>
      <w:marTop w:val="0"/>
      <w:marBottom w:val="0"/>
      <w:divBdr>
        <w:top w:val="none" w:sz="0" w:space="0" w:color="auto"/>
        <w:left w:val="none" w:sz="0" w:space="0" w:color="auto"/>
        <w:bottom w:val="none" w:sz="0" w:space="0" w:color="auto"/>
        <w:right w:val="none" w:sz="0" w:space="0" w:color="auto"/>
      </w:divBdr>
      <w:divsChild>
        <w:div w:id="1290817122">
          <w:marLeft w:val="806"/>
          <w:marRight w:val="0"/>
          <w:marTop w:val="86"/>
          <w:marBottom w:val="0"/>
          <w:divBdr>
            <w:top w:val="none" w:sz="0" w:space="0" w:color="auto"/>
            <w:left w:val="none" w:sz="0" w:space="0" w:color="auto"/>
            <w:bottom w:val="none" w:sz="0" w:space="0" w:color="auto"/>
            <w:right w:val="none" w:sz="0" w:space="0" w:color="auto"/>
          </w:divBdr>
        </w:div>
      </w:divsChild>
    </w:div>
    <w:div w:id="675498362">
      <w:bodyDiv w:val="1"/>
      <w:marLeft w:val="0"/>
      <w:marRight w:val="0"/>
      <w:marTop w:val="0"/>
      <w:marBottom w:val="0"/>
      <w:divBdr>
        <w:top w:val="none" w:sz="0" w:space="0" w:color="auto"/>
        <w:left w:val="none" w:sz="0" w:space="0" w:color="auto"/>
        <w:bottom w:val="none" w:sz="0" w:space="0" w:color="auto"/>
        <w:right w:val="none" w:sz="0" w:space="0" w:color="auto"/>
      </w:divBdr>
      <w:divsChild>
        <w:div w:id="1681589683">
          <w:marLeft w:val="806"/>
          <w:marRight w:val="0"/>
          <w:marTop w:val="72"/>
          <w:marBottom w:val="0"/>
          <w:divBdr>
            <w:top w:val="none" w:sz="0" w:space="0" w:color="auto"/>
            <w:left w:val="none" w:sz="0" w:space="0" w:color="auto"/>
            <w:bottom w:val="none" w:sz="0" w:space="0" w:color="auto"/>
            <w:right w:val="none" w:sz="0" w:space="0" w:color="auto"/>
          </w:divBdr>
        </w:div>
      </w:divsChild>
    </w:div>
    <w:div w:id="794712550">
      <w:bodyDiv w:val="1"/>
      <w:marLeft w:val="0"/>
      <w:marRight w:val="0"/>
      <w:marTop w:val="0"/>
      <w:marBottom w:val="0"/>
      <w:divBdr>
        <w:top w:val="none" w:sz="0" w:space="0" w:color="auto"/>
        <w:left w:val="none" w:sz="0" w:space="0" w:color="auto"/>
        <w:bottom w:val="none" w:sz="0" w:space="0" w:color="auto"/>
        <w:right w:val="none" w:sz="0" w:space="0" w:color="auto"/>
      </w:divBdr>
      <w:divsChild>
        <w:div w:id="537400086">
          <w:marLeft w:val="806"/>
          <w:marRight w:val="0"/>
          <w:marTop w:val="72"/>
          <w:marBottom w:val="0"/>
          <w:divBdr>
            <w:top w:val="none" w:sz="0" w:space="0" w:color="auto"/>
            <w:left w:val="none" w:sz="0" w:space="0" w:color="auto"/>
            <w:bottom w:val="none" w:sz="0" w:space="0" w:color="auto"/>
            <w:right w:val="none" w:sz="0" w:space="0" w:color="auto"/>
          </w:divBdr>
        </w:div>
        <w:div w:id="1137256038">
          <w:marLeft w:val="1440"/>
          <w:marRight w:val="0"/>
          <w:marTop w:val="67"/>
          <w:marBottom w:val="0"/>
          <w:divBdr>
            <w:top w:val="none" w:sz="0" w:space="0" w:color="auto"/>
            <w:left w:val="none" w:sz="0" w:space="0" w:color="auto"/>
            <w:bottom w:val="none" w:sz="0" w:space="0" w:color="auto"/>
            <w:right w:val="none" w:sz="0" w:space="0" w:color="auto"/>
          </w:divBdr>
        </w:div>
        <w:div w:id="1796099052">
          <w:marLeft w:val="1440"/>
          <w:marRight w:val="0"/>
          <w:marTop w:val="67"/>
          <w:marBottom w:val="0"/>
          <w:divBdr>
            <w:top w:val="none" w:sz="0" w:space="0" w:color="auto"/>
            <w:left w:val="none" w:sz="0" w:space="0" w:color="auto"/>
            <w:bottom w:val="none" w:sz="0" w:space="0" w:color="auto"/>
            <w:right w:val="none" w:sz="0" w:space="0" w:color="auto"/>
          </w:divBdr>
        </w:div>
        <w:div w:id="1356351019">
          <w:marLeft w:val="806"/>
          <w:marRight w:val="0"/>
          <w:marTop w:val="72"/>
          <w:marBottom w:val="0"/>
          <w:divBdr>
            <w:top w:val="none" w:sz="0" w:space="0" w:color="auto"/>
            <w:left w:val="none" w:sz="0" w:space="0" w:color="auto"/>
            <w:bottom w:val="none" w:sz="0" w:space="0" w:color="auto"/>
            <w:right w:val="none" w:sz="0" w:space="0" w:color="auto"/>
          </w:divBdr>
        </w:div>
        <w:div w:id="1819572505">
          <w:marLeft w:val="1440"/>
          <w:marRight w:val="0"/>
          <w:marTop w:val="67"/>
          <w:marBottom w:val="0"/>
          <w:divBdr>
            <w:top w:val="none" w:sz="0" w:space="0" w:color="auto"/>
            <w:left w:val="none" w:sz="0" w:space="0" w:color="auto"/>
            <w:bottom w:val="none" w:sz="0" w:space="0" w:color="auto"/>
            <w:right w:val="none" w:sz="0" w:space="0" w:color="auto"/>
          </w:divBdr>
        </w:div>
        <w:div w:id="67962385">
          <w:marLeft w:val="1440"/>
          <w:marRight w:val="0"/>
          <w:marTop w:val="67"/>
          <w:marBottom w:val="0"/>
          <w:divBdr>
            <w:top w:val="none" w:sz="0" w:space="0" w:color="auto"/>
            <w:left w:val="none" w:sz="0" w:space="0" w:color="auto"/>
            <w:bottom w:val="none" w:sz="0" w:space="0" w:color="auto"/>
            <w:right w:val="none" w:sz="0" w:space="0" w:color="auto"/>
          </w:divBdr>
        </w:div>
        <w:div w:id="170728940">
          <w:marLeft w:val="1440"/>
          <w:marRight w:val="0"/>
          <w:marTop w:val="67"/>
          <w:marBottom w:val="0"/>
          <w:divBdr>
            <w:top w:val="none" w:sz="0" w:space="0" w:color="auto"/>
            <w:left w:val="none" w:sz="0" w:space="0" w:color="auto"/>
            <w:bottom w:val="none" w:sz="0" w:space="0" w:color="auto"/>
            <w:right w:val="none" w:sz="0" w:space="0" w:color="auto"/>
          </w:divBdr>
        </w:div>
        <w:div w:id="1991013543">
          <w:marLeft w:val="806"/>
          <w:marRight w:val="0"/>
          <w:marTop w:val="72"/>
          <w:marBottom w:val="0"/>
          <w:divBdr>
            <w:top w:val="none" w:sz="0" w:space="0" w:color="auto"/>
            <w:left w:val="none" w:sz="0" w:space="0" w:color="auto"/>
            <w:bottom w:val="none" w:sz="0" w:space="0" w:color="auto"/>
            <w:right w:val="none" w:sz="0" w:space="0" w:color="auto"/>
          </w:divBdr>
        </w:div>
        <w:div w:id="1708874776">
          <w:marLeft w:val="1166"/>
          <w:marRight w:val="0"/>
          <w:marTop w:val="58"/>
          <w:marBottom w:val="0"/>
          <w:divBdr>
            <w:top w:val="none" w:sz="0" w:space="0" w:color="auto"/>
            <w:left w:val="none" w:sz="0" w:space="0" w:color="auto"/>
            <w:bottom w:val="none" w:sz="0" w:space="0" w:color="auto"/>
            <w:right w:val="none" w:sz="0" w:space="0" w:color="auto"/>
          </w:divBdr>
        </w:div>
        <w:div w:id="422722681">
          <w:marLeft w:val="1800"/>
          <w:marRight w:val="0"/>
          <w:marTop w:val="48"/>
          <w:marBottom w:val="0"/>
          <w:divBdr>
            <w:top w:val="none" w:sz="0" w:space="0" w:color="auto"/>
            <w:left w:val="none" w:sz="0" w:space="0" w:color="auto"/>
            <w:bottom w:val="none" w:sz="0" w:space="0" w:color="auto"/>
            <w:right w:val="none" w:sz="0" w:space="0" w:color="auto"/>
          </w:divBdr>
        </w:div>
        <w:div w:id="656344529">
          <w:marLeft w:val="1800"/>
          <w:marRight w:val="0"/>
          <w:marTop w:val="48"/>
          <w:marBottom w:val="0"/>
          <w:divBdr>
            <w:top w:val="none" w:sz="0" w:space="0" w:color="auto"/>
            <w:left w:val="none" w:sz="0" w:space="0" w:color="auto"/>
            <w:bottom w:val="none" w:sz="0" w:space="0" w:color="auto"/>
            <w:right w:val="none" w:sz="0" w:space="0" w:color="auto"/>
          </w:divBdr>
        </w:div>
        <w:div w:id="1544249065">
          <w:marLeft w:val="1440"/>
          <w:marRight w:val="0"/>
          <w:marTop w:val="67"/>
          <w:marBottom w:val="0"/>
          <w:divBdr>
            <w:top w:val="none" w:sz="0" w:space="0" w:color="auto"/>
            <w:left w:val="none" w:sz="0" w:space="0" w:color="auto"/>
            <w:bottom w:val="none" w:sz="0" w:space="0" w:color="auto"/>
            <w:right w:val="none" w:sz="0" w:space="0" w:color="auto"/>
          </w:divBdr>
        </w:div>
        <w:div w:id="903029954">
          <w:marLeft w:val="1440"/>
          <w:marRight w:val="0"/>
          <w:marTop w:val="67"/>
          <w:marBottom w:val="0"/>
          <w:divBdr>
            <w:top w:val="none" w:sz="0" w:space="0" w:color="auto"/>
            <w:left w:val="none" w:sz="0" w:space="0" w:color="auto"/>
            <w:bottom w:val="none" w:sz="0" w:space="0" w:color="auto"/>
            <w:right w:val="none" w:sz="0" w:space="0" w:color="auto"/>
          </w:divBdr>
        </w:div>
        <w:div w:id="1098331056">
          <w:marLeft w:val="1440"/>
          <w:marRight w:val="0"/>
          <w:marTop w:val="67"/>
          <w:marBottom w:val="0"/>
          <w:divBdr>
            <w:top w:val="none" w:sz="0" w:space="0" w:color="auto"/>
            <w:left w:val="none" w:sz="0" w:space="0" w:color="auto"/>
            <w:bottom w:val="none" w:sz="0" w:space="0" w:color="auto"/>
            <w:right w:val="none" w:sz="0" w:space="0" w:color="auto"/>
          </w:divBdr>
        </w:div>
        <w:div w:id="1718311960">
          <w:marLeft w:val="1440"/>
          <w:marRight w:val="0"/>
          <w:marTop w:val="67"/>
          <w:marBottom w:val="0"/>
          <w:divBdr>
            <w:top w:val="none" w:sz="0" w:space="0" w:color="auto"/>
            <w:left w:val="none" w:sz="0" w:space="0" w:color="auto"/>
            <w:bottom w:val="none" w:sz="0" w:space="0" w:color="auto"/>
            <w:right w:val="none" w:sz="0" w:space="0" w:color="auto"/>
          </w:divBdr>
        </w:div>
      </w:divsChild>
    </w:div>
    <w:div w:id="814184859">
      <w:bodyDiv w:val="1"/>
      <w:marLeft w:val="0"/>
      <w:marRight w:val="0"/>
      <w:marTop w:val="0"/>
      <w:marBottom w:val="0"/>
      <w:divBdr>
        <w:top w:val="none" w:sz="0" w:space="0" w:color="auto"/>
        <w:left w:val="none" w:sz="0" w:space="0" w:color="auto"/>
        <w:bottom w:val="none" w:sz="0" w:space="0" w:color="auto"/>
        <w:right w:val="none" w:sz="0" w:space="0" w:color="auto"/>
      </w:divBdr>
    </w:div>
    <w:div w:id="913247913">
      <w:bodyDiv w:val="1"/>
      <w:marLeft w:val="0"/>
      <w:marRight w:val="0"/>
      <w:marTop w:val="0"/>
      <w:marBottom w:val="0"/>
      <w:divBdr>
        <w:top w:val="none" w:sz="0" w:space="0" w:color="auto"/>
        <w:left w:val="none" w:sz="0" w:space="0" w:color="auto"/>
        <w:bottom w:val="none" w:sz="0" w:space="0" w:color="auto"/>
        <w:right w:val="none" w:sz="0" w:space="0" w:color="auto"/>
      </w:divBdr>
    </w:div>
    <w:div w:id="933973919">
      <w:bodyDiv w:val="1"/>
      <w:marLeft w:val="0"/>
      <w:marRight w:val="0"/>
      <w:marTop w:val="0"/>
      <w:marBottom w:val="0"/>
      <w:divBdr>
        <w:top w:val="none" w:sz="0" w:space="0" w:color="auto"/>
        <w:left w:val="none" w:sz="0" w:space="0" w:color="auto"/>
        <w:bottom w:val="none" w:sz="0" w:space="0" w:color="auto"/>
        <w:right w:val="none" w:sz="0" w:space="0" w:color="auto"/>
      </w:divBdr>
    </w:div>
    <w:div w:id="1025712083">
      <w:bodyDiv w:val="1"/>
      <w:marLeft w:val="0"/>
      <w:marRight w:val="0"/>
      <w:marTop w:val="0"/>
      <w:marBottom w:val="0"/>
      <w:divBdr>
        <w:top w:val="none" w:sz="0" w:space="0" w:color="auto"/>
        <w:left w:val="none" w:sz="0" w:space="0" w:color="auto"/>
        <w:bottom w:val="none" w:sz="0" w:space="0" w:color="auto"/>
        <w:right w:val="none" w:sz="0" w:space="0" w:color="auto"/>
      </w:divBdr>
    </w:div>
    <w:div w:id="1033070693">
      <w:bodyDiv w:val="1"/>
      <w:marLeft w:val="0"/>
      <w:marRight w:val="0"/>
      <w:marTop w:val="0"/>
      <w:marBottom w:val="0"/>
      <w:divBdr>
        <w:top w:val="none" w:sz="0" w:space="0" w:color="auto"/>
        <w:left w:val="none" w:sz="0" w:space="0" w:color="auto"/>
        <w:bottom w:val="none" w:sz="0" w:space="0" w:color="auto"/>
        <w:right w:val="none" w:sz="0" w:space="0" w:color="auto"/>
      </w:divBdr>
    </w:div>
    <w:div w:id="1199659044">
      <w:bodyDiv w:val="1"/>
      <w:marLeft w:val="0"/>
      <w:marRight w:val="0"/>
      <w:marTop w:val="0"/>
      <w:marBottom w:val="0"/>
      <w:divBdr>
        <w:top w:val="none" w:sz="0" w:space="0" w:color="auto"/>
        <w:left w:val="none" w:sz="0" w:space="0" w:color="auto"/>
        <w:bottom w:val="none" w:sz="0" w:space="0" w:color="auto"/>
        <w:right w:val="none" w:sz="0" w:space="0" w:color="auto"/>
      </w:divBdr>
      <w:divsChild>
        <w:div w:id="1955867629">
          <w:marLeft w:val="806"/>
          <w:marRight w:val="0"/>
          <w:marTop w:val="86"/>
          <w:marBottom w:val="0"/>
          <w:divBdr>
            <w:top w:val="none" w:sz="0" w:space="0" w:color="auto"/>
            <w:left w:val="none" w:sz="0" w:space="0" w:color="auto"/>
            <w:bottom w:val="none" w:sz="0" w:space="0" w:color="auto"/>
            <w:right w:val="none" w:sz="0" w:space="0" w:color="auto"/>
          </w:divBdr>
        </w:div>
      </w:divsChild>
    </w:div>
    <w:div w:id="1262033174">
      <w:bodyDiv w:val="1"/>
      <w:marLeft w:val="0"/>
      <w:marRight w:val="0"/>
      <w:marTop w:val="0"/>
      <w:marBottom w:val="0"/>
      <w:divBdr>
        <w:top w:val="none" w:sz="0" w:space="0" w:color="auto"/>
        <w:left w:val="none" w:sz="0" w:space="0" w:color="auto"/>
        <w:bottom w:val="none" w:sz="0" w:space="0" w:color="auto"/>
        <w:right w:val="none" w:sz="0" w:space="0" w:color="auto"/>
      </w:divBdr>
      <w:divsChild>
        <w:div w:id="1593852598">
          <w:marLeft w:val="806"/>
          <w:marRight w:val="0"/>
          <w:marTop w:val="86"/>
          <w:marBottom w:val="0"/>
          <w:divBdr>
            <w:top w:val="none" w:sz="0" w:space="0" w:color="auto"/>
            <w:left w:val="none" w:sz="0" w:space="0" w:color="auto"/>
            <w:bottom w:val="none" w:sz="0" w:space="0" w:color="auto"/>
            <w:right w:val="none" w:sz="0" w:space="0" w:color="auto"/>
          </w:divBdr>
        </w:div>
      </w:divsChild>
    </w:div>
    <w:div w:id="1647929035">
      <w:bodyDiv w:val="1"/>
      <w:marLeft w:val="0"/>
      <w:marRight w:val="0"/>
      <w:marTop w:val="0"/>
      <w:marBottom w:val="0"/>
      <w:divBdr>
        <w:top w:val="none" w:sz="0" w:space="0" w:color="auto"/>
        <w:left w:val="none" w:sz="0" w:space="0" w:color="auto"/>
        <w:bottom w:val="none" w:sz="0" w:space="0" w:color="auto"/>
        <w:right w:val="none" w:sz="0" w:space="0" w:color="auto"/>
      </w:divBdr>
      <w:divsChild>
        <w:div w:id="2050450190">
          <w:marLeft w:val="806"/>
          <w:marRight w:val="0"/>
          <w:marTop w:val="86"/>
          <w:marBottom w:val="0"/>
          <w:divBdr>
            <w:top w:val="none" w:sz="0" w:space="0" w:color="auto"/>
            <w:left w:val="none" w:sz="0" w:space="0" w:color="auto"/>
            <w:bottom w:val="none" w:sz="0" w:space="0" w:color="auto"/>
            <w:right w:val="none" w:sz="0" w:space="0" w:color="auto"/>
          </w:divBdr>
        </w:div>
        <w:div w:id="711423899">
          <w:marLeft w:val="1440"/>
          <w:marRight w:val="0"/>
          <w:marTop w:val="72"/>
          <w:marBottom w:val="0"/>
          <w:divBdr>
            <w:top w:val="none" w:sz="0" w:space="0" w:color="auto"/>
            <w:left w:val="none" w:sz="0" w:space="0" w:color="auto"/>
            <w:bottom w:val="none" w:sz="0" w:space="0" w:color="auto"/>
            <w:right w:val="none" w:sz="0" w:space="0" w:color="auto"/>
          </w:divBdr>
        </w:div>
        <w:div w:id="249778000">
          <w:marLeft w:val="1440"/>
          <w:marRight w:val="0"/>
          <w:marTop w:val="72"/>
          <w:marBottom w:val="0"/>
          <w:divBdr>
            <w:top w:val="none" w:sz="0" w:space="0" w:color="auto"/>
            <w:left w:val="none" w:sz="0" w:space="0" w:color="auto"/>
            <w:bottom w:val="none" w:sz="0" w:space="0" w:color="auto"/>
            <w:right w:val="none" w:sz="0" w:space="0" w:color="auto"/>
          </w:divBdr>
        </w:div>
        <w:div w:id="640765785">
          <w:marLeft w:val="1440"/>
          <w:marRight w:val="0"/>
          <w:marTop w:val="72"/>
          <w:marBottom w:val="0"/>
          <w:divBdr>
            <w:top w:val="none" w:sz="0" w:space="0" w:color="auto"/>
            <w:left w:val="none" w:sz="0" w:space="0" w:color="auto"/>
            <w:bottom w:val="none" w:sz="0" w:space="0" w:color="auto"/>
            <w:right w:val="none" w:sz="0" w:space="0" w:color="auto"/>
          </w:divBdr>
        </w:div>
        <w:div w:id="805007211">
          <w:marLeft w:val="1440"/>
          <w:marRight w:val="0"/>
          <w:marTop w:val="72"/>
          <w:marBottom w:val="0"/>
          <w:divBdr>
            <w:top w:val="none" w:sz="0" w:space="0" w:color="auto"/>
            <w:left w:val="none" w:sz="0" w:space="0" w:color="auto"/>
            <w:bottom w:val="none" w:sz="0" w:space="0" w:color="auto"/>
            <w:right w:val="none" w:sz="0" w:space="0" w:color="auto"/>
          </w:divBdr>
        </w:div>
        <w:div w:id="1580023067">
          <w:marLeft w:val="806"/>
          <w:marRight w:val="0"/>
          <w:marTop w:val="86"/>
          <w:marBottom w:val="0"/>
          <w:divBdr>
            <w:top w:val="none" w:sz="0" w:space="0" w:color="auto"/>
            <w:left w:val="none" w:sz="0" w:space="0" w:color="auto"/>
            <w:bottom w:val="none" w:sz="0" w:space="0" w:color="auto"/>
            <w:right w:val="none" w:sz="0" w:space="0" w:color="auto"/>
          </w:divBdr>
        </w:div>
        <w:div w:id="1315992192">
          <w:marLeft w:val="1440"/>
          <w:marRight w:val="0"/>
          <w:marTop w:val="72"/>
          <w:marBottom w:val="0"/>
          <w:divBdr>
            <w:top w:val="none" w:sz="0" w:space="0" w:color="auto"/>
            <w:left w:val="none" w:sz="0" w:space="0" w:color="auto"/>
            <w:bottom w:val="none" w:sz="0" w:space="0" w:color="auto"/>
            <w:right w:val="none" w:sz="0" w:space="0" w:color="auto"/>
          </w:divBdr>
        </w:div>
        <w:div w:id="1248463691">
          <w:marLeft w:val="1440"/>
          <w:marRight w:val="0"/>
          <w:marTop w:val="72"/>
          <w:marBottom w:val="0"/>
          <w:divBdr>
            <w:top w:val="none" w:sz="0" w:space="0" w:color="auto"/>
            <w:left w:val="none" w:sz="0" w:space="0" w:color="auto"/>
            <w:bottom w:val="none" w:sz="0" w:space="0" w:color="auto"/>
            <w:right w:val="none" w:sz="0" w:space="0" w:color="auto"/>
          </w:divBdr>
        </w:div>
        <w:div w:id="1695112895">
          <w:marLeft w:val="806"/>
          <w:marRight w:val="0"/>
          <w:marTop w:val="86"/>
          <w:marBottom w:val="0"/>
          <w:divBdr>
            <w:top w:val="none" w:sz="0" w:space="0" w:color="auto"/>
            <w:left w:val="none" w:sz="0" w:space="0" w:color="auto"/>
            <w:bottom w:val="none" w:sz="0" w:space="0" w:color="auto"/>
            <w:right w:val="none" w:sz="0" w:space="0" w:color="auto"/>
          </w:divBdr>
        </w:div>
        <w:div w:id="1560943314">
          <w:marLeft w:val="1440"/>
          <w:marRight w:val="0"/>
          <w:marTop w:val="72"/>
          <w:marBottom w:val="0"/>
          <w:divBdr>
            <w:top w:val="none" w:sz="0" w:space="0" w:color="auto"/>
            <w:left w:val="none" w:sz="0" w:space="0" w:color="auto"/>
            <w:bottom w:val="none" w:sz="0" w:space="0" w:color="auto"/>
            <w:right w:val="none" w:sz="0" w:space="0" w:color="auto"/>
          </w:divBdr>
        </w:div>
        <w:div w:id="59450289">
          <w:marLeft w:val="1440"/>
          <w:marRight w:val="0"/>
          <w:marTop w:val="72"/>
          <w:marBottom w:val="0"/>
          <w:divBdr>
            <w:top w:val="none" w:sz="0" w:space="0" w:color="auto"/>
            <w:left w:val="none" w:sz="0" w:space="0" w:color="auto"/>
            <w:bottom w:val="none" w:sz="0" w:space="0" w:color="auto"/>
            <w:right w:val="none" w:sz="0" w:space="0" w:color="auto"/>
          </w:divBdr>
        </w:div>
      </w:divsChild>
    </w:div>
    <w:div w:id="1724794187">
      <w:bodyDiv w:val="1"/>
      <w:marLeft w:val="0"/>
      <w:marRight w:val="0"/>
      <w:marTop w:val="0"/>
      <w:marBottom w:val="0"/>
      <w:divBdr>
        <w:top w:val="none" w:sz="0" w:space="0" w:color="auto"/>
        <w:left w:val="none" w:sz="0" w:space="0" w:color="auto"/>
        <w:bottom w:val="none" w:sz="0" w:space="0" w:color="auto"/>
        <w:right w:val="none" w:sz="0" w:space="0" w:color="auto"/>
      </w:divBdr>
    </w:div>
    <w:div w:id="1829439182">
      <w:bodyDiv w:val="1"/>
      <w:marLeft w:val="0"/>
      <w:marRight w:val="0"/>
      <w:marTop w:val="0"/>
      <w:marBottom w:val="0"/>
      <w:divBdr>
        <w:top w:val="none" w:sz="0" w:space="0" w:color="auto"/>
        <w:left w:val="none" w:sz="0" w:space="0" w:color="auto"/>
        <w:bottom w:val="none" w:sz="0" w:space="0" w:color="auto"/>
        <w:right w:val="none" w:sz="0" w:space="0" w:color="auto"/>
      </w:divBdr>
    </w:div>
    <w:div w:id="1868442160">
      <w:bodyDiv w:val="1"/>
      <w:marLeft w:val="0"/>
      <w:marRight w:val="0"/>
      <w:marTop w:val="0"/>
      <w:marBottom w:val="0"/>
      <w:divBdr>
        <w:top w:val="none" w:sz="0" w:space="0" w:color="auto"/>
        <w:left w:val="none" w:sz="0" w:space="0" w:color="auto"/>
        <w:bottom w:val="none" w:sz="0" w:space="0" w:color="auto"/>
        <w:right w:val="none" w:sz="0" w:space="0" w:color="auto"/>
      </w:divBdr>
    </w:div>
    <w:div w:id="201787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23" Type="http://schemas.microsoft.com/office/2011/relationships/people" Target="people.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22"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FAB46DEA-4665-4034-8F95-66ED1512C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1133</Words>
  <Characters>6459</Characters>
  <Application>Microsoft Office Word</Application>
  <DocSecurity>0</DocSecurity>
  <Lines>53</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World Health Organization</Company>
  <LinksUpToDate>false</LinksUpToDate>
  <CharactersWithSpaces>7577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SENOUCI, Kamel</dc:creator>
  <cp:lastModifiedBy>Majumder, Anwesha</cp:lastModifiedBy>
  <cp:revision>2</cp:revision>
  <cp:lastPrinted>2016-06-28T06:36:00Z</cp:lastPrinted>
  <dcterms:created xsi:type="dcterms:W3CDTF">2016-08-25T11:16:00Z</dcterms:created>
  <dcterms:modified xsi:type="dcterms:W3CDTF">2016-08-25T11:16:00Z</dcterms:modified>
</cp:coreProperties>
</file>