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E456D" w14:textId="77777777" w:rsidR="001E1094" w:rsidRDefault="001E1094" w:rsidP="001E1094">
      <w:pPr>
        <w:jc w:val="center"/>
        <w:rPr>
          <w:b/>
          <w:sz w:val="40"/>
          <w:szCs w:val="40"/>
        </w:rPr>
      </w:pPr>
      <w:r>
        <w:rPr>
          <w:b/>
          <w:sz w:val="40"/>
          <w:szCs w:val="40"/>
        </w:rPr>
        <w:t>Global Vaccine Action Plan</w:t>
      </w:r>
    </w:p>
    <w:p w14:paraId="01DA57D2" w14:textId="77777777" w:rsidR="001E1094" w:rsidRDefault="001E1094" w:rsidP="001E1094">
      <w:pPr>
        <w:jc w:val="center"/>
        <w:rPr>
          <w:i/>
          <w:sz w:val="40"/>
          <w:szCs w:val="40"/>
        </w:rPr>
      </w:pPr>
      <w:r>
        <w:rPr>
          <w:i/>
          <w:sz w:val="40"/>
          <w:szCs w:val="40"/>
        </w:rPr>
        <w:t>Secretariat Annual Report 2016</w:t>
      </w:r>
    </w:p>
    <w:p w14:paraId="3067B216" w14:textId="77777777" w:rsidR="001E1094" w:rsidRDefault="001E1094" w:rsidP="001E1094">
      <w:pPr>
        <w:jc w:val="center"/>
        <w:rPr>
          <w:i/>
          <w:sz w:val="40"/>
          <w:szCs w:val="40"/>
        </w:rPr>
      </w:pPr>
      <w:r>
        <w:rPr>
          <w:i/>
          <w:sz w:val="40"/>
          <w:szCs w:val="40"/>
        </w:rPr>
        <w:t xml:space="preserve">Priority Country report on progress towards </w:t>
      </w:r>
    </w:p>
    <w:p w14:paraId="1527C293" w14:textId="77777777" w:rsidR="001E1094" w:rsidRDefault="001E1094" w:rsidP="001E1094">
      <w:pPr>
        <w:jc w:val="center"/>
        <w:rPr>
          <w:i/>
          <w:sz w:val="40"/>
          <w:szCs w:val="40"/>
        </w:rPr>
      </w:pPr>
      <w:r>
        <w:rPr>
          <w:i/>
          <w:sz w:val="40"/>
          <w:szCs w:val="40"/>
        </w:rPr>
        <w:t xml:space="preserve">GVAP-RVAP goals </w:t>
      </w:r>
    </w:p>
    <w:p w14:paraId="31603DF2" w14:textId="77777777" w:rsidR="001E1094" w:rsidRDefault="001E1094" w:rsidP="001E1094">
      <w:pPr>
        <w:jc w:val="center"/>
        <w:rPr>
          <w:rFonts w:ascii="Arial" w:hAnsi="Arial"/>
          <w:b/>
          <w:sz w:val="32"/>
        </w:rPr>
      </w:pPr>
    </w:p>
    <w:p w14:paraId="54353DC3" w14:textId="6FB17780" w:rsidR="001E1094" w:rsidRDefault="001E1094" w:rsidP="001E1094">
      <w:pPr>
        <w:jc w:val="center"/>
        <w:rPr>
          <w:rFonts w:ascii="Arial" w:hAnsi="Arial"/>
          <w:b/>
          <w:sz w:val="36"/>
        </w:rPr>
      </w:pPr>
      <w:r>
        <w:rPr>
          <w:rFonts w:ascii="Arial" w:hAnsi="Arial"/>
          <w:b/>
          <w:sz w:val="36"/>
        </w:rPr>
        <w:t>DEMOCRATIC REPUBLIC OF CONGO</w:t>
      </w:r>
    </w:p>
    <w:p w14:paraId="06425866" w14:textId="77777777" w:rsidR="001E1094" w:rsidRDefault="001E1094" w:rsidP="001E1094">
      <w:pPr>
        <w:jc w:val="center"/>
        <w:rPr>
          <w:rFonts w:ascii="Arial" w:hAnsi="Arial"/>
          <w:b/>
          <w:sz w:val="36"/>
        </w:rPr>
      </w:pPr>
    </w:p>
    <w:p w14:paraId="491E978F" w14:textId="448C3F60" w:rsidR="00457E0A" w:rsidRPr="00EE765D" w:rsidRDefault="00457E0A" w:rsidP="00EE765D">
      <w:pPr>
        <w:pStyle w:val="ListParagraph"/>
        <w:numPr>
          <w:ilvl w:val="0"/>
          <w:numId w:val="3"/>
        </w:numPr>
        <w:contextualSpacing w:val="0"/>
        <w:rPr>
          <w:rFonts w:ascii="Arial" w:hAnsi="Arial" w:cs="Arial"/>
          <w:b/>
          <w:sz w:val="26"/>
          <w:szCs w:val="26"/>
        </w:rPr>
      </w:pPr>
      <w:r w:rsidRPr="00527C9D">
        <w:rPr>
          <w:rFonts w:ascii="Arial" w:hAnsi="Arial" w:cs="Arial"/>
          <w:b/>
          <w:sz w:val="26"/>
          <w:szCs w:val="26"/>
        </w:rPr>
        <w:t xml:space="preserve">Progress towards achievement of GVAP goals </w:t>
      </w:r>
    </w:p>
    <w:p w14:paraId="35A92CE8" w14:textId="77777777" w:rsidR="00163179" w:rsidRPr="00527C9D" w:rsidRDefault="00C67C9D" w:rsidP="00163179">
      <w:pPr>
        <w:pStyle w:val="ListParagraph"/>
        <w:numPr>
          <w:ilvl w:val="0"/>
          <w:numId w:val="1"/>
        </w:numPr>
        <w:rPr>
          <w:rFonts w:ascii="Arial" w:hAnsi="Arial" w:cs="Arial"/>
          <w:b/>
          <w:sz w:val="24"/>
          <w:szCs w:val="24"/>
        </w:rPr>
      </w:pPr>
      <w:r w:rsidRPr="00527C9D">
        <w:rPr>
          <w:rFonts w:ascii="Arial" w:hAnsi="Arial" w:cs="Arial"/>
          <w:b/>
          <w:sz w:val="24"/>
          <w:szCs w:val="24"/>
        </w:rPr>
        <w:t xml:space="preserve">Summary </w:t>
      </w:r>
    </w:p>
    <w:p w14:paraId="362C7F99" w14:textId="77777777" w:rsidR="00BA2589" w:rsidRDefault="00BA2589" w:rsidP="00696E6A">
      <w:pPr>
        <w:rPr>
          <w:rFonts w:ascii="Arial" w:hAnsi="Arial" w:cs="Arial"/>
        </w:rPr>
      </w:pPr>
      <w:r w:rsidRPr="0000352E">
        <w:rPr>
          <w:rFonts w:ascii="Arial" w:hAnsi="Arial" w:cs="Arial"/>
        </w:rPr>
        <w:t xml:space="preserve">This </w:t>
      </w:r>
      <w:r w:rsidR="006C334B">
        <w:rPr>
          <w:rFonts w:ascii="Arial" w:hAnsi="Arial" w:cs="Arial"/>
        </w:rPr>
        <w:t xml:space="preserve">summary table describes </w:t>
      </w:r>
      <w:r w:rsidRPr="0000352E">
        <w:rPr>
          <w:rFonts w:ascii="Arial" w:hAnsi="Arial" w:cs="Arial"/>
        </w:rPr>
        <w:t xml:space="preserve">the current situation in DRC regarding achieving the GVAP </w:t>
      </w:r>
      <w:proofErr w:type="gramStart"/>
      <w:r w:rsidRPr="0000352E">
        <w:rPr>
          <w:rFonts w:ascii="Arial" w:hAnsi="Arial" w:cs="Arial"/>
        </w:rPr>
        <w:t>goals</w:t>
      </w:r>
      <w:proofErr w:type="gramEnd"/>
      <w:r w:rsidRPr="0000352E">
        <w:rPr>
          <w:rFonts w:ascii="Arial" w:hAnsi="Arial" w:cs="Arial"/>
        </w:rPr>
        <w:t>.</w:t>
      </w:r>
      <w:r w:rsidR="00527C9D">
        <w:rPr>
          <w:rFonts w:ascii="Arial" w:hAnsi="Arial" w:cs="Arial"/>
        </w:rPr>
        <w:t xml:space="preserve"> </w:t>
      </w:r>
      <w:r w:rsidR="00500171">
        <w:rPr>
          <w:rFonts w:ascii="Arial" w:hAnsi="Arial" w:cs="Arial"/>
        </w:rPr>
        <w:t>D</w:t>
      </w:r>
      <w:r w:rsidR="00696E6A">
        <w:rPr>
          <w:rFonts w:ascii="Arial" w:hAnsi="Arial" w:cs="Arial"/>
        </w:rPr>
        <w:t xml:space="preserve">ata </w:t>
      </w:r>
      <w:r w:rsidR="00E11B99">
        <w:rPr>
          <w:rFonts w:ascii="Arial" w:hAnsi="Arial" w:cs="Arial"/>
        </w:rPr>
        <w:t xml:space="preserve">used to assess progress towards achievement of </w:t>
      </w:r>
      <w:r w:rsidR="00696E6A">
        <w:rPr>
          <w:rFonts w:ascii="Arial" w:hAnsi="Arial" w:cs="Arial"/>
        </w:rPr>
        <w:t xml:space="preserve">GVAP goals are included in the annex (Country </w:t>
      </w:r>
      <w:r w:rsidR="00D00DC6">
        <w:rPr>
          <w:rFonts w:ascii="Arial" w:hAnsi="Arial" w:cs="Arial"/>
        </w:rPr>
        <w:t xml:space="preserve">immunization </w:t>
      </w:r>
      <w:r w:rsidR="00696E6A">
        <w:rPr>
          <w:rFonts w:ascii="Arial" w:hAnsi="Arial" w:cs="Arial"/>
        </w:rPr>
        <w:t>profile).</w:t>
      </w:r>
    </w:p>
    <w:tbl>
      <w:tblPr>
        <w:tblW w:w="9420" w:type="dxa"/>
        <w:jc w:val="center"/>
        <w:tblLook w:val="04A0" w:firstRow="1" w:lastRow="0" w:firstColumn="1" w:lastColumn="0" w:noHBand="0" w:noVBand="1"/>
      </w:tblPr>
      <w:tblGrid>
        <w:gridCol w:w="3220"/>
        <w:gridCol w:w="3900"/>
        <w:gridCol w:w="2300"/>
      </w:tblGrid>
      <w:tr w:rsidR="004873D9" w:rsidRPr="004873D9" w14:paraId="5DB6CA61" w14:textId="77777777" w:rsidTr="00C2711B">
        <w:trPr>
          <w:trHeight w:val="440"/>
          <w:tblHeader/>
          <w:jc w:val="center"/>
        </w:trPr>
        <w:tc>
          <w:tcPr>
            <w:tcW w:w="3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27D6B7" w14:textId="77777777" w:rsidR="004873D9" w:rsidRPr="004873D9" w:rsidRDefault="004873D9" w:rsidP="00AD1B7E">
            <w:pPr>
              <w:spacing w:after="0" w:line="240" w:lineRule="auto"/>
              <w:jc w:val="center"/>
              <w:rPr>
                <w:rFonts w:ascii="Calibri" w:eastAsia="Times New Roman" w:hAnsi="Calibri" w:cs="Calibri"/>
                <w:b/>
                <w:bCs/>
                <w:color w:val="000000"/>
                <w:sz w:val="28"/>
                <w:szCs w:val="28"/>
                <w:lang w:eastAsia="en-GB"/>
              </w:rPr>
            </w:pPr>
            <w:r w:rsidRPr="004873D9">
              <w:rPr>
                <w:rFonts w:ascii="Calibri" w:eastAsia="Times New Roman" w:hAnsi="Calibri" w:cs="Calibri"/>
                <w:b/>
                <w:bCs/>
                <w:color w:val="000000"/>
                <w:sz w:val="28"/>
                <w:szCs w:val="28"/>
                <w:lang w:eastAsia="en-GB"/>
              </w:rPr>
              <w:t>Area</w:t>
            </w:r>
          </w:p>
        </w:tc>
        <w:tc>
          <w:tcPr>
            <w:tcW w:w="3900" w:type="dxa"/>
            <w:tcBorders>
              <w:top w:val="single" w:sz="4" w:space="0" w:color="auto"/>
              <w:left w:val="nil"/>
              <w:bottom w:val="single" w:sz="4" w:space="0" w:color="auto"/>
              <w:right w:val="single" w:sz="4" w:space="0" w:color="auto"/>
            </w:tcBorders>
            <w:shd w:val="clear" w:color="auto" w:fill="auto"/>
            <w:vAlign w:val="center"/>
            <w:hideMark/>
          </w:tcPr>
          <w:p w14:paraId="676504EB" w14:textId="77777777" w:rsidR="004873D9" w:rsidRPr="004873D9" w:rsidRDefault="004873D9" w:rsidP="00AD1B7E">
            <w:pPr>
              <w:spacing w:after="0" w:line="240" w:lineRule="auto"/>
              <w:jc w:val="center"/>
              <w:rPr>
                <w:rFonts w:ascii="Calibri" w:eastAsia="Times New Roman" w:hAnsi="Calibri" w:cs="Calibri"/>
                <w:b/>
                <w:bCs/>
                <w:color w:val="000000"/>
                <w:sz w:val="28"/>
                <w:szCs w:val="28"/>
                <w:lang w:eastAsia="en-GB"/>
              </w:rPr>
            </w:pPr>
            <w:r w:rsidRPr="004873D9">
              <w:rPr>
                <w:rFonts w:ascii="Calibri" w:eastAsia="Times New Roman" w:hAnsi="Calibri" w:cs="Calibri"/>
                <w:b/>
                <w:bCs/>
                <w:color w:val="000000"/>
                <w:sz w:val="28"/>
                <w:szCs w:val="28"/>
                <w:lang w:eastAsia="en-GB"/>
              </w:rPr>
              <w:t>Indicator</w:t>
            </w:r>
          </w:p>
        </w:tc>
        <w:tc>
          <w:tcPr>
            <w:tcW w:w="2300" w:type="dxa"/>
            <w:tcBorders>
              <w:top w:val="single" w:sz="4" w:space="0" w:color="auto"/>
              <w:left w:val="nil"/>
              <w:bottom w:val="single" w:sz="4" w:space="0" w:color="auto"/>
              <w:right w:val="single" w:sz="4" w:space="0" w:color="auto"/>
            </w:tcBorders>
            <w:shd w:val="clear" w:color="auto" w:fill="auto"/>
            <w:vAlign w:val="center"/>
            <w:hideMark/>
          </w:tcPr>
          <w:p w14:paraId="297A8E6E" w14:textId="77777777" w:rsidR="004873D9" w:rsidRPr="004873D9" w:rsidRDefault="004873D9" w:rsidP="00AD1B7E">
            <w:pPr>
              <w:spacing w:after="0" w:line="240" w:lineRule="auto"/>
              <w:jc w:val="center"/>
              <w:rPr>
                <w:rFonts w:ascii="Calibri" w:eastAsia="Times New Roman" w:hAnsi="Calibri" w:cs="Calibri"/>
                <w:b/>
                <w:bCs/>
                <w:color w:val="000000"/>
                <w:sz w:val="28"/>
                <w:szCs w:val="28"/>
                <w:lang w:eastAsia="en-GB"/>
              </w:rPr>
            </w:pPr>
            <w:r w:rsidRPr="004873D9">
              <w:rPr>
                <w:rFonts w:ascii="Calibri" w:eastAsia="Times New Roman" w:hAnsi="Calibri" w:cs="Calibri"/>
                <w:b/>
                <w:bCs/>
                <w:color w:val="000000"/>
                <w:sz w:val="28"/>
                <w:szCs w:val="28"/>
                <w:lang w:eastAsia="en-GB"/>
              </w:rPr>
              <w:t>DR Congo</w:t>
            </w:r>
          </w:p>
        </w:tc>
      </w:tr>
      <w:tr w:rsidR="00AD1B7E" w:rsidRPr="004873D9" w14:paraId="74A6572A" w14:textId="77777777" w:rsidTr="00AD1B7E">
        <w:trPr>
          <w:trHeight w:val="413"/>
          <w:jc w:val="center"/>
        </w:trPr>
        <w:tc>
          <w:tcPr>
            <w:tcW w:w="3220" w:type="dxa"/>
            <w:vMerge w:val="restart"/>
            <w:tcBorders>
              <w:top w:val="nil"/>
              <w:left w:val="single" w:sz="4" w:space="0" w:color="auto"/>
              <w:right w:val="single" w:sz="4" w:space="0" w:color="auto"/>
            </w:tcBorders>
            <w:shd w:val="clear" w:color="000000" w:fill="EBF1DE"/>
            <w:hideMark/>
          </w:tcPr>
          <w:p w14:paraId="36AD9546" w14:textId="77777777" w:rsidR="00AD1B7E" w:rsidRPr="004873D9" w:rsidRDefault="00AD1B7E" w:rsidP="00AD1B7E">
            <w:pPr>
              <w:spacing w:after="0" w:line="240" w:lineRule="auto"/>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5. Reach 90% national coverage and 80% in every district with DTP3cv</w:t>
            </w:r>
          </w:p>
        </w:tc>
        <w:tc>
          <w:tcPr>
            <w:tcW w:w="3900" w:type="dxa"/>
            <w:tcBorders>
              <w:top w:val="nil"/>
              <w:left w:val="nil"/>
              <w:bottom w:val="single" w:sz="4" w:space="0" w:color="auto"/>
              <w:right w:val="single" w:sz="4" w:space="0" w:color="auto"/>
            </w:tcBorders>
            <w:shd w:val="clear" w:color="000000" w:fill="EBF1DE"/>
            <w:vAlign w:val="center"/>
            <w:hideMark/>
          </w:tcPr>
          <w:p w14:paraId="3C4465B0" w14:textId="77777777" w:rsidR="00AD1B7E" w:rsidRPr="004873D9" w:rsidRDefault="00AD1B7E" w:rsidP="00AD1B7E">
            <w:pPr>
              <w:spacing w:after="0" w:line="240" w:lineRule="auto"/>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National coverage (</w:t>
            </w:r>
            <w:r>
              <w:rPr>
                <w:rFonts w:ascii="Calibri" w:eastAsia="Times New Roman" w:hAnsi="Calibri" w:cs="Calibri"/>
                <w:b/>
                <w:bCs/>
                <w:color w:val="000000"/>
                <w:lang w:eastAsia="en-GB"/>
              </w:rPr>
              <w:t xml:space="preserve">2015 </w:t>
            </w:r>
            <w:r w:rsidRPr="004873D9">
              <w:rPr>
                <w:rFonts w:ascii="Calibri" w:eastAsia="Times New Roman" w:hAnsi="Calibri" w:cs="Calibri"/>
                <w:b/>
                <w:bCs/>
                <w:color w:val="000000"/>
                <w:lang w:eastAsia="en-GB"/>
              </w:rPr>
              <w:t>WUENIC)</w:t>
            </w:r>
          </w:p>
        </w:tc>
        <w:tc>
          <w:tcPr>
            <w:tcW w:w="2300" w:type="dxa"/>
            <w:tcBorders>
              <w:top w:val="nil"/>
              <w:left w:val="nil"/>
              <w:bottom w:val="single" w:sz="4" w:space="0" w:color="auto"/>
              <w:right w:val="single" w:sz="4" w:space="0" w:color="auto"/>
            </w:tcBorders>
            <w:shd w:val="clear" w:color="000000" w:fill="FFC000"/>
            <w:vAlign w:val="center"/>
            <w:hideMark/>
          </w:tcPr>
          <w:p w14:paraId="26FDE0D0" w14:textId="77777777" w:rsidR="00AD1B7E" w:rsidRPr="004873D9" w:rsidRDefault="00AD1B7E" w:rsidP="00AD1B7E">
            <w:pPr>
              <w:spacing w:after="0" w:line="240" w:lineRule="auto"/>
              <w:jc w:val="center"/>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8</w:t>
            </w:r>
            <w:r>
              <w:rPr>
                <w:rFonts w:ascii="Calibri" w:eastAsia="Times New Roman" w:hAnsi="Calibri" w:cs="Calibri"/>
                <w:b/>
                <w:bCs/>
                <w:color w:val="000000"/>
                <w:lang w:eastAsia="en-GB"/>
              </w:rPr>
              <w:t>1</w:t>
            </w:r>
            <w:r w:rsidRPr="004873D9">
              <w:rPr>
                <w:rFonts w:ascii="Calibri" w:eastAsia="Times New Roman" w:hAnsi="Calibri" w:cs="Calibri"/>
                <w:b/>
                <w:bCs/>
                <w:color w:val="000000"/>
                <w:lang w:eastAsia="en-GB"/>
              </w:rPr>
              <w:t>%</w:t>
            </w:r>
          </w:p>
        </w:tc>
      </w:tr>
      <w:tr w:rsidR="00AD1B7E" w:rsidRPr="004873D9" w14:paraId="6BF9B0AD" w14:textId="77777777" w:rsidTr="00AD1B7E">
        <w:trPr>
          <w:trHeight w:val="602"/>
          <w:jc w:val="center"/>
        </w:trPr>
        <w:tc>
          <w:tcPr>
            <w:tcW w:w="3220" w:type="dxa"/>
            <w:vMerge/>
            <w:tcBorders>
              <w:left w:val="single" w:sz="4" w:space="0" w:color="auto"/>
              <w:right w:val="single" w:sz="4" w:space="0" w:color="auto"/>
            </w:tcBorders>
            <w:shd w:val="clear" w:color="000000" w:fill="EBF1DE"/>
            <w:vAlign w:val="center"/>
          </w:tcPr>
          <w:p w14:paraId="2C6ACAAA" w14:textId="77777777" w:rsidR="00AD1B7E" w:rsidRPr="004873D9" w:rsidRDefault="00AD1B7E" w:rsidP="004873D9">
            <w:pPr>
              <w:spacing w:after="0" w:line="240" w:lineRule="auto"/>
              <w:rPr>
                <w:rFonts w:ascii="Calibri" w:eastAsia="Times New Roman" w:hAnsi="Calibri" w:cs="Calibri"/>
                <w:b/>
                <w:bCs/>
                <w:color w:val="000000"/>
                <w:lang w:eastAsia="en-GB"/>
              </w:rPr>
            </w:pPr>
          </w:p>
        </w:tc>
        <w:tc>
          <w:tcPr>
            <w:tcW w:w="3900" w:type="dxa"/>
            <w:tcBorders>
              <w:top w:val="nil"/>
              <w:left w:val="nil"/>
              <w:bottom w:val="single" w:sz="4" w:space="0" w:color="auto"/>
              <w:right w:val="single" w:sz="4" w:space="0" w:color="auto"/>
            </w:tcBorders>
            <w:shd w:val="clear" w:color="000000" w:fill="EBF1DE"/>
            <w:vAlign w:val="center"/>
            <w:hideMark/>
          </w:tcPr>
          <w:p w14:paraId="17ED9E86" w14:textId="77777777" w:rsidR="00AD1B7E" w:rsidRPr="004873D9" w:rsidRDefault="00AD1B7E" w:rsidP="00AD1B7E">
            <w:pPr>
              <w:spacing w:after="0" w:line="240" w:lineRule="auto"/>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 xml:space="preserve">Drop-out rate DTP1 </w:t>
            </w:r>
            <w:r>
              <w:rPr>
                <w:rFonts w:ascii="Calibri" w:eastAsia="Times New Roman" w:hAnsi="Calibri" w:cs="Calibri"/>
                <w:b/>
                <w:bCs/>
                <w:color w:val="000000"/>
                <w:lang w:eastAsia="en-GB"/>
              </w:rPr>
              <w:t xml:space="preserve">to </w:t>
            </w:r>
            <w:r w:rsidRPr="004873D9">
              <w:rPr>
                <w:rFonts w:ascii="Calibri" w:eastAsia="Times New Roman" w:hAnsi="Calibri" w:cs="Calibri"/>
                <w:b/>
                <w:bCs/>
                <w:color w:val="000000"/>
                <w:lang w:eastAsia="en-GB"/>
              </w:rPr>
              <w:t>DTP3 (201</w:t>
            </w:r>
            <w:r>
              <w:rPr>
                <w:rFonts w:ascii="Calibri" w:eastAsia="Times New Roman" w:hAnsi="Calibri" w:cs="Calibri"/>
                <w:b/>
                <w:bCs/>
                <w:color w:val="000000"/>
                <w:lang w:eastAsia="en-GB"/>
              </w:rPr>
              <w:t>5 WUENIC)</w:t>
            </w:r>
          </w:p>
        </w:tc>
        <w:tc>
          <w:tcPr>
            <w:tcW w:w="2300" w:type="dxa"/>
            <w:tcBorders>
              <w:top w:val="nil"/>
              <w:left w:val="nil"/>
              <w:bottom w:val="single" w:sz="4" w:space="0" w:color="auto"/>
              <w:right w:val="single" w:sz="4" w:space="0" w:color="auto"/>
            </w:tcBorders>
            <w:shd w:val="clear" w:color="000000" w:fill="00B050"/>
            <w:vAlign w:val="center"/>
            <w:hideMark/>
          </w:tcPr>
          <w:p w14:paraId="11E72817" w14:textId="77777777" w:rsidR="00AD1B7E" w:rsidRPr="004873D9" w:rsidRDefault="00AD1B7E" w:rsidP="004873D9">
            <w:pPr>
              <w:spacing w:after="0" w:line="240" w:lineRule="auto"/>
              <w:jc w:val="center"/>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1%</w:t>
            </w:r>
          </w:p>
        </w:tc>
      </w:tr>
      <w:tr w:rsidR="00AD1B7E" w:rsidRPr="004873D9" w14:paraId="551BE49D" w14:textId="77777777" w:rsidTr="00AD1B7E">
        <w:trPr>
          <w:trHeight w:val="728"/>
          <w:jc w:val="center"/>
        </w:trPr>
        <w:tc>
          <w:tcPr>
            <w:tcW w:w="3220" w:type="dxa"/>
            <w:vMerge/>
            <w:tcBorders>
              <w:left w:val="single" w:sz="4" w:space="0" w:color="auto"/>
              <w:right w:val="single" w:sz="4" w:space="0" w:color="auto"/>
            </w:tcBorders>
            <w:shd w:val="clear" w:color="000000" w:fill="EBF1DE"/>
            <w:vAlign w:val="center"/>
          </w:tcPr>
          <w:p w14:paraId="64FBD122" w14:textId="77777777" w:rsidR="00AD1B7E" w:rsidRPr="004873D9" w:rsidRDefault="00AD1B7E" w:rsidP="004873D9">
            <w:pPr>
              <w:spacing w:after="0" w:line="240" w:lineRule="auto"/>
              <w:rPr>
                <w:rFonts w:ascii="Calibri" w:eastAsia="Times New Roman" w:hAnsi="Calibri" w:cs="Calibri"/>
                <w:b/>
                <w:bCs/>
                <w:color w:val="000000"/>
                <w:lang w:eastAsia="en-GB"/>
              </w:rPr>
            </w:pPr>
          </w:p>
        </w:tc>
        <w:tc>
          <w:tcPr>
            <w:tcW w:w="3900" w:type="dxa"/>
            <w:tcBorders>
              <w:top w:val="nil"/>
              <w:left w:val="nil"/>
              <w:bottom w:val="single" w:sz="4" w:space="0" w:color="auto"/>
              <w:right w:val="single" w:sz="4" w:space="0" w:color="auto"/>
            </w:tcBorders>
            <w:shd w:val="clear" w:color="000000" w:fill="EBF1DE"/>
            <w:vAlign w:val="center"/>
            <w:hideMark/>
          </w:tcPr>
          <w:p w14:paraId="2B9301F5" w14:textId="77777777" w:rsidR="00AD1B7E" w:rsidRPr="004873D9" w:rsidRDefault="00AD1B7E" w:rsidP="00AD1B7E">
            <w:pPr>
              <w:spacing w:after="0" w:line="240" w:lineRule="auto"/>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Actual numbers of children that dropped out (201</w:t>
            </w:r>
            <w:r>
              <w:rPr>
                <w:rFonts w:ascii="Calibri" w:eastAsia="Times New Roman" w:hAnsi="Calibri" w:cs="Calibri"/>
                <w:b/>
                <w:bCs/>
                <w:color w:val="000000"/>
                <w:lang w:eastAsia="en-GB"/>
              </w:rPr>
              <w:t>5</w:t>
            </w:r>
            <w:r w:rsidRPr="004873D9">
              <w:rPr>
                <w:rFonts w:ascii="Calibri" w:eastAsia="Times New Roman" w:hAnsi="Calibri" w:cs="Calibri"/>
                <w:b/>
                <w:bCs/>
                <w:color w:val="000000"/>
                <w:lang w:eastAsia="en-GB"/>
              </w:rPr>
              <w:t xml:space="preserve"> WUENIC)</w:t>
            </w:r>
          </w:p>
        </w:tc>
        <w:tc>
          <w:tcPr>
            <w:tcW w:w="2300" w:type="dxa"/>
            <w:tcBorders>
              <w:top w:val="nil"/>
              <w:left w:val="nil"/>
              <w:bottom w:val="single" w:sz="4" w:space="0" w:color="auto"/>
              <w:right w:val="single" w:sz="4" w:space="0" w:color="auto"/>
            </w:tcBorders>
            <w:shd w:val="clear" w:color="000000" w:fill="00B050"/>
            <w:vAlign w:val="center"/>
            <w:hideMark/>
          </w:tcPr>
          <w:p w14:paraId="41BEF077" w14:textId="30D70883" w:rsidR="00AD1B7E" w:rsidRPr="004873D9" w:rsidRDefault="00AD1B7E" w:rsidP="00B7182E">
            <w:pPr>
              <w:spacing w:after="0" w:line="240" w:lineRule="auto"/>
              <w:jc w:val="center"/>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2</w:t>
            </w:r>
            <w:r w:rsidR="00B7182E">
              <w:rPr>
                <w:rFonts w:ascii="Calibri" w:eastAsia="Times New Roman" w:hAnsi="Calibri" w:cs="Calibri"/>
                <w:b/>
                <w:bCs/>
                <w:color w:val="000000"/>
                <w:lang w:eastAsia="en-GB"/>
              </w:rPr>
              <w:t>9,937</w:t>
            </w:r>
          </w:p>
        </w:tc>
      </w:tr>
      <w:tr w:rsidR="00AD1B7E" w:rsidRPr="004873D9" w14:paraId="5893EBB3" w14:textId="77777777" w:rsidTr="00AD1B7E">
        <w:trPr>
          <w:trHeight w:val="692"/>
          <w:jc w:val="center"/>
        </w:trPr>
        <w:tc>
          <w:tcPr>
            <w:tcW w:w="3220" w:type="dxa"/>
            <w:vMerge/>
            <w:tcBorders>
              <w:left w:val="single" w:sz="4" w:space="0" w:color="auto"/>
              <w:right w:val="single" w:sz="4" w:space="0" w:color="auto"/>
            </w:tcBorders>
            <w:shd w:val="clear" w:color="000000" w:fill="EBF1DE"/>
            <w:vAlign w:val="center"/>
          </w:tcPr>
          <w:p w14:paraId="2A1E3DA4" w14:textId="77777777" w:rsidR="00AD1B7E" w:rsidRPr="004873D9" w:rsidRDefault="00AD1B7E" w:rsidP="004873D9">
            <w:pPr>
              <w:spacing w:after="0" w:line="240" w:lineRule="auto"/>
              <w:rPr>
                <w:rFonts w:ascii="Calibri" w:eastAsia="Times New Roman" w:hAnsi="Calibri" w:cs="Calibri"/>
                <w:b/>
                <w:bCs/>
                <w:color w:val="000000"/>
                <w:lang w:eastAsia="en-GB"/>
              </w:rPr>
            </w:pPr>
          </w:p>
        </w:tc>
        <w:tc>
          <w:tcPr>
            <w:tcW w:w="3900" w:type="dxa"/>
            <w:tcBorders>
              <w:top w:val="nil"/>
              <w:left w:val="nil"/>
              <w:bottom w:val="single" w:sz="4" w:space="0" w:color="auto"/>
              <w:right w:val="single" w:sz="4" w:space="0" w:color="auto"/>
            </w:tcBorders>
            <w:shd w:val="clear" w:color="000000" w:fill="EBF1DE"/>
            <w:vAlign w:val="center"/>
            <w:hideMark/>
          </w:tcPr>
          <w:p w14:paraId="652F97EA" w14:textId="77777777" w:rsidR="00AD1B7E" w:rsidRPr="004873D9" w:rsidRDefault="00AD1B7E" w:rsidP="004873D9">
            <w:pPr>
              <w:spacing w:after="0" w:line="240" w:lineRule="auto"/>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 xml:space="preserve">Difference between poorest and richest quintile </w:t>
            </w:r>
            <w:r>
              <w:rPr>
                <w:rFonts w:ascii="Calibri" w:eastAsia="Times New Roman" w:hAnsi="Calibri" w:cs="Calibri"/>
                <w:b/>
                <w:bCs/>
                <w:color w:val="000000"/>
                <w:lang w:eastAsia="en-GB"/>
              </w:rPr>
              <w:t xml:space="preserve">in </w:t>
            </w:r>
            <w:r w:rsidRPr="004873D9">
              <w:rPr>
                <w:rFonts w:ascii="Calibri" w:eastAsia="Times New Roman" w:hAnsi="Calibri" w:cs="Calibri"/>
                <w:b/>
                <w:bCs/>
                <w:color w:val="000000"/>
                <w:lang w:eastAsia="en-GB"/>
              </w:rPr>
              <w:t xml:space="preserve">DTP3 coverage (2013 </w:t>
            </w:r>
            <w:r>
              <w:rPr>
                <w:rFonts w:ascii="Calibri" w:eastAsia="Times New Roman" w:hAnsi="Calibri" w:cs="Calibri"/>
                <w:b/>
                <w:bCs/>
                <w:color w:val="000000"/>
                <w:lang w:eastAsia="en-GB"/>
              </w:rPr>
              <w:t xml:space="preserve">DHS </w:t>
            </w:r>
            <w:r w:rsidRPr="004873D9">
              <w:rPr>
                <w:rFonts w:ascii="Calibri" w:eastAsia="Times New Roman" w:hAnsi="Calibri" w:cs="Calibri"/>
                <w:b/>
                <w:bCs/>
                <w:color w:val="000000"/>
                <w:lang w:eastAsia="en-GB"/>
              </w:rPr>
              <w:t>data)</w:t>
            </w:r>
          </w:p>
        </w:tc>
        <w:tc>
          <w:tcPr>
            <w:tcW w:w="2300" w:type="dxa"/>
            <w:tcBorders>
              <w:top w:val="nil"/>
              <w:left w:val="nil"/>
              <w:bottom w:val="single" w:sz="4" w:space="0" w:color="auto"/>
              <w:right w:val="single" w:sz="4" w:space="0" w:color="auto"/>
            </w:tcBorders>
            <w:shd w:val="clear" w:color="000000" w:fill="FF0000"/>
            <w:vAlign w:val="center"/>
            <w:hideMark/>
          </w:tcPr>
          <w:p w14:paraId="6DE3D5F4" w14:textId="77777777" w:rsidR="00AD1B7E" w:rsidRPr="004873D9" w:rsidRDefault="00AD1B7E" w:rsidP="004873D9">
            <w:pPr>
              <w:spacing w:after="0" w:line="240" w:lineRule="auto"/>
              <w:jc w:val="center"/>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34.9</w:t>
            </w:r>
          </w:p>
        </w:tc>
      </w:tr>
      <w:tr w:rsidR="00AD1B7E" w:rsidRPr="004873D9" w14:paraId="4231FC10" w14:textId="77777777" w:rsidTr="00AD1B7E">
        <w:trPr>
          <w:trHeight w:val="602"/>
          <w:jc w:val="center"/>
        </w:trPr>
        <w:tc>
          <w:tcPr>
            <w:tcW w:w="3220" w:type="dxa"/>
            <w:vMerge/>
            <w:tcBorders>
              <w:left w:val="single" w:sz="4" w:space="0" w:color="auto"/>
              <w:bottom w:val="single" w:sz="4" w:space="0" w:color="auto"/>
              <w:right w:val="single" w:sz="4" w:space="0" w:color="auto"/>
            </w:tcBorders>
            <w:shd w:val="clear" w:color="000000" w:fill="EBF1DE"/>
            <w:vAlign w:val="center"/>
          </w:tcPr>
          <w:p w14:paraId="3DC607D2" w14:textId="77777777" w:rsidR="00AD1B7E" w:rsidRPr="004873D9" w:rsidRDefault="00AD1B7E" w:rsidP="004873D9">
            <w:pPr>
              <w:spacing w:after="0" w:line="240" w:lineRule="auto"/>
              <w:rPr>
                <w:rFonts w:ascii="Calibri" w:eastAsia="Times New Roman" w:hAnsi="Calibri" w:cs="Calibri"/>
                <w:b/>
                <w:bCs/>
                <w:color w:val="000000"/>
                <w:lang w:eastAsia="en-GB"/>
              </w:rPr>
            </w:pPr>
          </w:p>
        </w:tc>
        <w:tc>
          <w:tcPr>
            <w:tcW w:w="3900" w:type="dxa"/>
            <w:tcBorders>
              <w:top w:val="nil"/>
              <w:left w:val="nil"/>
              <w:bottom w:val="single" w:sz="4" w:space="0" w:color="auto"/>
              <w:right w:val="single" w:sz="4" w:space="0" w:color="auto"/>
            </w:tcBorders>
            <w:shd w:val="clear" w:color="000000" w:fill="EBF1DE"/>
            <w:vAlign w:val="center"/>
            <w:hideMark/>
          </w:tcPr>
          <w:p w14:paraId="7126DC4D" w14:textId="77777777" w:rsidR="00AD1B7E" w:rsidRPr="004873D9" w:rsidRDefault="00AD1B7E" w:rsidP="00AD1B7E">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of d</w:t>
            </w:r>
            <w:r w:rsidRPr="004873D9">
              <w:rPr>
                <w:rFonts w:ascii="Calibri" w:eastAsia="Times New Roman" w:hAnsi="Calibri" w:cs="Calibri"/>
                <w:b/>
                <w:bCs/>
                <w:color w:val="000000"/>
                <w:lang w:eastAsia="en-GB"/>
              </w:rPr>
              <w:t>istrict</w:t>
            </w:r>
            <w:r>
              <w:rPr>
                <w:rFonts w:ascii="Calibri" w:eastAsia="Times New Roman" w:hAnsi="Calibri" w:cs="Calibri"/>
                <w:b/>
                <w:bCs/>
                <w:color w:val="000000"/>
                <w:lang w:eastAsia="en-GB"/>
              </w:rPr>
              <w:t>s</w:t>
            </w:r>
            <w:r w:rsidRPr="004873D9">
              <w:rPr>
                <w:rFonts w:ascii="Calibri" w:eastAsia="Times New Roman" w:hAnsi="Calibri" w:cs="Calibri"/>
                <w:b/>
                <w:bCs/>
                <w:color w:val="000000"/>
                <w:lang w:eastAsia="en-GB"/>
              </w:rPr>
              <w:t xml:space="preserve"> reaching 80% coverage</w:t>
            </w:r>
            <w:r>
              <w:rPr>
                <w:rFonts w:ascii="Calibri" w:eastAsia="Times New Roman" w:hAnsi="Calibri" w:cs="Calibri"/>
                <w:b/>
                <w:bCs/>
                <w:color w:val="000000"/>
                <w:lang w:eastAsia="en-GB"/>
              </w:rPr>
              <w:t xml:space="preserve"> (</w:t>
            </w:r>
            <w:r w:rsidRPr="004873D9">
              <w:rPr>
                <w:rFonts w:ascii="Calibri" w:eastAsia="Times New Roman" w:hAnsi="Calibri" w:cs="Calibri"/>
                <w:b/>
                <w:bCs/>
                <w:color w:val="000000"/>
                <w:lang w:eastAsia="en-GB"/>
              </w:rPr>
              <w:t>2015 JRF</w:t>
            </w:r>
            <w:r>
              <w:rPr>
                <w:rFonts w:ascii="Calibri" w:eastAsia="Times New Roman" w:hAnsi="Calibri" w:cs="Calibri"/>
                <w:b/>
                <w:bCs/>
                <w:color w:val="000000"/>
                <w:lang w:eastAsia="en-GB"/>
              </w:rPr>
              <w:t>)</w:t>
            </w:r>
          </w:p>
        </w:tc>
        <w:tc>
          <w:tcPr>
            <w:tcW w:w="2300" w:type="dxa"/>
            <w:tcBorders>
              <w:top w:val="nil"/>
              <w:left w:val="nil"/>
              <w:bottom w:val="single" w:sz="4" w:space="0" w:color="auto"/>
              <w:right w:val="single" w:sz="4" w:space="0" w:color="auto"/>
            </w:tcBorders>
            <w:shd w:val="clear" w:color="000000" w:fill="FFC000"/>
            <w:vAlign w:val="center"/>
            <w:hideMark/>
          </w:tcPr>
          <w:p w14:paraId="7ADE6E14" w14:textId="77777777" w:rsidR="00AD1B7E" w:rsidRPr="004873D9" w:rsidRDefault="00AD1B7E" w:rsidP="004873D9">
            <w:pPr>
              <w:spacing w:after="0" w:line="240" w:lineRule="auto"/>
              <w:jc w:val="center"/>
              <w:rPr>
                <w:rFonts w:ascii="Calibri" w:eastAsia="Times New Roman" w:hAnsi="Calibri" w:cs="Calibri"/>
                <w:b/>
                <w:bCs/>
                <w:color w:val="000000"/>
                <w:lang w:eastAsia="en-GB"/>
              </w:rPr>
            </w:pPr>
            <w:r w:rsidRPr="004873D9">
              <w:rPr>
                <w:rFonts w:ascii="Calibri" w:eastAsia="Times New Roman" w:hAnsi="Calibri" w:cs="Calibri"/>
                <w:b/>
                <w:bCs/>
                <w:color w:val="000000"/>
                <w:lang w:eastAsia="en-GB"/>
              </w:rPr>
              <w:t>86%</w:t>
            </w:r>
          </w:p>
        </w:tc>
      </w:tr>
    </w:tbl>
    <w:p w14:paraId="11B1C91C" w14:textId="404A216A" w:rsidR="008D27F4" w:rsidRPr="00373BA5" w:rsidRDefault="008D27F4" w:rsidP="008D27F4">
      <w:pPr>
        <w:rPr>
          <w:rFonts w:ascii="Arial" w:hAnsi="Arial" w:cs="Arial"/>
          <w:b/>
        </w:rPr>
      </w:pPr>
      <w:proofErr w:type="gramStart"/>
      <w:r>
        <w:rPr>
          <w:rFonts w:ascii="Arial" w:hAnsi="Arial" w:cs="Arial"/>
          <w:b/>
        </w:rPr>
        <w:t>3</w:t>
      </w:r>
      <w:r w:rsidR="001D6E48">
        <w:rPr>
          <w:rFonts w:ascii="Arial" w:hAnsi="Arial" w:cs="Arial"/>
          <w:b/>
        </w:rPr>
        <w:t xml:space="preserve">.3 </w:t>
      </w:r>
      <w:r>
        <w:rPr>
          <w:rFonts w:ascii="Arial" w:hAnsi="Arial" w:cs="Arial"/>
          <w:b/>
        </w:rPr>
        <w:t xml:space="preserve"> </w:t>
      </w:r>
      <w:r w:rsidR="00112FEE">
        <w:rPr>
          <w:rFonts w:ascii="Arial" w:hAnsi="Arial" w:cs="Arial"/>
          <w:b/>
        </w:rPr>
        <w:t>Goal</w:t>
      </w:r>
      <w:proofErr w:type="gramEnd"/>
      <w:r w:rsidR="00112FEE">
        <w:rPr>
          <w:rFonts w:ascii="Arial" w:hAnsi="Arial" w:cs="Arial"/>
          <w:b/>
        </w:rPr>
        <w:t xml:space="preserve"> 3: </w:t>
      </w:r>
      <w:r>
        <w:rPr>
          <w:rFonts w:ascii="Arial" w:hAnsi="Arial" w:cs="Arial"/>
          <w:b/>
        </w:rPr>
        <w:t>M</w:t>
      </w:r>
      <w:r w:rsidRPr="00373BA5">
        <w:rPr>
          <w:rFonts w:ascii="Arial" w:hAnsi="Arial" w:cs="Arial"/>
          <w:b/>
        </w:rPr>
        <w:t>eet vaccination coverage targets</w:t>
      </w:r>
    </w:p>
    <w:p w14:paraId="6C7CFFB3" w14:textId="4DD583A6" w:rsidR="008D27F4" w:rsidRDefault="00112FEE" w:rsidP="008D27F4">
      <w:pPr>
        <w:pStyle w:val="ListParagraph"/>
        <w:numPr>
          <w:ilvl w:val="1"/>
          <w:numId w:val="1"/>
        </w:numPr>
        <w:ind w:left="360"/>
        <w:contextualSpacing w:val="0"/>
        <w:rPr>
          <w:rFonts w:ascii="Arial" w:hAnsi="Arial" w:cs="Arial"/>
          <w:b/>
        </w:rPr>
      </w:pPr>
      <w:r>
        <w:rPr>
          <w:rFonts w:ascii="Arial" w:hAnsi="Arial" w:cs="Arial"/>
          <w:b/>
        </w:rPr>
        <w:t>Achieve 90% n</w:t>
      </w:r>
      <w:r w:rsidR="008D27F4" w:rsidRPr="00825812">
        <w:rPr>
          <w:rFonts w:ascii="Arial" w:hAnsi="Arial" w:cs="Arial"/>
          <w:b/>
        </w:rPr>
        <w:t xml:space="preserve">ational coverage and 80% in every district with </w:t>
      </w:r>
      <w:r>
        <w:rPr>
          <w:rFonts w:ascii="Arial" w:hAnsi="Arial" w:cs="Arial"/>
          <w:b/>
        </w:rPr>
        <w:t>three</w:t>
      </w:r>
      <w:r w:rsidR="008D27F4" w:rsidRPr="00825812">
        <w:rPr>
          <w:rFonts w:ascii="Arial" w:hAnsi="Arial" w:cs="Arial"/>
          <w:b/>
        </w:rPr>
        <w:t xml:space="preserve"> doses of </w:t>
      </w:r>
      <w:r w:rsidRPr="00825812">
        <w:rPr>
          <w:rFonts w:ascii="Arial" w:hAnsi="Arial" w:cs="Arial"/>
          <w:b/>
        </w:rPr>
        <w:t>diphtheria</w:t>
      </w:r>
      <w:r w:rsidR="008D27F4" w:rsidRPr="00825812">
        <w:rPr>
          <w:rFonts w:ascii="Arial" w:hAnsi="Arial" w:cs="Arial"/>
          <w:b/>
        </w:rPr>
        <w:t>-tetanus-pertussis containing vaccines</w:t>
      </w:r>
    </w:p>
    <w:p w14:paraId="6C2F8F64" w14:textId="13FA9E62" w:rsidR="003C49D6" w:rsidRDefault="00D53F27" w:rsidP="008D27F4">
      <w:pPr>
        <w:rPr>
          <w:rFonts w:ascii="Arial" w:hAnsi="Arial" w:cs="Arial"/>
        </w:rPr>
      </w:pPr>
      <w:r>
        <w:rPr>
          <w:rFonts w:ascii="Arial" w:hAnsi="Arial" w:cs="Arial"/>
        </w:rPr>
        <w:t xml:space="preserve">While DRC has not yet reached the goal of 90% national coverage for three doses of DPT-containing vaccine (pentavalent), according to the WHO-UNICEF estimates, it achieved an overall coverage of 81% in 2015 – up from 74-75% from 2011 to 2013. The WUENIC dropout rate from the first to the third dose of pentavalent vaccine was reportedly 1%. However, the 2013 DHS found a pentavalent coverage rate of only 61% national in 2012 </w:t>
      </w:r>
      <w:r>
        <w:rPr>
          <w:rFonts w:ascii="Arial" w:hAnsi="Arial" w:cs="Arial"/>
        </w:rPr>
        <w:lastRenderedPageBreak/>
        <w:t>(while the WUENIC rate was 75% for that same year) and a dropout rate of 25%.</w:t>
      </w:r>
      <w:r w:rsidR="00A83A9B">
        <w:rPr>
          <w:rStyle w:val="FootnoteReference"/>
          <w:rFonts w:ascii="Arial" w:hAnsi="Arial" w:cs="Arial"/>
        </w:rPr>
        <w:footnoteReference w:id="1"/>
      </w:r>
      <w:r>
        <w:rPr>
          <w:rFonts w:ascii="Arial" w:hAnsi="Arial" w:cs="Arial"/>
        </w:rPr>
        <w:t xml:space="preserve"> Administrative data show a marked improvement in district-specific coverage rates in the past five years (see map in the Annex). </w:t>
      </w:r>
      <w:r w:rsidR="00DB6570">
        <w:rPr>
          <w:rFonts w:ascii="Arial" w:hAnsi="Arial" w:cs="Arial"/>
        </w:rPr>
        <w:t xml:space="preserve">However, there are no WUENIC estimates for district coverage and given the fact that there is a 13-point difference between administrative and WHO-UNICEF DPT3 coverage estimates for 2015 (94% vs. 81%), the actual degree to which the country has met the goal of 80% coverage in each district is unknown. </w:t>
      </w:r>
    </w:p>
    <w:p w14:paraId="2F333BB4" w14:textId="1EC1A330" w:rsidR="00DB6570" w:rsidRDefault="00DB6570" w:rsidP="008D27F4">
      <w:pPr>
        <w:rPr>
          <w:rFonts w:ascii="Arial" w:hAnsi="Arial" w:cs="Arial"/>
        </w:rPr>
      </w:pPr>
      <w:r>
        <w:rPr>
          <w:rFonts w:ascii="Arial" w:hAnsi="Arial" w:cs="Arial"/>
        </w:rPr>
        <w:t xml:space="preserve">Concerning other vaccines in the immunization schedule, the WUENIC national estimates for 2015 were in the upper 70s for measles and three doses of polio vaccine, the mid-70s for PCV3 and BCG, and 65% for yellow fever vaccine. The increase in WUENIC coverage rates for these vaccines in the past five years was less than for pentavalent vaccine; for example, polio coverage was 77% in 2011 and 78% in 2015. </w:t>
      </w:r>
      <w:proofErr w:type="gramStart"/>
      <w:r>
        <w:rPr>
          <w:rFonts w:ascii="Arial" w:hAnsi="Arial" w:cs="Arial"/>
        </w:rPr>
        <w:t xml:space="preserve">The fact that administrative coverage data show national coverage rates of 90% or greater for most vaccines, except measles and PCV3 (at 89% and 86%) highlights issues with </w:t>
      </w:r>
      <w:r w:rsidR="00A83A9B">
        <w:rPr>
          <w:rFonts w:ascii="Arial" w:hAnsi="Arial" w:cs="Arial"/>
        </w:rPr>
        <w:t xml:space="preserve">the quality of </w:t>
      </w:r>
      <w:r>
        <w:rPr>
          <w:rFonts w:ascii="Arial" w:hAnsi="Arial" w:cs="Arial"/>
        </w:rPr>
        <w:t>immunization data in DRC.</w:t>
      </w:r>
      <w:proofErr w:type="gramEnd"/>
    </w:p>
    <w:p w14:paraId="1E8748B1" w14:textId="4BBAC689" w:rsidR="008D27F4" w:rsidRDefault="00DB6570" w:rsidP="00DB6570">
      <w:pPr>
        <w:rPr>
          <w:rFonts w:ascii="Arial" w:hAnsi="Arial" w:cs="Arial"/>
        </w:rPr>
      </w:pPr>
      <w:r>
        <w:rPr>
          <w:rFonts w:ascii="Arial" w:hAnsi="Arial" w:cs="Arial"/>
        </w:rPr>
        <w:t xml:space="preserve">There are large income and geographic inequities in immunization coverage. The difference in coverage of three pentavalent doses between the lowest and highest income quintile in the 2013 DHS was 35 percentage points (48% vs. 83%), while the </w:t>
      </w:r>
      <w:r w:rsidR="001D6E48">
        <w:rPr>
          <w:rFonts w:ascii="Arial" w:hAnsi="Arial" w:cs="Arial"/>
        </w:rPr>
        <w:t xml:space="preserve">coverage </w:t>
      </w:r>
      <w:r>
        <w:rPr>
          <w:rFonts w:ascii="Arial" w:hAnsi="Arial" w:cs="Arial"/>
        </w:rPr>
        <w:t>rate for all vaccines jumped from 36% in the lowest quint</w:t>
      </w:r>
      <w:r w:rsidR="00A83A9B">
        <w:rPr>
          <w:rFonts w:ascii="Arial" w:hAnsi="Arial" w:cs="Arial"/>
        </w:rPr>
        <w:t>ile to 65% in the highest (see f</w:t>
      </w:r>
      <w:r>
        <w:rPr>
          <w:rFonts w:ascii="Arial" w:hAnsi="Arial" w:cs="Arial"/>
        </w:rPr>
        <w:t xml:space="preserve">igure in </w:t>
      </w:r>
      <w:r w:rsidR="00A83A9B">
        <w:rPr>
          <w:rFonts w:ascii="Arial" w:hAnsi="Arial" w:cs="Arial"/>
        </w:rPr>
        <w:t xml:space="preserve">the </w:t>
      </w:r>
      <w:r>
        <w:rPr>
          <w:rFonts w:ascii="Arial" w:hAnsi="Arial" w:cs="Arial"/>
        </w:rPr>
        <w:t xml:space="preserve">Annex). Those in the middle quintile had rates much closer to the lowest </w:t>
      </w:r>
      <w:r w:rsidR="00A83A9B">
        <w:rPr>
          <w:rFonts w:ascii="Arial" w:hAnsi="Arial" w:cs="Arial"/>
        </w:rPr>
        <w:t>than</w:t>
      </w:r>
      <w:r>
        <w:rPr>
          <w:rFonts w:ascii="Arial" w:hAnsi="Arial" w:cs="Arial"/>
        </w:rPr>
        <w:t xml:space="preserve"> the highest quintile – indicating great inequality by income. The largest </w:t>
      </w:r>
      <w:proofErr w:type="gramStart"/>
      <w:r>
        <w:rPr>
          <w:rFonts w:ascii="Arial" w:hAnsi="Arial" w:cs="Arial"/>
        </w:rPr>
        <w:t>number of non- or under-immunization children are</w:t>
      </w:r>
      <w:proofErr w:type="gramEnd"/>
      <w:r>
        <w:rPr>
          <w:rFonts w:ascii="Arial" w:hAnsi="Arial" w:cs="Arial"/>
        </w:rPr>
        <w:t xml:space="preserve"> in the country’s nine poorest DPSs.</w:t>
      </w:r>
      <w:r w:rsidR="00A83A9B">
        <w:rPr>
          <w:rStyle w:val="FootnoteReference"/>
          <w:rFonts w:ascii="Arial" w:hAnsi="Arial" w:cs="Arial"/>
        </w:rPr>
        <w:footnoteReference w:id="2"/>
      </w:r>
    </w:p>
    <w:p w14:paraId="6DDCB23F" w14:textId="0C6AD85A" w:rsidR="00DB6570" w:rsidRDefault="00DB6570" w:rsidP="00DB6570">
      <w:pPr>
        <w:rPr>
          <w:rFonts w:ascii="Arial" w:hAnsi="Arial" w:cs="Arial"/>
        </w:rPr>
      </w:pPr>
      <w:r>
        <w:rPr>
          <w:rFonts w:ascii="Arial" w:hAnsi="Arial" w:cs="Arial"/>
        </w:rPr>
        <w:t xml:space="preserve">The performance of DRC’s </w:t>
      </w:r>
      <w:r w:rsidR="001D6E48">
        <w:rPr>
          <w:rFonts w:ascii="Arial" w:hAnsi="Arial" w:cs="Arial"/>
        </w:rPr>
        <w:t xml:space="preserve">routine </w:t>
      </w:r>
      <w:r>
        <w:rPr>
          <w:rFonts w:ascii="Arial" w:hAnsi="Arial" w:cs="Arial"/>
        </w:rPr>
        <w:t>immunization program is affected by serious health system challenges. These include:</w:t>
      </w:r>
    </w:p>
    <w:p w14:paraId="15D26B4D" w14:textId="230DB433" w:rsidR="00EE46A2" w:rsidRPr="00A83A9B" w:rsidRDefault="00EE46A2" w:rsidP="00EB5A7D">
      <w:pPr>
        <w:pStyle w:val="ListParagraph"/>
        <w:numPr>
          <w:ilvl w:val="0"/>
          <w:numId w:val="24"/>
        </w:numPr>
        <w:contextualSpacing w:val="0"/>
        <w:rPr>
          <w:rFonts w:ascii="Arial" w:hAnsi="Arial" w:cs="Arial"/>
          <w:b/>
        </w:rPr>
      </w:pPr>
      <w:r w:rsidRPr="00EE46A2">
        <w:rPr>
          <w:rFonts w:ascii="Arial" w:hAnsi="Arial" w:cs="Arial"/>
          <w:b/>
        </w:rPr>
        <w:t xml:space="preserve">A lack of investment in human resources for health and consequent high </w:t>
      </w:r>
      <w:r w:rsidRPr="00A83A9B">
        <w:rPr>
          <w:rFonts w:ascii="Arial" w:hAnsi="Arial" w:cs="Arial"/>
          <w:b/>
        </w:rPr>
        <w:t xml:space="preserve">attrition rates and low motivation among health workers. </w:t>
      </w:r>
      <w:r w:rsidRPr="00A83A9B">
        <w:rPr>
          <w:rFonts w:ascii="Arial" w:hAnsi="Arial" w:cs="Arial"/>
          <w:lang w:val="en-US"/>
        </w:rPr>
        <w:t xml:space="preserve">As mentioned above, most health workers receive no government salary and many </w:t>
      </w:r>
      <w:r w:rsidR="00A83A9B" w:rsidRPr="00A83A9B">
        <w:rPr>
          <w:rFonts w:ascii="Arial" w:hAnsi="Arial" w:cs="Arial"/>
          <w:lang w:val="en-US"/>
        </w:rPr>
        <w:t xml:space="preserve">do </w:t>
      </w:r>
      <w:r w:rsidRPr="00A83A9B">
        <w:rPr>
          <w:rFonts w:ascii="Arial" w:hAnsi="Arial" w:cs="Arial"/>
          <w:lang w:val="en-US"/>
        </w:rPr>
        <w:t>not even</w:t>
      </w:r>
      <w:r w:rsidR="00A83A9B" w:rsidRPr="00A83A9B">
        <w:rPr>
          <w:rFonts w:ascii="Arial" w:hAnsi="Arial" w:cs="Arial"/>
          <w:lang w:val="en-US"/>
        </w:rPr>
        <w:t xml:space="preserve"> receive</w:t>
      </w:r>
      <w:r w:rsidRPr="00A83A9B">
        <w:rPr>
          <w:rFonts w:ascii="Arial" w:hAnsi="Arial" w:cs="Arial"/>
          <w:lang w:val="en-US"/>
        </w:rPr>
        <w:t xml:space="preserve"> the inadequate risk bonus. Consequently, they rely on a share of revenues generated by user fees for curative care services. This creates a disincentive for health workers to provide non-remunerative services, such immunization, especially outreach activities and other extra efforts to improve vaccination coverage that require time away from the health center. </w:t>
      </w:r>
      <w:r w:rsidR="00A83A9B" w:rsidRPr="00A83A9B">
        <w:rPr>
          <w:rFonts w:ascii="Arial" w:hAnsi="Arial" w:cs="Arial"/>
          <w:lang w:val="en-US"/>
        </w:rPr>
        <w:t>M</w:t>
      </w:r>
      <w:r w:rsidRPr="00A83A9B">
        <w:rPr>
          <w:rFonts w:ascii="Arial" w:hAnsi="Arial" w:cs="Arial"/>
          <w:lang w:val="en-US"/>
        </w:rPr>
        <w:t>any health facilities in the poorest provinces, where user free generation is low, reportedly charge patients for vaccinations, further suppressing coverage.</w:t>
      </w:r>
      <w:r w:rsidR="00A83A9B" w:rsidRPr="00A83A9B">
        <w:rPr>
          <w:rStyle w:val="FootnoteReference"/>
          <w:rFonts w:ascii="Arial" w:hAnsi="Arial" w:cs="Arial"/>
          <w:lang w:val="en-US"/>
        </w:rPr>
        <w:footnoteReference w:id="3"/>
      </w:r>
    </w:p>
    <w:p w14:paraId="7F18703E" w14:textId="228FCDD4" w:rsidR="00EE46A2" w:rsidRDefault="00EE46A2" w:rsidP="00EB5A7D">
      <w:pPr>
        <w:pStyle w:val="ListParagraph"/>
        <w:numPr>
          <w:ilvl w:val="0"/>
          <w:numId w:val="24"/>
        </w:numPr>
        <w:contextualSpacing w:val="0"/>
        <w:rPr>
          <w:rFonts w:ascii="Arial" w:hAnsi="Arial" w:cs="Arial"/>
        </w:rPr>
      </w:pPr>
      <w:r w:rsidRPr="00AD379D">
        <w:rPr>
          <w:rFonts w:ascii="Arial" w:hAnsi="Arial" w:cs="Arial"/>
          <w:b/>
        </w:rPr>
        <w:t>Insufficient availability of immunization services</w:t>
      </w:r>
      <w:r>
        <w:rPr>
          <w:rFonts w:ascii="Arial" w:hAnsi="Arial" w:cs="Arial"/>
        </w:rPr>
        <w:t>. According to a Service Availability and Readiness Assessment (SARA) conducted in 201</w:t>
      </w:r>
      <w:r w:rsidR="00AD379D">
        <w:rPr>
          <w:rFonts w:ascii="Arial" w:hAnsi="Arial" w:cs="Arial"/>
        </w:rPr>
        <w:t>4</w:t>
      </w:r>
      <w:r>
        <w:rPr>
          <w:rFonts w:ascii="Arial" w:hAnsi="Arial" w:cs="Arial"/>
        </w:rPr>
        <w:t xml:space="preserve">, the number of health facilities in DRC – both public and private – is sufficient, with </w:t>
      </w:r>
      <w:r w:rsidR="00AD379D">
        <w:rPr>
          <w:rFonts w:ascii="Arial" w:hAnsi="Arial" w:cs="Arial"/>
        </w:rPr>
        <w:t xml:space="preserve">more than 600 hospitals, 10,000 health </w:t>
      </w:r>
      <w:proofErr w:type="spellStart"/>
      <w:r w:rsidR="00AD379D">
        <w:rPr>
          <w:rFonts w:ascii="Arial" w:hAnsi="Arial" w:cs="Arial"/>
        </w:rPr>
        <w:t>centers</w:t>
      </w:r>
      <w:proofErr w:type="spellEnd"/>
      <w:r w:rsidR="00AD379D">
        <w:rPr>
          <w:rFonts w:ascii="Arial" w:hAnsi="Arial" w:cs="Arial"/>
        </w:rPr>
        <w:t xml:space="preserve"> (of different levels) and more than 5,500 health posts.</w:t>
      </w:r>
      <w:r w:rsidR="00A83A9B">
        <w:rPr>
          <w:rStyle w:val="FootnoteReference"/>
          <w:rFonts w:ascii="Arial" w:hAnsi="Arial" w:cs="Arial"/>
        </w:rPr>
        <w:footnoteReference w:id="4"/>
      </w:r>
      <w:r w:rsidR="00AD379D">
        <w:rPr>
          <w:rFonts w:ascii="Arial" w:hAnsi="Arial" w:cs="Arial"/>
        </w:rPr>
        <w:t xml:space="preserve"> This yields a ratio of 2.2 health facilities per 10,000 people, meeting the WHO recommended benchmark of 2/10,000. Seventy-five percent of the facilities in the </w:t>
      </w:r>
      <w:r w:rsidR="00A83A9B">
        <w:rPr>
          <w:rFonts w:ascii="Arial" w:hAnsi="Arial" w:cs="Arial"/>
        </w:rPr>
        <w:t>assessment</w:t>
      </w:r>
      <w:r w:rsidR="00AD379D">
        <w:rPr>
          <w:rFonts w:ascii="Arial" w:hAnsi="Arial" w:cs="Arial"/>
        </w:rPr>
        <w:t xml:space="preserve"> were found to provide immunization services. However, most (59%) held immunization sessions only once a month, 37% held them once a week, and only 2% </w:t>
      </w:r>
      <w:r w:rsidR="00AD379D">
        <w:rPr>
          <w:rFonts w:ascii="Arial" w:hAnsi="Arial" w:cs="Arial"/>
        </w:rPr>
        <w:lastRenderedPageBreak/>
        <w:t xml:space="preserve">had </w:t>
      </w:r>
      <w:r w:rsidR="004E24A2">
        <w:rPr>
          <w:rFonts w:ascii="Arial" w:hAnsi="Arial" w:cs="Arial"/>
        </w:rPr>
        <w:t>immunization services</w:t>
      </w:r>
      <w:r w:rsidR="00AD379D">
        <w:rPr>
          <w:rFonts w:ascii="Arial" w:hAnsi="Arial" w:cs="Arial"/>
        </w:rPr>
        <w:t xml:space="preserve"> available </w:t>
      </w:r>
      <w:r w:rsidR="004E24A2">
        <w:rPr>
          <w:rFonts w:ascii="Arial" w:hAnsi="Arial" w:cs="Arial"/>
        </w:rPr>
        <w:t xml:space="preserve">on a </w:t>
      </w:r>
      <w:r w:rsidR="00AD379D">
        <w:rPr>
          <w:rFonts w:ascii="Arial" w:hAnsi="Arial" w:cs="Arial"/>
        </w:rPr>
        <w:t>daily</w:t>
      </w:r>
      <w:r w:rsidR="004E24A2">
        <w:rPr>
          <w:rFonts w:ascii="Arial" w:hAnsi="Arial" w:cs="Arial"/>
        </w:rPr>
        <w:t xml:space="preserve"> basis</w:t>
      </w:r>
      <w:r w:rsidR="00AD379D">
        <w:rPr>
          <w:rFonts w:ascii="Arial" w:hAnsi="Arial" w:cs="Arial"/>
        </w:rPr>
        <w:t xml:space="preserve">. A key reason – in addition to the health worker issues described above – is the fact that only 16% of the 1,012 health facilities in the SARA study had refrigerators, </w:t>
      </w:r>
      <w:r w:rsidR="00A83A9B">
        <w:rPr>
          <w:rFonts w:ascii="Arial" w:hAnsi="Arial" w:cs="Arial"/>
        </w:rPr>
        <w:t>and</w:t>
      </w:r>
      <w:r w:rsidR="00AD379D">
        <w:rPr>
          <w:rFonts w:ascii="Arial" w:hAnsi="Arial" w:cs="Arial"/>
        </w:rPr>
        <w:t xml:space="preserve"> only 2% of health posts. Thus, health facilities must collect vaccine from the district medical stores themselves on the day of an immunization session. This situation may have improved recently with the purchase of addition cold chain equipment through the GAVI HSS grant.</w:t>
      </w:r>
    </w:p>
    <w:p w14:paraId="3AEA8761" w14:textId="39DFBEC8" w:rsidR="00530B48" w:rsidRDefault="00EE46A2" w:rsidP="00EB5A7D">
      <w:pPr>
        <w:pStyle w:val="ListParagraph"/>
        <w:numPr>
          <w:ilvl w:val="0"/>
          <w:numId w:val="24"/>
        </w:numPr>
        <w:contextualSpacing w:val="0"/>
        <w:rPr>
          <w:rFonts w:ascii="Arial" w:hAnsi="Arial" w:cs="Arial"/>
        </w:rPr>
      </w:pPr>
      <w:r w:rsidRPr="00AD379D">
        <w:rPr>
          <w:rFonts w:ascii="Arial" w:hAnsi="Arial" w:cs="Arial"/>
          <w:b/>
        </w:rPr>
        <w:t xml:space="preserve">Frequent vaccine shortages and </w:t>
      </w:r>
      <w:proofErr w:type="spellStart"/>
      <w:r w:rsidRPr="00AD379D">
        <w:rPr>
          <w:rFonts w:ascii="Arial" w:hAnsi="Arial" w:cs="Arial"/>
          <w:b/>
        </w:rPr>
        <w:t>stockouts</w:t>
      </w:r>
      <w:proofErr w:type="spellEnd"/>
      <w:r w:rsidR="00AD379D">
        <w:rPr>
          <w:rFonts w:ascii="Arial" w:hAnsi="Arial" w:cs="Arial"/>
        </w:rPr>
        <w:t xml:space="preserve">. Vaccine </w:t>
      </w:r>
      <w:proofErr w:type="spellStart"/>
      <w:r w:rsidR="00AD379D">
        <w:rPr>
          <w:rFonts w:ascii="Arial" w:hAnsi="Arial" w:cs="Arial"/>
        </w:rPr>
        <w:t>stockouts</w:t>
      </w:r>
      <w:proofErr w:type="spellEnd"/>
      <w:r w:rsidR="00AD379D">
        <w:rPr>
          <w:rFonts w:ascii="Arial" w:hAnsi="Arial" w:cs="Arial"/>
        </w:rPr>
        <w:t xml:space="preserve"> are common at all levels of the health system in DRC. At the central level, there were </w:t>
      </w:r>
      <w:proofErr w:type="spellStart"/>
      <w:r w:rsidR="00AD379D">
        <w:rPr>
          <w:rFonts w:ascii="Arial" w:hAnsi="Arial" w:cs="Arial"/>
        </w:rPr>
        <w:t>stockouts</w:t>
      </w:r>
      <w:proofErr w:type="spellEnd"/>
      <w:r w:rsidR="00AD379D">
        <w:rPr>
          <w:rFonts w:ascii="Arial" w:hAnsi="Arial" w:cs="Arial"/>
        </w:rPr>
        <w:t xml:space="preserve"> of BCG, yellow fever, and PCV vaccines in 2015</w:t>
      </w:r>
      <w:r w:rsidR="00A83A9B">
        <w:rPr>
          <w:rFonts w:ascii="Arial" w:hAnsi="Arial" w:cs="Arial"/>
        </w:rPr>
        <w:t xml:space="preserve"> </w:t>
      </w:r>
      <w:r w:rsidR="00AD379D">
        <w:rPr>
          <w:rFonts w:ascii="Arial" w:hAnsi="Arial" w:cs="Arial"/>
        </w:rPr>
        <w:t>and of measles and BCG in 2014.</w:t>
      </w:r>
      <w:r w:rsidR="00A83A9B" w:rsidRPr="00A83A9B">
        <w:rPr>
          <w:rStyle w:val="FootnoteReference"/>
          <w:rFonts w:ascii="Arial" w:hAnsi="Arial" w:cs="Arial"/>
        </w:rPr>
        <w:t xml:space="preserve"> </w:t>
      </w:r>
      <w:r w:rsidR="00A83A9B">
        <w:rPr>
          <w:rStyle w:val="FootnoteReference"/>
          <w:rFonts w:ascii="Arial" w:hAnsi="Arial" w:cs="Arial"/>
        </w:rPr>
        <w:footnoteReference w:id="5"/>
      </w:r>
      <w:r w:rsidR="00A83A9B">
        <w:rPr>
          <w:rFonts w:ascii="Arial" w:hAnsi="Arial" w:cs="Arial"/>
        </w:rPr>
        <w:t xml:space="preserve"> </w:t>
      </w:r>
      <w:r w:rsidR="00AD379D">
        <w:rPr>
          <w:rFonts w:ascii="Arial" w:hAnsi="Arial" w:cs="Arial"/>
        </w:rPr>
        <w:t xml:space="preserve">As of early July 2016, there was no supply in the central stores of bivalent OPV and IPV and only one month’s supply of TT vaccine. Some of these </w:t>
      </w:r>
      <w:proofErr w:type="spellStart"/>
      <w:r w:rsidR="00AD379D">
        <w:rPr>
          <w:rFonts w:ascii="Arial" w:hAnsi="Arial" w:cs="Arial"/>
        </w:rPr>
        <w:t>stockouts</w:t>
      </w:r>
      <w:proofErr w:type="spellEnd"/>
      <w:r w:rsidR="00AD379D">
        <w:rPr>
          <w:rFonts w:ascii="Arial" w:hAnsi="Arial" w:cs="Arial"/>
        </w:rPr>
        <w:t xml:space="preserve"> are due to a global supply shortage, notably BCG, which was </w:t>
      </w:r>
      <w:r w:rsidR="00530B48">
        <w:rPr>
          <w:rFonts w:ascii="Arial" w:hAnsi="Arial" w:cs="Arial"/>
        </w:rPr>
        <w:t>absent from the central store for 73 days in 2015.</w:t>
      </w:r>
      <w:r w:rsidR="00CA1D86">
        <w:rPr>
          <w:rStyle w:val="FootnoteReference"/>
          <w:rFonts w:ascii="Arial" w:hAnsi="Arial" w:cs="Arial"/>
        </w:rPr>
        <w:footnoteReference w:id="6"/>
      </w:r>
      <w:r w:rsidR="00530B48">
        <w:rPr>
          <w:rFonts w:ascii="Arial" w:hAnsi="Arial" w:cs="Arial"/>
        </w:rPr>
        <w:t xml:space="preserve"> Delays in the Government releasing funds for vaccine purchases also contribute to the </w:t>
      </w:r>
      <w:proofErr w:type="spellStart"/>
      <w:r w:rsidR="00530B48">
        <w:rPr>
          <w:rFonts w:ascii="Arial" w:hAnsi="Arial" w:cs="Arial"/>
        </w:rPr>
        <w:t>stockouts</w:t>
      </w:r>
      <w:proofErr w:type="spellEnd"/>
      <w:r w:rsidR="00530B48">
        <w:rPr>
          <w:rFonts w:ascii="Arial" w:hAnsi="Arial" w:cs="Arial"/>
        </w:rPr>
        <w:t xml:space="preserve"> at this level. </w:t>
      </w:r>
    </w:p>
    <w:p w14:paraId="26797F2E" w14:textId="1E6A231D" w:rsidR="00EE46A2" w:rsidRDefault="00530B48" w:rsidP="00EB5A7D">
      <w:pPr>
        <w:pStyle w:val="ListParagraph"/>
        <w:contextualSpacing w:val="0"/>
        <w:rPr>
          <w:rFonts w:ascii="Arial" w:hAnsi="Arial" w:cs="Arial"/>
        </w:rPr>
      </w:pPr>
      <w:r>
        <w:rPr>
          <w:rFonts w:ascii="Arial" w:hAnsi="Arial" w:cs="Arial"/>
        </w:rPr>
        <w:t xml:space="preserve">At the sub-national level, 92% of districts surveyed in the PCV post-introduction evaluation (PIE) in 2014 had experienced a </w:t>
      </w:r>
      <w:proofErr w:type="spellStart"/>
      <w:r>
        <w:rPr>
          <w:rFonts w:ascii="Arial" w:hAnsi="Arial" w:cs="Arial"/>
        </w:rPr>
        <w:t>stockout</w:t>
      </w:r>
      <w:proofErr w:type="spellEnd"/>
      <w:r>
        <w:rPr>
          <w:rFonts w:ascii="Arial" w:hAnsi="Arial" w:cs="Arial"/>
        </w:rPr>
        <w:t xml:space="preserve"> of at least one vaccine</w:t>
      </w:r>
      <w:r w:rsidR="00CA1D86">
        <w:rPr>
          <w:rFonts w:ascii="Arial" w:hAnsi="Arial" w:cs="Arial"/>
        </w:rPr>
        <w:t xml:space="preserve"> in the previous six months</w:t>
      </w:r>
      <w:r>
        <w:rPr>
          <w:rFonts w:ascii="Arial" w:hAnsi="Arial" w:cs="Arial"/>
        </w:rPr>
        <w:t>, including PCV, even though it was available at the central level during at the time.</w:t>
      </w:r>
      <w:r w:rsidR="00CA1D86">
        <w:rPr>
          <w:rStyle w:val="FootnoteReference"/>
          <w:rFonts w:ascii="Arial" w:hAnsi="Arial" w:cs="Arial"/>
        </w:rPr>
        <w:footnoteReference w:id="7"/>
      </w:r>
      <w:r>
        <w:rPr>
          <w:rFonts w:ascii="Arial" w:hAnsi="Arial" w:cs="Arial"/>
        </w:rPr>
        <w:t xml:space="preserve"> </w:t>
      </w:r>
      <w:proofErr w:type="gramStart"/>
      <w:r>
        <w:rPr>
          <w:rFonts w:ascii="Arial" w:hAnsi="Arial" w:cs="Arial"/>
        </w:rPr>
        <w:t>This points</w:t>
      </w:r>
      <w:proofErr w:type="gramEnd"/>
      <w:r>
        <w:rPr>
          <w:rFonts w:ascii="Arial" w:hAnsi="Arial" w:cs="Arial"/>
        </w:rPr>
        <w:t xml:space="preserve"> to severe distribution problems from the national to the lower levels. Only two provinces (Bas-Congo and Bandundu) and the city of Kinshasa have vaccines delivered by road; all other provinces are at the mercy of a few air-freight companies for their vaccine deliveries. These companies have routes and itineraries that do not necessarily meet the needs of the provinces, and they charge more than $2 million a year to airship vaccines to the interior. In addition, many </w:t>
      </w:r>
      <w:r w:rsidR="00364456">
        <w:rPr>
          <w:rFonts w:ascii="Arial" w:hAnsi="Arial" w:cs="Arial"/>
        </w:rPr>
        <w:t>health provinces (</w:t>
      </w:r>
      <w:r>
        <w:rPr>
          <w:rFonts w:ascii="Arial" w:hAnsi="Arial" w:cs="Arial"/>
        </w:rPr>
        <w:t>DPSs</w:t>
      </w:r>
      <w:r w:rsidR="00364456">
        <w:rPr>
          <w:rFonts w:ascii="Arial" w:hAnsi="Arial" w:cs="Arial"/>
        </w:rPr>
        <w:t>)</w:t>
      </w:r>
      <w:r>
        <w:rPr>
          <w:rFonts w:ascii="Arial" w:hAnsi="Arial" w:cs="Arial"/>
        </w:rPr>
        <w:t xml:space="preserve"> do not have appropriate, functioning means of transporting vaccines to the districts, although more are now obtaining vehicles with HSS support.</w:t>
      </w:r>
    </w:p>
    <w:p w14:paraId="62CBAE4C" w14:textId="63A7C2DB" w:rsidR="00530B48" w:rsidRPr="00530B48" w:rsidRDefault="00530B48" w:rsidP="00EB5A7D">
      <w:pPr>
        <w:pStyle w:val="ListParagraph"/>
        <w:contextualSpacing w:val="0"/>
        <w:rPr>
          <w:rFonts w:ascii="Arial" w:hAnsi="Arial" w:cs="Arial"/>
        </w:rPr>
      </w:pPr>
      <w:r>
        <w:rPr>
          <w:rFonts w:ascii="Arial" w:hAnsi="Arial" w:cs="Arial"/>
        </w:rPr>
        <w:t xml:space="preserve">The unavailability of vaccines at the health facility level was the top reason </w:t>
      </w:r>
      <w:r w:rsidR="009462E5">
        <w:rPr>
          <w:rFonts w:ascii="Arial" w:hAnsi="Arial" w:cs="Arial"/>
        </w:rPr>
        <w:t xml:space="preserve">found in the 2013 DHS that </w:t>
      </w:r>
      <w:r>
        <w:rPr>
          <w:rFonts w:ascii="Arial" w:hAnsi="Arial" w:cs="Arial"/>
        </w:rPr>
        <w:t>children did not get vaccinated</w:t>
      </w:r>
      <w:r w:rsidR="009462E5">
        <w:rPr>
          <w:rFonts w:ascii="Arial" w:hAnsi="Arial" w:cs="Arial"/>
        </w:rPr>
        <w:t xml:space="preserve"> </w:t>
      </w:r>
      <w:r>
        <w:rPr>
          <w:rFonts w:ascii="Arial" w:hAnsi="Arial" w:cs="Arial"/>
        </w:rPr>
        <w:t>– cited by 26% of parents whose children</w:t>
      </w:r>
      <w:r w:rsidR="009462E5">
        <w:rPr>
          <w:rFonts w:ascii="Arial" w:hAnsi="Arial" w:cs="Arial"/>
        </w:rPr>
        <w:t xml:space="preserve"> did n</w:t>
      </w:r>
      <w:r w:rsidR="001C28AB">
        <w:rPr>
          <w:rFonts w:ascii="Arial" w:hAnsi="Arial" w:cs="Arial"/>
        </w:rPr>
        <w:t>ot receive vaccines on schedule</w:t>
      </w:r>
      <w:r w:rsidR="009462E5">
        <w:rPr>
          <w:rFonts w:ascii="Arial" w:hAnsi="Arial" w:cs="Arial"/>
        </w:rPr>
        <w:t>.</w:t>
      </w:r>
      <w:r w:rsidR="001C28AB">
        <w:rPr>
          <w:rStyle w:val="FootnoteReference"/>
          <w:rFonts w:ascii="Arial" w:hAnsi="Arial" w:cs="Arial"/>
        </w:rPr>
        <w:footnoteReference w:id="8"/>
      </w:r>
      <w:r w:rsidR="009462E5">
        <w:rPr>
          <w:rFonts w:ascii="Arial" w:hAnsi="Arial" w:cs="Arial"/>
        </w:rPr>
        <w:t xml:space="preserve"> Vaccine </w:t>
      </w:r>
      <w:proofErr w:type="spellStart"/>
      <w:r w:rsidR="009462E5">
        <w:rPr>
          <w:rFonts w:ascii="Arial" w:hAnsi="Arial" w:cs="Arial"/>
        </w:rPr>
        <w:t>stockouts</w:t>
      </w:r>
      <w:proofErr w:type="spellEnd"/>
      <w:r w:rsidR="009462E5">
        <w:rPr>
          <w:rFonts w:ascii="Arial" w:hAnsi="Arial" w:cs="Arial"/>
        </w:rPr>
        <w:t xml:space="preserve"> were also found in the 2012 EPI review to be the cause in 27% of the cases where planned outreach activities did not take place.</w:t>
      </w:r>
      <w:r w:rsidR="001C28AB">
        <w:rPr>
          <w:rStyle w:val="FootnoteReference"/>
          <w:rFonts w:ascii="Arial" w:hAnsi="Arial" w:cs="Arial"/>
        </w:rPr>
        <w:footnoteReference w:id="9"/>
      </w:r>
      <w:r w:rsidR="009462E5">
        <w:rPr>
          <w:rFonts w:ascii="Arial" w:hAnsi="Arial" w:cs="Arial"/>
        </w:rPr>
        <w:t xml:space="preserve"> While health facilities without refrigerators are not expected to store vaccine, the SARA study found that vaccine </w:t>
      </w:r>
      <w:proofErr w:type="spellStart"/>
      <w:r w:rsidR="009462E5">
        <w:rPr>
          <w:rFonts w:ascii="Arial" w:hAnsi="Arial" w:cs="Arial"/>
        </w:rPr>
        <w:t>stockouts</w:t>
      </w:r>
      <w:proofErr w:type="spellEnd"/>
      <w:r w:rsidR="009462E5">
        <w:rPr>
          <w:rFonts w:ascii="Arial" w:hAnsi="Arial" w:cs="Arial"/>
        </w:rPr>
        <w:t xml:space="preserve"> in facilities with refrigerators were also common. At the time of the assessment team’s visit, 44% of these facilities had no PCV vaccine and 19-24% had </w:t>
      </w:r>
      <w:proofErr w:type="spellStart"/>
      <w:r w:rsidR="009462E5">
        <w:rPr>
          <w:rFonts w:ascii="Arial" w:hAnsi="Arial" w:cs="Arial"/>
        </w:rPr>
        <w:t>stockouts</w:t>
      </w:r>
      <w:proofErr w:type="spellEnd"/>
      <w:r w:rsidR="009462E5">
        <w:rPr>
          <w:rFonts w:ascii="Arial" w:hAnsi="Arial" w:cs="Arial"/>
        </w:rPr>
        <w:t xml:space="preserve"> of measles, pentavalent or polio vaccines.</w:t>
      </w:r>
      <w:r w:rsidR="001C28AB">
        <w:rPr>
          <w:rStyle w:val="FootnoteReference"/>
          <w:rFonts w:ascii="Arial" w:hAnsi="Arial" w:cs="Arial"/>
        </w:rPr>
        <w:footnoteReference w:id="10"/>
      </w:r>
      <w:r w:rsidR="009462E5">
        <w:rPr>
          <w:rFonts w:ascii="Arial" w:hAnsi="Arial" w:cs="Arial"/>
        </w:rPr>
        <w:t xml:space="preserve"> These </w:t>
      </w:r>
      <w:proofErr w:type="spellStart"/>
      <w:r w:rsidR="009462E5">
        <w:rPr>
          <w:rFonts w:ascii="Arial" w:hAnsi="Arial" w:cs="Arial"/>
        </w:rPr>
        <w:t>stockouts</w:t>
      </w:r>
      <w:proofErr w:type="spellEnd"/>
      <w:r w:rsidR="009462E5">
        <w:rPr>
          <w:rFonts w:ascii="Arial" w:hAnsi="Arial" w:cs="Arial"/>
        </w:rPr>
        <w:t xml:space="preserve"> are due to the vaccine shortages at high levels, as well as to a lack of transport at health facilities to collect v</w:t>
      </w:r>
      <w:r w:rsidR="001C28AB">
        <w:rPr>
          <w:rFonts w:ascii="Arial" w:hAnsi="Arial" w:cs="Arial"/>
        </w:rPr>
        <w:t>accine from the district stores</w:t>
      </w:r>
      <w:r w:rsidR="009462E5">
        <w:rPr>
          <w:rFonts w:ascii="Arial" w:hAnsi="Arial" w:cs="Arial"/>
        </w:rPr>
        <w:t>.</w:t>
      </w:r>
    </w:p>
    <w:p w14:paraId="071FE19E" w14:textId="7D296176" w:rsidR="00EE46A2" w:rsidRDefault="00EE46A2" w:rsidP="00EB5A7D">
      <w:pPr>
        <w:pStyle w:val="ListParagraph"/>
        <w:numPr>
          <w:ilvl w:val="0"/>
          <w:numId w:val="24"/>
        </w:numPr>
        <w:contextualSpacing w:val="0"/>
        <w:rPr>
          <w:rFonts w:ascii="Arial" w:hAnsi="Arial" w:cs="Arial"/>
        </w:rPr>
      </w:pPr>
      <w:r w:rsidRPr="009462E5">
        <w:rPr>
          <w:rFonts w:ascii="Arial" w:hAnsi="Arial" w:cs="Arial"/>
          <w:b/>
        </w:rPr>
        <w:lastRenderedPageBreak/>
        <w:t>Inadequate outreach activities</w:t>
      </w:r>
      <w:r w:rsidR="009462E5">
        <w:rPr>
          <w:rFonts w:ascii="Arial" w:hAnsi="Arial" w:cs="Arial"/>
        </w:rPr>
        <w:t>. According to the SARA study, 80% of health facilities offering immunization provide services only at the facility. The 2013 DHS found that, while 27% of children lived far enough away from a health facility to be eligible for outreach services, only 7% of vaccinated children were reached through this strategy, increasing the likelihood of the</w:t>
      </w:r>
      <w:r w:rsidR="001C28AB">
        <w:rPr>
          <w:rFonts w:ascii="Arial" w:hAnsi="Arial" w:cs="Arial"/>
        </w:rPr>
        <w:t>ir</w:t>
      </w:r>
      <w:r w:rsidR="009462E5">
        <w:rPr>
          <w:rFonts w:ascii="Arial" w:hAnsi="Arial" w:cs="Arial"/>
        </w:rPr>
        <w:t xml:space="preserve"> being missed or not completing these immunizations. A lack of transportation was given as the reason outreach activities did not take place in 41% of cases in the 2012 EPI review.</w:t>
      </w:r>
      <w:r w:rsidR="001C28AB">
        <w:rPr>
          <w:rStyle w:val="FootnoteReference"/>
          <w:rFonts w:ascii="Arial" w:hAnsi="Arial" w:cs="Arial"/>
        </w:rPr>
        <w:footnoteReference w:id="11"/>
      </w:r>
      <w:r w:rsidR="009462E5">
        <w:rPr>
          <w:rFonts w:ascii="Arial" w:hAnsi="Arial" w:cs="Arial"/>
        </w:rPr>
        <w:t xml:space="preserve"> Other likely factors are the shortage of health workers and lack of financial incentive to conduct outreach activities.</w:t>
      </w:r>
    </w:p>
    <w:p w14:paraId="5C17DF93" w14:textId="6BF85746" w:rsidR="00EE46A2" w:rsidRPr="004E24A2" w:rsidRDefault="00EE46A2" w:rsidP="00EB5A7D">
      <w:pPr>
        <w:pStyle w:val="ListParagraph"/>
        <w:numPr>
          <w:ilvl w:val="0"/>
          <w:numId w:val="24"/>
        </w:numPr>
        <w:contextualSpacing w:val="0"/>
        <w:rPr>
          <w:rFonts w:ascii="Arial" w:hAnsi="Arial" w:cs="Arial"/>
          <w:lang w:val="en-US"/>
        </w:rPr>
      </w:pPr>
      <w:r w:rsidRPr="004E24A2">
        <w:rPr>
          <w:rFonts w:ascii="Arial" w:hAnsi="Arial" w:cs="Arial"/>
          <w:b/>
          <w:lang w:val="en-US"/>
        </w:rPr>
        <w:t>Insufficient community-based communications and community involvement in health and immunization promotion</w:t>
      </w:r>
      <w:r w:rsidR="009462E5" w:rsidRPr="004E24A2">
        <w:rPr>
          <w:rFonts w:ascii="Arial" w:hAnsi="Arial" w:cs="Arial"/>
          <w:lang w:val="en-US"/>
        </w:rPr>
        <w:t xml:space="preserve">. </w:t>
      </w:r>
      <w:r w:rsidR="00364456" w:rsidRPr="004E24A2">
        <w:rPr>
          <w:rFonts w:ascii="Arial" w:hAnsi="Arial" w:cs="Arial"/>
          <w:lang w:val="en-US"/>
        </w:rPr>
        <w:t>DRC has established a system to link health facilities to each community and involve community members in health promotion, inc</w:t>
      </w:r>
      <w:r w:rsidR="004E24A2" w:rsidRPr="004E24A2">
        <w:rPr>
          <w:rFonts w:ascii="Arial" w:hAnsi="Arial" w:cs="Arial"/>
          <w:lang w:val="en-US"/>
        </w:rPr>
        <w:t>l</w:t>
      </w:r>
      <w:r w:rsidR="00364456" w:rsidRPr="004E24A2">
        <w:rPr>
          <w:rFonts w:ascii="Arial" w:hAnsi="Arial" w:cs="Arial"/>
          <w:lang w:val="en-US"/>
        </w:rPr>
        <w:t>uding immunization. In principal, one community volunteer (</w:t>
      </w:r>
      <w:proofErr w:type="spellStart"/>
      <w:r w:rsidR="00364456" w:rsidRPr="004E24A2">
        <w:rPr>
          <w:rFonts w:ascii="Arial" w:hAnsi="Arial" w:cs="Arial"/>
          <w:i/>
          <w:lang w:val="en-US"/>
        </w:rPr>
        <w:t>relais</w:t>
      </w:r>
      <w:proofErr w:type="spellEnd"/>
      <w:r w:rsidR="00364456" w:rsidRPr="004E24A2">
        <w:rPr>
          <w:rFonts w:ascii="Arial" w:hAnsi="Arial" w:cs="Arial"/>
          <w:i/>
          <w:lang w:val="en-US"/>
        </w:rPr>
        <w:t xml:space="preserve"> </w:t>
      </w:r>
      <w:proofErr w:type="spellStart"/>
      <w:r w:rsidR="00364456" w:rsidRPr="004E24A2">
        <w:rPr>
          <w:rFonts w:ascii="Arial" w:hAnsi="Arial" w:cs="Arial"/>
          <w:i/>
          <w:lang w:val="en-US"/>
        </w:rPr>
        <w:t>communautaire</w:t>
      </w:r>
      <w:proofErr w:type="spellEnd"/>
      <w:r w:rsidR="00364456" w:rsidRPr="004E24A2">
        <w:rPr>
          <w:rFonts w:ascii="Arial" w:hAnsi="Arial" w:cs="Arial"/>
          <w:lang w:val="en-US"/>
        </w:rPr>
        <w:t>) exists for every 25-30 households, and one volunteer per village is a member of the Development Committee (CODESA) for the catchment area (</w:t>
      </w:r>
      <w:proofErr w:type="spellStart"/>
      <w:r w:rsidR="00364456" w:rsidRPr="004E24A2">
        <w:rPr>
          <w:rFonts w:ascii="Arial" w:hAnsi="Arial" w:cs="Arial"/>
          <w:i/>
          <w:lang w:val="en-US"/>
        </w:rPr>
        <w:t>aire</w:t>
      </w:r>
      <w:proofErr w:type="spellEnd"/>
      <w:r w:rsidR="00364456" w:rsidRPr="004E24A2">
        <w:rPr>
          <w:rFonts w:ascii="Arial" w:hAnsi="Arial" w:cs="Arial"/>
          <w:i/>
          <w:lang w:val="en-US"/>
        </w:rPr>
        <w:t xml:space="preserve"> de santé</w:t>
      </w:r>
      <w:r w:rsidR="00364456" w:rsidRPr="004E24A2">
        <w:rPr>
          <w:rFonts w:ascii="Arial" w:hAnsi="Arial" w:cs="Arial"/>
          <w:lang w:val="en-US"/>
        </w:rPr>
        <w:t xml:space="preserve">) of the health center. In the area of immunization, these volunteers inform community members about vaccines and immunization services, help plan and implement disease surveillance and vaccination activities, track </w:t>
      </w:r>
      <w:r w:rsidR="001C28AB">
        <w:rPr>
          <w:rFonts w:ascii="Arial" w:hAnsi="Arial" w:cs="Arial"/>
          <w:lang w:val="en-US"/>
        </w:rPr>
        <w:t xml:space="preserve">immunization </w:t>
      </w:r>
      <w:r w:rsidR="00364456" w:rsidRPr="004E24A2">
        <w:rPr>
          <w:rFonts w:ascii="Arial" w:hAnsi="Arial" w:cs="Arial"/>
          <w:lang w:val="en-US"/>
        </w:rPr>
        <w:t xml:space="preserve">defaulters, and participate in health district council meetings. Each DPS has a communications focal point and most districts have community </w:t>
      </w:r>
      <w:r w:rsidR="001C28AB">
        <w:rPr>
          <w:rFonts w:ascii="Arial" w:hAnsi="Arial" w:cs="Arial"/>
          <w:lang w:val="en-US"/>
        </w:rPr>
        <w:t>workers</w:t>
      </w:r>
      <w:r w:rsidR="00364456" w:rsidRPr="004E24A2">
        <w:rPr>
          <w:rFonts w:ascii="Arial" w:hAnsi="Arial" w:cs="Arial"/>
          <w:lang w:val="en-US"/>
        </w:rPr>
        <w:t xml:space="preserve"> (</w:t>
      </w:r>
      <w:proofErr w:type="spellStart"/>
      <w:r w:rsidR="00364456" w:rsidRPr="004E24A2">
        <w:rPr>
          <w:rFonts w:ascii="Arial" w:hAnsi="Arial" w:cs="Arial"/>
          <w:i/>
          <w:lang w:val="en-US"/>
        </w:rPr>
        <w:t>animateurs</w:t>
      </w:r>
      <w:proofErr w:type="spellEnd"/>
      <w:r w:rsidR="00364456" w:rsidRPr="004E24A2">
        <w:rPr>
          <w:rFonts w:ascii="Arial" w:hAnsi="Arial" w:cs="Arial"/>
          <w:i/>
          <w:lang w:val="en-US"/>
        </w:rPr>
        <w:t xml:space="preserve"> </w:t>
      </w:r>
      <w:proofErr w:type="spellStart"/>
      <w:r w:rsidR="00364456" w:rsidRPr="004E24A2">
        <w:rPr>
          <w:rFonts w:ascii="Arial" w:hAnsi="Arial" w:cs="Arial"/>
          <w:i/>
          <w:lang w:val="en-US"/>
        </w:rPr>
        <w:t>communautaires</w:t>
      </w:r>
      <w:proofErr w:type="spellEnd"/>
      <w:r w:rsidR="00364456" w:rsidRPr="004E24A2">
        <w:rPr>
          <w:rFonts w:ascii="Arial" w:hAnsi="Arial" w:cs="Arial"/>
          <w:lang w:val="en-US"/>
        </w:rPr>
        <w:t xml:space="preserve">) who support the health centers and community volunteers with communication and social mobilization activities. The PCV </w:t>
      </w:r>
      <w:r w:rsidR="000178D5">
        <w:rPr>
          <w:rFonts w:ascii="Arial" w:hAnsi="Arial" w:cs="Arial"/>
        </w:rPr>
        <w:t>post-introduction evaluation (</w:t>
      </w:r>
      <w:r w:rsidR="00364456" w:rsidRPr="004E24A2">
        <w:rPr>
          <w:rFonts w:ascii="Arial" w:hAnsi="Arial" w:cs="Arial"/>
          <w:lang w:val="en-US"/>
        </w:rPr>
        <w:t>PIE</w:t>
      </w:r>
      <w:r w:rsidR="000178D5">
        <w:rPr>
          <w:rFonts w:ascii="Arial" w:hAnsi="Arial" w:cs="Arial"/>
          <w:lang w:val="en-US"/>
        </w:rPr>
        <w:t>)</w:t>
      </w:r>
      <w:r w:rsidR="00364456" w:rsidRPr="004E24A2">
        <w:rPr>
          <w:rFonts w:ascii="Arial" w:hAnsi="Arial" w:cs="Arial"/>
          <w:lang w:val="en-US"/>
        </w:rPr>
        <w:t xml:space="preserve"> found that 34% of mothers knowledgeable about the new vaccine had learned about it from a community volunteer and they were the #2 source of information after health personnel.</w:t>
      </w:r>
      <w:r w:rsidR="001C28AB">
        <w:rPr>
          <w:rStyle w:val="FootnoteReference"/>
          <w:rFonts w:ascii="Arial" w:hAnsi="Arial" w:cs="Arial"/>
          <w:lang w:val="en-US"/>
        </w:rPr>
        <w:footnoteReference w:id="12"/>
      </w:r>
      <w:r w:rsidR="00364456" w:rsidRPr="004E24A2">
        <w:rPr>
          <w:rFonts w:ascii="Arial" w:hAnsi="Arial" w:cs="Arial"/>
          <w:lang w:val="en-US"/>
        </w:rPr>
        <w:t xml:space="preserve"> </w:t>
      </w:r>
    </w:p>
    <w:p w14:paraId="0207F267" w14:textId="5CEC73D1" w:rsidR="001E7D06" w:rsidRDefault="001E7D06" w:rsidP="00EB5A7D">
      <w:pPr>
        <w:pStyle w:val="ListParagraph"/>
        <w:contextualSpacing w:val="0"/>
        <w:rPr>
          <w:rFonts w:ascii="Arial" w:hAnsi="Arial" w:cs="Arial"/>
        </w:rPr>
      </w:pPr>
      <w:r w:rsidRPr="001E7D06">
        <w:rPr>
          <w:rFonts w:ascii="Arial" w:hAnsi="Arial" w:cs="Arial"/>
        </w:rPr>
        <w:t>However, although the number of community</w:t>
      </w:r>
      <w:r>
        <w:rPr>
          <w:rFonts w:ascii="Arial" w:hAnsi="Arial" w:cs="Arial"/>
        </w:rPr>
        <w:t xml:space="preserve"> volunteers has reportedly increased, the reality on the ground is different. According to the 2012 EPI review, these volunteers often lack motivation and are increasingly disengaged in some districts.</w:t>
      </w:r>
    </w:p>
    <w:p w14:paraId="60536BF0" w14:textId="073EDA4F" w:rsidR="001E7D06" w:rsidRDefault="001E7D06" w:rsidP="00EB5A7D">
      <w:pPr>
        <w:pStyle w:val="ListParagraph"/>
        <w:contextualSpacing w:val="0"/>
        <w:rPr>
          <w:rFonts w:ascii="Arial" w:hAnsi="Arial" w:cs="Arial"/>
        </w:rPr>
      </w:pPr>
      <w:r>
        <w:rPr>
          <w:rFonts w:ascii="Arial" w:hAnsi="Arial" w:cs="Arial"/>
        </w:rPr>
        <w:t xml:space="preserve">Inadequate knowledge and demand from the population were found to be a major reason for children not </w:t>
      </w:r>
      <w:r w:rsidR="00F453F4">
        <w:rPr>
          <w:rFonts w:ascii="Arial" w:hAnsi="Arial" w:cs="Arial"/>
        </w:rPr>
        <w:t>being</w:t>
      </w:r>
      <w:r>
        <w:rPr>
          <w:rFonts w:ascii="Arial" w:hAnsi="Arial" w:cs="Arial"/>
        </w:rPr>
        <w:t xml:space="preserve"> vaccinated. In the 2012 DHS, coverage for pentavalent vaccine fell from 81% for the first dose to 61% for the third (a dropout rate of 25%), while the dropout rate for polio vaccine from the first to the third dose was 28%. A lack of knowledge about the importance of vaccination, about the need for more than one dose</w:t>
      </w:r>
      <w:r w:rsidR="00F453F4">
        <w:rPr>
          <w:rFonts w:ascii="Arial" w:hAnsi="Arial" w:cs="Arial"/>
        </w:rPr>
        <w:t xml:space="preserve"> for several vaccines</w:t>
      </w:r>
      <w:r>
        <w:rPr>
          <w:rFonts w:ascii="Arial" w:hAnsi="Arial" w:cs="Arial"/>
        </w:rPr>
        <w:t>, and about the time and place of vaccination were commonly cited by mothers who</w:t>
      </w:r>
      <w:r w:rsidR="004E24A2">
        <w:rPr>
          <w:rFonts w:ascii="Arial" w:hAnsi="Arial" w:cs="Arial"/>
        </w:rPr>
        <w:t>se</w:t>
      </w:r>
      <w:r>
        <w:rPr>
          <w:rFonts w:ascii="Arial" w:hAnsi="Arial" w:cs="Arial"/>
        </w:rPr>
        <w:t xml:space="preserve"> 1-11 month olds did not complete their vaccinations.</w:t>
      </w:r>
      <w:r w:rsidR="00F453F4">
        <w:rPr>
          <w:rStyle w:val="FootnoteReference"/>
          <w:rFonts w:ascii="Arial" w:hAnsi="Arial" w:cs="Arial"/>
        </w:rPr>
        <w:footnoteReference w:id="13"/>
      </w:r>
      <w:r>
        <w:rPr>
          <w:rFonts w:ascii="Arial" w:hAnsi="Arial" w:cs="Arial"/>
        </w:rPr>
        <w:t xml:space="preserve"> Religious objections were also a reason for children not being vaccinated, accounting for 7% of responses about all factors contributing to the non-vaccination of children.</w:t>
      </w:r>
    </w:p>
    <w:p w14:paraId="255F87E0" w14:textId="135FEEDE" w:rsidR="001E7D06" w:rsidRPr="00F453F4" w:rsidRDefault="001E7D06" w:rsidP="001E7D06">
      <w:pPr>
        <w:rPr>
          <w:rFonts w:ascii="Arial" w:hAnsi="Arial" w:cs="Arial"/>
          <w:lang w:val="en-US"/>
        </w:rPr>
      </w:pPr>
      <w:r w:rsidRPr="00F453F4">
        <w:rPr>
          <w:rFonts w:ascii="Arial" w:hAnsi="Arial" w:cs="Arial"/>
          <w:lang w:val="en-US"/>
        </w:rPr>
        <w:t xml:space="preserve">The </w:t>
      </w:r>
      <w:proofErr w:type="gramStart"/>
      <w:r w:rsidRPr="00F453F4">
        <w:rPr>
          <w:rFonts w:ascii="Arial" w:hAnsi="Arial" w:cs="Arial"/>
          <w:lang w:val="en-US"/>
        </w:rPr>
        <w:t>results of these factors – along with inadequate supervision – is</w:t>
      </w:r>
      <w:proofErr w:type="gramEnd"/>
      <w:r w:rsidRPr="00F453F4">
        <w:rPr>
          <w:rFonts w:ascii="Arial" w:hAnsi="Arial" w:cs="Arial"/>
          <w:lang w:val="en-US"/>
        </w:rPr>
        <w:t xml:space="preserve"> many missed opportunities. A child may come to the health center, but it’s not the</w:t>
      </w:r>
      <w:r w:rsidR="00AA42DB" w:rsidRPr="00F453F4">
        <w:rPr>
          <w:rFonts w:ascii="Arial" w:hAnsi="Arial" w:cs="Arial"/>
          <w:lang w:val="en-US"/>
        </w:rPr>
        <w:t xml:space="preserve"> one day of the month when an im</w:t>
      </w:r>
      <w:r w:rsidRPr="00F453F4">
        <w:rPr>
          <w:rFonts w:ascii="Arial" w:hAnsi="Arial" w:cs="Arial"/>
          <w:lang w:val="en-US"/>
        </w:rPr>
        <w:t xml:space="preserve">munization session is held, or if it is, certain vaccines are not available, </w:t>
      </w:r>
      <w:r w:rsidRPr="00F453F4">
        <w:rPr>
          <w:rFonts w:ascii="Arial" w:hAnsi="Arial" w:cs="Arial"/>
          <w:lang w:val="en-US"/>
        </w:rPr>
        <w:lastRenderedPageBreak/>
        <w:t xml:space="preserve">discouraging parents from coming back. Health workers may </w:t>
      </w:r>
      <w:r w:rsidR="00AA42DB" w:rsidRPr="00F453F4">
        <w:rPr>
          <w:rFonts w:ascii="Arial" w:hAnsi="Arial" w:cs="Arial"/>
          <w:lang w:val="en-US"/>
        </w:rPr>
        <w:t xml:space="preserve">also </w:t>
      </w:r>
      <w:r w:rsidRPr="00F453F4">
        <w:rPr>
          <w:rFonts w:ascii="Arial" w:hAnsi="Arial" w:cs="Arial"/>
          <w:lang w:val="en-US"/>
        </w:rPr>
        <w:t xml:space="preserve">miss </w:t>
      </w:r>
      <w:r w:rsidR="00AA42DB" w:rsidRPr="00F453F4">
        <w:rPr>
          <w:rFonts w:ascii="Arial" w:hAnsi="Arial" w:cs="Arial"/>
          <w:lang w:val="en-US"/>
        </w:rPr>
        <w:t xml:space="preserve">the </w:t>
      </w:r>
      <w:r w:rsidRPr="00F453F4">
        <w:rPr>
          <w:rFonts w:ascii="Arial" w:hAnsi="Arial" w:cs="Arial"/>
          <w:lang w:val="en-US"/>
        </w:rPr>
        <w:t>opportunit</w:t>
      </w:r>
      <w:r w:rsidR="00AA42DB" w:rsidRPr="00F453F4">
        <w:rPr>
          <w:rFonts w:ascii="Arial" w:hAnsi="Arial" w:cs="Arial"/>
          <w:lang w:val="en-US"/>
        </w:rPr>
        <w:t>y to inform mothers of the needs to bring their child</w:t>
      </w:r>
      <w:r w:rsidR="000178D5" w:rsidRPr="00F453F4">
        <w:rPr>
          <w:rFonts w:ascii="Arial" w:hAnsi="Arial" w:cs="Arial"/>
          <w:lang w:val="en-US"/>
        </w:rPr>
        <w:t xml:space="preserve"> back for subsequent doses and w</w:t>
      </w:r>
      <w:r w:rsidR="00AA42DB" w:rsidRPr="00F453F4">
        <w:rPr>
          <w:rFonts w:ascii="Arial" w:hAnsi="Arial" w:cs="Arial"/>
          <w:lang w:val="en-US"/>
        </w:rPr>
        <w:t>hen to do this.</w:t>
      </w:r>
      <w:r w:rsidRPr="00F453F4">
        <w:rPr>
          <w:rFonts w:ascii="Arial" w:hAnsi="Arial" w:cs="Arial"/>
          <w:lang w:val="en-US"/>
        </w:rPr>
        <w:t xml:space="preserve"> </w:t>
      </w:r>
    </w:p>
    <w:p w14:paraId="218109F8" w14:textId="1149AD6B" w:rsidR="00AA42DB" w:rsidRDefault="00AA42DB" w:rsidP="001E7D06">
      <w:pPr>
        <w:rPr>
          <w:rFonts w:ascii="Arial" w:hAnsi="Arial" w:cs="Arial"/>
        </w:rPr>
      </w:pPr>
      <w:r>
        <w:rPr>
          <w:rFonts w:ascii="Arial" w:hAnsi="Arial" w:cs="Arial"/>
        </w:rPr>
        <w:t xml:space="preserve">Given the severity of these problems – the lack of salaries for most health workers, the infrequency of immunization services and frequent vaccine </w:t>
      </w:r>
      <w:proofErr w:type="spellStart"/>
      <w:r>
        <w:rPr>
          <w:rFonts w:ascii="Arial" w:hAnsi="Arial" w:cs="Arial"/>
        </w:rPr>
        <w:t>stockouts</w:t>
      </w:r>
      <w:proofErr w:type="spellEnd"/>
      <w:r>
        <w:rPr>
          <w:rFonts w:ascii="Arial" w:hAnsi="Arial" w:cs="Arial"/>
        </w:rPr>
        <w:t xml:space="preserve"> – not to mention the low disbursement rate and delays in the release of government funds for immunization and the presence of armed groups in some areas – it seems quite remarkable that the WHO-UNICEF national coverage estimate for DPT3 is 81%, a figure that surpasses that of several other countries in the region (e.g., Nigeria, Uganda, Chad)</w:t>
      </w:r>
      <w:r w:rsidR="00F453F4">
        <w:rPr>
          <w:rFonts w:ascii="Arial" w:hAnsi="Arial" w:cs="Arial"/>
        </w:rPr>
        <w:t xml:space="preserve"> and matches that of Indonesia</w:t>
      </w:r>
      <w:r>
        <w:rPr>
          <w:rFonts w:ascii="Arial" w:hAnsi="Arial" w:cs="Arial"/>
        </w:rPr>
        <w:t xml:space="preserve">. It may be that the WUENIC estimate is high, given </w:t>
      </w:r>
      <w:r w:rsidR="000178D5">
        <w:rPr>
          <w:rFonts w:ascii="Arial" w:hAnsi="Arial" w:cs="Arial"/>
        </w:rPr>
        <w:t xml:space="preserve">the </w:t>
      </w:r>
      <w:r>
        <w:rPr>
          <w:rFonts w:ascii="Arial" w:hAnsi="Arial" w:cs="Arial"/>
        </w:rPr>
        <w:t>14 percentage point</w:t>
      </w:r>
      <w:r w:rsidR="000178D5">
        <w:rPr>
          <w:rFonts w:ascii="Arial" w:hAnsi="Arial" w:cs="Arial"/>
        </w:rPr>
        <w:t xml:space="preserve"> difference</w:t>
      </w:r>
      <w:r>
        <w:rPr>
          <w:rFonts w:ascii="Arial" w:hAnsi="Arial" w:cs="Arial"/>
        </w:rPr>
        <w:t xml:space="preserve"> between the WUENIC and DHS DPT3 coverage estimates for 2012. Other possible explanations for this relatively high coverage include:</w:t>
      </w:r>
      <w:r w:rsidR="000178D5">
        <w:rPr>
          <w:rFonts w:ascii="Arial" w:hAnsi="Arial" w:cs="Arial"/>
        </w:rPr>
        <w:t xml:space="preserve"> </w:t>
      </w:r>
    </w:p>
    <w:p w14:paraId="45D8E018" w14:textId="528E957F" w:rsidR="00AA42DB" w:rsidRDefault="00DE3314" w:rsidP="00EB5A7D">
      <w:pPr>
        <w:pStyle w:val="ListParagraph"/>
        <w:numPr>
          <w:ilvl w:val="0"/>
          <w:numId w:val="25"/>
        </w:numPr>
        <w:contextualSpacing w:val="0"/>
        <w:rPr>
          <w:rFonts w:ascii="Arial" w:hAnsi="Arial" w:cs="Arial"/>
        </w:rPr>
      </w:pPr>
      <w:r w:rsidRPr="00EB5A7D">
        <w:rPr>
          <w:rFonts w:ascii="Arial" w:hAnsi="Arial" w:cs="Arial"/>
          <w:b/>
        </w:rPr>
        <w:t>Implementation of vaccination campaigns and special events</w:t>
      </w:r>
      <w:r>
        <w:rPr>
          <w:rFonts w:ascii="Arial" w:hAnsi="Arial" w:cs="Arial"/>
        </w:rPr>
        <w:t xml:space="preserve"> that raise awareness of and/or increase access to immunization. These include periodic intensified routine immunization campaigns (PIRIs) that have taken place in some provinces in recent years, and African Vaccination Weeks. In addition, the numerous polio campaigns that go door-to-door have increased the population’s knowledge about and demand for vaccination in general. </w:t>
      </w:r>
    </w:p>
    <w:p w14:paraId="047034A8" w14:textId="7116A5FD" w:rsidR="00DE3314" w:rsidRDefault="00DE3314" w:rsidP="00EB5A7D">
      <w:pPr>
        <w:pStyle w:val="ListParagraph"/>
        <w:numPr>
          <w:ilvl w:val="0"/>
          <w:numId w:val="25"/>
        </w:numPr>
        <w:contextualSpacing w:val="0"/>
        <w:rPr>
          <w:rFonts w:ascii="Arial" w:hAnsi="Arial" w:cs="Arial"/>
        </w:rPr>
      </w:pPr>
      <w:r w:rsidRPr="00EB5A7D">
        <w:rPr>
          <w:rFonts w:ascii="Arial" w:hAnsi="Arial" w:cs="Arial"/>
          <w:b/>
        </w:rPr>
        <w:t>Implementation of the Reach Every Zone (REZ) strategy</w:t>
      </w:r>
      <w:r>
        <w:rPr>
          <w:rFonts w:ascii="Arial" w:hAnsi="Arial" w:cs="Arial"/>
        </w:rPr>
        <w:t xml:space="preserve"> in 65 of the worse-performing districts (13% of all districts) through the GAVI HSS </w:t>
      </w:r>
      <w:r w:rsidR="00EB5A7D">
        <w:rPr>
          <w:rFonts w:ascii="Arial" w:hAnsi="Arial" w:cs="Arial"/>
        </w:rPr>
        <w:t xml:space="preserve">I </w:t>
      </w:r>
      <w:r>
        <w:rPr>
          <w:rFonts w:ascii="Arial" w:hAnsi="Arial" w:cs="Arial"/>
        </w:rPr>
        <w:t>grant, supplemented by support from the Gates Foundation, WHO and other partners. Immunization coverage in these districts has increased markedly from 2010 to 2014 (see Section B below)</w:t>
      </w:r>
      <w:r w:rsidR="00EB5A7D">
        <w:rPr>
          <w:rFonts w:ascii="Arial" w:hAnsi="Arial" w:cs="Arial"/>
        </w:rPr>
        <w:t xml:space="preserve">. Through the HSS II grant, the number of target districts for REZ support has increased to 112. </w:t>
      </w:r>
    </w:p>
    <w:p w14:paraId="469F2286" w14:textId="77777777" w:rsidR="00A3077F" w:rsidRDefault="00A3077F">
      <w:pPr>
        <w:rPr>
          <w:rFonts w:ascii="Arial" w:hAnsi="Arial" w:cs="Arial"/>
          <w:b/>
        </w:rPr>
      </w:pPr>
      <w:r>
        <w:rPr>
          <w:rFonts w:ascii="Arial" w:hAnsi="Arial" w:cs="Arial"/>
          <w:b/>
        </w:rPr>
        <w:br w:type="page"/>
      </w:r>
    </w:p>
    <w:p w14:paraId="30AA08B3" w14:textId="2D94F59C" w:rsidR="00D00DC6" w:rsidRDefault="003573EF" w:rsidP="00D00DC6">
      <w:pPr>
        <w:rPr>
          <w:rFonts w:ascii="Arial" w:hAnsi="Arial" w:cs="Arial"/>
          <w:b/>
          <w:sz w:val="24"/>
        </w:rPr>
      </w:pPr>
      <w:r>
        <w:rPr>
          <w:rFonts w:ascii="Arial" w:hAnsi="Arial" w:cs="Arial"/>
          <w:b/>
          <w:sz w:val="24"/>
        </w:rPr>
        <w:lastRenderedPageBreak/>
        <w:t xml:space="preserve">ANNEX: </w:t>
      </w:r>
      <w:r w:rsidR="00D00DC6">
        <w:rPr>
          <w:rFonts w:ascii="Arial" w:hAnsi="Arial" w:cs="Arial"/>
          <w:b/>
          <w:sz w:val="24"/>
        </w:rPr>
        <w:t>Country immunization profile</w:t>
      </w:r>
    </w:p>
    <w:p w14:paraId="71AF2B5F" w14:textId="77777777" w:rsidR="002C45C4" w:rsidRDefault="002C45C4" w:rsidP="002C45C4">
      <w:pPr>
        <w:pStyle w:val="Caption"/>
        <w:rPr>
          <w:rFonts w:ascii="Arial" w:hAnsi="Arial" w:cs="Arial"/>
          <w:color w:val="auto"/>
          <w:sz w:val="22"/>
        </w:rPr>
      </w:pPr>
      <w:r w:rsidRPr="002C45C4">
        <w:rPr>
          <w:rFonts w:ascii="Arial" w:hAnsi="Arial" w:cs="Arial"/>
          <w:color w:val="auto"/>
          <w:sz w:val="22"/>
        </w:rPr>
        <w:t xml:space="preserve">Figure </w:t>
      </w:r>
      <w:r w:rsidRPr="002C45C4">
        <w:rPr>
          <w:rFonts w:ascii="Arial" w:hAnsi="Arial" w:cs="Arial"/>
          <w:color w:val="auto"/>
          <w:sz w:val="22"/>
        </w:rPr>
        <w:fldChar w:fldCharType="begin"/>
      </w:r>
      <w:r w:rsidRPr="002C45C4">
        <w:rPr>
          <w:rFonts w:ascii="Arial" w:hAnsi="Arial" w:cs="Arial"/>
          <w:color w:val="auto"/>
          <w:sz w:val="22"/>
        </w:rPr>
        <w:instrText xml:space="preserve"> SEQ Figure \* ARABIC </w:instrText>
      </w:r>
      <w:r w:rsidRPr="002C45C4">
        <w:rPr>
          <w:rFonts w:ascii="Arial" w:hAnsi="Arial" w:cs="Arial"/>
          <w:color w:val="auto"/>
          <w:sz w:val="22"/>
        </w:rPr>
        <w:fldChar w:fldCharType="separate"/>
      </w:r>
      <w:r w:rsidRPr="002C45C4">
        <w:rPr>
          <w:rFonts w:ascii="Arial" w:hAnsi="Arial" w:cs="Arial"/>
          <w:color w:val="auto"/>
          <w:sz w:val="22"/>
        </w:rPr>
        <w:t>5</w:t>
      </w:r>
      <w:r w:rsidRPr="002C45C4">
        <w:rPr>
          <w:rFonts w:ascii="Arial" w:hAnsi="Arial" w:cs="Arial"/>
          <w:color w:val="auto"/>
          <w:sz w:val="22"/>
        </w:rPr>
        <w:fldChar w:fldCharType="end"/>
      </w:r>
      <w:r w:rsidRPr="002C45C4">
        <w:rPr>
          <w:rFonts w:ascii="Arial" w:hAnsi="Arial" w:cs="Arial"/>
          <w:color w:val="auto"/>
          <w:sz w:val="22"/>
        </w:rPr>
        <w:t>: All vaccines national coverage, DRC, 2000-2015</w:t>
      </w:r>
    </w:p>
    <w:p w14:paraId="56FCB5EF" w14:textId="42113064" w:rsidR="002C45C4" w:rsidRDefault="002C45C4" w:rsidP="002C45C4">
      <w:pPr>
        <w:pStyle w:val="Caption"/>
        <w:jc w:val="center"/>
        <w:rPr>
          <w:rFonts w:ascii="Arial" w:hAnsi="Arial" w:cs="Arial"/>
          <w:b w:val="0"/>
          <w:bCs w:val="0"/>
        </w:rPr>
      </w:pPr>
      <w:r>
        <w:rPr>
          <w:rFonts w:ascii="Arial" w:hAnsi="Arial" w:cs="Arial"/>
          <w:noProof/>
          <w:color w:val="auto"/>
          <w:sz w:val="22"/>
          <w:lang w:eastAsia="zh-CN"/>
        </w:rPr>
        <w:drawing>
          <wp:inline distT="0" distB="0" distL="0" distR="0" wp14:anchorId="45D0BE6B" wp14:editId="7D87D23D">
            <wp:extent cx="4185814" cy="3057525"/>
            <wp:effectExtent l="0" t="0" r="5715" b="0"/>
            <wp:docPr id="14" name="Picture 14" descr="D:\data\GVAP Reports\2016\3. Scrore Cards 2016\jan visualizations DTP3 per country\Punch cards per country\dr co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GVAP Reports\2016\3. Scrore Cards 2016\jan visualizations DTP3 per country\Punch cards per country\dr con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85814" cy="3057525"/>
                    </a:xfrm>
                    <a:prstGeom prst="rect">
                      <a:avLst/>
                    </a:prstGeom>
                    <a:noFill/>
                    <a:ln>
                      <a:noFill/>
                    </a:ln>
                  </pic:spPr>
                </pic:pic>
              </a:graphicData>
            </a:graphic>
          </wp:inline>
        </w:drawing>
      </w:r>
      <w:r w:rsidR="007774F8">
        <w:rPr>
          <w:rFonts w:ascii="Arial" w:hAnsi="Arial" w:cs="Arial"/>
          <w:noProof/>
          <w:color w:val="auto"/>
          <w:sz w:val="22"/>
          <w:szCs w:val="22"/>
          <w:lang w:eastAsia="zh-CN"/>
        </w:rPr>
        <w:drawing>
          <wp:inline distT="0" distB="0" distL="0" distR="0" wp14:anchorId="287A4BA4" wp14:editId="76B487D9">
            <wp:extent cx="4181475" cy="963900"/>
            <wp:effectExtent l="0" t="0" r="0" b="8255"/>
            <wp:docPr id="11" name="Picture 11" descr="D:\data\GVAP Reports\2016\3. Scrore Cards 2016\jan visualizations DTP3 per country\Punch cards per country\_legend-punch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GVAP Reports\2016\3. Scrore Cards 2016\jan visualizations DTP3 per country\Punch cards per country\_legend-punchcar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79623" cy="963473"/>
                    </a:xfrm>
                    <a:prstGeom prst="rect">
                      <a:avLst/>
                    </a:prstGeom>
                    <a:noFill/>
                    <a:ln>
                      <a:noFill/>
                    </a:ln>
                  </pic:spPr>
                </pic:pic>
              </a:graphicData>
            </a:graphic>
          </wp:inline>
        </w:drawing>
      </w:r>
      <w:r>
        <w:rPr>
          <w:rFonts w:ascii="Arial" w:hAnsi="Arial" w:cs="Arial"/>
          <w:color w:val="auto"/>
          <w:sz w:val="22"/>
        </w:rPr>
        <w:br w:type="page"/>
      </w:r>
    </w:p>
    <w:p w14:paraId="40016DBA" w14:textId="0475064D" w:rsidR="006C334B" w:rsidRPr="00651C67" w:rsidRDefault="00651C67" w:rsidP="00651C67">
      <w:pPr>
        <w:pStyle w:val="Caption"/>
        <w:rPr>
          <w:rFonts w:ascii="Arial" w:hAnsi="Arial" w:cs="Arial"/>
          <w:color w:val="auto"/>
          <w:sz w:val="22"/>
        </w:rPr>
      </w:pPr>
      <w:r w:rsidRPr="00651C67">
        <w:rPr>
          <w:rFonts w:ascii="Arial" w:hAnsi="Arial" w:cs="Arial"/>
          <w:color w:val="auto"/>
          <w:sz w:val="22"/>
        </w:rPr>
        <w:lastRenderedPageBreak/>
        <w:t xml:space="preserve">Table </w:t>
      </w:r>
      <w:r w:rsidRPr="00651C67">
        <w:rPr>
          <w:rFonts w:ascii="Arial" w:hAnsi="Arial" w:cs="Arial"/>
          <w:color w:val="auto"/>
          <w:sz w:val="22"/>
        </w:rPr>
        <w:fldChar w:fldCharType="begin"/>
      </w:r>
      <w:r w:rsidRPr="00651C67">
        <w:rPr>
          <w:rFonts w:ascii="Arial" w:hAnsi="Arial" w:cs="Arial"/>
          <w:color w:val="auto"/>
          <w:sz w:val="22"/>
        </w:rPr>
        <w:instrText xml:space="preserve"> SEQ Table \* ARABIC </w:instrText>
      </w:r>
      <w:r w:rsidRPr="00651C67">
        <w:rPr>
          <w:rFonts w:ascii="Arial" w:hAnsi="Arial" w:cs="Arial"/>
          <w:color w:val="auto"/>
          <w:sz w:val="22"/>
        </w:rPr>
        <w:fldChar w:fldCharType="separate"/>
      </w:r>
      <w:r w:rsidRPr="00651C67">
        <w:rPr>
          <w:rFonts w:ascii="Arial" w:hAnsi="Arial" w:cs="Arial"/>
          <w:color w:val="auto"/>
          <w:sz w:val="22"/>
        </w:rPr>
        <w:t>2</w:t>
      </w:r>
      <w:r w:rsidRPr="00651C67">
        <w:rPr>
          <w:rFonts w:ascii="Arial" w:hAnsi="Arial" w:cs="Arial"/>
          <w:color w:val="auto"/>
          <w:sz w:val="22"/>
        </w:rPr>
        <w:fldChar w:fldCharType="end"/>
      </w:r>
      <w:r w:rsidRPr="00651C67">
        <w:rPr>
          <w:rFonts w:ascii="Arial" w:hAnsi="Arial" w:cs="Arial"/>
          <w:color w:val="auto"/>
          <w:sz w:val="22"/>
        </w:rPr>
        <w:t xml:space="preserve">: </w:t>
      </w:r>
      <w:r w:rsidR="006C334B" w:rsidRPr="00651C67">
        <w:rPr>
          <w:rFonts w:ascii="Arial" w:hAnsi="Arial" w:cs="Arial"/>
          <w:color w:val="auto"/>
          <w:sz w:val="22"/>
        </w:rPr>
        <w:t xml:space="preserve">Reported </w:t>
      </w:r>
      <w:proofErr w:type="spellStart"/>
      <w:r w:rsidR="006C334B" w:rsidRPr="00651C67">
        <w:rPr>
          <w:rFonts w:ascii="Arial" w:hAnsi="Arial" w:cs="Arial"/>
          <w:color w:val="auto"/>
          <w:sz w:val="22"/>
        </w:rPr>
        <w:t>DTP</w:t>
      </w:r>
      <w:r w:rsidR="002C45C4">
        <w:rPr>
          <w:rFonts w:ascii="Arial" w:hAnsi="Arial" w:cs="Arial"/>
          <w:color w:val="auto"/>
          <w:sz w:val="22"/>
        </w:rPr>
        <w:t>cv</w:t>
      </w:r>
      <w:proofErr w:type="spellEnd"/>
      <w:r w:rsidR="006C334B" w:rsidRPr="00651C67">
        <w:rPr>
          <w:rFonts w:ascii="Arial" w:hAnsi="Arial" w:cs="Arial"/>
          <w:color w:val="auto"/>
          <w:sz w:val="22"/>
        </w:rPr>
        <w:t xml:space="preserve"> doses administered &amp; coverage, DR Congo, 2000-2015</w:t>
      </w:r>
    </w:p>
    <w:p w14:paraId="11DB60B9" w14:textId="77777777" w:rsidR="006C334B" w:rsidRDefault="006C334B" w:rsidP="006C334B">
      <w:r>
        <w:rPr>
          <w:noProof/>
          <w:lang w:eastAsia="zh-CN"/>
        </w:rPr>
        <w:drawing>
          <wp:inline distT="0" distB="0" distL="0" distR="0" wp14:anchorId="6B0C16D6" wp14:editId="49D4F5A5">
            <wp:extent cx="6045987" cy="28234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48663" cy="2824713"/>
                    </a:xfrm>
                    <a:prstGeom prst="rect">
                      <a:avLst/>
                    </a:prstGeom>
                    <a:noFill/>
                  </pic:spPr>
                </pic:pic>
              </a:graphicData>
            </a:graphic>
          </wp:inline>
        </w:drawing>
      </w:r>
    </w:p>
    <w:p w14:paraId="281A5F1E" w14:textId="77777777" w:rsidR="006C334B" w:rsidRDefault="006C334B" w:rsidP="006C334B">
      <w:r>
        <w:t>* COE: country Official Estimates</w:t>
      </w:r>
    </w:p>
    <w:p w14:paraId="16BFC76F" w14:textId="77777777" w:rsidR="00BC23BE" w:rsidRPr="00B775FA" w:rsidRDefault="00BC23BE" w:rsidP="00BC23BE">
      <w:r w:rsidRPr="00B775FA">
        <w:rPr>
          <w:lang w:val="en-US"/>
        </w:rPr>
        <w:t>Source:</w:t>
      </w:r>
    </w:p>
    <w:p w14:paraId="5652B661" w14:textId="77777777" w:rsidR="00BC23BE" w:rsidRPr="00B775FA" w:rsidRDefault="00BC23BE" w:rsidP="00834A2D">
      <w:pPr>
        <w:spacing w:after="0"/>
      </w:pPr>
      <w:r w:rsidRPr="00B775FA">
        <w:rPr>
          <w:lang w:val="en-US"/>
        </w:rPr>
        <w:t xml:space="preserve">WHO/IVB database, data reported to WHO by member states as of </w:t>
      </w:r>
      <w:r>
        <w:rPr>
          <w:lang w:val="en-US"/>
        </w:rPr>
        <w:t>1 July 2016</w:t>
      </w:r>
    </w:p>
    <w:p w14:paraId="3E2B84E6" w14:textId="77777777" w:rsidR="00BC23BE" w:rsidRPr="00B775FA" w:rsidRDefault="00BC23BE" w:rsidP="00BC23BE">
      <w:r w:rsidRPr="00B775FA">
        <w:rPr>
          <w:lang w:val="en-US"/>
        </w:rPr>
        <w:t>WHO/UNICEF national coverage estimates, 2014 revision, data as of July 2015</w:t>
      </w:r>
    </w:p>
    <w:p w14:paraId="26964758" w14:textId="347ED13E" w:rsidR="006C334B" w:rsidRPr="00651C67" w:rsidRDefault="00651C67" w:rsidP="00651C67">
      <w:pPr>
        <w:pStyle w:val="Caption"/>
        <w:rPr>
          <w:rFonts w:ascii="Arial" w:hAnsi="Arial" w:cs="Arial"/>
          <w:color w:val="auto"/>
          <w:sz w:val="22"/>
        </w:rPr>
      </w:pPr>
      <w:r w:rsidRPr="00651C67">
        <w:rPr>
          <w:rFonts w:ascii="Arial" w:hAnsi="Arial" w:cs="Arial"/>
          <w:color w:val="auto"/>
          <w:sz w:val="22"/>
        </w:rPr>
        <w:t xml:space="preserve">Figure </w:t>
      </w:r>
      <w:r w:rsidRPr="00651C67">
        <w:rPr>
          <w:rFonts w:ascii="Arial" w:hAnsi="Arial" w:cs="Arial"/>
          <w:color w:val="auto"/>
          <w:sz w:val="22"/>
        </w:rPr>
        <w:fldChar w:fldCharType="begin"/>
      </w:r>
      <w:r w:rsidRPr="00651C67">
        <w:rPr>
          <w:rFonts w:ascii="Arial" w:hAnsi="Arial" w:cs="Arial"/>
          <w:color w:val="auto"/>
          <w:sz w:val="22"/>
        </w:rPr>
        <w:instrText xml:space="preserve"> SEQ Figure \* ARABIC </w:instrText>
      </w:r>
      <w:r w:rsidRPr="00651C67">
        <w:rPr>
          <w:rFonts w:ascii="Arial" w:hAnsi="Arial" w:cs="Arial"/>
          <w:color w:val="auto"/>
          <w:sz w:val="22"/>
        </w:rPr>
        <w:fldChar w:fldCharType="separate"/>
      </w:r>
      <w:r w:rsidR="002C45C4">
        <w:rPr>
          <w:rFonts w:ascii="Arial" w:hAnsi="Arial" w:cs="Arial"/>
          <w:noProof/>
          <w:color w:val="auto"/>
          <w:sz w:val="22"/>
        </w:rPr>
        <w:t>6</w:t>
      </w:r>
      <w:r w:rsidRPr="00651C67">
        <w:rPr>
          <w:rFonts w:ascii="Arial" w:hAnsi="Arial" w:cs="Arial"/>
          <w:color w:val="auto"/>
          <w:sz w:val="22"/>
        </w:rPr>
        <w:fldChar w:fldCharType="end"/>
      </w:r>
      <w:r w:rsidR="006C334B" w:rsidRPr="00651C67">
        <w:rPr>
          <w:rFonts w:ascii="Arial" w:hAnsi="Arial" w:cs="Arial"/>
          <w:color w:val="auto"/>
          <w:sz w:val="22"/>
        </w:rPr>
        <w:t>: Percentage of district achieving &lt;50%; 50-79% and ≥80% coverage, 2000-201</w:t>
      </w:r>
      <w:r w:rsidR="00E91097" w:rsidRPr="00651C67">
        <w:rPr>
          <w:rFonts w:ascii="Arial" w:hAnsi="Arial" w:cs="Arial"/>
          <w:color w:val="auto"/>
          <w:sz w:val="22"/>
        </w:rPr>
        <w:t>5</w:t>
      </w:r>
    </w:p>
    <w:p w14:paraId="6E3BC200" w14:textId="77777777" w:rsidR="006C334B" w:rsidRDefault="00E91097" w:rsidP="00CF2BF7">
      <w:pPr>
        <w:jc w:val="center"/>
      </w:pPr>
      <w:r>
        <w:rPr>
          <w:noProof/>
          <w:lang w:eastAsia="zh-CN"/>
        </w:rPr>
        <w:drawing>
          <wp:inline distT="0" distB="0" distL="0" distR="0" wp14:anchorId="09E095FC" wp14:editId="71F781E5">
            <wp:extent cx="4950254" cy="3714750"/>
            <wp:effectExtent l="19050" t="19050" r="22225" b="19050"/>
            <wp:docPr id="9" name="Picture 9" descr="Y:\GVAP\Priority_countries\C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GVAP\Priority_countries\CO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2110" cy="3731151"/>
                    </a:xfrm>
                    <a:prstGeom prst="rect">
                      <a:avLst/>
                    </a:prstGeom>
                    <a:noFill/>
                    <a:ln>
                      <a:solidFill>
                        <a:schemeClr val="tx1"/>
                      </a:solidFill>
                    </a:ln>
                  </pic:spPr>
                </pic:pic>
              </a:graphicData>
            </a:graphic>
          </wp:inline>
        </w:drawing>
      </w:r>
    </w:p>
    <w:p w14:paraId="4152A3EB" w14:textId="06B869E2" w:rsidR="005B6B29" w:rsidRPr="00651C67" w:rsidRDefault="00651C67" w:rsidP="00651C67">
      <w:pPr>
        <w:pStyle w:val="Caption"/>
        <w:rPr>
          <w:rFonts w:ascii="Arial" w:hAnsi="Arial" w:cs="Arial"/>
          <w:color w:val="auto"/>
          <w:sz w:val="22"/>
        </w:rPr>
      </w:pPr>
      <w:r w:rsidRPr="00651C67">
        <w:rPr>
          <w:rFonts w:ascii="Arial" w:hAnsi="Arial" w:cs="Arial"/>
          <w:color w:val="auto"/>
          <w:sz w:val="22"/>
        </w:rPr>
        <w:lastRenderedPageBreak/>
        <w:t xml:space="preserve">Figure </w:t>
      </w:r>
      <w:r w:rsidRPr="00651C67">
        <w:rPr>
          <w:rFonts w:ascii="Arial" w:hAnsi="Arial" w:cs="Arial"/>
          <w:color w:val="auto"/>
          <w:sz w:val="22"/>
        </w:rPr>
        <w:fldChar w:fldCharType="begin"/>
      </w:r>
      <w:r w:rsidRPr="00651C67">
        <w:rPr>
          <w:rFonts w:ascii="Arial" w:hAnsi="Arial" w:cs="Arial"/>
          <w:color w:val="auto"/>
          <w:sz w:val="22"/>
        </w:rPr>
        <w:instrText xml:space="preserve"> SEQ Figure \* ARABIC </w:instrText>
      </w:r>
      <w:r w:rsidRPr="00651C67">
        <w:rPr>
          <w:rFonts w:ascii="Arial" w:hAnsi="Arial" w:cs="Arial"/>
          <w:color w:val="auto"/>
          <w:sz w:val="22"/>
        </w:rPr>
        <w:fldChar w:fldCharType="separate"/>
      </w:r>
      <w:r w:rsidR="002C45C4">
        <w:rPr>
          <w:rFonts w:ascii="Arial" w:hAnsi="Arial" w:cs="Arial"/>
          <w:noProof/>
          <w:color w:val="auto"/>
          <w:sz w:val="22"/>
        </w:rPr>
        <w:t>7</w:t>
      </w:r>
      <w:r w:rsidRPr="00651C67">
        <w:rPr>
          <w:rFonts w:ascii="Arial" w:hAnsi="Arial" w:cs="Arial"/>
          <w:color w:val="auto"/>
          <w:sz w:val="22"/>
        </w:rPr>
        <w:fldChar w:fldCharType="end"/>
      </w:r>
      <w:r w:rsidR="005B6B29" w:rsidRPr="00651C67">
        <w:rPr>
          <w:rFonts w:ascii="Arial" w:hAnsi="Arial" w:cs="Arial"/>
          <w:color w:val="auto"/>
          <w:sz w:val="22"/>
        </w:rPr>
        <w:t>: DTP3 coverage by district/province</w:t>
      </w:r>
      <w:r w:rsidRPr="00651C67">
        <w:rPr>
          <w:rFonts w:ascii="Arial" w:hAnsi="Arial" w:cs="Arial"/>
          <w:color w:val="auto"/>
          <w:sz w:val="22"/>
        </w:rPr>
        <w:t>, DRC</w:t>
      </w:r>
      <w:proofErr w:type="gramStart"/>
      <w:r w:rsidRPr="00651C67">
        <w:rPr>
          <w:rFonts w:ascii="Arial" w:hAnsi="Arial" w:cs="Arial"/>
          <w:color w:val="auto"/>
          <w:sz w:val="22"/>
        </w:rPr>
        <w:t xml:space="preserve">, </w:t>
      </w:r>
      <w:r w:rsidR="005B6B29" w:rsidRPr="00651C67">
        <w:rPr>
          <w:rFonts w:ascii="Arial" w:hAnsi="Arial" w:cs="Arial"/>
          <w:color w:val="auto"/>
          <w:sz w:val="22"/>
        </w:rPr>
        <w:t xml:space="preserve"> 2010</w:t>
      </w:r>
      <w:proofErr w:type="gramEnd"/>
      <w:r w:rsidR="005B6B29" w:rsidRPr="00651C67">
        <w:rPr>
          <w:rFonts w:ascii="Arial" w:hAnsi="Arial" w:cs="Arial"/>
          <w:color w:val="auto"/>
          <w:sz w:val="22"/>
        </w:rPr>
        <w:t xml:space="preserve"> and 2015 (admin</w:t>
      </w:r>
      <w:r w:rsidR="002970A7" w:rsidRPr="00651C67">
        <w:rPr>
          <w:rFonts w:ascii="Arial" w:hAnsi="Arial" w:cs="Arial"/>
          <w:color w:val="auto"/>
          <w:sz w:val="22"/>
        </w:rPr>
        <w:t>istrative data)</w:t>
      </w:r>
    </w:p>
    <w:p w14:paraId="1A67589F" w14:textId="77777777" w:rsidR="005B6B29" w:rsidRDefault="00BC23BE" w:rsidP="00CF2BF7">
      <w:pPr>
        <w:jc w:val="center"/>
        <w:rPr>
          <w:b/>
        </w:rPr>
      </w:pPr>
      <w:r w:rsidRPr="00BC23BE">
        <w:rPr>
          <w:b/>
          <w:noProof/>
          <w:lang w:eastAsia="zh-CN"/>
        </w:rPr>
        <w:drawing>
          <wp:inline distT="0" distB="0" distL="0" distR="0" wp14:anchorId="329FA428" wp14:editId="74D7F86E">
            <wp:extent cx="4572635" cy="3429477"/>
            <wp:effectExtent l="19050" t="19050" r="1841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80617" cy="3435464"/>
                    </a:xfrm>
                    <a:prstGeom prst="rect">
                      <a:avLst/>
                    </a:prstGeom>
                    <a:ln>
                      <a:solidFill>
                        <a:schemeClr val="tx1"/>
                      </a:solidFill>
                    </a:ln>
                  </pic:spPr>
                </pic:pic>
              </a:graphicData>
            </a:graphic>
          </wp:inline>
        </w:drawing>
      </w:r>
    </w:p>
    <w:p w14:paraId="134F384D" w14:textId="77777777" w:rsidR="000A7279" w:rsidRDefault="000A7279">
      <w:pPr>
        <w:rPr>
          <w:b/>
        </w:rPr>
      </w:pPr>
      <w:r>
        <w:rPr>
          <w:b/>
        </w:rPr>
        <w:br w:type="page"/>
      </w:r>
    </w:p>
    <w:p w14:paraId="09BF94F8" w14:textId="5C9A442A" w:rsidR="006C334B" w:rsidRPr="00651C67" w:rsidRDefault="00651C67" w:rsidP="00651C67">
      <w:pPr>
        <w:pStyle w:val="Caption"/>
        <w:rPr>
          <w:rFonts w:ascii="Arial" w:hAnsi="Arial" w:cs="Arial"/>
          <w:color w:val="auto"/>
          <w:sz w:val="22"/>
        </w:rPr>
      </w:pPr>
      <w:r w:rsidRPr="00651C67">
        <w:rPr>
          <w:rFonts w:ascii="Arial" w:hAnsi="Arial" w:cs="Arial"/>
          <w:color w:val="auto"/>
          <w:sz w:val="22"/>
        </w:rPr>
        <w:lastRenderedPageBreak/>
        <w:t xml:space="preserve">Figure </w:t>
      </w:r>
      <w:r w:rsidRPr="00651C67">
        <w:rPr>
          <w:rFonts w:ascii="Arial" w:hAnsi="Arial" w:cs="Arial"/>
          <w:color w:val="auto"/>
          <w:sz w:val="22"/>
        </w:rPr>
        <w:fldChar w:fldCharType="begin"/>
      </w:r>
      <w:r w:rsidRPr="00651C67">
        <w:rPr>
          <w:rFonts w:ascii="Arial" w:hAnsi="Arial" w:cs="Arial"/>
          <w:color w:val="auto"/>
          <w:sz w:val="22"/>
        </w:rPr>
        <w:instrText xml:space="preserve"> SEQ Figure \* ARABIC </w:instrText>
      </w:r>
      <w:r w:rsidRPr="00651C67">
        <w:rPr>
          <w:rFonts w:ascii="Arial" w:hAnsi="Arial" w:cs="Arial"/>
          <w:color w:val="auto"/>
          <w:sz w:val="22"/>
        </w:rPr>
        <w:fldChar w:fldCharType="separate"/>
      </w:r>
      <w:r w:rsidR="002C45C4">
        <w:rPr>
          <w:rFonts w:ascii="Arial" w:hAnsi="Arial" w:cs="Arial"/>
          <w:noProof/>
          <w:color w:val="auto"/>
          <w:sz w:val="22"/>
        </w:rPr>
        <w:t>8</w:t>
      </w:r>
      <w:r w:rsidRPr="00651C67">
        <w:rPr>
          <w:rFonts w:ascii="Arial" w:hAnsi="Arial" w:cs="Arial"/>
          <w:color w:val="auto"/>
          <w:sz w:val="22"/>
        </w:rPr>
        <w:fldChar w:fldCharType="end"/>
      </w:r>
      <w:r w:rsidR="006C334B" w:rsidRPr="00651C67">
        <w:rPr>
          <w:rFonts w:ascii="Arial" w:hAnsi="Arial" w:cs="Arial"/>
          <w:color w:val="auto"/>
          <w:sz w:val="22"/>
        </w:rPr>
        <w:t xml:space="preserve">: Immunization coverage data disaggregated by sex and wealth quintile </w:t>
      </w:r>
    </w:p>
    <w:p w14:paraId="15C2B355" w14:textId="77777777" w:rsidR="006C334B" w:rsidRDefault="005133F8" w:rsidP="006C334B">
      <w:r>
        <w:rPr>
          <w:noProof/>
          <w:lang w:eastAsia="zh-CN"/>
        </w:rPr>
        <w:drawing>
          <wp:inline distT="0" distB="0" distL="0" distR="0" wp14:anchorId="3397B3E2" wp14:editId="065825BA">
            <wp:extent cx="5731510" cy="5731510"/>
            <wp:effectExtent l="19050" t="19050" r="21590"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_disaggregated_data coverage all vaccines equity.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a:ln>
                      <a:solidFill>
                        <a:schemeClr val="tx1"/>
                      </a:solidFill>
                    </a:ln>
                  </pic:spPr>
                </pic:pic>
              </a:graphicData>
            </a:graphic>
          </wp:inline>
        </w:drawing>
      </w:r>
    </w:p>
    <w:p w14:paraId="185EDD8C" w14:textId="03C61DAB" w:rsidR="002970A7" w:rsidRDefault="002970A7" w:rsidP="00C737EA">
      <w:pPr>
        <w:rPr>
          <w:b/>
          <w:bCs/>
          <w:noProof/>
          <w:lang w:val="en-US"/>
        </w:rPr>
      </w:pPr>
    </w:p>
    <w:p w14:paraId="3E2E53B2" w14:textId="709E44E6" w:rsidR="00457E0A" w:rsidRPr="00A3077F" w:rsidRDefault="00457E0A" w:rsidP="00A3077F">
      <w:pPr>
        <w:rPr>
          <w:b/>
          <w:bCs/>
          <w:noProof/>
          <w:lang w:val="en-US"/>
        </w:rPr>
      </w:pPr>
      <w:bookmarkStart w:id="0" w:name="_GoBack"/>
      <w:bookmarkEnd w:id="0"/>
    </w:p>
    <w:sectPr w:rsidR="00457E0A" w:rsidRPr="00A3077F" w:rsidSect="00A54964">
      <w:footerReference w:type="default" r:id="rId15"/>
      <w:pgSz w:w="11906" w:h="16838"/>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9CB9EC" w15:done="0"/>
  <w15:commentEx w15:paraId="21A16CA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41E1A9" w14:textId="77777777" w:rsidR="008C12A8" w:rsidRDefault="008C12A8">
      <w:pPr>
        <w:spacing w:after="0" w:line="240" w:lineRule="auto"/>
      </w:pPr>
      <w:r>
        <w:separator/>
      </w:r>
    </w:p>
  </w:endnote>
  <w:endnote w:type="continuationSeparator" w:id="0">
    <w:p w14:paraId="73D3C858" w14:textId="77777777" w:rsidR="008C12A8" w:rsidRDefault="008C1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0368549"/>
      <w:docPartObj>
        <w:docPartGallery w:val="Page Numbers (Bottom of Page)"/>
        <w:docPartUnique/>
      </w:docPartObj>
    </w:sdtPr>
    <w:sdtEndPr>
      <w:rPr>
        <w:noProof/>
      </w:rPr>
    </w:sdtEndPr>
    <w:sdtContent>
      <w:p w14:paraId="21ECBE59" w14:textId="7F09FF43" w:rsidR="00EE1C5C" w:rsidRDefault="00EE1C5C">
        <w:pPr>
          <w:pStyle w:val="Footer"/>
          <w:jc w:val="center"/>
        </w:pPr>
        <w:r>
          <w:fldChar w:fldCharType="begin"/>
        </w:r>
        <w:r>
          <w:instrText xml:space="preserve"> PAGE   \* MERGEFORMAT </w:instrText>
        </w:r>
        <w:r>
          <w:fldChar w:fldCharType="separate"/>
        </w:r>
        <w:r w:rsidR="00A3077F">
          <w:rPr>
            <w:noProof/>
          </w:rPr>
          <w:t>9</w:t>
        </w:r>
        <w:r>
          <w:rPr>
            <w:noProof/>
          </w:rPr>
          <w:fldChar w:fldCharType="end"/>
        </w:r>
      </w:p>
    </w:sdtContent>
  </w:sdt>
  <w:p w14:paraId="0BDC7254" w14:textId="4134CEC2" w:rsidR="00EE1C5C" w:rsidRDefault="00EE1C5C" w:rsidP="0088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56D304" w14:textId="77777777" w:rsidR="008C12A8" w:rsidRDefault="008C12A8">
      <w:pPr>
        <w:spacing w:after="0" w:line="240" w:lineRule="auto"/>
      </w:pPr>
      <w:r>
        <w:separator/>
      </w:r>
    </w:p>
  </w:footnote>
  <w:footnote w:type="continuationSeparator" w:id="0">
    <w:p w14:paraId="503E3B8B" w14:textId="77777777" w:rsidR="008C12A8" w:rsidRDefault="008C12A8">
      <w:pPr>
        <w:spacing w:after="0" w:line="240" w:lineRule="auto"/>
      </w:pPr>
      <w:r>
        <w:continuationSeparator/>
      </w:r>
    </w:p>
  </w:footnote>
  <w:footnote w:id="1">
    <w:p w14:paraId="529ACB18" w14:textId="553277F3" w:rsidR="00A83A9B" w:rsidRPr="00A83A9B" w:rsidRDefault="00A83A9B">
      <w:pPr>
        <w:pStyle w:val="FootnoteText"/>
        <w:rPr>
          <w:lang w:val="en-US"/>
        </w:rPr>
      </w:pPr>
      <w:r>
        <w:rPr>
          <w:rStyle w:val="FootnoteReference"/>
        </w:rPr>
        <w:footnoteRef/>
      </w:r>
      <w:r>
        <w:t xml:space="preserve"> </w:t>
      </w:r>
      <w:proofErr w:type="spellStart"/>
      <w:proofErr w:type="gramStart"/>
      <w:r>
        <w:t>cMYP</w:t>
      </w:r>
      <w:proofErr w:type="spellEnd"/>
      <w:proofErr w:type="gramEnd"/>
      <w:r>
        <w:t xml:space="preserve"> 2015-2019.</w:t>
      </w:r>
    </w:p>
  </w:footnote>
  <w:footnote w:id="2">
    <w:p w14:paraId="575F6496" w14:textId="28A83272" w:rsidR="00A83A9B" w:rsidRPr="00A83A9B" w:rsidRDefault="00A83A9B">
      <w:pPr>
        <w:pStyle w:val="FootnoteText"/>
        <w:rPr>
          <w:lang w:val="en-US"/>
        </w:rPr>
      </w:pPr>
      <w:r>
        <w:rPr>
          <w:rStyle w:val="FootnoteReference"/>
        </w:rPr>
        <w:footnoteRef/>
      </w:r>
      <w:r>
        <w:t xml:space="preserve"> </w:t>
      </w:r>
      <w:r w:rsidRPr="00871017">
        <w:t>2015 joint appraisal report for DRC</w:t>
      </w:r>
      <w:r w:rsidRPr="00871017">
        <w:rPr>
          <w:lang w:val="en-US"/>
        </w:rPr>
        <w:t>.</w:t>
      </w:r>
    </w:p>
  </w:footnote>
  <w:footnote w:id="3">
    <w:p w14:paraId="5FC6DBB2" w14:textId="250F4B82" w:rsidR="00A83A9B" w:rsidRPr="00A83A9B" w:rsidRDefault="00A83A9B">
      <w:pPr>
        <w:pStyle w:val="FootnoteText"/>
        <w:rPr>
          <w:lang w:val="en-US"/>
        </w:rPr>
      </w:pPr>
      <w:r>
        <w:rPr>
          <w:rStyle w:val="FootnoteReference"/>
        </w:rPr>
        <w:footnoteRef/>
      </w:r>
      <w:r>
        <w:t xml:space="preserve"> </w:t>
      </w:r>
      <w:r w:rsidRPr="00871017">
        <w:t>2015 joint appraisal report for DRC</w:t>
      </w:r>
      <w:r w:rsidRPr="00871017">
        <w:rPr>
          <w:lang w:val="en-US"/>
        </w:rPr>
        <w:t>.</w:t>
      </w:r>
    </w:p>
  </w:footnote>
  <w:footnote w:id="4">
    <w:p w14:paraId="34C2EEFD" w14:textId="20E3F3CE" w:rsidR="00A83A9B" w:rsidRPr="00A83A9B" w:rsidRDefault="00A83A9B">
      <w:pPr>
        <w:pStyle w:val="FootnoteText"/>
        <w:rPr>
          <w:lang w:val="en-US"/>
        </w:rPr>
      </w:pPr>
      <w:r>
        <w:rPr>
          <w:rStyle w:val="FootnoteReference"/>
        </w:rPr>
        <w:footnoteRef/>
      </w:r>
      <w:r>
        <w:t xml:space="preserve"> </w:t>
      </w:r>
      <w:proofErr w:type="gramStart"/>
      <w:r>
        <w:rPr>
          <w:lang w:val="en-US"/>
        </w:rPr>
        <w:t>WHO.</w:t>
      </w:r>
      <w:proofErr w:type="gramEnd"/>
      <w:r>
        <w:rPr>
          <w:lang w:val="en-US"/>
        </w:rPr>
        <w:t xml:space="preserve"> Service Availability and Readiness Assessment (SARA) in the Democratic Republic of Congo, June 2015.</w:t>
      </w:r>
    </w:p>
  </w:footnote>
  <w:footnote w:id="5">
    <w:p w14:paraId="68609013" w14:textId="77777777" w:rsidR="00A83A9B" w:rsidRPr="00A83A9B" w:rsidRDefault="00A83A9B" w:rsidP="00A83A9B">
      <w:pPr>
        <w:pStyle w:val="FootnoteText"/>
        <w:rPr>
          <w:lang w:val="en-US"/>
        </w:rPr>
      </w:pPr>
      <w:r>
        <w:rPr>
          <w:rStyle w:val="FootnoteReference"/>
        </w:rPr>
        <w:footnoteRef/>
      </w:r>
      <w:r>
        <w:t xml:space="preserve"> Draft EPI Action Plan for 2016, February 2016.</w:t>
      </w:r>
    </w:p>
  </w:footnote>
  <w:footnote w:id="6">
    <w:p w14:paraId="57A6D02D" w14:textId="1223265D" w:rsidR="00CA1D86" w:rsidRPr="00CA1D86" w:rsidRDefault="00CA1D86">
      <w:pPr>
        <w:pStyle w:val="FootnoteText"/>
        <w:rPr>
          <w:lang w:val="en-US"/>
        </w:rPr>
      </w:pPr>
      <w:r>
        <w:rPr>
          <w:rStyle w:val="FootnoteReference"/>
        </w:rPr>
        <w:footnoteRef/>
      </w:r>
      <w:r>
        <w:t xml:space="preserve"> Draft EPI Action Plan for 2016, February 2016.</w:t>
      </w:r>
    </w:p>
  </w:footnote>
  <w:footnote w:id="7">
    <w:p w14:paraId="68D1D7EA" w14:textId="2EEDEEB5" w:rsidR="00CA1D86" w:rsidRPr="00CA1D86" w:rsidRDefault="00CA1D86">
      <w:pPr>
        <w:pStyle w:val="FootnoteText"/>
        <w:rPr>
          <w:lang w:val="en-US"/>
        </w:rPr>
      </w:pPr>
      <w:r>
        <w:rPr>
          <w:rStyle w:val="FootnoteReference"/>
        </w:rPr>
        <w:footnoteRef/>
      </w:r>
      <w:r>
        <w:t xml:space="preserve"> </w:t>
      </w:r>
      <w:proofErr w:type="gramStart"/>
      <w:r>
        <w:rPr>
          <w:lang w:val="en-US"/>
        </w:rPr>
        <w:t>Post-introduction evaluation report for PCV-13 in the Democratic Republic of Congo, 27 March – 11 April 2014.</w:t>
      </w:r>
      <w:proofErr w:type="gramEnd"/>
    </w:p>
  </w:footnote>
  <w:footnote w:id="8">
    <w:p w14:paraId="1AF523B7" w14:textId="5B6EAC11" w:rsidR="001C28AB" w:rsidRPr="001C28AB" w:rsidRDefault="001C28AB">
      <w:pPr>
        <w:pStyle w:val="FootnoteText"/>
        <w:rPr>
          <w:lang w:val="en-US"/>
        </w:rPr>
      </w:pPr>
      <w:r>
        <w:rPr>
          <w:rStyle w:val="FootnoteReference"/>
        </w:rPr>
        <w:footnoteRef/>
      </w:r>
      <w:r>
        <w:t xml:space="preserve"> </w:t>
      </w:r>
      <w:proofErr w:type="spellStart"/>
      <w:proofErr w:type="gramStart"/>
      <w:r>
        <w:rPr>
          <w:lang w:val="en-US"/>
        </w:rPr>
        <w:t>cMYP</w:t>
      </w:r>
      <w:proofErr w:type="spellEnd"/>
      <w:proofErr w:type="gramEnd"/>
      <w:r>
        <w:rPr>
          <w:lang w:val="en-US"/>
        </w:rPr>
        <w:t xml:space="preserve"> 2015-2019.</w:t>
      </w:r>
    </w:p>
  </w:footnote>
  <w:footnote w:id="9">
    <w:p w14:paraId="43F6318E" w14:textId="4D77451C" w:rsidR="001C28AB" w:rsidRPr="001C28AB" w:rsidRDefault="001C28AB">
      <w:pPr>
        <w:pStyle w:val="FootnoteText"/>
        <w:rPr>
          <w:lang w:val="en-US"/>
        </w:rPr>
      </w:pPr>
      <w:r>
        <w:rPr>
          <w:rStyle w:val="FootnoteReference"/>
        </w:rPr>
        <w:footnoteRef/>
      </w:r>
      <w:r>
        <w:t xml:space="preserve"> </w:t>
      </w:r>
      <w:proofErr w:type="gramStart"/>
      <w:r>
        <w:rPr>
          <w:lang w:val="en-US"/>
        </w:rPr>
        <w:t>HSS II application to GAVI by DRC, 20 April 2014.</w:t>
      </w:r>
      <w:proofErr w:type="gramEnd"/>
    </w:p>
  </w:footnote>
  <w:footnote w:id="10">
    <w:p w14:paraId="2A37E2F4" w14:textId="33784BE0" w:rsidR="001C28AB" w:rsidRPr="001C28AB" w:rsidRDefault="001C28AB">
      <w:pPr>
        <w:pStyle w:val="FootnoteText"/>
        <w:rPr>
          <w:lang w:val="en-US"/>
        </w:rPr>
      </w:pPr>
      <w:r>
        <w:rPr>
          <w:rStyle w:val="FootnoteReference"/>
        </w:rPr>
        <w:footnoteRef/>
      </w:r>
      <w:r>
        <w:t xml:space="preserve"> </w:t>
      </w:r>
      <w:proofErr w:type="gramStart"/>
      <w:r>
        <w:rPr>
          <w:lang w:val="en-US"/>
        </w:rPr>
        <w:t>WHO.</w:t>
      </w:r>
      <w:proofErr w:type="gramEnd"/>
      <w:r>
        <w:rPr>
          <w:lang w:val="en-US"/>
        </w:rPr>
        <w:t xml:space="preserve"> Service Availability and Readiness Assessment (SARA) in the Democratic Republic of Congo, June 2015.</w:t>
      </w:r>
    </w:p>
  </w:footnote>
  <w:footnote w:id="11">
    <w:p w14:paraId="378CF151" w14:textId="05D183BA" w:rsidR="001C28AB" w:rsidRPr="001C28AB" w:rsidRDefault="001C28AB">
      <w:pPr>
        <w:pStyle w:val="FootnoteText"/>
        <w:rPr>
          <w:lang w:val="en-US"/>
        </w:rPr>
      </w:pPr>
      <w:r>
        <w:rPr>
          <w:rStyle w:val="FootnoteReference"/>
        </w:rPr>
        <w:footnoteRef/>
      </w:r>
      <w:r>
        <w:t xml:space="preserve"> </w:t>
      </w:r>
      <w:proofErr w:type="gramStart"/>
      <w:r>
        <w:rPr>
          <w:lang w:val="en-US"/>
        </w:rPr>
        <w:t>HSS II application to GAVI by DRC, 20 April 2014.</w:t>
      </w:r>
      <w:proofErr w:type="gramEnd"/>
    </w:p>
  </w:footnote>
  <w:footnote w:id="12">
    <w:p w14:paraId="3138FDCF" w14:textId="050CE1B8" w:rsidR="001C28AB" w:rsidRPr="001C28AB" w:rsidRDefault="001C28AB">
      <w:pPr>
        <w:pStyle w:val="FootnoteText"/>
        <w:rPr>
          <w:lang w:val="en-US"/>
        </w:rPr>
      </w:pPr>
      <w:r>
        <w:rPr>
          <w:rStyle w:val="FootnoteReference"/>
        </w:rPr>
        <w:footnoteRef/>
      </w:r>
      <w:r>
        <w:t xml:space="preserve"> </w:t>
      </w:r>
      <w:proofErr w:type="gramStart"/>
      <w:r>
        <w:rPr>
          <w:lang w:val="en-US"/>
        </w:rPr>
        <w:t>Post-introduction evaluation report for PCV-13 in the Democratic Republic of Congo, 27 March – 11 April 2014.</w:t>
      </w:r>
      <w:proofErr w:type="gramEnd"/>
    </w:p>
  </w:footnote>
  <w:footnote w:id="13">
    <w:p w14:paraId="21164069" w14:textId="3976CB98" w:rsidR="00F453F4" w:rsidRPr="00F453F4" w:rsidRDefault="00F453F4">
      <w:pPr>
        <w:pStyle w:val="FootnoteText"/>
        <w:rPr>
          <w:lang w:val="en-US"/>
        </w:rPr>
      </w:pPr>
      <w:r>
        <w:rPr>
          <w:rStyle w:val="FootnoteReference"/>
        </w:rPr>
        <w:footnoteRef/>
      </w:r>
      <w:r>
        <w:t xml:space="preserve"> </w:t>
      </w:r>
      <w:proofErr w:type="spellStart"/>
      <w:proofErr w:type="gramStart"/>
      <w:r>
        <w:rPr>
          <w:lang w:val="en-US"/>
        </w:rPr>
        <w:t>cMYP</w:t>
      </w:r>
      <w:proofErr w:type="spellEnd"/>
      <w:proofErr w:type="gramEnd"/>
      <w:r>
        <w:rPr>
          <w:lang w:val="en-US"/>
        </w:rPr>
        <w:t xml:space="preserve"> 2015-2019.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F5A03"/>
    <w:multiLevelType w:val="hybridMultilevel"/>
    <w:tmpl w:val="CE063D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F710BA"/>
    <w:multiLevelType w:val="hybridMultilevel"/>
    <w:tmpl w:val="D8001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CD70F0"/>
    <w:multiLevelType w:val="hybridMultilevel"/>
    <w:tmpl w:val="F15E47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CCD12B0"/>
    <w:multiLevelType w:val="multilevel"/>
    <w:tmpl w:val="3DD481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0910D11"/>
    <w:multiLevelType w:val="hybridMultilevel"/>
    <w:tmpl w:val="ECF66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6A823D2"/>
    <w:multiLevelType w:val="multilevel"/>
    <w:tmpl w:val="C82CB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4D5180B"/>
    <w:multiLevelType w:val="hybridMultilevel"/>
    <w:tmpl w:val="AAA283B2"/>
    <w:lvl w:ilvl="0" w:tplc="10421B9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16">
    <w:nsid w:val="3F432496"/>
    <w:multiLevelType w:val="hybridMultilevel"/>
    <w:tmpl w:val="74EE4718"/>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nsid w:val="4A590C9C"/>
    <w:multiLevelType w:val="hybridMultilevel"/>
    <w:tmpl w:val="DB2CC0A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8">
    <w:nsid w:val="4C757444"/>
    <w:multiLevelType w:val="hybridMultilevel"/>
    <w:tmpl w:val="314EDE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20">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82970CC"/>
    <w:multiLevelType w:val="hybridMultilevel"/>
    <w:tmpl w:val="334C477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584511EA"/>
    <w:multiLevelType w:val="hybridMultilevel"/>
    <w:tmpl w:val="DB5E44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25">
    <w:nsid w:val="6C682281"/>
    <w:multiLevelType w:val="hybridMultilevel"/>
    <w:tmpl w:val="E8A820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374B65"/>
    <w:multiLevelType w:val="multilevel"/>
    <w:tmpl w:val="502C0C5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28">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30">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4"/>
  </w:num>
  <w:num w:numId="4">
    <w:abstractNumId w:val="11"/>
  </w:num>
  <w:num w:numId="5">
    <w:abstractNumId w:val="22"/>
  </w:num>
  <w:num w:numId="6">
    <w:abstractNumId w:val="2"/>
  </w:num>
  <w:num w:numId="7">
    <w:abstractNumId w:val="8"/>
  </w:num>
  <w:num w:numId="8">
    <w:abstractNumId w:val="20"/>
  </w:num>
  <w:num w:numId="9">
    <w:abstractNumId w:val="6"/>
  </w:num>
  <w:num w:numId="10">
    <w:abstractNumId w:val="28"/>
  </w:num>
  <w:num w:numId="11">
    <w:abstractNumId w:val="27"/>
  </w:num>
  <w:num w:numId="12">
    <w:abstractNumId w:val="15"/>
  </w:num>
  <w:num w:numId="13">
    <w:abstractNumId w:val="24"/>
  </w:num>
  <w:num w:numId="14">
    <w:abstractNumId w:val="19"/>
  </w:num>
  <w:num w:numId="15">
    <w:abstractNumId w:val="29"/>
  </w:num>
  <w:num w:numId="16">
    <w:abstractNumId w:val="10"/>
  </w:num>
  <w:num w:numId="17">
    <w:abstractNumId w:val="21"/>
  </w:num>
  <w:num w:numId="18">
    <w:abstractNumId w:val="13"/>
  </w:num>
  <w:num w:numId="19">
    <w:abstractNumId w:val="30"/>
  </w:num>
  <w:num w:numId="20">
    <w:abstractNumId w:val="1"/>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26"/>
  </w:num>
  <w:num w:numId="24">
    <w:abstractNumId w:val="23"/>
  </w:num>
  <w:num w:numId="25">
    <w:abstractNumId w:val="25"/>
  </w:num>
  <w:num w:numId="26">
    <w:abstractNumId w:val="16"/>
  </w:num>
  <w:num w:numId="27">
    <w:abstractNumId w:val="3"/>
  </w:num>
  <w:num w:numId="28">
    <w:abstractNumId w:val="0"/>
  </w:num>
  <w:num w:numId="29">
    <w:abstractNumId w:val="18"/>
  </w:num>
  <w:num w:numId="30">
    <w:abstractNumId w:val="17"/>
  </w:num>
  <w:num w:numId="31">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DeRoeck">
    <w15:presenceInfo w15:providerId="Windows Live" w15:userId="dd5ab0a71e4737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352E"/>
    <w:rsid w:val="000178D5"/>
    <w:rsid w:val="000258EE"/>
    <w:rsid w:val="00044F3E"/>
    <w:rsid w:val="00052693"/>
    <w:rsid w:val="0007442D"/>
    <w:rsid w:val="00084796"/>
    <w:rsid w:val="00096E70"/>
    <w:rsid w:val="000A6F7C"/>
    <w:rsid w:val="000A7279"/>
    <w:rsid w:val="000B0082"/>
    <w:rsid w:val="000C2C44"/>
    <w:rsid w:val="000E3D3E"/>
    <w:rsid w:val="00112FEE"/>
    <w:rsid w:val="0011764D"/>
    <w:rsid w:val="001206D8"/>
    <w:rsid w:val="00144801"/>
    <w:rsid w:val="00157C23"/>
    <w:rsid w:val="00163179"/>
    <w:rsid w:val="001A33B2"/>
    <w:rsid w:val="001B0097"/>
    <w:rsid w:val="001C1193"/>
    <w:rsid w:val="001C1E4D"/>
    <w:rsid w:val="001C28AB"/>
    <w:rsid w:val="001C5026"/>
    <w:rsid w:val="001D1D41"/>
    <w:rsid w:val="001D336C"/>
    <w:rsid w:val="001D6E48"/>
    <w:rsid w:val="001E1094"/>
    <w:rsid w:val="001E10B1"/>
    <w:rsid w:val="001E3C74"/>
    <w:rsid w:val="001E7D06"/>
    <w:rsid w:val="001F2D8D"/>
    <w:rsid w:val="00210674"/>
    <w:rsid w:val="00221A3A"/>
    <w:rsid w:val="002258E3"/>
    <w:rsid w:val="00226696"/>
    <w:rsid w:val="002327A5"/>
    <w:rsid w:val="00232D9A"/>
    <w:rsid w:val="002818D0"/>
    <w:rsid w:val="00281CEF"/>
    <w:rsid w:val="00292589"/>
    <w:rsid w:val="00293DEE"/>
    <w:rsid w:val="002945B9"/>
    <w:rsid w:val="002970A7"/>
    <w:rsid w:val="002B73D6"/>
    <w:rsid w:val="002C0BCF"/>
    <w:rsid w:val="002C45C4"/>
    <w:rsid w:val="002D61F5"/>
    <w:rsid w:val="002D762A"/>
    <w:rsid w:val="002E66AB"/>
    <w:rsid w:val="002F1749"/>
    <w:rsid w:val="002F20C9"/>
    <w:rsid w:val="00321B47"/>
    <w:rsid w:val="00324CCD"/>
    <w:rsid w:val="003573EF"/>
    <w:rsid w:val="00364456"/>
    <w:rsid w:val="00370616"/>
    <w:rsid w:val="00371B50"/>
    <w:rsid w:val="00373BA5"/>
    <w:rsid w:val="003B6F84"/>
    <w:rsid w:val="003C49D6"/>
    <w:rsid w:val="003D24BB"/>
    <w:rsid w:val="003D6679"/>
    <w:rsid w:val="003E30EC"/>
    <w:rsid w:val="003F4825"/>
    <w:rsid w:val="0040083F"/>
    <w:rsid w:val="00432B70"/>
    <w:rsid w:val="00436537"/>
    <w:rsid w:val="0044011A"/>
    <w:rsid w:val="00441EDC"/>
    <w:rsid w:val="00444AD2"/>
    <w:rsid w:val="00457E0A"/>
    <w:rsid w:val="004826EF"/>
    <w:rsid w:val="004873D9"/>
    <w:rsid w:val="00492B17"/>
    <w:rsid w:val="00496569"/>
    <w:rsid w:val="004A0E8E"/>
    <w:rsid w:val="004A394A"/>
    <w:rsid w:val="004B5B75"/>
    <w:rsid w:val="004D307D"/>
    <w:rsid w:val="004E24A2"/>
    <w:rsid w:val="004F6777"/>
    <w:rsid w:val="00500171"/>
    <w:rsid w:val="0050564C"/>
    <w:rsid w:val="0051290F"/>
    <w:rsid w:val="005133F8"/>
    <w:rsid w:val="00513BF2"/>
    <w:rsid w:val="00527C9D"/>
    <w:rsid w:val="00530B48"/>
    <w:rsid w:val="00530FEA"/>
    <w:rsid w:val="00532476"/>
    <w:rsid w:val="00534013"/>
    <w:rsid w:val="005356D4"/>
    <w:rsid w:val="00544B6F"/>
    <w:rsid w:val="005765C7"/>
    <w:rsid w:val="0058000D"/>
    <w:rsid w:val="00581FD6"/>
    <w:rsid w:val="005B6B29"/>
    <w:rsid w:val="005C6F1C"/>
    <w:rsid w:val="005F0283"/>
    <w:rsid w:val="00623FB4"/>
    <w:rsid w:val="006262C9"/>
    <w:rsid w:val="00635C8E"/>
    <w:rsid w:val="0063770B"/>
    <w:rsid w:val="006410AE"/>
    <w:rsid w:val="00641572"/>
    <w:rsid w:val="00651C67"/>
    <w:rsid w:val="006562DB"/>
    <w:rsid w:val="00656D34"/>
    <w:rsid w:val="006842AB"/>
    <w:rsid w:val="00696E6A"/>
    <w:rsid w:val="006A4380"/>
    <w:rsid w:val="006A4CB9"/>
    <w:rsid w:val="006B771A"/>
    <w:rsid w:val="006C334B"/>
    <w:rsid w:val="006F3709"/>
    <w:rsid w:val="007033F7"/>
    <w:rsid w:val="00734C9E"/>
    <w:rsid w:val="00762ACA"/>
    <w:rsid w:val="0076408F"/>
    <w:rsid w:val="00767749"/>
    <w:rsid w:val="00770EEA"/>
    <w:rsid w:val="007753BA"/>
    <w:rsid w:val="00775B84"/>
    <w:rsid w:val="007774F8"/>
    <w:rsid w:val="0079008F"/>
    <w:rsid w:val="007A35F6"/>
    <w:rsid w:val="007B053A"/>
    <w:rsid w:val="007C52E5"/>
    <w:rsid w:val="007C5F79"/>
    <w:rsid w:val="007D0750"/>
    <w:rsid w:val="007D16A4"/>
    <w:rsid w:val="007D2AA9"/>
    <w:rsid w:val="007E0DEE"/>
    <w:rsid w:val="007F0729"/>
    <w:rsid w:val="008053B7"/>
    <w:rsid w:val="008105B2"/>
    <w:rsid w:val="00813EED"/>
    <w:rsid w:val="00824634"/>
    <w:rsid w:val="00824C6B"/>
    <w:rsid w:val="00825812"/>
    <w:rsid w:val="008349B3"/>
    <w:rsid w:val="00834A2D"/>
    <w:rsid w:val="0083568C"/>
    <w:rsid w:val="00846F7D"/>
    <w:rsid w:val="00856B69"/>
    <w:rsid w:val="00863F77"/>
    <w:rsid w:val="00864DC1"/>
    <w:rsid w:val="00865907"/>
    <w:rsid w:val="00871017"/>
    <w:rsid w:val="008741BB"/>
    <w:rsid w:val="00883C0A"/>
    <w:rsid w:val="00886641"/>
    <w:rsid w:val="008908FC"/>
    <w:rsid w:val="008A1C67"/>
    <w:rsid w:val="008B71DB"/>
    <w:rsid w:val="008C12A8"/>
    <w:rsid w:val="008C6318"/>
    <w:rsid w:val="008D27F4"/>
    <w:rsid w:val="008E4926"/>
    <w:rsid w:val="008E7AA0"/>
    <w:rsid w:val="008F4F49"/>
    <w:rsid w:val="009318B8"/>
    <w:rsid w:val="009462E5"/>
    <w:rsid w:val="009563E8"/>
    <w:rsid w:val="009A5026"/>
    <w:rsid w:val="009B091D"/>
    <w:rsid w:val="009C09D8"/>
    <w:rsid w:val="009E1E59"/>
    <w:rsid w:val="009E262A"/>
    <w:rsid w:val="009F7B84"/>
    <w:rsid w:val="00A11AC1"/>
    <w:rsid w:val="00A3077F"/>
    <w:rsid w:val="00A330ED"/>
    <w:rsid w:val="00A40512"/>
    <w:rsid w:val="00A4068D"/>
    <w:rsid w:val="00A44D74"/>
    <w:rsid w:val="00A54964"/>
    <w:rsid w:val="00A574A9"/>
    <w:rsid w:val="00A83A9B"/>
    <w:rsid w:val="00AA42DB"/>
    <w:rsid w:val="00AA7025"/>
    <w:rsid w:val="00AD1B7E"/>
    <w:rsid w:val="00AD379D"/>
    <w:rsid w:val="00AE7557"/>
    <w:rsid w:val="00AF3E38"/>
    <w:rsid w:val="00B07860"/>
    <w:rsid w:val="00B13423"/>
    <w:rsid w:val="00B218CC"/>
    <w:rsid w:val="00B316F3"/>
    <w:rsid w:val="00B7182E"/>
    <w:rsid w:val="00B76F10"/>
    <w:rsid w:val="00B96660"/>
    <w:rsid w:val="00BA2589"/>
    <w:rsid w:val="00BA768D"/>
    <w:rsid w:val="00BB1369"/>
    <w:rsid w:val="00BC23BE"/>
    <w:rsid w:val="00BE379F"/>
    <w:rsid w:val="00BF14CF"/>
    <w:rsid w:val="00BF4CFA"/>
    <w:rsid w:val="00C148D5"/>
    <w:rsid w:val="00C2711B"/>
    <w:rsid w:val="00C43F4C"/>
    <w:rsid w:val="00C60E99"/>
    <w:rsid w:val="00C67C9D"/>
    <w:rsid w:val="00C737EA"/>
    <w:rsid w:val="00CA1D86"/>
    <w:rsid w:val="00CD3FD9"/>
    <w:rsid w:val="00CD61CC"/>
    <w:rsid w:val="00CF0E45"/>
    <w:rsid w:val="00CF2BF7"/>
    <w:rsid w:val="00D00DC6"/>
    <w:rsid w:val="00D17551"/>
    <w:rsid w:val="00D27E92"/>
    <w:rsid w:val="00D30DD8"/>
    <w:rsid w:val="00D53F27"/>
    <w:rsid w:val="00D732C7"/>
    <w:rsid w:val="00D733F1"/>
    <w:rsid w:val="00D9435D"/>
    <w:rsid w:val="00D9563B"/>
    <w:rsid w:val="00DB6570"/>
    <w:rsid w:val="00DC5960"/>
    <w:rsid w:val="00DD7791"/>
    <w:rsid w:val="00DE3314"/>
    <w:rsid w:val="00DE7F02"/>
    <w:rsid w:val="00E11B99"/>
    <w:rsid w:val="00E1686A"/>
    <w:rsid w:val="00E37109"/>
    <w:rsid w:val="00E703C2"/>
    <w:rsid w:val="00E82006"/>
    <w:rsid w:val="00E86411"/>
    <w:rsid w:val="00E91097"/>
    <w:rsid w:val="00E9485D"/>
    <w:rsid w:val="00E9704A"/>
    <w:rsid w:val="00EB5A7D"/>
    <w:rsid w:val="00EC5704"/>
    <w:rsid w:val="00EE1C5C"/>
    <w:rsid w:val="00EE46A2"/>
    <w:rsid w:val="00EE765D"/>
    <w:rsid w:val="00F41A91"/>
    <w:rsid w:val="00F453F4"/>
    <w:rsid w:val="00F577A7"/>
    <w:rsid w:val="00F63D60"/>
    <w:rsid w:val="00F74620"/>
    <w:rsid w:val="00F81B65"/>
    <w:rsid w:val="00F85BA5"/>
    <w:rsid w:val="00FD688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0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BE37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379F"/>
    <w:rPr>
      <w:sz w:val="20"/>
      <w:szCs w:val="20"/>
    </w:rPr>
  </w:style>
  <w:style w:type="character" w:styleId="FootnoteReference">
    <w:name w:val="footnote reference"/>
    <w:basedOn w:val="DefaultParagraphFont"/>
    <w:uiPriority w:val="99"/>
    <w:semiHidden/>
    <w:unhideWhenUsed/>
    <w:rsid w:val="00BE379F"/>
    <w:rPr>
      <w:vertAlign w:val="superscript"/>
    </w:rPr>
  </w:style>
  <w:style w:type="paragraph" w:styleId="Revision">
    <w:name w:val="Revision"/>
    <w:hidden/>
    <w:uiPriority w:val="99"/>
    <w:semiHidden/>
    <w:rsid w:val="001206D8"/>
    <w:pPr>
      <w:spacing w:after="0" w:line="240" w:lineRule="auto"/>
    </w:pPr>
  </w:style>
  <w:style w:type="paragraph" w:styleId="Caption">
    <w:name w:val="caption"/>
    <w:basedOn w:val="Normal"/>
    <w:next w:val="Normal"/>
    <w:uiPriority w:val="35"/>
    <w:unhideWhenUsed/>
    <w:qFormat/>
    <w:rsid w:val="00651C6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BE37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379F"/>
    <w:rPr>
      <w:sz w:val="20"/>
      <w:szCs w:val="20"/>
    </w:rPr>
  </w:style>
  <w:style w:type="character" w:styleId="FootnoteReference">
    <w:name w:val="footnote reference"/>
    <w:basedOn w:val="DefaultParagraphFont"/>
    <w:uiPriority w:val="99"/>
    <w:semiHidden/>
    <w:unhideWhenUsed/>
    <w:rsid w:val="00BE379F"/>
    <w:rPr>
      <w:vertAlign w:val="superscript"/>
    </w:rPr>
  </w:style>
  <w:style w:type="paragraph" w:styleId="Revision">
    <w:name w:val="Revision"/>
    <w:hidden/>
    <w:uiPriority w:val="99"/>
    <w:semiHidden/>
    <w:rsid w:val="001206D8"/>
    <w:pPr>
      <w:spacing w:after="0" w:line="240" w:lineRule="auto"/>
    </w:pPr>
  </w:style>
  <w:style w:type="paragraph" w:styleId="Caption">
    <w:name w:val="caption"/>
    <w:basedOn w:val="Normal"/>
    <w:next w:val="Normal"/>
    <w:uiPriority w:val="35"/>
    <w:unhideWhenUsed/>
    <w:qFormat/>
    <w:rsid w:val="00651C6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6016">
      <w:bodyDiv w:val="1"/>
      <w:marLeft w:val="0"/>
      <w:marRight w:val="0"/>
      <w:marTop w:val="0"/>
      <w:marBottom w:val="0"/>
      <w:divBdr>
        <w:top w:val="none" w:sz="0" w:space="0" w:color="auto"/>
        <w:left w:val="none" w:sz="0" w:space="0" w:color="auto"/>
        <w:bottom w:val="none" w:sz="0" w:space="0" w:color="auto"/>
        <w:right w:val="none" w:sz="0" w:space="0" w:color="auto"/>
      </w:divBdr>
    </w:div>
    <w:div w:id="148327312">
      <w:bodyDiv w:val="1"/>
      <w:marLeft w:val="0"/>
      <w:marRight w:val="0"/>
      <w:marTop w:val="0"/>
      <w:marBottom w:val="0"/>
      <w:divBdr>
        <w:top w:val="none" w:sz="0" w:space="0" w:color="auto"/>
        <w:left w:val="none" w:sz="0" w:space="0" w:color="auto"/>
        <w:bottom w:val="none" w:sz="0" w:space="0" w:color="auto"/>
        <w:right w:val="none" w:sz="0" w:space="0" w:color="auto"/>
      </w:divBdr>
    </w:div>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537400086">
          <w:marLeft w:val="806"/>
          <w:marRight w:val="0"/>
          <w:marTop w:val="72"/>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sChild>
    </w:div>
    <w:div w:id="866452554">
      <w:bodyDiv w:val="1"/>
      <w:marLeft w:val="0"/>
      <w:marRight w:val="0"/>
      <w:marTop w:val="0"/>
      <w:marBottom w:val="0"/>
      <w:divBdr>
        <w:top w:val="none" w:sz="0" w:space="0" w:color="auto"/>
        <w:left w:val="none" w:sz="0" w:space="0" w:color="auto"/>
        <w:bottom w:val="none" w:sz="0" w:space="0" w:color="auto"/>
        <w:right w:val="none" w:sz="0" w:space="0" w:color="auto"/>
      </w:divBdr>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316227436">
      <w:bodyDiv w:val="1"/>
      <w:marLeft w:val="0"/>
      <w:marRight w:val="0"/>
      <w:marTop w:val="0"/>
      <w:marBottom w:val="0"/>
      <w:divBdr>
        <w:top w:val="none" w:sz="0" w:space="0" w:color="auto"/>
        <w:left w:val="none" w:sz="0" w:space="0" w:color="auto"/>
        <w:bottom w:val="none" w:sz="0" w:space="0" w:color="auto"/>
        <w:right w:val="none" w:sz="0" w:space="0" w:color="auto"/>
      </w:divBdr>
    </w:div>
    <w:div w:id="1439250243">
      <w:bodyDiv w:val="1"/>
      <w:marLeft w:val="0"/>
      <w:marRight w:val="0"/>
      <w:marTop w:val="0"/>
      <w:marBottom w:val="0"/>
      <w:divBdr>
        <w:top w:val="none" w:sz="0" w:space="0" w:color="auto"/>
        <w:left w:val="none" w:sz="0" w:space="0" w:color="auto"/>
        <w:bottom w:val="none" w:sz="0" w:space="0" w:color="auto"/>
        <w:right w:val="none" w:sz="0" w:space="0" w:color="auto"/>
      </w:divBdr>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2050450190">
          <w:marLeft w:val="806"/>
          <w:marRight w:val="0"/>
          <w:marTop w:val="86"/>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59450289">
          <w:marLeft w:val="1440"/>
          <w:marRight w:val="0"/>
          <w:marTop w:val="72"/>
          <w:marBottom w:val="0"/>
          <w:divBdr>
            <w:top w:val="none" w:sz="0" w:space="0" w:color="auto"/>
            <w:left w:val="none" w:sz="0" w:space="0" w:color="auto"/>
            <w:bottom w:val="none" w:sz="0" w:space="0" w:color="auto"/>
            <w:right w:val="none" w:sz="0" w:space="0" w:color="auto"/>
          </w:divBdr>
        </w:div>
      </w:divsChild>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213513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26"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F9C728CD-DE00-4A75-8AD7-E189E4FF4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1977</Words>
  <Characters>11271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13222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Majumder, Anwesha</cp:lastModifiedBy>
  <cp:revision>2</cp:revision>
  <cp:lastPrinted>2016-06-28T06:36:00Z</cp:lastPrinted>
  <dcterms:created xsi:type="dcterms:W3CDTF">2016-08-25T12:15:00Z</dcterms:created>
  <dcterms:modified xsi:type="dcterms:W3CDTF">2016-08-25T12:15:00Z</dcterms:modified>
</cp:coreProperties>
</file>