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9E456D" w14:textId="77777777" w:rsidR="001E1094" w:rsidRDefault="001E1094" w:rsidP="001E1094">
      <w:pPr>
        <w:jc w:val="center"/>
        <w:rPr>
          <w:b/>
          <w:sz w:val="40"/>
          <w:szCs w:val="40"/>
        </w:rPr>
      </w:pPr>
      <w:r>
        <w:rPr>
          <w:b/>
          <w:sz w:val="40"/>
          <w:szCs w:val="40"/>
        </w:rPr>
        <w:t>Global Vaccine Action Plan</w:t>
      </w:r>
    </w:p>
    <w:p w14:paraId="01DA57D2" w14:textId="77777777" w:rsidR="001E1094" w:rsidRDefault="001E1094" w:rsidP="001E1094">
      <w:pPr>
        <w:jc w:val="center"/>
        <w:rPr>
          <w:i/>
          <w:sz w:val="40"/>
          <w:szCs w:val="40"/>
        </w:rPr>
      </w:pPr>
      <w:r>
        <w:rPr>
          <w:i/>
          <w:sz w:val="40"/>
          <w:szCs w:val="40"/>
        </w:rPr>
        <w:t>Secretariat Annual Report 2016</w:t>
      </w:r>
    </w:p>
    <w:p w14:paraId="3067B216" w14:textId="77777777" w:rsidR="001E1094" w:rsidRDefault="001E1094" w:rsidP="001E1094">
      <w:pPr>
        <w:jc w:val="center"/>
        <w:rPr>
          <w:i/>
          <w:sz w:val="40"/>
          <w:szCs w:val="40"/>
        </w:rPr>
      </w:pPr>
      <w:r>
        <w:rPr>
          <w:i/>
          <w:sz w:val="40"/>
          <w:szCs w:val="40"/>
        </w:rPr>
        <w:t xml:space="preserve">Priority Country report on progress towards </w:t>
      </w:r>
    </w:p>
    <w:p w14:paraId="1527C293" w14:textId="77777777" w:rsidR="001E1094" w:rsidRDefault="001E1094" w:rsidP="001E1094">
      <w:pPr>
        <w:jc w:val="center"/>
        <w:rPr>
          <w:i/>
          <w:sz w:val="40"/>
          <w:szCs w:val="40"/>
        </w:rPr>
      </w:pPr>
      <w:r>
        <w:rPr>
          <w:i/>
          <w:sz w:val="40"/>
          <w:szCs w:val="40"/>
        </w:rPr>
        <w:t xml:space="preserve">GVAP-RVAP goals </w:t>
      </w:r>
    </w:p>
    <w:p w14:paraId="31603DF2" w14:textId="77777777" w:rsidR="001E1094" w:rsidRDefault="001E1094" w:rsidP="001E1094">
      <w:pPr>
        <w:jc w:val="center"/>
        <w:rPr>
          <w:rFonts w:ascii="Arial" w:hAnsi="Arial"/>
          <w:b/>
          <w:sz w:val="32"/>
        </w:rPr>
      </w:pPr>
    </w:p>
    <w:p w14:paraId="54353DC3" w14:textId="6FB17780" w:rsidR="001E1094" w:rsidRDefault="001E1094" w:rsidP="001E1094">
      <w:pPr>
        <w:jc w:val="center"/>
        <w:rPr>
          <w:rFonts w:ascii="Arial" w:hAnsi="Arial"/>
          <w:b/>
          <w:sz w:val="36"/>
        </w:rPr>
      </w:pPr>
      <w:r>
        <w:rPr>
          <w:rFonts w:ascii="Arial" w:hAnsi="Arial"/>
          <w:b/>
          <w:sz w:val="36"/>
        </w:rPr>
        <w:t>DEMOCRATIC REPUBLIC OF CONGO</w:t>
      </w:r>
    </w:p>
    <w:p w14:paraId="06425866" w14:textId="77777777" w:rsidR="001E1094" w:rsidRDefault="001E1094" w:rsidP="001E1094">
      <w:pPr>
        <w:jc w:val="center"/>
        <w:rPr>
          <w:rFonts w:ascii="Arial" w:hAnsi="Arial"/>
          <w:b/>
          <w:sz w:val="36"/>
        </w:rPr>
      </w:pPr>
    </w:p>
    <w:p w14:paraId="491E978F" w14:textId="448C3F60" w:rsidR="00457E0A" w:rsidRPr="00EE765D" w:rsidRDefault="00457E0A" w:rsidP="00EE765D">
      <w:pPr>
        <w:pStyle w:val="ListParagraph"/>
        <w:numPr>
          <w:ilvl w:val="0"/>
          <w:numId w:val="3"/>
        </w:numPr>
        <w:contextualSpacing w:val="0"/>
        <w:rPr>
          <w:rFonts w:ascii="Arial" w:hAnsi="Arial" w:cs="Arial"/>
          <w:b/>
          <w:sz w:val="26"/>
          <w:szCs w:val="26"/>
        </w:rPr>
      </w:pPr>
      <w:r w:rsidRPr="00527C9D">
        <w:rPr>
          <w:rFonts w:ascii="Arial" w:hAnsi="Arial" w:cs="Arial"/>
          <w:b/>
          <w:sz w:val="26"/>
          <w:szCs w:val="26"/>
        </w:rPr>
        <w:t xml:space="preserve">Progress towards achievement of GVAP goals </w:t>
      </w:r>
    </w:p>
    <w:p w14:paraId="35A92CE8" w14:textId="77777777" w:rsidR="00163179" w:rsidRPr="00527C9D" w:rsidRDefault="00C67C9D" w:rsidP="00163179">
      <w:pPr>
        <w:pStyle w:val="ListParagraph"/>
        <w:numPr>
          <w:ilvl w:val="0"/>
          <w:numId w:val="1"/>
        </w:numPr>
        <w:rPr>
          <w:rFonts w:ascii="Arial" w:hAnsi="Arial" w:cs="Arial"/>
          <w:b/>
          <w:sz w:val="24"/>
          <w:szCs w:val="24"/>
        </w:rPr>
      </w:pPr>
      <w:r w:rsidRPr="00527C9D">
        <w:rPr>
          <w:rFonts w:ascii="Arial" w:hAnsi="Arial" w:cs="Arial"/>
          <w:b/>
          <w:sz w:val="24"/>
          <w:szCs w:val="24"/>
        </w:rPr>
        <w:t xml:space="preserve">Summary </w:t>
      </w:r>
    </w:p>
    <w:p w14:paraId="362C7F99" w14:textId="77777777" w:rsidR="00BA2589" w:rsidRDefault="00BA2589" w:rsidP="00696E6A">
      <w:pPr>
        <w:rPr>
          <w:rFonts w:ascii="Arial" w:hAnsi="Arial" w:cs="Arial"/>
        </w:rPr>
      </w:pPr>
      <w:r w:rsidRPr="0000352E">
        <w:rPr>
          <w:rFonts w:ascii="Arial" w:hAnsi="Arial" w:cs="Arial"/>
        </w:rPr>
        <w:t xml:space="preserve">This </w:t>
      </w:r>
      <w:r w:rsidR="006C334B">
        <w:rPr>
          <w:rFonts w:ascii="Arial" w:hAnsi="Arial" w:cs="Arial"/>
        </w:rPr>
        <w:t xml:space="preserve">summary table describes </w:t>
      </w:r>
      <w:r w:rsidRPr="0000352E">
        <w:rPr>
          <w:rFonts w:ascii="Arial" w:hAnsi="Arial" w:cs="Arial"/>
        </w:rPr>
        <w:t xml:space="preserve">the current situation in DRC regarding achieving the GVAP </w:t>
      </w:r>
      <w:proofErr w:type="gramStart"/>
      <w:r w:rsidRPr="0000352E">
        <w:rPr>
          <w:rFonts w:ascii="Arial" w:hAnsi="Arial" w:cs="Arial"/>
        </w:rPr>
        <w:t>goals</w:t>
      </w:r>
      <w:proofErr w:type="gramEnd"/>
      <w:r w:rsidRPr="0000352E">
        <w:rPr>
          <w:rFonts w:ascii="Arial" w:hAnsi="Arial" w:cs="Arial"/>
        </w:rPr>
        <w:t>.</w:t>
      </w:r>
      <w:r w:rsidR="00527C9D">
        <w:rPr>
          <w:rFonts w:ascii="Arial" w:hAnsi="Arial" w:cs="Arial"/>
        </w:rPr>
        <w:t xml:space="preserve"> </w:t>
      </w:r>
      <w:r w:rsidR="00500171">
        <w:rPr>
          <w:rFonts w:ascii="Arial" w:hAnsi="Arial" w:cs="Arial"/>
        </w:rPr>
        <w:t>D</w:t>
      </w:r>
      <w:r w:rsidR="00696E6A">
        <w:rPr>
          <w:rFonts w:ascii="Arial" w:hAnsi="Arial" w:cs="Arial"/>
        </w:rPr>
        <w:t xml:space="preserve">ata </w:t>
      </w:r>
      <w:r w:rsidR="00E11B99">
        <w:rPr>
          <w:rFonts w:ascii="Arial" w:hAnsi="Arial" w:cs="Arial"/>
        </w:rPr>
        <w:t xml:space="preserve">used to assess progress towards achievement of </w:t>
      </w:r>
      <w:r w:rsidR="00696E6A">
        <w:rPr>
          <w:rFonts w:ascii="Arial" w:hAnsi="Arial" w:cs="Arial"/>
        </w:rPr>
        <w:t xml:space="preserve">GVAP goals are included in the annex (Country </w:t>
      </w:r>
      <w:r w:rsidR="00D00DC6">
        <w:rPr>
          <w:rFonts w:ascii="Arial" w:hAnsi="Arial" w:cs="Arial"/>
        </w:rPr>
        <w:t xml:space="preserve">immunization </w:t>
      </w:r>
      <w:r w:rsidR="00696E6A">
        <w:rPr>
          <w:rFonts w:ascii="Arial" w:hAnsi="Arial" w:cs="Arial"/>
        </w:rPr>
        <w:t>profile).</w:t>
      </w:r>
    </w:p>
    <w:tbl>
      <w:tblPr>
        <w:tblW w:w="9420" w:type="dxa"/>
        <w:jc w:val="center"/>
        <w:tblLook w:val="04A0" w:firstRow="1" w:lastRow="0" w:firstColumn="1" w:lastColumn="0" w:noHBand="0" w:noVBand="1"/>
      </w:tblPr>
      <w:tblGrid>
        <w:gridCol w:w="3220"/>
        <w:gridCol w:w="3900"/>
        <w:gridCol w:w="2300"/>
      </w:tblGrid>
      <w:tr w:rsidR="004873D9" w:rsidRPr="004873D9" w14:paraId="5DB6CA61" w14:textId="77777777" w:rsidTr="00C2711B">
        <w:trPr>
          <w:trHeight w:val="440"/>
          <w:tblHeader/>
          <w:jc w:val="center"/>
        </w:trPr>
        <w:tc>
          <w:tcPr>
            <w:tcW w:w="32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27D6B7" w14:textId="77777777" w:rsidR="004873D9" w:rsidRPr="004873D9" w:rsidRDefault="004873D9" w:rsidP="00AD1B7E">
            <w:pPr>
              <w:spacing w:after="0" w:line="240" w:lineRule="auto"/>
              <w:jc w:val="center"/>
              <w:rPr>
                <w:rFonts w:ascii="Calibri" w:eastAsia="Times New Roman" w:hAnsi="Calibri" w:cs="Calibri"/>
                <w:b/>
                <w:bCs/>
                <w:color w:val="000000"/>
                <w:sz w:val="28"/>
                <w:szCs w:val="28"/>
                <w:lang w:eastAsia="en-GB"/>
              </w:rPr>
            </w:pPr>
            <w:r w:rsidRPr="004873D9">
              <w:rPr>
                <w:rFonts w:ascii="Calibri" w:eastAsia="Times New Roman" w:hAnsi="Calibri" w:cs="Calibri"/>
                <w:b/>
                <w:bCs/>
                <w:color w:val="000000"/>
                <w:sz w:val="28"/>
                <w:szCs w:val="28"/>
                <w:lang w:eastAsia="en-GB"/>
              </w:rPr>
              <w:t>Area</w:t>
            </w:r>
          </w:p>
        </w:tc>
        <w:tc>
          <w:tcPr>
            <w:tcW w:w="3900" w:type="dxa"/>
            <w:tcBorders>
              <w:top w:val="single" w:sz="4" w:space="0" w:color="auto"/>
              <w:left w:val="nil"/>
              <w:bottom w:val="single" w:sz="4" w:space="0" w:color="auto"/>
              <w:right w:val="single" w:sz="4" w:space="0" w:color="auto"/>
            </w:tcBorders>
            <w:shd w:val="clear" w:color="auto" w:fill="auto"/>
            <w:vAlign w:val="center"/>
            <w:hideMark/>
          </w:tcPr>
          <w:p w14:paraId="676504EB" w14:textId="77777777" w:rsidR="004873D9" w:rsidRPr="004873D9" w:rsidRDefault="004873D9" w:rsidP="00AD1B7E">
            <w:pPr>
              <w:spacing w:after="0" w:line="240" w:lineRule="auto"/>
              <w:jc w:val="center"/>
              <w:rPr>
                <w:rFonts w:ascii="Calibri" w:eastAsia="Times New Roman" w:hAnsi="Calibri" w:cs="Calibri"/>
                <w:b/>
                <w:bCs/>
                <w:color w:val="000000"/>
                <w:sz w:val="28"/>
                <w:szCs w:val="28"/>
                <w:lang w:eastAsia="en-GB"/>
              </w:rPr>
            </w:pPr>
            <w:r w:rsidRPr="004873D9">
              <w:rPr>
                <w:rFonts w:ascii="Calibri" w:eastAsia="Times New Roman" w:hAnsi="Calibri" w:cs="Calibri"/>
                <w:b/>
                <w:bCs/>
                <w:color w:val="000000"/>
                <w:sz w:val="28"/>
                <w:szCs w:val="28"/>
                <w:lang w:eastAsia="en-GB"/>
              </w:rPr>
              <w:t>Indicator</w:t>
            </w:r>
          </w:p>
        </w:tc>
        <w:tc>
          <w:tcPr>
            <w:tcW w:w="2300" w:type="dxa"/>
            <w:tcBorders>
              <w:top w:val="single" w:sz="4" w:space="0" w:color="auto"/>
              <w:left w:val="nil"/>
              <w:bottom w:val="single" w:sz="4" w:space="0" w:color="auto"/>
              <w:right w:val="single" w:sz="4" w:space="0" w:color="auto"/>
            </w:tcBorders>
            <w:shd w:val="clear" w:color="auto" w:fill="auto"/>
            <w:vAlign w:val="center"/>
            <w:hideMark/>
          </w:tcPr>
          <w:p w14:paraId="297A8E6E" w14:textId="77777777" w:rsidR="004873D9" w:rsidRPr="004873D9" w:rsidRDefault="004873D9" w:rsidP="00AD1B7E">
            <w:pPr>
              <w:spacing w:after="0" w:line="240" w:lineRule="auto"/>
              <w:jc w:val="center"/>
              <w:rPr>
                <w:rFonts w:ascii="Calibri" w:eastAsia="Times New Roman" w:hAnsi="Calibri" w:cs="Calibri"/>
                <w:b/>
                <w:bCs/>
                <w:color w:val="000000"/>
                <w:sz w:val="28"/>
                <w:szCs w:val="28"/>
                <w:lang w:eastAsia="en-GB"/>
              </w:rPr>
            </w:pPr>
            <w:r w:rsidRPr="004873D9">
              <w:rPr>
                <w:rFonts w:ascii="Calibri" w:eastAsia="Times New Roman" w:hAnsi="Calibri" w:cs="Calibri"/>
                <w:b/>
                <w:bCs/>
                <w:color w:val="000000"/>
                <w:sz w:val="28"/>
                <w:szCs w:val="28"/>
                <w:lang w:eastAsia="en-GB"/>
              </w:rPr>
              <w:t>DR Congo</w:t>
            </w:r>
          </w:p>
        </w:tc>
      </w:tr>
      <w:tr w:rsidR="00C2711B" w:rsidRPr="004873D9" w14:paraId="7A328907" w14:textId="77777777" w:rsidTr="00C2711B">
        <w:trPr>
          <w:trHeight w:val="300"/>
          <w:jc w:val="center"/>
        </w:trPr>
        <w:tc>
          <w:tcPr>
            <w:tcW w:w="3220" w:type="dxa"/>
            <w:vMerge w:val="restart"/>
            <w:tcBorders>
              <w:top w:val="nil"/>
              <w:left w:val="single" w:sz="4" w:space="0" w:color="auto"/>
              <w:right w:val="single" w:sz="4" w:space="0" w:color="auto"/>
            </w:tcBorders>
            <w:shd w:val="clear" w:color="000000" w:fill="C5D9F1"/>
            <w:hideMark/>
          </w:tcPr>
          <w:p w14:paraId="7BDACEB2" w14:textId="77777777" w:rsidR="00C2711B" w:rsidRPr="004873D9" w:rsidRDefault="00C2711B" w:rsidP="00C2711B">
            <w:pPr>
              <w:spacing w:after="0" w:line="240" w:lineRule="auto"/>
              <w:rPr>
                <w:rFonts w:ascii="Calibri" w:eastAsia="Times New Roman" w:hAnsi="Calibri" w:cs="Calibri"/>
                <w:b/>
                <w:bCs/>
                <w:color w:val="000000"/>
                <w:lang w:eastAsia="en-GB"/>
              </w:rPr>
            </w:pPr>
            <w:r w:rsidRPr="004873D9">
              <w:rPr>
                <w:rFonts w:ascii="Calibri" w:eastAsia="Times New Roman" w:hAnsi="Calibri" w:cs="Calibri"/>
                <w:b/>
                <w:bCs/>
                <w:color w:val="000000"/>
                <w:lang w:eastAsia="en-GB"/>
              </w:rPr>
              <w:t>2. Neonatal tetanus elimination</w:t>
            </w:r>
          </w:p>
        </w:tc>
        <w:tc>
          <w:tcPr>
            <w:tcW w:w="3900" w:type="dxa"/>
            <w:tcBorders>
              <w:top w:val="nil"/>
              <w:left w:val="nil"/>
              <w:bottom w:val="single" w:sz="4" w:space="0" w:color="auto"/>
              <w:right w:val="single" w:sz="4" w:space="0" w:color="auto"/>
            </w:tcBorders>
            <w:shd w:val="clear" w:color="000000" w:fill="C5D9F1"/>
            <w:vAlign w:val="center"/>
            <w:hideMark/>
          </w:tcPr>
          <w:p w14:paraId="143882CB" w14:textId="77777777" w:rsidR="00C2711B" w:rsidRPr="004873D9" w:rsidRDefault="00C2711B" w:rsidP="004873D9">
            <w:pPr>
              <w:spacing w:after="0" w:line="240" w:lineRule="auto"/>
              <w:rPr>
                <w:rFonts w:ascii="Calibri" w:eastAsia="Times New Roman" w:hAnsi="Calibri" w:cs="Calibri"/>
                <w:b/>
                <w:bCs/>
                <w:color w:val="000000"/>
                <w:lang w:eastAsia="en-GB"/>
              </w:rPr>
            </w:pPr>
            <w:r w:rsidRPr="004873D9">
              <w:rPr>
                <w:rFonts w:ascii="Calibri" w:eastAsia="Times New Roman" w:hAnsi="Calibri" w:cs="Calibri"/>
                <w:b/>
                <w:bCs/>
                <w:color w:val="000000"/>
                <w:lang w:eastAsia="en-GB"/>
              </w:rPr>
              <w:t xml:space="preserve">Coverage for TT (reported </w:t>
            </w:r>
            <w:r>
              <w:rPr>
                <w:rFonts w:ascii="Calibri" w:eastAsia="Times New Roman" w:hAnsi="Calibri" w:cs="Calibri"/>
                <w:b/>
                <w:bCs/>
                <w:color w:val="000000"/>
                <w:lang w:eastAsia="en-GB"/>
              </w:rPr>
              <w:t xml:space="preserve">in </w:t>
            </w:r>
            <w:r w:rsidRPr="004873D9">
              <w:rPr>
                <w:rFonts w:ascii="Calibri" w:eastAsia="Times New Roman" w:hAnsi="Calibri" w:cs="Calibri"/>
                <w:b/>
                <w:bCs/>
                <w:color w:val="000000"/>
                <w:lang w:eastAsia="en-GB"/>
              </w:rPr>
              <w:t>2015</w:t>
            </w:r>
            <w:r>
              <w:rPr>
                <w:rFonts w:ascii="Calibri" w:eastAsia="Times New Roman" w:hAnsi="Calibri" w:cs="Calibri"/>
                <w:b/>
                <w:bCs/>
                <w:color w:val="000000"/>
                <w:lang w:eastAsia="en-GB"/>
              </w:rPr>
              <w:t xml:space="preserve"> JRF</w:t>
            </w:r>
            <w:r w:rsidRPr="004873D9">
              <w:rPr>
                <w:rFonts w:ascii="Calibri" w:eastAsia="Times New Roman" w:hAnsi="Calibri" w:cs="Calibri"/>
                <w:b/>
                <w:bCs/>
                <w:color w:val="000000"/>
                <w:lang w:eastAsia="en-GB"/>
              </w:rPr>
              <w:t>)</w:t>
            </w:r>
          </w:p>
        </w:tc>
        <w:tc>
          <w:tcPr>
            <w:tcW w:w="2300" w:type="dxa"/>
            <w:tcBorders>
              <w:top w:val="nil"/>
              <w:left w:val="nil"/>
              <w:bottom w:val="single" w:sz="4" w:space="0" w:color="auto"/>
              <w:right w:val="single" w:sz="4" w:space="0" w:color="auto"/>
            </w:tcBorders>
            <w:shd w:val="clear" w:color="000000" w:fill="00B050"/>
            <w:vAlign w:val="center"/>
            <w:hideMark/>
          </w:tcPr>
          <w:p w14:paraId="56FE7099" w14:textId="77777777" w:rsidR="00C2711B" w:rsidRPr="004873D9" w:rsidRDefault="00C2711B" w:rsidP="004873D9">
            <w:pPr>
              <w:spacing w:after="0" w:line="240" w:lineRule="auto"/>
              <w:jc w:val="center"/>
              <w:rPr>
                <w:rFonts w:ascii="Calibri" w:eastAsia="Times New Roman" w:hAnsi="Calibri" w:cs="Calibri"/>
                <w:b/>
                <w:bCs/>
                <w:color w:val="000000"/>
                <w:lang w:eastAsia="en-GB"/>
              </w:rPr>
            </w:pPr>
            <w:r w:rsidRPr="004873D9">
              <w:rPr>
                <w:rFonts w:ascii="Calibri" w:eastAsia="Times New Roman" w:hAnsi="Calibri" w:cs="Calibri"/>
                <w:b/>
                <w:bCs/>
                <w:color w:val="000000"/>
                <w:lang w:eastAsia="en-GB"/>
              </w:rPr>
              <w:t>91%</w:t>
            </w:r>
          </w:p>
        </w:tc>
      </w:tr>
      <w:tr w:rsidR="00C2711B" w:rsidRPr="004873D9" w14:paraId="79033F6B" w14:textId="77777777" w:rsidTr="00886641">
        <w:trPr>
          <w:trHeight w:val="600"/>
          <w:jc w:val="center"/>
        </w:trPr>
        <w:tc>
          <w:tcPr>
            <w:tcW w:w="3220" w:type="dxa"/>
            <w:vMerge/>
            <w:tcBorders>
              <w:left w:val="single" w:sz="4" w:space="0" w:color="auto"/>
              <w:right w:val="single" w:sz="4" w:space="0" w:color="auto"/>
            </w:tcBorders>
            <w:shd w:val="clear" w:color="000000" w:fill="C5D9F1"/>
            <w:vAlign w:val="center"/>
          </w:tcPr>
          <w:p w14:paraId="7FBFBD83" w14:textId="77777777" w:rsidR="00C2711B" w:rsidRPr="004873D9" w:rsidRDefault="00C2711B" w:rsidP="004873D9">
            <w:pPr>
              <w:spacing w:after="0" w:line="240" w:lineRule="auto"/>
              <w:rPr>
                <w:rFonts w:ascii="Calibri" w:eastAsia="Times New Roman" w:hAnsi="Calibri" w:cs="Calibri"/>
                <w:b/>
                <w:bCs/>
                <w:color w:val="000000"/>
                <w:lang w:eastAsia="en-GB"/>
              </w:rPr>
            </w:pPr>
          </w:p>
        </w:tc>
        <w:tc>
          <w:tcPr>
            <w:tcW w:w="3900" w:type="dxa"/>
            <w:tcBorders>
              <w:top w:val="nil"/>
              <w:left w:val="nil"/>
              <w:bottom w:val="single" w:sz="4" w:space="0" w:color="auto"/>
              <w:right w:val="single" w:sz="4" w:space="0" w:color="auto"/>
            </w:tcBorders>
            <w:shd w:val="clear" w:color="000000" w:fill="C5D9F1"/>
            <w:vAlign w:val="center"/>
            <w:hideMark/>
          </w:tcPr>
          <w:p w14:paraId="79D6410C" w14:textId="77777777" w:rsidR="00C2711B" w:rsidRPr="004873D9" w:rsidRDefault="00C2711B" w:rsidP="00C2711B">
            <w:pPr>
              <w:spacing w:after="0" w:line="240" w:lineRule="auto"/>
              <w:rPr>
                <w:rFonts w:ascii="Calibri" w:eastAsia="Times New Roman" w:hAnsi="Calibri" w:cs="Calibri"/>
                <w:b/>
                <w:bCs/>
                <w:color w:val="000000"/>
                <w:lang w:eastAsia="en-GB"/>
              </w:rPr>
            </w:pPr>
            <w:r w:rsidRPr="004873D9">
              <w:rPr>
                <w:rFonts w:ascii="Calibri" w:eastAsia="Times New Roman" w:hAnsi="Calibri" w:cs="Calibri"/>
                <w:b/>
                <w:bCs/>
                <w:color w:val="000000"/>
                <w:lang w:eastAsia="en-GB"/>
              </w:rPr>
              <w:t xml:space="preserve">Protection at Birth against </w:t>
            </w:r>
            <w:r>
              <w:rPr>
                <w:rFonts w:ascii="Calibri" w:eastAsia="Times New Roman" w:hAnsi="Calibri" w:cs="Calibri"/>
                <w:b/>
                <w:bCs/>
                <w:color w:val="000000"/>
                <w:lang w:eastAsia="en-GB"/>
              </w:rPr>
              <w:t xml:space="preserve"> tetanus</w:t>
            </w:r>
            <w:r w:rsidRPr="004873D9">
              <w:rPr>
                <w:rFonts w:ascii="Calibri" w:eastAsia="Times New Roman" w:hAnsi="Calibri" w:cs="Calibri"/>
                <w:b/>
                <w:bCs/>
                <w:color w:val="000000"/>
                <w:lang w:eastAsia="en-GB"/>
              </w:rPr>
              <w:t xml:space="preserve"> (WUENIC 201</w:t>
            </w:r>
            <w:r>
              <w:rPr>
                <w:rFonts w:ascii="Calibri" w:eastAsia="Times New Roman" w:hAnsi="Calibri" w:cs="Calibri"/>
                <w:b/>
                <w:bCs/>
                <w:color w:val="000000"/>
                <w:lang w:eastAsia="en-GB"/>
              </w:rPr>
              <w:t>5</w:t>
            </w:r>
            <w:r w:rsidRPr="004873D9">
              <w:rPr>
                <w:rFonts w:ascii="Calibri" w:eastAsia="Times New Roman" w:hAnsi="Calibri" w:cs="Calibri"/>
                <w:b/>
                <w:bCs/>
                <w:color w:val="000000"/>
                <w:lang w:eastAsia="en-GB"/>
              </w:rPr>
              <w:t>)</w:t>
            </w:r>
          </w:p>
        </w:tc>
        <w:tc>
          <w:tcPr>
            <w:tcW w:w="2300" w:type="dxa"/>
            <w:tcBorders>
              <w:top w:val="nil"/>
              <w:left w:val="nil"/>
              <w:bottom w:val="single" w:sz="4" w:space="0" w:color="auto"/>
              <w:right w:val="single" w:sz="4" w:space="0" w:color="auto"/>
            </w:tcBorders>
            <w:shd w:val="clear" w:color="000000" w:fill="FFC000"/>
            <w:vAlign w:val="center"/>
            <w:hideMark/>
          </w:tcPr>
          <w:p w14:paraId="2B8A704F" w14:textId="77777777" w:rsidR="00C2711B" w:rsidRPr="004873D9" w:rsidRDefault="00C2711B" w:rsidP="004873D9">
            <w:pPr>
              <w:spacing w:after="0" w:line="240" w:lineRule="auto"/>
              <w:jc w:val="center"/>
              <w:rPr>
                <w:rFonts w:ascii="Calibri" w:eastAsia="Times New Roman" w:hAnsi="Calibri" w:cs="Calibri"/>
                <w:b/>
                <w:bCs/>
                <w:color w:val="000000"/>
                <w:lang w:eastAsia="en-GB"/>
              </w:rPr>
            </w:pPr>
            <w:r w:rsidRPr="004873D9">
              <w:rPr>
                <w:rFonts w:ascii="Calibri" w:eastAsia="Times New Roman" w:hAnsi="Calibri" w:cs="Calibri"/>
                <w:b/>
                <w:bCs/>
                <w:color w:val="000000"/>
                <w:lang w:eastAsia="en-GB"/>
              </w:rPr>
              <w:t>82%</w:t>
            </w:r>
          </w:p>
        </w:tc>
      </w:tr>
      <w:tr w:rsidR="00C2711B" w:rsidRPr="004873D9" w14:paraId="1C79CC45" w14:textId="77777777" w:rsidTr="00C2711B">
        <w:trPr>
          <w:trHeight w:val="1403"/>
          <w:jc w:val="center"/>
        </w:trPr>
        <w:tc>
          <w:tcPr>
            <w:tcW w:w="3220" w:type="dxa"/>
            <w:vMerge/>
            <w:tcBorders>
              <w:left w:val="single" w:sz="4" w:space="0" w:color="auto"/>
              <w:right w:val="single" w:sz="4" w:space="0" w:color="auto"/>
            </w:tcBorders>
            <w:shd w:val="clear" w:color="000000" w:fill="C5D9F1"/>
          </w:tcPr>
          <w:p w14:paraId="0CA4D8F8" w14:textId="77777777" w:rsidR="00C2711B" w:rsidRPr="004873D9" w:rsidRDefault="00C2711B" w:rsidP="004873D9">
            <w:pPr>
              <w:spacing w:after="0" w:line="240" w:lineRule="auto"/>
              <w:rPr>
                <w:rFonts w:ascii="Calibri" w:eastAsia="Times New Roman" w:hAnsi="Calibri" w:cs="Calibri"/>
                <w:b/>
                <w:bCs/>
                <w:color w:val="000000"/>
                <w:lang w:eastAsia="en-GB"/>
              </w:rPr>
            </w:pPr>
          </w:p>
        </w:tc>
        <w:tc>
          <w:tcPr>
            <w:tcW w:w="3900" w:type="dxa"/>
            <w:tcBorders>
              <w:top w:val="nil"/>
              <w:left w:val="nil"/>
              <w:bottom w:val="single" w:sz="4" w:space="0" w:color="auto"/>
              <w:right w:val="single" w:sz="4" w:space="0" w:color="auto"/>
            </w:tcBorders>
            <w:shd w:val="clear" w:color="000000" w:fill="C5D9F1"/>
            <w:hideMark/>
          </w:tcPr>
          <w:p w14:paraId="2B24678E" w14:textId="77777777" w:rsidR="00C2711B" w:rsidRPr="004873D9" w:rsidRDefault="00C2711B" w:rsidP="004873D9">
            <w:pPr>
              <w:spacing w:after="0" w:line="240" w:lineRule="auto"/>
              <w:rPr>
                <w:rFonts w:ascii="Calibri" w:eastAsia="Times New Roman" w:hAnsi="Calibri" w:cs="Calibri"/>
                <w:b/>
                <w:bCs/>
                <w:color w:val="000000"/>
                <w:lang w:eastAsia="en-GB"/>
              </w:rPr>
            </w:pPr>
            <w:r w:rsidRPr="004873D9">
              <w:rPr>
                <w:rFonts w:ascii="Calibri" w:eastAsia="Times New Roman" w:hAnsi="Calibri" w:cs="Calibri"/>
                <w:b/>
                <w:bCs/>
                <w:color w:val="000000"/>
                <w:lang w:eastAsia="en-GB"/>
              </w:rPr>
              <w:t>Last SIAs conducted in the country</w:t>
            </w:r>
          </w:p>
        </w:tc>
        <w:tc>
          <w:tcPr>
            <w:tcW w:w="2300" w:type="dxa"/>
            <w:tcBorders>
              <w:top w:val="nil"/>
              <w:left w:val="nil"/>
              <w:bottom w:val="single" w:sz="4" w:space="0" w:color="auto"/>
              <w:right w:val="single" w:sz="4" w:space="0" w:color="auto"/>
            </w:tcBorders>
            <w:shd w:val="clear" w:color="000000" w:fill="FF0000"/>
            <w:hideMark/>
          </w:tcPr>
          <w:p w14:paraId="2EA574AD" w14:textId="77777777" w:rsidR="00C2711B" w:rsidRPr="004873D9" w:rsidRDefault="00C2711B" w:rsidP="00C2711B">
            <w:pPr>
              <w:spacing w:after="0" w:line="240" w:lineRule="auto"/>
              <w:jc w:val="center"/>
              <w:rPr>
                <w:rFonts w:ascii="Calibri" w:eastAsia="Times New Roman" w:hAnsi="Calibri" w:cs="Calibri"/>
                <w:b/>
                <w:bCs/>
                <w:color w:val="000000"/>
                <w:lang w:eastAsia="en-GB"/>
              </w:rPr>
            </w:pPr>
            <w:r w:rsidRPr="004873D9">
              <w:rPr>
                <w:rFonts w:ascii="Calibri" w:eastAsia="Times New Roman" w:hAnsi="Calibri" w:cs="Calibri"/>
                <w:b/>
                <w:bCs/>
                <w:color w:val="000000"/>
                <w:lang w:eastAsia="en-GB"/>
              </w:rPr>
              <w:t>SIA</w:t>
            </w:r>
            <w:r>
              <w:rPr>
                <w:rFonts w:ascii="Calibri" w:eastAsia="Times New Roman" w:hAnsi="Calibri" w:cs="Calibri"/>
                <w:b/>
                <w:bCs/>
                <w:color w:val="000000"/>
                <w:lang w:eastAsia="en-GB"/>
              </w:rPr>
              <w:t xml:space="preserve">s in 2013 and 2014 in 75 high-risk </w:t>
            </w:r>
            <w:r w:rsidRPr="004873D9">
              <w:rPr>
                <w:rFonts w:ascii="Calibri" w:eastAsia="Times New Roman" w:hAnsi="Calibri" w:cs="Calibri"/>
                <w:b/>
                <w:bCs/>
                <w:color w:val="000000"/>
                <w:lang w:eastAsia="en-GB"/>
              </w:rPr>
              <w:t>districts</w:t>
            </w:r>
            <w:r>
              <w:rPr>
                <w:rFonts w:ascii="Calibri" w:eastAsia="Times New Roman" w:hAnsi="Calibri" w:cs="Calibri"/>
                <w:b/>
                <w:bCs/>
                <w:color w:val="000000"/>
                <w:lang w:eastAsia="en-GB"/>
              </w:rPr>
              <w:t xml:space="preserve">, following SIAs in 2012 in 31 districts. </w:t>
            </w:r>
          </w:p>
        </w:tc>
      </w:tr>
      <w:tr w:rsidR="00C2711B" w:rsidRPr="004873D9" w14:paraId="18342893" w14:textId="77777777" w:rsidTr="00EE1C5C">
        <w:trPr>
          <w:trHeight w:val="1160"/>
          <w:jc w:val="center"/>
        </w:trPr>
        <w:tc>
          <w:tcPr>
            <w:tcW w:w="3220" w:type="dxa"/>
            <w:vMerge/>
            <w:tcBorders>
              <w:left w:val="single" w:sz="4" w:space="0" w:color="auto"/>
              <w:bottom w:val="single" w:sz="4" w:space="0" w:color="auto"/>
              <w:right w:val="single" w:sz="4" w:space="0" w:color="auto"/>
            </w:tcBorders>
            <w:shd w:val="clear" w:color="000000" w:fill="C5D9F1"/>
            <w:vAlign w:val="center"/>
          </w:tcPr>
          <w:p w14:paraId="079E281F" w14:textId="77777777" w:rsidR="00C2711B" w:rsidRPr="004873D9" w:rsidRDefault="00C2711B" w:rsidP="004873D9">
            <w:pPr>
              <w:spacing w:after="0" w:line="240" w:lineRule="auto"/>
              <w:rPr>
                <w:rFonts w:ascii="Calibri" w:eastAsia="Times New Roman" w:hAnsi="Calibri" w:cs="Calibri"/>
                <w:b/>
                <w:bCs/>
                <w:color w:val="000000"/>
                <w:lang w:eastAsia="en-GB"/>
              </w:rPr>
            </w:pPr>
          </w:p>
        </w:tc>
        <w:tc>
          <w:tcPr>
            <w:tcW w:w="3900" w:type="dxa"/>
            <w:tcBorders>
              <w:top w:val="nil"/>
              <w:left w:val="nil"/>
              <w:bottom w:val="single" w:sz="4" w:space="0" w:color="auto"/>
              <w:right w:val="single" w:sz="4" w:space="0" w:color="auto"/>
            </w:tcBorders>
            <w:shd w:val="clear" w:color="000000" w:fill="C5D9F1"/>
            <w:hideMark/>
          </w:tcPr>
          <w:p w14:paraId="5975D173" w14:textId="77777777" w:rsidR="00C2711B" w:rsidRPr="004873D9" w:rsidRDefault="00C2711B" w:rsidP="00C2711B">
            <w:pPr>
              <w:spacing w:after="0" w:line="240" w:lineRule="auto"/>
              <w:rPr>
                <w:rFonts w:ascii="Calibri" w:eastAsia="Times New Roman" w:hAnsi="Calibri" w:cs="Calibri"/>
                <w:b/>
                <w:bCs/>
                <w:color w:val="000000"/>
                <w:lang w:eastAsia="en-GB"/>
              </w:rPr>
            </w:pPr>
            <w:r w:rsidRPr="004873D9">
              <w:rPr>
                <w:rFonts w:ascii="Calibri" w:eastAsia="Times New Roman" w:hAnsi="Calibri" w:cs="Calibri"/>
                <w:b/>
                <w:bCs/>
                <w:color w:val="000000"/>
                <w:lang w:eastAsia="en-GB"/>
              </w:rPr>
              <w:t>Elimination validation date</w:t>
            </w:r>
          </w:p>
        </w:tc>
        <w:tc>
          <w:tcPr>
            <w:tcW w:w="2300" w:type="dxa"/>
            <w:tcBorders>
              <w:top w:val="nil"/>
              <w:left w:val="nil"/>
              <w:bottom w:val="single" w:sz="4" w:space="0" w:color="auto"/>
              <w:right w:val="single" w:sz="4" w:space="0" w:color="auto"/>
            </w:tcBorders>
            <w:shd w:val="clear" w:color="000000" w:fill="FFC000"/>
            <w:vAlign w:val="center"/>
            <w:hideMark/>
          </w:tcPr>
          <w:p w14:paraId="17F11EB8" w14:textId="77777777" w:rsidR="00C2711B" w:rsidRPr="004873D9" w:rsidRDefault="00C2711B" w:rsidP="00C2711B">
            <w:pPr>
              <w:spacing w:after="0" w:line="240" w:lineRule="auto"/>
              <w:jc w:val="center"/>
              <w:rPr>
                <w:rFonts w:ascii="Calibri" w:eastAsia="Times New Roman" w:hAnsi="Calibri" w:cs="Calibri"/>
                <w:b/>
                <w:bCs/>
                <w:color w:val="000000"/>
                <w:lang w:eastAsia="en-GB"/>
              </w:rPr>
            </w:pPr>
            <w:r>
              <w:rPr>
                <w:rFonts w:ascii="Calibri" w:eastAsia="Times New Roman" w:hAnsi="Calibri" w:cs="Calibri"/>
                <w:b/>
                <w:bCs/>
                <w:color w:val="000000"/>
                <w:lang w:eastAsia="en-GB"/>
              </w:rPr>
              <w:t>Not yet validated.</w:t>
            </w:r>
            <w:r w:rsidRPr="004873D9">
              <w:rPr>
                <w:rFonts w:ascii="Calibri" w:eastAsia="Times New Roman" w:hAnsi="Calibri" w:cs="Calibri"/>
                <w:b/>
                <w:bCs/>
                <w:color w:val="000000"/>
                <w:lang w:eastAsia="en-GB"/>
              </w:rPr>
              <w:t xml:space="preserve"> Pre-validation assessment planned for Aug-Sept 2016</w:t>
            </w:r>
          </w:p>
        </w:tc>
      </w:tr>
    </w:tbl>
    <w:p w14:paraId="5BC9AAFF" w14:textId="77777777" w:rsidR="00371B50" w:rsidRDefault="009318B8" w:rsidP="009318B8">
      <w:pPr>
        <w:pStyle w:val="ListParagraph"/>
        <w:numPr>
          <w:ilvl w:val="1"/>
          <w:numId w:val="18"/>
        </w:numPr>
        <w:rPr>
          <w:rFonts w:ascii="Arial" w:hAnsi="Arial" w:cs="Arial"/>
          <w:b/>
        </w:rPr>
      </w:pPr>
      <w:r>
        <w:rPr>
          <w:rFonts w:ascii="Arial" w:hAnsi="Arial" w:cs="Arial"/>
          <w:b/>
        </w:rPr>
        <w:t xml:space="preserve">  </w:t>
      </w:r>
      <w:r w:rsidR="0079008F" w:rsidRPr="009318B8">
        <w:rPr>
          <w:rFonts w:ascii="Arial" w:hAnsi="Arial" w:cs="Arial"/>
          <w:b/>
        </w:rPr>
        <w:t xml:space="preserve">Goal 2 : </w:t>
      </w:r>
      <w:r w:rsidR="00371B50">
        <w:rPr>
          <w:rFonts w:ascii="Arial" w:hAnsi="Arial" w:cs="Arial"/>
          <w:b/>
        </w:rPr>
        <w:t>Meet global and regional elimination targets</w:t>
      </w:r>
    </w:p>
    <w:p w14:paraId="62B1D492" w14:textId="0E1D71E0" w:rsidR="0079008F" w:rsidRPr="00371B50" w:rsidRDefault="008D27F4" w:rsidP="008D27F4">
      <w:pPr>
        <w:rPr>
          <w:rFonts w:ascii="Arial" w:hAnsi="Arial" w:cs="Arial"/>
          <w:b/>
        </w:rPr>
      </w:pPr>
      <w:r>
        <w:rPr>
          <w:rFonts w:ascii="Arial" w:hAnsi="Arial" w:cs="Arial"/>
          <w:b/>
        </w:rPr>
        <w:t xml:space="preserve">3.2.1 </w:t>
      </w:r>
      <w:r w:rsidR="0079008F" w:rsidRPr="00371B50">
        <w:rPr>
          <w:rFonts w:ascii="Arial" w:hAnsi="Arial" w:cs="Arial"/>
          <w:b/>
        </w:rPr>
        <w:t>Achieve maternal and neonatal tetanus elimination</w:t>
      </w:r>
    </w:p>
    <w:p w14:paraId="14F13769" w14:textId="458EB410" w:rsidR="0000352E" w:rsidRDefault="008D27F4" w:rsidP="008D27F4">
      <w:pPr>
        <w:rPr>
          <w:rFonts w:ascii="Arial" w:hAnsi="Arial" w:cs="Arial"/>
        </w:rPr>
      </w:pPr>
      <w:r>
        <w:rPr>
          <w:rFonts w:ascii="Arial" w:hAnsi="Arial" w:cs="Arial"/>
        </w:rPr>
        <w:t xml:space="preserve">DRC has not yet achieved elimination status of </w:t>
      </w:r>
      <w:r w:rsidR="001A33B2">
        <w:rPr>
          <w:rFonts w:ascii="Arial" w:hAnsi="Arial" w:cs="Arial"/>
        </w:rPr>
        <w:t xml:space="preserve">maternal and </w:t>
      </w:r>
      <w:r>
        <w:rPr>
          <w:rFonts w:ascii="Arial" w:hAnsi="Arial" w:cs="Arial"/>
        </w:rPr>
        <w:t>neonatal tetanus</w:t>
      </w:r>
      <w:r w:rsidR="001A33B2">
        <w:rPr>
          <w:rFonts w:ascii="Arial" w:hAnsi="Arial" w:cs="Arial"/>
        </w:rPr>
        <w:t xml:space="preserve"> (MNT)</w:t>
      </w:r>
      <w:r>
        <w:rPr>
          <w:rFonts w:ascii="Arial" w:hAnsi="Arial" w:cs="Arial"/>
        </w:rPr>
        <w:t xml:space="preserve"> and continues to officially report cases in most years, including more than 1,250 in 2012</w:t>
      </w:r>
      <w:r w:rsidR="009F7B84">
        <w:rPr>
          <w:rFonts w:ascii="Arial" w:hAnsi="Arial" w:cs="Arial"/>
        </w:rPr>
        <w:t>, 201 in 2014 and 330 to 2015</w:t>
      </w:r>
      <w:r>
        <w:rPr>
          <w:rFonts w:ascii="Arial" w:hAnsi="Arial" w:cs="Arial"/>
        </w:rPr>
        <w:t xml:space="preserve">. However, the actual incidence is likely to be much higher, since according to the </w:t>
      </w:r>
      <w:proofErr w:type="spellStart"/>
      <w:r>
        <w:rPr>
          <w:rFonts w:ascii="Arial" w:hAnsi="Arial" w:cs="Arial"/>
        </w:rPr>
        <w:t>cMYP</w:t>
      </w:r>
      <w:proofErr w:type="spellEnd"/>
      <w:r>
        <w:rPr>
          <w:rFonts w:ascii="Arial" w:hAnsi="Arial" w:cs="Arial"/>
        </w:rPr>
        <w:t xml:space="preserve">, less than 10% of neonatal tetanus cases are reported by the routine </w:t>
      </w:r>
      <w:r>
        <w:rPr>
          <w:rFonts w:ascii="Arial" w:hAnsi="Arial" w:cs="Arial"/>
        </w:rPr>
        <w:lastRenderedPageBreak/>
        <w:t>surveillance system</w:t>
      </w:r>
      <w:r w:rsidR="001A33B2">
        <w:rPr>
          <w:rFonts w:ascii="Arial" w:hAnsi="Arial" w:cs="Arial"/>
        </w:rPr>
        <w:t xml:space="preserve">. According to a study conducted in 2005, 7% of neonatal deaths </w:t>
      </w:r>
      <w:r w:rsidR="00496569">
        <w:rPr>
          <w:rFonts w:ascii="Arial" w:hAnsi="Arial" w:cs="Arial"/>
        </w:rPr>
        <w:t xml:space="preserve">in DRC </w:t>
      </w:r>
      <w:r w:rsidR="001A33B2">
        <w:rPr>
          <w:rFonts w:ascii="Arial" w:hAnsi="Arial" w:cs="Arial"/>
        </w:rPr>
        <w:t>were due to neonatal tetanus.</w:t>
      </w:r>
      <w:r w:rsidR="002945B9">
        <w:rPr>
          <w:rStyle w:val="FootnoteReference"/>
          <w:rFonts w:ascii="Arial" w:hAnsi="Arial" w:cs="Arial"/>
        </w:rPr>
        <w:footnoteReference w:id="1"/>
      </w:r>
    </w:p>
    <w:p w14:paraId="2DC2B2FD" w14:textId="44BC2B04" w:rsidR="001A33B2" w:rsidRDefault="001A33B2" w:rsidP="008D27F4">
      <w:pPr>
        <w:rPr>
          <w:rFonts w:ascii="Arial" w:hAnsi="Arial" w:cs="Arial"/>
        </w:rPr>
      </w:pPr>
      <w:r>
        <w:rPr>
          <w:rFonts w:ascii="Arial" w:hAnsi="Arial" w:cs="Arial"/>
        </w:rPr>
        <w:t>A key problem affecting DRC’s ability to eliminate MNT is its continual weak surveillance of the disease, including active surveillance. Only 17% of reported NMT cases were investigated between 2012 and 2015, with considerable variation by province.</w:t>
      </w:r>
      <w:r w:rsidR="002945B9">
        <w:rPr>
          <w:rStyle w:val="FootnoteReference"/>
          <w:rFonts w:ascii="Arial" w:hAnsi="Arial" w:cs="Arial"/>
        </w:rPr>
        <w:footnoteReference w:id="2"/>
      </w:r>
      <w:r>
        <w:rPr>
          <w:rFonts w:ascii="Arial" w:hAnsi="Arial" w:cs="Arial"/>
        </w:rPr>
        <w:t xml:space="preserve"> This is in marked contrast to the 91% investigation rate cited above for AFP surveillance, into which donors have poured considerable funding and technical support. In addition, the standard response to confirmed cases by conducting ring vaccination in households surrounding </w:t>
      </w:r>
      <w:proofErr w:type="gramStart"/>
      <w:r>
        <w:rPr>
          <w:rFonts w:ascii="Arial" w:hAnsi="Arial" w:cs="Arial"/>
        </w:rPr>
        <w:t>a confirmed cases</w:t>
      </w:r>
      <w:proofErr w:type="gramEnd"/>
      <w:r>
        <w:rPr>
          <w:rFonts w:ascii="Arial" w:hAnsi="Arial" w:cs="Arial"/>
        </w:rPr>
        <w:t xml:space="preserve"> only occurred on average 32-41% of the time </w:t>
      </w:r>
      <w:r w:rsidR="00496569">
        <w:rPr>
          <w:rFonts w:ascii="Arial" w:hAnsi="Arial" w:cs="Arial"/>
        </w:rPr>
        <w:t>during this period</w:t>
      </w:r>
      <w:r>
        <w:rPr>
          <w:rFonts w:ascii="Arial" w:hAnsi="Arial" w:cs="Arial"/>
        </w:rPr>
        <w:t>.</w:t>
      </w:r>
      <w:r w:rsidR="002945B9">
        <w:rPr>
          <w:rStyle w:val="FootnoteReference"/>
          <w:rFonts w:ascii="Arial" w:hAnsi="Arial" w:cs="Arial"/>
        </w:rPr>
        <w:footnoteReference w:id="3"/>
      </w:r>
    </w:p>
    <w:p w14:paraId="5C12D38E" w14:textId="5D235E26" w:rsidR="001A33B2" w:rsidRPr="00AA7025" w:rsidRDefault="001A33B2" w:rsidP="008D27F4">
      <w:pPr>
        <w:rPr>
          <w:rFonts w:ascii="Arial" w:hAnsi="Arial" w:cs="Arial"/>
        </w:rPr>
      </w:pPr>
      <w:r w:rsidRPr="00AA7025">
        <w:rPr>
          <w:rFonts w:ascii="Arial" w:hAnsi="Arial" w:cs="Arial"/>
        </w:rPr>
        <w:t xml:space="preserve">DRC has made considerable progress in providing TT </w:t>
      </w:r>
      <w:r w:rsidR="00AA7025" w:rsidRPr="00AA7025">
        <w:rPr>
          <w:rFonts w:ascii="Arial" w:hAnsi="Arial" w:cs="Arial"/>
        </w:rPr>
        <w:t xml:space="preserve">vaccine </w:t>
      </w:r>
      <w:r w:rsidRPr="00AA7025">
        <w:rPr>
          <w:rFonts w:ascii="Arial" w:hAnsi="Arial" w:cs="Arial"/>
        </w:rPr>
        <w:t xml:space="preserve">to pregnant women in </w:t>
      </w:r>
      <w:r w:rsidR="009F7B84" w:rsidRPr="00AA7025">
        <w:rPr>
          <w:rFonts w:ascii="Arial" w:hAnsi="Arial" w:cs="Arial"/>
        </w:rPr>
        <w:t>the</w:t>
      </w:r>
      <w:r w:rsidRPr="00AA7025">
        <w:rPr>
          <w:rFonts w:ascii="Arial" w:hAnsi="Arial" w:cs="Arial"/>
        </w:rPr>
        <w:t xml:space="preserve"> past several years – with rates of children protected at birth </w:t>
      </w:r>
      <w:r w:rsidR="00496569" w:rsidRPr="00AA7025">
        <w:rPr>
          <w:rFonts w:ascii="Arial" w:hAnsi="Arial" w:cs="Arial"/>
        </w:rPr>
        <w:t xml:space="preserve">(PAB) </w:t>
      </w:r>
      <w:r w:rsidRPr="00AA7025">
        <w:rPr>
          <w:rFonts w:ascii="Arial" w:hAnsi="Arial" w:cs="Arial"/>
        </w:rPr>
        <w:t>jumping from 45% in 2000 to 82% for the past two years</w:t>
      </w:r>
      <w:r w:rsidR="00AA7025" w:rsidRPr="00AA7025">
        <w:rPr>
          <w:rFonts w:ascii="Arial" w:hAnsi="Arial" w:cs="Arial"/>
        </w:rPr>
        <w:t>, according to the WHO-UNICEF</w:t>
      </w:r>
      <w:r w:rsidRPr="00AA7025">
        <w:rPr>
          <w:rFonts w:ascii="Arial" w:hAnsi="Arial" w:cs="Arial"/>
        </w:rPr>
        <w:t xml:space="preserve"> estimates. This has mainly been due to the marked increase in the use of antenatal care services – from </w:t>
      </w:r>
      <w:r w:rsidR="00AA7025" w:rsidRPr="00AA7025">
        <w:rPr>
          <w:rFonts w:ascii="Arial" w:hAnsi="Arial" w:cs="Arial"/>
        </w:rPr>
        <w:t>68</w:t>
      </w:r>
      <w:r w:rsidRPr="00AA7025">
        <w:rPr>
          <w:rFonts w:ascii="Arial" w:hAnsi="Arial" w:cs="Arial"/>
        </w:rPr>
        <w:t xml:space="preserve">% of pregnant women making at least one ANC visit </w:t>
      </w:r>
      <w:r w:rsidR="00E9485D" w:rsidRPr="00AA7025">
        <w:rPr>
          <w:rFonts w:ascii="Arial" w:hAnsi="Arial" w:cs="Arial"/>
        </w:rPr>
        <w:t>in 200</w:t>
      </w:r>
      <w:r w:rsidR="00AA7025" w:rsidRPr="00AA7025">
        <w:rPr>
          <w:rFonts w:ascii="Arial" w:hAnsi="Arial" w:cs="Arial"/>
        </w:rPr>
        <w:t>1</w:t>
      </w:r>
      <w:r w:rsidR="00E9485D" w:rsidRPr="00AA7025">
        <w:rPr>
          <w:rFonts w:ascii="Arial" w:hAnsi="Arial" w:cs="Arial"/>
        </w:rPr>
        <w:t xml:space="preserve"> to </w:t>
      </w:r>
      <w:r w:rsidR="00AA7025" w:rsidRPr="00AA7025">
        <w:rPr>
          <w:rFonts w:ascii="Arial" w:hAnsi="Arial" w:cs="Arial"/>
        </w:rPr>
        <w:t>88</w:t>
      </w:r>
      <w:r w:rsidRPr="00AA7025">
        <w:rPr>
          <w:rFonts w:ascii="Arial" w:hAnsi="Arial" w:cs="Arial"/>
        </w:rPr>
        <w:t>% by 201</w:t>
      </w:r>
      <w:r w:rsidR="00AA7025" w:rsidRPr="00AA7025">
        <w:rPr>
          <w:rFonts w:ascii="Arial" w:hAnsi="Arial" w:cs="Arial"/>
        </w:rPr>
        <w:t>3/14.</w:t>
      </w:r>
      <w:r w:rsidR="00E9485D" w:rsidRPr="00AA7025">
        <w:rPr>
          <w:rFonts w:ascii="Arial" w:hAnsi="Arial" w:cs="Arial"/>
        </w:rPr>
        <w:t xml:space="preserve"> However, many women remain unprotected due to large variations in TT2+ coverage by province and district. While the national TT2 coverage rate in the 2012 DHS was estimated at 62% in 2012, provincial rates ranged from 28% to 82%.</w:t>
      </w:r>
    </w:p>
    <w:p w14:paraId="4FCEAEA5" w14:textId="0018FF2C" w:rsidR="00623FB4" w:rsidRDefault="00E9485D" w:rsidP="008D27F4">
      <w:pPr>
        <w:rPr>
          <w:rFonts w:ascii="Arial" w:hAnsi="Arial" w:cs="Arial"/>
        </w:rPr>
      </w:pPr>
      <w:r>
        <w:rPr>
          <w:rFonts w:ascii="Arial" w:hAnsi="Arial" w:cs="Arial"/>
        </w:rPr>
        <w:t>The EPI has also organized MNT campaigns for women of reproductive age</w:t>
      </w:r>
      <w:r w:rsidR="00496569">
        <w:rPr>
          <w:rFonts w:ascii="Arial" w:hAnsi="Arial" w:cs="Arial"/>
        </w:rPr>
        <w:t xml:space="preserve"> in high-risk districts</w:t>
      </w:r>
      <w:r>
        <w:rPr>
          <w:rFonts w:ascii="Arial" w:hAnsi="Arial" w:cs="Arial"/>
        </w:rPr>
        <w:t>. These SIAs began in 31 out of 83 identified high-risk districts in 2012, during which a reported 1.8 million women were vaccinated with TT. The campaigns were marked by a hig</w:t>
      </w:r>
      <w:r w:rsidR="00623FB4">
        <w:rPr>
          <w:rFonts w:ascii="Arial" w:hAnsi="Arial" w:cs="Arial"/>
        </w:rPr>
        <w:t>h</w:t>
      </w:r>
      <w:r>
        <w:rPr>
          <w:rFonts w:ascii="Arial" w:hAnsi="Arial" w:cs="Arial"/>
        </w:rPr>
        <w:t xml:space="preserve"> dropout rate between doses, relatively weak social mobilization and inadequate preparation.</w:t>
      </w:r>
      <w:r w:rsidR="00AA7025">
        <w:rPr>
          <w:rStyle w:val="FootnoteReference"/>
          <w:rFonts w:ascii="Arial" w:hAnsi="Arial" w:cs="Arial"/>
        </w:rPr>
        <w:footnoteReference w:id="4"/>
      </w:r>
    </w:p>
    <w:p w14:paraId="24CC36E1" w14:textId="2B2548A7" w:rsidR="00E9485D" w:rsidRPr="00324CCD" w:rsidRDefault="00E9485D" w:rsidP="008D27F4">
      <w:pPr>
        <w:rPr>
          <w:rFonts w:ascii="Arial" w:hAnsi="Arial" w:cs="Arial"/>
        </w:rPr>
      </w:pPr>
      <w:r w:rsidRPr="00324CCD">
        <w:rPr>
          <w:rFonts w:ascii="Arial" w:hAnsi="Arial" w:cs="Arial"/>
        </w:rPr>
        <w:t>DRC developed an MNT elimination plan in 2013, setting the goal of elimination by 2015. Seventy-five high-risk districts were identified in the plan and targeted for SIAs in 2013 and 2014, during which another approximately 1.8 million women received two TT doses. The Government</w:t>
      </w:r>
      <w:r w:rsidR="00623FB4" w:rsidRPr="00324CCD">
        <w:rPr>
          <w:rFonts w:ascii="Arial" w:hAnsi="Arial" w:cs="Arial"/>
        </w:rPr>
        <w:t xml:space="preserve"> reported an overall coverage rate of 82% for the campaigns, though several provinces reported rates of &gt;100%, so the actual coverage rate is uncertain. A new analysis in 2015 identified two additional high-risk districts and targeted them for intensified immunization activities.</w:t>
      </w:r>
      <w:r w:rsidR="00324CCD" w:rsidRPr="00324CCD">
        <w:rPr>
          <w:rStyle w:val="FootnoteReference"/>
          <w:rFonts w:ascii="Arial" w:hAnsi="Arial" w:cs="Arial"/>
        </w:rPr>
        <w:footnoteReference w:id="5"/>
      </w:r>
      <w:r w:rsidR="00623FB4" w:rsidRPr="00324CCD">
        <w:rPr>
          <w:rFonts w:ascii="Arial" w:hAnsi="Arial" w:cs="Arial"/>
        </w:rPr>
        <w:t xml:space="preserve"> The analysis also found 11 districts reporting at least one case per 1,000 live births (the threshold for elimination).</w:t>
      </w:r>
    </w:p>
    <w:p w14:paraId="1DF9045E" w14:textId="65F25920" w:rsidR="00623FB4" w:rsidRPr="008D27F4" w:rsidRDefault="00623FB4" w:rsidP="008D27F4">
      <w:pPr>
        <w:rPr>
          <w:rFonts w:ascii="Arial" w:hAnsi="Arial" w:cs="Arial"/>
        </w:rPr>
      </w:pPr>
      <w:r>
        <w:rPr>
          <w:rFonts w:ascii="Arial" w:hAnsi="Arial" w:cs="Arial"/>
        </w:rPr>
        <w:t>Achieving</w:t>
      </w:r>
      <w:r w:rsidR="00496569">
        <w:rPr>
          <w:rFonts w:ascii="Arial" w:hAnsi="Arial" w:cs="Arial"/>
        </w:rPr>
        <w:t xml:space="preserve"> MNT elimination in the DRC will therefore require substantially improving case-based surveillance and response (e.g., ring vaccination around cases), as well as increasing TT coverage in areas where it continue to be low.</w:t>
      </w:r>
    </w:p>
    <w:p w14:paraId="5D68CBF0" w14:textId="3E84CFBE" w:rsidR="009E262A" w:rsidRPr="00BA768D" w:rsidRDefault="009E262A" w:rsidP="00BA768D">
      <w:pPr>
        <w:rPr>
          <w:rFonts w:ascii="Arial" w:hAnsi="Arial" w:cs="Arial"/>
        </w:rPr>
      </w:pPr>
      <w:r w:rsidRPr="00BA768D">
        <w:rPr>
          <w:rFonts w:ascii="Arial" w:hAnsi="Arial" w:cs="Arial"/>
          <w:b/>
          <w:sz w:val="24"/>
        </w:rPr>
        <w:br w:type="page"/>
      </w:r>
    </w:p>
    <w:p w14:paraId="30AA08B3" w14:textId="0A5D50A6" w:rsidR="00D00DC6" w:rsidRDefault="003573EF" w:rsidP="00D00DC6">
      <w:pPr>
        <w:rPr>
          <w:rFonts w:ascii="Arial" w:hAnsi="Arial" w:cs="Arial"/>
          <w:b/>
          <w:sz w:val="24"/>
        </w:rPr>
      </w:pPr>
      <w:r>
        <w:rPr>
          <w:rFonts w:ascii="Arial" w:hAnsi="Arial" w:cs="Arial"/>
          <w:b/>
          <w:sz w:val="24"/>
        </w:rPr>
        <w:lastRenderedPageBreak/>
        <w:t xml:space="preserve">ANNEX: </w:t>
      </w:r>
      <w:r w:rsidR="00D00DC6">
        <w:rPr>
          <w:rFonts w:ascii="Arial" w:hAnsi="Arial" w:cs="Arial"/>
          <w:b/>
          <w:sz w:val="24"/>
        </w:rPr>
        <w:t>Country immunization profile</w:t>
      </w:r>
    </w:p>
    <w:p w14:paraId="17C796F7" w14:textId="77777777" w:rsidR="001C1E4D" w:rsidRPr="001C1E4D" w:rsidRDefault="006C334B" w:rsidP="006C334B">
      <w:pPr>
        <w:pStyle w:val="ListParagraph"/>
        <w:numPr>
          <w:ilvl w:val="0"/>
          <w:numId w:val="5"/>
        </w:numPr>
      </w:pPr>
      <w:r w:rsidRPr="006C334B">
        <w:rPr>
          <w:b/>
          <w:bCs/>
        </w:rPr>
        <w:t xml:space="preserve">MNT </w:t>
      </w:r>
    </w:p>
    <w:p w14:paraId="513070D7" w14:textId="07F99B70" w:rsidR="00E91097" w:rsidRPr="00834A2D" w:rsidRDefault="002970A7" w:rsidP="00834A2D">
      <w:pPr>
        <w:rPr>
          <w:bCs/>
        </w:rPr>
      </w:pPr>
      <w:r>
        <w:rPr>
          <w:bCs/>
        </w:rPr>
        <w:t>Elimination</w:t>
      </w:r>
      <w:r w:rsidR="00834A2D" w:rsidRPr="00834A2D">
        <w:rPr>
          <w:bCs/>
        </w:rPr>
        <w:t xml:space="preserve"> n</w:t>
      </w:r>
      <w:r w:rsidR="00E91097" w:rsidRPr="00834A2D">
        <w:rPr>
          <w:bCs/>
        </w:rPr>
        <w:t xml:space="preserve">ot yet </w:t>
      </w:r>
      <w:r w:rsidR="00834A2D" w:rsidRPr="00834A2D">
        <w:rPr>
          <w:bCs/>
        </w:rPr>
        <w:t xml:space="preserve">validated. </w:t>
      </w:r>
      <w:r w:rsidR="00E91097" w:rsidRPr="00834A2D">
        <w:rPr>
          <w:bCs/>
        </w:rPr>
        <w:t>Pre-validation assessment planned for Aug-Sept 2016</w:t>
      </w:r>
      <w:r w:rsidR="00834A2D" w:rsidRPr="00834A2D">
        <w:rPr>
          <w:bCs/>
        </w:rPr>
        <w:t>.</w:t>
      </w:r>
    </w:p>
    <w:p w14:paraId="4A65D74C" w14:textId="77777777" w:rsidR="006C334B" w:rsidRPr="006C334B" w:rsidRDefault="006C334B" w:rsidP="006C334B">
      <w:pPr>
        <w:pStyle w:val="ListParagraph"/>
        <w:numPr>
          <w:ilvl w:val="0"/>
          <w:numId w:val="5"/>
        </w:numPr>
        <w:rPr>
          <w:b/>
          <w:bCs/>
        </w:rPr>
      </w:pPr>
      <w:r w:rsidRPr="006C334B">
        <w:rPr>
          <w:b/>
          <w:bCs/>
        </w:rPr>
        <w:t>Coverage and Equity</w:t>
      </w:r>
    </w:p>
    <w:p w14:paraId="71AF2B5F" w14:textId="77777777" w:rsidR="002C45C4" w:rsidRDefault="002C45C4" w:rsidP="002C45C4">
      <w:pPr>
        <w:pStyle w:val="Caption"/>
        <w:rPr>
          <w:rFonts w:ascii="Arial" w:hAnsi="Arial" w:cs="Arial"/>
          <w:color w:val="auto"/>
          <w:sz w:val="22"/>
        </w:rPr>
      </w:pPr>
      <w:r w:rsidRPr="002C45C4">
        <w:rPr>
          <w:rFonts w:ascii="Arial" w:hAnsi="Arial" w:cs="Arial"/>
          <w:color w:val="auto"/>
          <w:sz w:val="22"/>
        </w:rPr>
        <w:t xml:space="preserve">Figure </w:t>
      </w:r>
      <w:r w:rsidRPr="002C45C4">
        <w:rPr>
          <w:rFonts w:ascii="Arial" w:hAnsi="Arial" w:cs="Arial"/>
          <w:color w:val="auto"/>
          <w:sz w:val="22"/>
        </w:rPr>
        <w:fldChar w:fldCharType="begin"/>
      </w:r>
      <w:r w:rsidRPr="002C45C4">
        <w:rPr>
          <w:rFonts w:ascii="Arial" w:hAnsi="Arial" w:cs="Arial"/>
          <w:color w:val="auto"/>
          <w:sz w:val="22"/>
        </w:rPr>
        <w:instrText xml:space="preserve"> SEQ Figure \* ARABIC </w:instrText>
      </w:r>
      <w:r w:rsidRPr="002C45C4">
        <w:rPr>
          <w:rFonts w:ascii="Arial" w:hAnsi="Arial" w:cs="Arial"/>
          <w:color w:val="auto"/>
          <w:sz w:val="22"/>
        </w:rPr>
        <w:fldChar w:fldCharType="separate"/>
      </w:r>
      <w:r w:rsidRPr="002C45C4">
        <w:rPr>
          <w:rFonts w:ascii="Arial" w:hAnsi="Arial" w:cs="Arial"/>
          <w:color w:val="auto"/>
          <w:sz w:val="22"/>
        </w:rPr>
        <w:t>5</w:t>
      </w:r>
      <w:r w:rsidRPr="002C45C4">
        <w:rPr>
          <w:rFonts w:ascii="Arial" w:hAnsi="Arial" w:cs="Arial"/>
          <w:color w:val="auto"/>
          <w:sz w:val="22"/>
        </w:rPr>
        <w:fldChar w:fldCharType="end"/>
      </w:r>
      <w:r w:rsidRPr="002C45C4">
        <w:rPr>
          <w:rFonts w:ascii="Arial" w:hAnsi="Arial" w:cs="Arial"/>
          <w:color w:val="auto"/>
          <w:sz w:val="22"/>
        </w:rPr>
        <w:t>: All vaccines national coverage, DRC, 2000-2015</w:t>
      </w:r>
    </w:p>
    <w:p w14:paraId="3E2E53B2" w14:textId="6F69B8D6" w:rsidR="00457E0A" w:rsidRPr="00A4068D" w:rsidRDefault="002C45C4" w:rsidP="00A4068D">
      <w:pPr>
        <w:pStyle w:val="Caption"/>
        <w:jc w:val="center"/>
        <w:rPr>
          <w:rFonts w:ascii="Arial" w:hAnsi="Arial" w:cs="Arial"/>
          <w:b w:val="0"/>
          <w:bCs w:val="0"/>
        </w:rPr>
      </w:pPr>
      <w:r>
        <w:rPr>
          <w:rFonts w:ascii="Arial" w:hAnsi="Arial" w:cs="Arial"/>
          <w:noProof/>
          <w:color w:val="auto"/>
          <w:sz w:val="22"/>
          <w:lang w:eastAsia="zh-CN"/>
        </w:rPr>
        <w:drawing>
          <wp:inline distT="0" distB="0" distL="0" distR="0" wp14:anchorId="45D0BE6B" wp14:editId="7D87D23D">
            <wp:extent cx="4185814" cy="3057525"/>
            <wp:effectExtent l="0" t="0" r="5715" b="0"/>
            <wp:docPr id="14" name="Picture 14" descr="D:\data\GVAP Reports\2016\3. Scrore Cards 2016\jan visualizations DTP3 per country\Punch cards per country\dr con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ata\GVAP Reports\2016\3. Scrore Cards 2016\jan visualizations DTP3 per country\Punch cards per country\dr con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85814" cy="3057525"/>
                    </a:xfrm>
                    <a:prstGeom prst="rect">
                      <a:avLst/>
                    </a:prstGeom>
                    <a:noFill/>
                    <a:ln>
                      <a:noFill/>
                    </a:ln>
                  </pic:spPr>
                </pic:pic>
              </a:graphicData>
            </a:graphic>
          </wp:inline>
        </w:drawing>
      </w:r>
      <w:r w:rsidR="007774F8">
        <w:rPr>
          <w:rFonts w:ascii="Arial" w:hAnsi="Arial" w:cs="Arial"/>
          <w:noProof/>
          <w:color w:val="auto"/>
          <w:sz w:val="22"/>
          <w:szCs w:val="22"/>
          <w:lang w:eastAsia="zh-CN"/>
        </w:rPr>
        <w:drawing>
          <wp:inline distT="0" distB="0" distL="0" distR="0" wp14:anchorId="287A4BA4" wp14:editId="76B487D9">
            <wp:extent cx="4181475" cy="963900"/>
            <wp:effectExtent l="0" t="0" r="0" b="8255"/>
            <wp:docPr id="11" name="Picture 11" descr="D:\data\GVAP Reports\2016\3. Scrore Cards 2016\jan visualizations DTP3 per country\Punch cards per country\_legend-punchc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ata\GVAP Reports\2016\3. Scrore Cards 2016\jan visualizations DTP3 per country\Punch cards per country\_legend-punchcard.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79623" cy="963473"/>
                    </a:xfrm>
                    <a:prstGeom prst="rect">
                      <a:avLst/>
                    </a:prstGeom>
                    <a:noFill/>
                    <a:ln>
                      <a:noFill/>
                    </a:ln>
                  </pic:spPr>
                </pic:pic>
              </a:graphicData>
            </a:graphic>
          </wp:inline>
        </w:drawing>
      </w:r>
      <w:bookmarkStart w:id="0" w:name="_GoBack"/>
      <w:bookmarkEnd w:id="0"/>
    </w:p>
    <w:sectPr w:rsidR="00457E0A" w:rsidRPr="00A4068D" w:rsidSect="00A54964">
      <w:footerReference w:type="default" r:id="rId11"/>
      <w:pgSz w:w="11906" w:h="16838"/>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59CB9EC" w15:done="0"/>
  <w15:commentEx w15:paraId="21A16CA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56EA82" w14:textId="77777777" w:rsidR="00152B03" w:rsidRDefault="00152B03">
      <w:pPr>
        <w:spacing w:after="0" w:line="240" w:lineRule="auto"/>
      </w:pPr>
      <w:r>
        <w:separator/>
      </w:r>
    </w:p>
  </w:endnote>
  <w:endnote w:type="continuationSeparator" w:id="0">
    <w:p w14:paraId="73B42CA2" w14:textId="77777777" w:rsidR="00152B03" w:rsidRDefault="00152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altName w:val="Courier New"/>
    <w:panose1 w:val="02070309020205020404"/>
    <w:charset w:val="00"/>
    <w:family w:val="modern"/>
    <w:pitch w:val="fixed"/>
    <w:sig w:usb0="E0002A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libri">
    <w:altName w:val="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70368549"/>
      <w:docPartObj>
        <w:docPartGallery w:val="Page Numbers (Bottom of Page)"/>
        <w:docPartUnique/>
      </w:docPartObj>
    </w:sdtPr>
    <w:sdtEndPr>
      <w:rPr>
        <w:noProof/>
      </w:rPr>
    </w:sdtEndPr>
    <w:sdtContent>
      <w:p w14:paraId="21ECBE59" w14:textId="7F09FF43" w:rsidR="00EE1C5C" w:rsidRDefault="00EE1C5C">
        <w:pPr>
          <w:pStyle w:val="Footer"/>
          <w:jc w:val="center"/>
        </w:pPr>
        <w:r>
          <w:fldChar w:fldCharType="begin"/>
        </w:r>
        <w:r>
          <w:instrText xml:space="preserve"> PAGE   \* MERGEFORMAT </w:instrText>
        </w:r>
        <w:r>
          <w:fldChar w:fldCharType="separate"/>
        </w:r>
        <w:r w:rsidR="00A4068D">
          <w:rPr>
            <w:noProof/>
          </w:rPr>
          <w:t>3</w:t>
        </w:r>
        <w:r>
          <w:rPr>
            <w:noProof/>
          </w:rPr>
          <w:fldChar w:fldCharType="end"/>
        </w:r>
      </w:p>
    </w:sdtContent>
  </w:sdt>
  <w:p w14:paraId="0BDC7254" w14:textId="4134CEC2" w:rsidR="00EE1C5C" w:rsidRDefault="00EE1C5C" w:rsidP="008866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4986B2" w14:textId="77777777" w:rsidR="00152B03" w:rsidRDefault="00152B03">
      <w:pPr>
        <w:spacing w:after="0" w:line="240" w:lineRule="auto"/>
      </w:pPr>
      <w:r>
        <w:separator/>
      </w:r>
    </w:p>
  </w:footnote>
  <w:footnote w:type="continuationSeparator" w:id="0">
    <w:p w14:paraId="352AB47F" w14:textId="77777777" w:rsidR="00152B03" w:rsidRDefault="00152B03">
      <w:pPr>
        <w:spacing w:after="0" w:line="240" w:lineRule="auto"/>
      </w:pPr>
      <w:r>
        <w:continuationSeparator/>
      </w:r>
    </w:p>
  </w:footnote>
  <w:footnote w:id="1">
    <w:p w14:paraId="0E9EA3F4" w14:textId="52F726BF" w:rsidR="002945B9" w:rsidRPr="002945B9" w:rsidRDefault="002945B9">
      <w:pPr>
        <w:pStyle w:val="FootnoteText"/>
        <w:rPr>
          <w:lang w:val="en-US"/>
        </w:rPr>
      </w:pPr>
      <w:r>
        <w:rPr>
          <w:rStyle w:val="FootnoteReference"/>
        </w:rPr>
        <w:footnoteRef/>
      </w:r>
      <w:r>
        <w:t xml:space="preserve"> </w:t>
      </w:r>
      <w:proofErr w:type="spellStart"/>
      <w:proofErr w:type="gramStart"/>
      <w:r>
        <w:rPr>
          <w:lang w:val="en-US"/>
        </w:rPr>
        <w:t>cMYP</w:t>
      </w:r>
      <w:proofErr w:type="spellEnd"/>
      <w:proofErr w:type="gramEnd"/>
      <w:r>
        <w:rPr>
          <w:lang w:val="en-US"/>
        </w:rPr>
        <w:t xml:space="preserve"> 2015-2019.</w:t>
      </w:r>
    </w:p>
  </w:footnote>
  <w:footnote w:id="2">
    <w:p w14:paraId="4D7EB14C" w14:textId="099B475B" w:rsidR="002945B9" w:rsidRPr="002945B9" w:rsidRDefault="002945B9">
      <w:pPr>
        <w:pStyle w:val="FootnoteText"/>
        <w:rPr>
          <w:lang w:val="en-US"/>
        </w:rPr>
      </w:pPr>
      <w:r>
        <w:rPr>
          <w:rStyle w:val="FootnoteReference"/>
        </w:rPr>
        <w:footnoteRef/>
      </w:r>
      <w:r>
        <w:t xml:space="preserve"> Draft EPI Action Plan for 2016, February 2016.</w:t>
      </w:r>
    </w:p>
  </w:footnote>
  <w:footnote w:id="3">
    <w:p w14:paraId="01CB04F6" w14:textId="3819D019" w:rsidR="002945B9" w:rsidRPr="002945B9" w:rsidRDefault="002945B9">
      <w:pPr>
        <w:pStyle w:val="FootnoteText"/>
        <w:rPr>
          <w:lang w:val="en-US"/>
        </w:rPr>
      </w:pPr>
      <w:r>
        <w:rPr>
          <w:rStyle w:val="FootnoteReference"/>
        </w:rPr>
        <w:footnoteRef/>
      </w:r>
      <w:r>
        <w:t xml:space="preserve"> </w:t>
      </w:r>
      <w:proofErr w:type="spellStart"/>
      <w:proofErr w:type="gramStart"/>
      <w:r>
        <w:rPr>
          <w:lang w:val="en-US"/>
        </w:rPr>
        <w:t>cMYP</w:t>
      </w:r>
      <w:proofErr w:type="spellEnd"/>
      <w:proofErr w:type="gramEnd"/>
      <w:r>
        <w:rPr>
          <w:lang w:val="en-US"/>
        </w:rPr>
        <w:t xml:space="preserve"> 2015-2019 and d</w:t>
      </w:r>
      <w:r>
        <w:t>raft EPI Action Plan for 2016, February 2016</w:t>
      </w:r>
      <w:r w:rsidR="00AA7025">
        <w:t>.</w:t>
      </w:r>
    </w:p>
  </w:footnote>
  <w:footnote w:id="4">
    <w:p w14:paraId="5A01E76A" w14:textId="609A96EC" w:rsidR="00AA7025" w:rsidRPr="00AA7025" w:rsidRDefault="00AA7025">
      <w:pPr>
        <w:pStyle w:val="FootnoteText"/>
        <w:rPr>
          <w:lang w:val="en-US"/>
        </w:rPr>
      </w:pPr>
      <w:r>
        <w:rPr>
          <w:rStyle w:val="FootnoteReference"/>
        </w:rPr>
        <w:footnoteRef/>
      </w:r>
      <w:r>
        <w:t xml:space="preserve"> </w:t>
      </w:r>
      <w:proofErr w:type="spellStart"/>
      <w:proofErr w:type="gramStart"/>
      <w:r>
        <w:rPr>
          <w:lang w:val="en-US"/>
        </w:rPr>
        <w:t>cMYP</w:t>
      </w:r>
      <w:proofErr w:type="spellEnd"/>
      <w:proofErr w:type="gramEnd"/>
      <w:r>
        <w:rPr>
          <w:lang w:val="en-US"/>
        </w:rPr>
        <w:t xml:space="preserve"> 2015-2019.</w:t>
      </w:r>
    </w:p>
  </w:footnote>
  <w:footnote w:id="5">
    <w:p w14:paraId="506101B0" w14:textId="177284DF" w:rsidR="00324CCD" w:rsidRPr="00324CCD" w:rsidRDefault="00324CCD">
      <w:pPr>
        <w:pStyle w:val="FootnoteText"/>
        <w:rPr>
          <w:lang w:val="en-US"/>
        </w:rPr>
      </w:pPr>
      <w:r>
        <w:rPr>
          <w:rStyle w:val="FootnoteReference"/>
        </w:rPr>
        <w:footnoteRef/>
      </w:r>
      <w:r>
        <w:t xml:space="preserve"> Draft EPI Action Plan for 2016, February 2016.</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F5A03"/>
    <w:multiLevelType w:val="hybridMultilevel"/>
    <w:tmpl w:val="CE063D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FC0D88"/>
    <w:multiLevelType w:val="hybridMultilevel"/>
    <w:tmpl w:val="92B475DA"/>
    <w:lvl w:ilvl="0" w:tplc="04090005">
      <w:start w:val="1"/>
      <w:numFmt w:val="bullet"/>
      <w:lvlText w:val=""/>
      <w:lvlJc w:val="left"/>
      <w:pPr>
        <w:ind w:left="720" w:hanging="360"/>
      </w:pPr>
      <w:rPr>
        <w:rFonts w:ascii="Wingdings" w:hAnsi="Wingding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8F710BA"/>
    <w:multiLevelType w:val="hybridMultilevel"/>
    <w:tmpl w:val="D80015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BCD70F0"/>
    <w:multiLevelType w:val="hybridMultilevel"/>
    <w:tmpl w:val="F15E47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FE4796"/>
    <w:multiLevelType w:val="hybridMultilevel"/>
    <w:tmpl w:val="2D6047F6"/>
    <w:lvl w:ilvl="0" w:tplc="04090015">
      <w:start w:val="1"/>
      <w:numFmt w:val="upp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15201945"/>
    <w:multiLevelType w:val="hybridMultilevel"/>
    <w:tmpl w:val="EE3E5146"/>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179F56FE"/>
    <w:multiLevelType w:val="hybridMultilevel"/>
    <w:tmpl w:val="4EFCB3F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1CCD12B0"/>
    <w:multiLevelType w:val="multilevel"/>
    <w:tmpl w:val="3DD4813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20910D11"/>
    <w:multiLevelType w:val="hybridMultilevel"/>
    <w:tmpl w:val="ECF66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6A823D2"/>
    <w:multiLevelType w:val="multilevel"/>
    <w:tmpl w:val="C82CB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nsid w:val="336F6781"/>
    <w:multiLevelType w:val="multilevel"/>
    <w:tmpl w:val="12F245C4"/>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34851C67"/>
    <w:multiLevelType w:val="hybridMultilevel"/>
    <w:tmpl w:val="FA10CC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4D5180B"/>
    <w:multiLevelType w:val="hybridMultilevel"/>
    <w:tmpl w:val="AAA283B2"/>
    <w:lvl w:ilvl="0" w:tplc="10421B90">
      <w:numFmt w:val="bullet"/>
      <w:lvlText w:val="-"/>
      <w:lvlJc w:val="left"/>
      <w:pPr>
        <w:ind w:left="1080" w:hanging="360"/>
      </w:pPr>
      <w:rPr>
        <w:rFonts w:ascii="Arial" w:eastAsiaTheme="minorHAnsi" w:hAnsi="Arial" w:cs="Aria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nsid w:val="39AB2663"/>
    <w:multiLevelType w:val="multilevel"/>
    <w:tmpl w:val="A5E0EF8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3A9B0E47"/>
    <w:multiLevelType w:val="hybridMultilevel"/>
    <w:tmpl w:val="F146A09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5">
    <w:nsid w:val="3C251F34"/>
    <w:multiLevelType w:val="hybridMultilevel"/>
    <w:tmpl w:val="77B83EF6"/>
    <w:lvl w:ilvl="0" w:tplc="CC78D78A">
      <w:start w:val="1"/>
      <w:numFmt w:val="lowerLetter"/>
      <w:lvlText w:val="%1."/>
      <w:lvlJc w:val="left"/>
      <w:pPr>
        <w:tabs>
          <w:tab w:val="num" w:pos="720"/>
        </w:tabs>
        <w:ind w:left="720" w:hanging="360"/>
      </w:pPr>
    </w:lvl>
    <w:lvl w:ilvl="1" w:tplc="65FE4AFC">
      <w:start w:val="835"/>
      <w:numFmt w:val="bullet"/>
      <w:lvlText w:val="–"/>
      <w:lvlJc w:val="left"/>
      <w:pPr>
        <w:tabs>
          <w:tab w:val="num" w:pos="1440"/>
        </w:tabs>
        <w:ind w:left="1440" w:hanging="360"/>
      </w:pPr>
      <w:rPr>
        <w:rFonts w:ascii="Arial" w:hAnsi="Arial" w:hint="default"/>
      </w:rPr>
    </w:lvl>
    <w:lvl w:ilvl="2" w:tplc="08F4FAD2">
      <w:start w:val="835"/>
      <w:numFmt w:val="bullet"/>
      <w:lvlText w:val="•"/>
      <w:lvlJc w:val="left"/>
      <w:pPr>
        <w:tabs>
          <w:tab w:val="num" w:pos="2160"/>
        </w:tabs>
        <w:ind w:left="2160" w:hanging="360"/>
      </w:pPr>
      <w:rPr>
        <w:rFonts w:ascii="Arial" w:hAnsi="Arial" w:hint="default"/>
      </w:rPr>
    </w:lvl>
    <w:lvl w:ilvl="3" w:tplc="F1E43FCC" w:tentative="1">
      <w:start w:val="1"/>
      <w:numFmt w:val="lowerLetter"/>
      <w:lvlText w:val="%4."/>
      <w:lvlJc w:val="left"/>
      <w:pPr>
        <w:tabs>
          <w:tab w:val="num" w:pos="2880"/>
        </w:tabs>
        <w:ind w:left="2880" w:hanging="360"/>
      </w:pPr>
    </w:lvl>
    <w:lvl w:ilvl="4" w:tplc="EF30CAAE" w:tentative="1">
      <w:start w:val="1"/>
      <w:numFmt w:val="lowerLetter"/>
      <w:lvlText w:val="%5."/>
      <w:lvlJc w:val="left"/>
      <w:pPr>
        <w:tabs>
          <w:tab w:val="num" w:pos="3600"/>
        </w:tabs>
        <w:ind w:left="3600" w:hanging="360"/>
      </w:pPr>
    </w:lvl>
    <w:lvl w:ilvl="5" w:tplc="1D3C0E56" w:tentative="1">
      <w:start w:val="1"/>
      <w:numFmt w:val="lowerLetter"/>
      <w:lvlText w:val="%6."/>
      <w:lvlJc w:val="left"/>
      <w:pPr>
        <w:tabs>
          <w:tab w:val="num" w:pos="4320"/>
        </w:tabs>
        <w:ind w:left="4320" w:hanging="360"/>
      </w:pPr>
    </w:lvl>
    <w:lvl w:ilvl="6" w:tplc="347E5004" w:tentative="1">
      <w:start w:val="1"/>
      <w:numFmt w:val="lowerLetter"/>
      <w:lvlText w:val="%7."/>
      <w:lvlJc w:val="left"/>
      <w:pPr>
        <w:tabs>
          <w:tab w:val="num" w:pos="5040"/>
        </w:tabs>
        <w:ind w:left="5040" w:hanging="360"/>
      </w:pPr>
    </w:lvl>
    <w:lvl w:ilvl="7" w:tplc="1C181A00" w:tentative="1">
      <w:start w:val="1"/>
      <w:numFmt w:val="lowerLetter"/>
      <w:lvlText w:val="%8."/>
      <w:lvlJc w:val="left"/>
      <w:pPr>
        <w:tabs>
          <w:tab w:val="num" w:pos="5760"/>
        </w:tabs>
        <w:ind w:left="5760" w:hanging="360"/>
      </w:pPr>
    </w:lvl>
    <w:lvl w:ilvl="8" w:tplc="C89A567E" w:tentative="1">
      <w:start w:val="1"/>
      <w:numFmt w:val="lowerLetter"/>
      <w:lvlText w:val="%9."/>
      <w:lvlJc w:val="left"/>
      <w:pPr>
        <w:tabs>
          <w:tab w:val="num" w:pos="6480"/>
        </w:tabs>
        <w:ind w:left="6480" w:hanging="360"/>
      </w:pPr>
    </w:lvl>
  </w:abstractNum>
  <w:abstractNum w:abstractNumId="16">
    <w:nsid w:val="3F432496"/>
    <w:multiLevelType w:val="hybridMultilevel"/>
    <w:tmpl w:val="74EE4718"/>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
    <w:nsid w:val="4A590C9C"/>
    <w:multiLevelType w:val="hybridMultilevel"/>
    <w:tmpl w:val="DB2CC0A4"/>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18">
    <w:nsid w:val="4C757444"/>
    <w:multiLevelType w:val="hybridMultilevel"/>
    <w:tmpl w:val="314EDE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10A3FD3"/>
    <w:multiLevelType w:val="hybridMultilevel"/>
    <w:tmpl w:val="60D2E280"/>
    <w:lvl w:ilvl="0" w:tplc="F75E9D44">
      <w:start w:val="1"/>
      <w:numFmt w:val="lowerLetter"/>
      <w:lvlText w:val="%1."/>
      <w:lvlJc w:val="left"/>
      <w:pPr>
        <w:tabs>
          <w:tab w:val="num" w:pos="720"/>
        </w:tabs>
        <w:ind w:left="720" w:hanging="360"/>
      </w:pPr>
    </w:lvl>
    <w:lvl w:ilvl="1" w:tplc="C09222A4" w:tentative="1">
      <w:start w:val="1"/>
      <w:numFmt w:val="lowerLetter"/>
      <w:lvlText w:val="%2."/>
      <w:lvlJc w:val="left"/>
      <w:pPr>
        <w:tabs>
          <w:tab w:val="num" w:pos="1440"/>
        </w:tabs>
        <w:ind w:left="1440" w:hanging="360"/>
      </w:pPr>
    </w:lvl>
    <w:lvl w:ilvl="2" w:tplc="62F4B0F6" w:tentative="1">
      <w:start w:val="1"/>
      <w:numFmt w:val="lowerLetter"/>
      <w:lvlText w:val="%3."/>
      <w:lvlJc w:val="left"/>
      <w:pPr>
        <w:tabs>
          <w:tab w:val="num" w:pos="2160"/>
        </w:tabs>
        <w:ind w:left="2160" w:hanging="360"/>
      </w:pPr>
    </w:lvl>
    <w:lvl w:ilvl="3" w:tplc="4E0CA842" w:tentative="1">
      <w:start w:val="1"/>
      <w:numFmt w:val="lowerLetter"/>
      <w:lvlText w:val="%4."/>
      <w:lvlJc w:val="left"/>
      <w:pPr>
        <w:tabs>
          <w:tab w:val="num" w:pos="2880"/>
        </w:tabs>
        <w:ind w:left="2880" w:hanging="360"/>
      </w:pPr>
    </w:lvl>
    <w:lvl w:ilvl="4" w:tplc="7F66CE10" w:tentative="1">
      <w:start w:val="1"/>
      <w:numFmt w:val="lowerLetter"/>
      <w:lvlText w:val="%5."/>
      <w:lvlJc w:val="left"/>
      <w:pPr>
        <w:tabs>
          <w:tab w:val="num" w:pos="3600"/>
        </w:tabs>
        <w:ind w:left="3600" w:hanging="360"/>
      </w:pPr>
    </w:lvl>
    <w:lvl w:ilvl="5" w:tplc="C7246AA8" w:tentative="1">
      <w:start w:val="1"/>
      <w:numFmt w:val="lowerLetter"/>
      <w:lvlText w:val="%6."/>
      <w:lvlJc w:val="left"/>
      <w:pPr>
        <w:tabs>
          <w:tab w:val="num" w:pos="4320"/>
        </w:tabs>
        <w:ind w:left="4320" w:hanging="360"/>
      </w:pPr>
    </w:lvl>
    <w:lvl w:ilvl="6" w:tplc="31D4196E" w:tentative="1">
      <w:start w:val="1"/>
      <w:numFmt w:val="lowerLetter"/>
      <w:lvlText w:val="%7."/>
      <w:lvlJc w:val="left"/>
      <w:pPr>
        <w:tabs>
          <w:tab w:val="num" w:pos="5040"/>
        </w:tabs>
        <w:ind w:left="5040" w:hanging="360"/>
      </w:pPr>
    </w:lvl>
    <w:lvl w:ilvl="7" w:tplc="FBCED516" w:tentative="1">
      <w:start w:val="1"/>
      <w:numFmt w:val="lowerLetter"/>
      <w:lvlText w:val="%8."/>
      <w:lvlJc w:val="left"/>
      <w:pPr>
        <w:tabs>
          <w:tab w:val="num" w:pos="5760"/>
        </w:tabs>
        <w:ind w:left="5760" w:hanging="360"/>
      </w:pPr>
    </w:lvl>
    <w:lvl w:ilvl="8" w:tplc="2864C6DA" w:tentative="1">
      <w:start w:val="1"/>
      <w:numFmt w:val="lowerLetter"/>
      <w:lvlText w:val="%9."/>
      <w:lvlJc w:val="left"/>
      <w:pPr>
        <w:tabs>
          <w:tab w:val="num" w:pos="6480"/>
        </w:tabs>
        <w:ind w:left="6480" w:hanging="360"/>
      </w:pPr>
    </w:lvl>
  </w:abstractNum>
  <w:abstractNum w:abstractNumId="20">
    <w:nsid w:val="514B7582"/>
    <w:multiLevelType w:val="hybridMultilevel"/>
    <w:tmpl w:val="9AFEA6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27F13EF"/>
    <w:multiLevelType w:val="multilevel"/>
    <w:tmpl w:val="F324700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582970CC"/>
    <w:multiLevelType w:val="hybridMultilevel"/>
    <w:tmpl w:val="334C477E"/>
    <w:lvl w:ilvl="0" w:tplc="04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nsid w:val="584511EA"/>
    <w:multiLevelType w:val="hybridMultilevel"/>
    <w:tmpl w:val="DB5E44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4D05912"/>
    <w:multiLevelType w:val="hybridMultilevel"/>
    <w:tmpl w:val="8CCE2F44"/>
    <w:lvl w:ilvl="0" w:tplc="AC7C927C">
      <w:start w:val="1"/>
      <w:numFmt w:val="lowerLetter"/>
      <w:lvlText w:val="%1."/>
      <w:lvlJc w:val="left"/>
      <w:pPr>
        <w:tabs>
          <w:tab w:val="num" w:pos="720"/>
        </w:tabs>
        <w:ind w:left="720" w:hanging="360"/>
      </w:pPr>
    </w:lvl>
    <w:lvl w:ilvl="1" w:tplc="491AC57C" w:tentative="1">
      <w:start w:val="1"/>
      <w:numFmt w:val="lowerLetter"/>
      <w:lvlText w:val="%2."/>
      <w:lvlJc w:val="left"/>
      <w:pPr>
        <w:tabs>
          <w:tab w:val="num" w:pos="1440"/>
        </w:tabs>
        <w:ind w:left="1440" w:hanging="360"/>
      </w:pPr>
    </w:lvl>
    <w:lvl w:ilvl="2" w:tplc="CA2EF9FC" w:tentative="1">
      <w:start w:val="1"/>
      <w:numFmt w:val="lowerLetter"/>
      <w:lvlText w:val="%3."/>
      <w:lvlJc w:val="left"/>
      <w:pPr>
        <w:tabs>
          <w:tab w:val="num" w:pos="2160"/>
        </w:tabs>
        <w:ind w:left="2160" w:hanging="360"/>
      </w:pPr>
    </w:lvl>
    <w:lvl w:ilvl="3" w:tplc="E204790E" w:tentative="1">
      <w:start w:val="1"/>
      <w:numFmt w:val="lowerLetter"/>
      <w:lvlText w:val="%4."/>
      <w:lvlJc w:val="left"/>
      <w:pPr>
        <w:tabs>
          <w:tab w:val="num" w:pos="2880"/>
        </w:tabs>
        <w:ind w:left="2880" w:hanging="360"/>
      </w:pPr>
    </w:lvl>
    <w:lvl w:ilvl="4" w:tplc="8FE4B9D0" w:tentative="1">
      <w:start w:val="1"/>
      <w:numFmt w:val="lowerLetter"/>
      <w:lvlText w:val="%5."/>
      <w:lvlJc w:val="left"/>
      <w:pPr>
        <w:tabs>
          <w:tab w:val="num" w:pos="3600"/>
        </w:tabs>
        <w:ind w:left="3600" w:hanging="360"/>
      </w:pPr>
    </w:lvl>
    <w:lvl w:ilvl="5" w:tplc="0416FB90" w:tentative="1">
      <w:start w:val="1"/>
      <w:numFmt w:val="lowerLetter"/>
      <w:lvlText w:val="%6."/>
      <w:lvlJc w:val="left"/>
      <w:pPr>
        <w:tabs>
          <w:tab w:val="num" w:pos="4320"/>
        </w:tabs>
        <w:ind w:left="4320" w:hanging="360"/>
      </w:pPr>
    </w:lvl>
    <w:lvl w:ilvl="6" w:tplc="8EF4CA38" w:tentative="1">
      <w:start w:val="1"/>
      <w:numFmt w:val="lowerLetter"/>
      <w:lvlText w:val="%7."/>
      <w:lvlJc w:val="left"/>
      <w:pPr>
        <w:tabs>
          <w:tab w:val="num" w:pos="5040"/>
        </w:tabs>
        <w:ind w:left="5040" w:hanging="360"/>
      </w:pPr>
    </w:lvl>
    <w:lvl w:ilvl="7" w:tplc="6CBA7550" w:tentative="1">
      <w:start w:val="1"/>
      <w:numFmt w:val="lowerLetter"/>
      <w:lvlText w:val="%8."/>
      <w:lvlJc w:val="left"/>
      <w:pPr>
        <w:tabs>
          <w:tab w:val="num" w:pos="5760"/>
        </w:tabs>
        <w:ind w:left="5760" w:hanging="360"/>
      </w:pPr>
    </w:lvl>
    <w:lvl w:ilvl="8" w:tplc="0ECCE49A" w:tentative="1">
      <w:start w:val="1"/>
      <w:numFmt w:val="lowerLetter"/>
      <w:lvlText w:val="%9."/>
      <w:lvlJc w:val="left"/>
      <w:pPr>
        <w:tabs>
          <w:tab w:val="num" w:pos="6480"/>
        </w:tabs>
        <w:ind w:left="6480" w:hanging="360"/>
      </w:pPr>
    </w:lvl>
  </w:abstractNum>
  <w:abstractNum w:abstractNumId="25">
    <w:nsid w:val="6C682281"/>
    <w:multiLevelType w:val="hybridMultilevel"/>
    <w:tmpl w:val="E8A820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0374B65"/>
    <w:multiLevelType w:val="multilevel"/>
    <w:tmpl w:val="502C0C5E"/>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72F01F3F"/>
    <w:multiLevelType w:val="hybridMultilevel"/>
    <w:tmpl w:val="F0AC8CE0"/>
    <w:lvl w:ilvl="0" w:tplc="0AEA3742">
      <w:start w:val="1"/>
      <w:numFmt w:val="lowerLetter"/>
      <w:lvlText w:val="%1."/>
      <w:lvlJc w:val="left"/>
      <w:pPr>
        <w:tabs>
          <w:tab w:val="num" w:pos="720"/>
        </w:tabs>
        <w:ind w:left="720" w:hanging="360"/>
      </w:pPr>
    </w:lvl>
    <w:lvl w:ilvl="1" w:tplc="35D24552" w:tentative="1">
      <w:start w:val="1"/>
      <w:numFmt w:val="lowerLetter"/>
      <w:lvlText w:val="%2."/>
      <w:lvlJc w:val="left"/>
      <w:pPr>
        <w:tabs>
          <w:tab w:val="num" w:pos="1440"/>
        </w:tabs>
        <w:ind w:left="1440" w:hanging="360"/>
      </w:pPr>
    </w:lvl>
    <w:lvl w:ilvl="2" w:tplc="B9CEC44A" w:tentative="1">
      <w:start w:val="1"/>
      <w:numFmt w:val="lowerLetter"/>
      <w:lvlText w:val="%3."/>
      <w:lvlJc w:val="left"/>
      <w:pPr>
        <w:tabs>
          <w:tab w:val="num" w:pos="2160"/>
        </w:tabs>
        <w:ind w:left="2160" w:hanging="360"/>
      </w:pPr>
    </w:lvl>
    <w:lvl w:ilvl="3" w:tplc="D34A7FE2" w:tentative="1">
      <w:start w:val="1"/>
      <w:numFmt w:val="lowerLetter"/>
      <w:lvlText w:val="%4."/>
      <w:lvlJc w:val="left"/>
      <w:pPr>
        <w:tabs>
          <w:tab w:val="num" w:pos="2880"/>
        </w:tabs>
        <w:ind w:left="2880" w:hanging="360"/>
      </w:pPr>
    </w:lvl>
    <w:lvl w:ilvl="4" w:tplc="8BFA7378" w:tentative="1">
      <w:start w:val="1"/>
      <w:numFmt w:val="lowerLetter"/>
      <w:lvlText w:val="%5."/>
      <w:lvlJc w:val="left"/>
      <w:pPr>
        <w:tabs>
          <w:tab w:val="num" w:pos="3600"/>
        </w:tabs>
        <w:ind w:left="3600" w:hanging="360"/>
      </w:pPr>
    </w:lvl>
    <w:lvl w:ilvl="5" w:tplc="43BCEA14" w:tentative="1">
      <w:start w:val="1"/>
      <w:numFmt w:val="lowerLetter"/>
      <w:lvlText w:val="%6."/>
      <w:lvlJc w:val="left"/>
      <w:pPr>
        <w:tabs>
          <w:tab w:val="num" w:pos="4320"/>
        </w:tabs>
        <w:ind w:left="4320" w:hanging="360"/>
      </w:pPr>
    </w:lvl>
    <w:lvl w:ilvl="6" w:tplc="C3F62F62" w:tentative="1">
      <w:start w:val="1"/>
      <w:numFmt w:val="lowerLetter"/>
      <w:lvlText w:val="%7."/>
      <w:lvlJc w:val="left"/>
      <w:pPr>
        <w:tabs>
          <w:tab w:val="num" w:pos="5040"/>
        </w:tabs>
        <w:ind w:left="5040" w:hanging="360"/>
      </w:pPr>
    </w:lvl>
    <w:lvl w:ilvl="7" w:tplc="0FCEC840" w:tentative="1">
      <w:start w:val="1"/>
      <w:numFmt w:val="lowerLetter"/>
      <w:lvlText w:val="%8."/>
      <w:lvlJc w:val="left"/>
      <w:pPr>
        <w:tabs>
          <w:tab w:val="num" w:pos="5760"/>
        </w:tabs>
        <w:ind w:left="5760" w:hanging="360"/>
      </w:pPr>
    </w:lvl>
    <w:lvl w:ilvl="8" w:tplc="FD5A1B24" w:tentative="1">
      <w:start w:val="1"/>
      <w:numFmt w:val="lowerLetter"/>
      <w:lvlText w:val="%9."/>
      <w:lvlJc w:val="left"/>
      <w:pPr>
        <w:tabs>
          <w:tab w:val="num" w:pos="6480"/>
        </w:tabs>
        <w:ind w:left="6480" w:hanging="360"/>
      </w:pPr>
    </w:lvl>
  </w:abstractNum>
  <w:abstractNum w:abstractNumId="28">
    <w:nsid w:val="7B8A3DE2"/>
    <w:multiLevelType w:val="hybridMultilevel"/>
    <w:tmpl w:val="9560209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7C120FF5"/>
    <w:multiLevelType w:val="hybridMultilevel"/>
    <w:tmpl w:val="AAAAC672"/>
    <w:lvl w:ilvl="0" w:tplc="9872F6A8">
      <w:start w:val="1"/>
      <w:numFmt w:val="lowerLetter"/>
      <w:lvlText w:val="%1."/>
      <w:lvlJc w:val="left"/>
      <w:pPr>
        <w:tabs>
          <w:tab w:val="num" w:pos="720"/>
        </w:tabs>
        <w:ind w:left="720" w:hanging="360"/>
      </w:pPr>
    </w:lvl>
    <w:lvl w:ilvl="1" w:tplc="570002C6" w:tentative="1">
      <w:start w:val="1"/>
      <w:numFmt w:val="lowerLetter"/>
      <w:lvlText w:val="%2."/>
      <w:lvlJc w:val="left"/>
      <w:pPr>
        <w:tabs>
          <w:tab w:val="num" w:pos="1440"/>
        </w:tabs>
        <w:ind w:left="1440" w:hanging="360"/>
      </w:pPr>
    </w:lvl>
    <w:lvl w:ilvl="2" w:tplc="E7044478" w:tentative="1">
      <w:start w:val="1"/>
      <w:numFmt w:val="lowerLetter"/>
      <w:lvlText w:val="%3."/>
      <w:lvlJc w:val="left"/>
      <w:pPr>
        <w:tabs>
          <w:tab w:val="num" w:pos="2160"/>
        </w:tabs>
        <w:ind w:left="2160" w:hanging="360"/>
      </w:pPr>
    </w:lvl>
    <w:lvl w:ilvl="3" w:tplc="21B6B786" w:tentative="1">
      <w:start w:val="1"/>
      <w:numFmt w:val="lowerLetter"/>
      <w:lvlText w:val="%4."/>
      <w:lvlJc w:val="left"/>
      <w:pPr>
        <w:tabs>
          <w:tab w:val="num" w:pos="2880"/>
        </w:tabs>
        <w:ind w:left="2880" w:hanging="360"/>
      </w:pPr>
    </w:lvl>
    <w:lvl w:ilvl="4" w:tplc="1B560EC0" w:tentative="1">
      <w:start w:val="1"/>
      <w:numFmt w:val="lowerLetter"/>
      <w:lvlText w:val="%5."/>
      <w:lvlJc w:val="left"/>
      <w:pPr>
        <w:tabs>
          <w:tab w:val="num" w:pos="3600"/>
        </w:tabs>
        <w:ind w:left="3600" w:hanging="360"/>
      </w:pPr>
    </w:lvl>
    <w:lvl w:ilvl="5" w:tplc="1B60A3DC" w:tentative="1">
      <w:start w:val="1"/>
      <w:numFmt w:val="lowerLetter"/>
      <w:lvlText w:val="%6."/>
      <w:lvlJc w:val="left"/>
      <w:pPr>
        <w:tabs>
          <w:tab w:val="num" w:pos="4320"/>
        </w:tabs>
        <w:ind w:left="4320" w:hanging="360"/>
      </w:pPr>
    </w:lvl>
    <w:lvl w:ilvl="6" w:tplc="A0AA011E" w:tentative="1">
      <w:start w:val="1"/>
      <w:numFmt w:val="lowerLetter"/>
      <w:lvlText w:val="%7."/>
      <w:lvlJc w:val="left"/>
      <w:pPr>
        <w:tabs>
          <w:tab w:val="num" w:pos="5040"/>
        </w:tabs>
        <w:ind w:left="5040" w:hanging="360"/>
      </w:pPr>
    </w:lvl>
    <w:lvl w:ilvl="7" w:tplc="38DA9660" w:tentative="1">
      <w:start w:val="1"/>
      <w:numFmt w:val="lowerLetter"/>
      <w:lvlText w:val="%8."/>
      <w:lvlJc w:val="left"/>
      <w:pPr>
        <w:tabs>
          <w:tab w:val="num" w:pos="5760"/>
        </w:tabs>
        <w:ind w:left="5760" w:hanging="360"/>
      </w:pPr>
    </w:lvl>
    <w:lvl w:ilvl="8" w:tplc="6EC27BF0" w:tentative="1">
      <w:start w:val="1"/>
      <w:numFmt w:val="lowerLetter"/>
      <w:lvlText w:val="%9."/>
      <w:lvlJc w:val="left"/>
      <w:pPr>
        <w:tabs>
          <w:tab w:val="num" w:pos="6480"/>
        </w:tabs>
        <w:ind w:left="6480" w:hanging="360"/>
      </w:pPr>
    </w:lvl>
  </w:abstractNum>
  <w:abstractNum w:abstractNumId="30">
    <w:nsid w:val="7EE615B6"/>
    <w:multiLevelType w:val="hybridMultilevel"/>
    <w:tmpl w:val="2132F91A"/>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2"/>
  </w:num>
  <w:num w:numId="3">
    <w:abstractNumId w:val="4"/>
  </w:num>
  <w:num w:numId="4">
    <w:abstractNumId w:val="11"/>
  </w:num>
  <w:num w:numId="5">
    <w:abstractNumId w:val="22"/>
  </w:num>
  <w:num w:numId="6">
    <w:abstractNumId w:val="2"/>
  </w:num>
  <w:num w:numId="7">
    <w:abstractNumId w:val="8"/>
  </w:num>
  <w:num w:numId="8">
    <w:abstractNumId w:val="20"/>
  </w:num>
  <w:num w:numId="9">
    <w:abstractNumId w:val="6"/>
  </w:num>
  <w:num w:numId="10">
    <w:abstractNumId w:val="28"/>
  </w:num>
  <w:num w:numId="11">
    <w:abstractNumId w:val="27"/>
  </w:num>
  <w:num w:numId="12">
    <w:abstractNumId w:val="15"/>
  </w:num>
  <w:num w:numId="13">
    <w:abstractNumId w:val="24"/>
  </w:num>
  <w:num w:numId="14">
    <w:abstractNumId w:val="19"/>
  </w:num>
  <w:num w:numId="15">
    <w:abstractNumId w:val="29"/>
  </w:num>
  <w:num w:numId="16">
    <w:abstractNumId w:val="10"/>
  </w:num>
  <w:num w:numId="17">
    <w:abstractNumId w:val="21"/>
  </w:num>
  <w:num w:numId="18">
    <w:abstractNumId w:val="13"/>
  </w:num>
  <w:num w:numId="19">
    <w:abstractNumId w:val="30"/>
  </w:num>
  <w:num w:numId="20">
    <w:abstractNumId w:val="1"/>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num>
  <w:num w:numId="23">
    <w:abstractNumId w:val="26"/>
  </w:num>
  <w:num w:numId="24">
    <w:abstractNumId w:val="23"/>
  </w:num>
  <w:num w:numId="25">
    <w:abstractNumId w:val="25"/>
  </w:num>
  <w:num w:numId="26">
    <w:abstractNumId w:val="16"/>
  </w:num>
  <w:num w:numId="27">
    <w:abstractNumId w:val="3"/>
  </w:num>
  <w:num w:numId="28">
    <w:abstractNumId w:val="0"/>
  </w:num>
  <w:num w:numId="29">
    <w:abstractNumId w:val="18"/>
  </w:num>
  <w:num w:numId="30">
    <w:abstractNumId w:val="17"/>
  </w:num>
  <w:num w:numId="31">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nise DeRoeck">
    <w15:presenceInfo w15:providerId="Windows Live" w15:userId="dd5ab0a71e4737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179"/>
    <w:rsid w:val="0000352E"/>
    <w:rsid w:val="000178D5"/>
    <w:rsid w:val="000258EE"/>
    <w:rsid w:val="00044F3E"/>
    <w:rsid w:val="00052693"/>
    <w:rsid w:val="0007442D"/>
    <w:rsid w:val="00084796"/>
    <w:rsid w:val="00096E70"/>
    <w:rsid w:val="000A6F7C"/>
    <w:rsid w:val="000A7279"/>
    <w:rsid w:val="000B0082"/>
    <w:rsid w:val="000C2C44"/>
    <w:rsid w:val="000E3D3E"/>
    <w:rsid w:val="00112FEE"/>
    <w:rsid w:val="0011764D"/>
    <w:rsid w:val="001206D8"/>
    <w:rsid w:val="00144801"/>
    <w:rsid w:val="00152B03"/>
    <w:rsid w:val="00157C23"/>
    <w:rsid w:val="00163179"/>
    <w:rsid w:val="001A33B2"/>
    <w:rsid w:val="001B0097"/>
    <w:rsid w:val="001C1193"/>
    <w:rsid w:val="001C1E4D"/>
    <w:rsid w:val="001C28AB"/>
    <w:rsid w:val="001C5026"/>
    <w:rsid w:val="001D1D41"/>
    <w:rsid w:val="001D336C"/>
    <w:rsid w:val="001D6E48"/>
    <w:rsid w:val="001E1094"/>
    <w:rsid w:val="001E10B1"/>
    <w:rsid w:val="001E7D06"/>
    <w:rsid w:val="001F2D8D"/>
    <w:rsid w:val="00210674"/>
    <w:rsid w:val="00221A3A"/>
    <w:rsid w:val="002258E3"/>
    <w:rsid w:val="00226696"/>
    <w:rsid w:val="002327A5"/>
    <w:rsid w:val="00232D9A"/>
    <w:rsid w:val="002818D0"/>
    <w:rsid w:val="00281CEF"/>
    <w:rsid w:val="00292589"/>
    <w:rsid w:val="00293DEE"/>
    <w:rsid w:val="002945B9"/>
    <w:rsid w:val="002970A7"/>
    <w:rsid w:val="002B73D6"/>
    <w:rsid w:val="002C0BCF"/>
    <w:rsid w:val="002C45C4"/>
    <w:rsid w:val="002D61F5"/>
    <w:rsid w:val="002D762A"/>
    <w:rsid w:val="002E66AB"/>
    <w:rsid w:val="002F1749"/>
    <w:rsid w:val="002F20C9"/>
    <w:rsid w:val="00321B47"/>
    <w:rsid w:val="00324CCD"/>
    <w:rsid w:val="003573EF"/>
    <w:rsid w:val="00364456"/>
    <w:rsid w:val="00370616"/>
    <w:rsid w:val="00371B50"/>
    <w:rsid w:val="00373BA5"/>
    <w:rsid w:val="003B6F84"/>
    <w:rsid w:val="003C49D6"/>
    <w:rsid w:val="003D24BB"/>
    <w:rsid w:val="003D6679"/>
    <w:rsid w:val="003E30EC"/>
    <w:rsid w:val="003F4825"/>
    <w:rsid w:val="0040083F"/>
    <w:rsid w:val="00432B70"/>
    <w:rsid w:val="00436537"/>
    <w:rsid w:val="0044011A"/>
    <w:rsid w:val="00441EDC"/>
    <w:rsid w:val="00444AD2"/>
    <w:rsid w:val="00457E0A"/>
    <w:rsid w:val="004826EF"/>
    <w:rsid w:val="004873D9"/>
    <w:rsid w:val="00492B17"/>
    <w:rsid w:val="00496569"/>
    <w:rsid w:val="004A0E8E"/>
    <w:rsid w:val="004A394A"/>
    <w:rsid w:val="004B5B75"/>
    <w:rsid w:val="004D307D"/>
    <w:rsid w:val="004E24A2"/>
    <w:rsid w:val="004F6777"/>
    <w:rsid w:val="00500171"/>
    <w:rsid w:val="0050564C"/>
    <w:rsid w:val="0051290F"/>
    <w:rsid w:val="005133F8"/>
    <w:rsid w:val="00513BF2"/>
    <w:rsid w:val="00527C9D"/>
    <w:rsid w:val="00530B48"/>
    <w:rsid w:val="00530FEA"/>
    <w:rsid w:val="00532476"/>
    <w:rsid w:val="00534013"/>
    <w:rsid w:val="005356D4"/>
    <w:rsid w:val="00544B6F"/>
    <w:rsid w:val="005765C7"/>
    <w:rsid w:val="0058000D"/>
    <w:rsid w:val="00581FD6"/>
    <w:rsid w:val="005B6B29"/>
    <w:rsid w:val="005C6F1C"/>
    <w:rsid w:val="005F0283"/>
    <w:rsid w:val="00623FB4"/>
    <w:rsid w:val="006262C9"/>
    <w:rsid w:val="00635C8E"/>
    <w:rsid w:val="0063770B"/>
    <w:rsid w:val="006410AE"/>
    <w:rsid w:val="00641572"/>
    <w:rsid w:val="00651C67"/>
    <w:rsid w:val="006562DB"/>
    <w:rsid w:val="00656D34"/>
    <w:rsid w:val="006842AB"/>
    <w:rsid w:val="00696E6A"/>
    <w:rsid w:val="006A4380"/>
    <w:rsid w:val="006A4CB9"/>
    <w:rsid w:val="006B771A"/>
    <w:rsid w:val="006C334B"/>
    <w:rsid w:val="006F3709"/>
    <w:rsid w:val="007033F7"/>
    <w:rsid w:val="00734C9E"/>
    <w:rsid w:val="00762ACA"/>
    <w:rsid w:val="0076408F"/>
    <w:rsid w:val="00767749"/>
    <w:rsid w:val="00770EEA"/>
    <w:rsid w:val="007753BA"/>
    <w:rsid w:val="00775B84"/>
    <w:rsid w:val="007774F8"/>
    <w:rsid w:val="0079008F"/>
    <w:rsid w:val="007A35F6"/>
    <w:rsid w:val="007B053A"/>
    <w:rsid w:val="007C52E5"/>
    <w:rsid w:val="007C5F79"/>
    <w:rsid w:val="007D0750"/>
    <w:rsid w:val="007D16A4"/>
    <w:rsid w:val="007D2AA9"/>
    <w:rsid w:val="007E0DEE"/>
    <w:rsid w:val="007F0729"/>
    <w:rsid w:val="008053B7"/>
    <w:rsid w:val="008105B2"/>
    <w:rsid w:val="00813EED"/>
    <w:rsid w:val="00824634"/>
    <w:rsid w:val="00824C6B"/>
    <w:rsid w:val="00825812"/>
    <w:rsid w:val="008349B3"/>
    <w:rsid w:val="00834A2D"/>
    <w:rsid w:val="0083568C"/>
    <w:rsid w:val="00846F7D"/>
    <w:rsid w:val="00856B69"/>
    <w:rsid w:val="00863F77"/>
    <w:rsid w:val="00864DC1"/>
    <w:rsid w:val="00865907"/>
    <w:rsid w:val="00871017"/>
    <w:rsid w:val="008741BB"/>
    <w:rsid w:val="00883C0A"/>
    <w:rsid w:val="00886641"/>
    <w:rsid w:val="008908FC"/>
    <w:rsid w:val="008A1C67"/>
    <w:rsid w:val="008B71DB"/>
    <w:rsid w:val="008C6318"/>
    <w:rsid w:val="008D27F4"/>
    <w:rsid w:val="008E4926"/>
    <w:rsid w:val="008E7AA0"/>
    <w:rsid w:val="008F4F49"/>
    <w:rsid w:val="009318B8"/>
    <w:rsid w:val="009462E5"/>
    <w:rsid w:val="009563E8"/>
    <w:rsid w:val="009A5026"/>
    <w:rsid w:val="009B091D"/>
    <w:rsid w:val="009C09D8"/>
    <w:rsid w:val="009E1E59"/>
    <w:rsid w:val="009E262A"/>
    <w:rsid w:val="009F7B84"/>
    <w:rsid w:val="00A11AC1"/>
    <w:rsid w:val="00A330ED"/>
    <w:rsid w:val="00A40512"/>
    <w:rsid w:val="00A4068D"/>
    <w:rsid w:val="00A44D74"/>
    <w:rsid w:val="00A54964"/>
    <w:rsid w:val="00A574A9"/>
    <w:rsid w:val="00A83A9B"/>
    <w:rsid w:val="00AA42DB"/>
    <w:rsid w:val="00AA7025"/>
    <w:rsid w:val="00AD1B7E"/>
    <w:rsid w:val="00AD379D"/>
    <w:rsid w:val="00AE7557"/>
    <w:rsid w:val="00AF3E38"/>
    <w:rsid w:val="00B07860"/>
    <w:rsid w:val="00B13423"/>
    <w:rsid w:val="00B218CC"/>
    <w:rsid w:val="00B316F3"/>
    <w:rsid w:val="00B7182E"/>
    <w:rsid w:val="00B76F10"/>
    <w:rsid w:val="00B96660"/>
    <w:rsid w:val="00BA2589"/>
    <w:rsid w:val="00BA768D"/>
    <w:rsid w:val="00BB1369"/>
    <w:rsid w:val="00BC23BE"/>
    <w:rsid w:val="00BE379F"/>
    <w:rsid w:val="00BF14CF"/>
    <w:rsid w:val="00BF4CFA"/>
    <w:rsid w:val="00C148D5"/>
    <w:rsid w:val="00C2711B"/>
    <w:rsid w:val="00C43F4C"/>
    <w:rsid w:val="00C60E99"/>
    <w:rsid w:val="00C67C9D"/>
    <w:rsid w:val="00C737EA"/>
    <w:rsid w:val="00CA1D86"/>
    <w:rsid w:val="00CD3FD9"/>
    <w:rsid w:val="00CD61CC"/>
    <w:rsid w:val="00CF0E45"/>
    <w:rsid w:val="00CF2BF7"/>
    <w:rsid w:val="00D00DC6"/>
    <w:rsid w:val="00D17551"/>
    <w:rsid w:val="00D27E92"/>
    <w:rsid w:val="00D30DD8"/>
    <w:rsid w:val="00D53F27"/>
    <w:rsid w:val="00D732C7"/>
    <w:rsid w:val="00D733F1"/>
    <w:rsid w:val="00D9435D"/>
    <w:rsid w:val="00D9563B"/>
    <w:rsid w:val="00DB6570"/>
    <w:rsid w:val="00DC5960"/>
    <w:rsid w:val="00DD7791"/>
    <w:rsid w:val="00DE3314"/>
    <w:rsid w:val="00DE7F02"/>
    <w:rsid w:val="00E11B99"/>
    <w:rsid w:val="00E1686A"/>
    <w:rsid w:val="00E37109"/>
    <w:rsid w:val="00E703C2"/>
    <w:rsid w:val="00E82006"/>
    <w:rsid w:val="00E86411"/>
    <w:rsid w:val="00E91097"/>
    <w:rsid w:val="00E9485D"/>
    <w:rsid w:val="00EB5A7D"/>
    <w:rsid w:val="00EC5704"/>
    <w:rsid w:val="00EE1C5C"/>
    <w:rsid w:val="00EE46A2"/>
    <w:rsid w:val="00EE765D"/>
    <w:rsid w:val="00F41A91"/>
    <w:rsid w:val="00F453F4"/>
    <w:rsid w:val="00F577A7"/>
    <w:rsid w:val="00F63D60"/>
    <w:rsid w:val="00F74620"/>
    <w:rsid w:val="00F81B65"/>
    <w:rsid w:val="00F85BA5"/>
    <w:rsid w:val="00FD688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0C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179"/>
    <w:pPr>
      <w:ind w:left="720"/>
      <w:contextualSpacing/>
    </w:pPr>
  </w:style>
  <w:style w:type="character" w:styleId="Hyperlink">
    <w:name w:val="Hyperlink"/>
    <w:basedOn w:val="DefaultParagraphFont"/>
    <w:uiPriority w:val="99"/>
    <w:unhideWhenUsed/>
    <w:rsid w:val="00513BF2"/>
    <w:rPr>
      <w:color w:val="0000FF"/>
      <w:u w:val="single"/>
    </w:rPr>
  </w:style>
  <w:style w:type="paragraph" w:styleId="Footer">
    <w:name w:val="footer"/>
    <w:basedOn w:val="Normal"/>
    <w:link w:val="FooterChar"/>
    <w:uiPriority w:val="99"/>
    <w:unhideWhenUsed/>
    <w:rsid w:val="00513BF2"/>
    <w:pPr>
      <w:tabs>
        <w:tab w:val="center" w:pos="4513"/>
        <w:tab w:val="right" w:pos="9026"/>
      </w:tabs>
      <w:spacing w:after="0" w:line="240" w:lineRule="auto"/>
    </w:pPr>
    <w:rPr>
      <w:rFonts w:eastAsiaTheme="minorEastAsia"/>
      <w:lang w:eastAsia="zh-CN"/>
    </w:rPr>
  </w:style>
  <w:style w:type="character" w:customStyle="1" w:styleId="FooterChar">
    <w:name w:val="Footer Char"/>
    <w:basedOn w:val="DefaultParagraphFont"/>
    <w:link w:val="Footer"/>
    <w:uiPriority w:val="99"/>
    <w:rsid w:val="00513BF2"/>
    <w:rPr>
      <w:rFonts w:eastAsiaTheme="minorEastAsia"/>
      <w:lang w:eastAsia="zh-CN"/>
    </w:rPr>
  </w:style>
  <w:style w:type="table" w:styleId="TableGrid">
    <w:name w:val="Table Grid"/>
    <w:basedOn w:val="TableNormal"/>
    <w:uiPriority w:val="59"/>
    <w:rsid w:val="00513BF2"/>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13B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BF2"/>
    <w:rPr>
      <w:rFonts w:ascii="Tahoma" w:hAnsi="Tahoma" w:cs="Tahoma"/>
      <w:sz w:val="16"/>
      <w:szCs w:val="16"/>
    </w:rPr>
  </w:style>
  <w:style w:type="character" w:styleId="FollowedHyperlink">
    <w:name w:val="FollowedHyperlink"/>
    <w:basedOn w:val="DefaultParagraphFont"/>
    <w:uiPriority w:val="99"/>
    <w:semiHidden/>
    <w:unhideWhenUsed/>
    <w:rsid w:val="00513BF2"/>
    <w:rPr>
      <w:color w:val="800080" w:themeColor="followedHyperlink"/>
      <w:u w:val="single"/>
    </w:rPr>
  </w:style>
  <w:style w:type="character" w:styleId="CommentReference">
    <w:name w:val="annotation reference"/>
    <w:basedOn w:val="DefaultParagraphFont"/>
    <w:uiPriority w:val="99"/>
    <w:semiHidden/>
    <w:unhideWhenUsed/>
    <w:rsid w:val="00C67C9D"/>
    <w:rPr>
      <w:sz w:val="16"/>
      <w:szCs w:val="16"/>
    </w:rPr>
  </w:style>
  <w:style w:type="paragraph" w:styleId="CommentText">
    <w:name w:val="annotation text"/>
    <w:basedOn w:val="Normal"/>
    <w:link w:val="CommentTextChar"/>
    <w:uiPriority w:val="99"/>
    <w:unhideWhenUsed/>
    <w:rsid w:val="00C67C9D"/>
    <w:pPr>
      <w:spacing w:line="240" w:lineRule="auto"/>
    </w:pPr>
    <w:rPr>
      <w:sz w:val="20"/>
      <w:szCs w:val="20"/>
    </w:rPr>
  </w:style>
  <w:style w:type="character" w:customStyle="1" w:styleId="CommentTextChar">
    <w:name w:val="Comment Text Char"/>
    <w:basedOn w:val="DefaultParagraphFont"/>
    <w:link w:val="CommentText"/>
    <w:uiPriority w:val="99"/>
    <w:rsid w:val="00C67C9D"/>
    <w:rPr>
      <w:sz w:val="20"/>
      <w:szCs w:val="20"/>
    </w:rPr>
  </w:style>
  <w:style w:type="paragraph" w:styleId="CommentSubject">
    <w:name w:val="annotation subject"/>
    <w:basedOn w:val="CommentText"/>
    <w:next w:val="CommentText"/>
    <w:link w:val="CommentSubjectChar"/>
    <w:uiPriority w:val="99"/>
    <w:semiHidden/>
    <w:unhideWhenUsed/>
    <w:rsid w:val="00C67C9D"/>
    <w:rPr>
      <w:b/>
      <w:bCs/>
    </w:rPr>
  </w:style>
  <w:style w:type="character" w:customStyle="1" w:styleId="CommentSubjectChar">
    <w:name w:val="Comment Subject Char"/>
    <w:basedOn w:val="CommentTextChar"/>
    <w:link w:val="CommentSubject"/>
    <w:uiPriority w:val="99"/>
    <w:semiHidden/>
    <w:rsid w:val="00C67C9D"/>
    <w:rPr>
      <w:b/>
      <w:bCs/>
      <w:sz w:val="20"/>
      <w:szCs w:val="20"/>
    </w:rPr>
  </w:style>
  <w:style w:type="paragraph" w:styleId="Header">
    <w:name w:val="header"/>
    <w:basedOn w:val="Normal"/>
    <w:link w:val="HeaderChar"/>
    <w:uiPriority w:val="99"/>
    <w:unhideWhenUsed/>
    <w:rsid w:val="005B6B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6B29"/>
  </w:style>
  <w:style w:type="paragraph" w:styleId="FootnoteText">
    <w:name w:val="footnote text"/>
    <w:basedOn w:val="Normal"/>
    <w:link w:val="FootnoteTextChar"/>
    <w:uiPriority w:val="99"/>
    <w:semiHidden/>
    <w:unhideWhenUsed/>
    <w:rsid w:val="00BE379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379F"/>
    <w:rPr>
      <w:sz w:val="20"/>
      <w:szCs w:val="20"/>
    </w:rPr>
  </w:style>
  <w:style w:type="character" w:styleId="FootnoteReference">
    <w:name w:val="footnote reference"/>
    <w:basedOn w:val="DefaultParagraphFont"/>
    <w:uiPriority w:val="99"/>
    <w:semiHidden/>
    <w:unhideWhenUsed/>
    <w:rsid w:val="00BE379F"/>
    <w:rPr>
      <w:vertAlign w:val="superscript"/>
    </w:rPr>
  </w:style>
  <w:style w:type="paragraph" w:styleId="Revision">
    <w:name w:val="Revision"/>
    <w:hidden/>
    <w:uiPriority w:val="99"/>
    <w:semiHidden/>
    <w:rsid w:val="001206D8"/>
    <w:pPr>
      <w:spacing w:after="0" w:line="240" w:lineRule="auto"/>
    </w:pPr>
  </w:style>
  <w:style w:type="paragraph" w:styleId="Caption">
    <w:name w:val="caption"/>
    <w:basedOn w:val="Normal"/>
    <w:next w:val="Normal"/>
    <w:uiPriority w:val="35"/>
    <w:unhideWhenUsed/>
    <w:qFormat/>
    <w:rsid w:val="00651C67"/>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179"/>
    <w:pPr>
      <w:ind w:left="720"/>
      <w:contextualSpacing/>
    </w:pPr>
  </w:style>
  <w:style w:type="character" w:styleId="Hyperlink">
    <w:name w:val="Hyperlink"/>
    <w:basedOn w:val="DefaultParagraphFont"/>
    <w:uiPriority w:val="99"/>
    <w:unhideWhenUsed/>
    <w:rsid w:val="00513BF2"/>
    <w:rPr>
      <w:color w:val="0000FF"/>
      <w:u w:val="single"/>
    </w:rPr>
  </w:style>
  <w:style w:type="paragraph" w:styleId="Footer">
    <w:name w:val="footer"/>
    <w:basedOn w:val="Normal"/>
    <w:link w:val="FooterChar"/>
    <w:uiPriority w:val="99"/>
    <w:unhideWhenUsed/>
    <w:rsid w:val="00513BF2"/>
    <w:pPr>
      <w:tabs>
        <w:tab w:val="center" w:pos="4513"/>
        <w:tab w:val="right" w:pos="9026"/>
      </w:tabs>
      <w:spacing w:after="0" w:line="240" w:lineRule="auto"/>
    </w:pPr>
    <w:rPr>
      <w:rFonts w:eastAsiaTheme="minorEastAsia"/>
      <w:lang w:eastAsia="zh-CN"/>
    </w:rPr>
  </w:style>
  <w:style w:type="character" w:customStyle="1" w:styleId="FooterChar">
    <w:name w:val="Footer Char"/>
    <w:basedOn w:val="DefaultParagraphFont"/>
    <w:link w:val="Footer"/>
    <w:uiPriority w:val="99"/>
    <w:rsid w:val="00513BF2"/>
    <w:rPr>
      <w:rFonts w:eastAsiaTheme="minorEastAsia"/>
      <w:lang w:eastAsia="zh-CN"/>
    </w:rPr>
  </w:style>
  <w:style w:type="table" w:styleId="TableGrid">
    <w:name w:val="Table Grid"/>
    <w:basedOn w:val="TableNormal"/>
    <w:uiPriority w:val="59"/>
    <w:rsid w:val="00513BF2"/>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13B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BF2"/>
    <w:rPr>
      <w:rFonts w:ascii="Tahoma" w:hAnsi="Tahoma" w:cs="Tahoma"/>
      <w:sz w:val="16"/>
      <w:szCs w:val="16"/>
    </w:rPr>
  </w:style>
  <w:style w:type="character" w:styleId="FollowedHyperlink">
    <w:name w:val="FollowedHyperlink"/>
    <w:basedOn w:val="DefaultParagraphFont"/>
    <w:uiPriority w:val="99"/>
    <w:semiHidden/>
    <w:unhideWhenUsed/>
    <w:rsid w:val="00513BF2"/>
    <w:rPr>
      <w:color w:val="800080" w:themeColor="followedHyperlink"/>
      <w:u w:val="single"/>
    </w:rPr>
  </w:style>
  <w:style w:type="character" w:styleId="CommentReference">
    <w:name w:val="annotation reference"/>
    <w:basedOn w:val="DefaultParagraphFont"/>
    <w:uiPriority w:val="99"/>
    <w:semiHidden/>
    <w:unhideWhenUsed/>
    <w:rsid w:val="00C67C9D"/>
    <w:rPr>
      <w:sz w:val="16"/>
      <w:szCs w:val="16"/>
    </w:rPr>
  </w:style>
  <w:style w:type="paragraph" w:styleId="CommentText">
    <w:name w:val="annotation text"/>
    <w:basedOn w:val="Normal"/>
    <w:link w:val="CommentTextChar"/>
    <w:uiPriority w:val="99"/>
    <w:unhideWhenUsed/>
    <w:rsid w:val="00C67C9D"/>
    <w:pPr>
      <w:spacing w:line="240" w:lineRule="auto"/>
    </w:pPr>
    <w:rPr>
      <w:sz w:val="20"/>
      <w:szCs w:val="20"/>
    </w:rPr>
  </w:style>
  <w:style w:type="character" w:customStyle="1" w:styleId="CommentTextChar">
    <w:name w:val="Comment Text Char"/>
    <w:basedOn w:val="DefaultParagraphFont"/>
    <w:link w:val="CommentText"/>
    <w:uiPriority w:val="99"/>
    <w:rsid w:val="00C67C9D"/>
    <w:rPr>
      <w:sz w:val="20"/>
      <w:szCs w:val="20"/>
    </w:rPr>
  </w:style>
  <w:style w:type="paragraph" w:styleId="CommentSubject">
    <w:name w:val="annotation subject"/>
    <w:basedOn w:val="CommentText"/>
    <w:next w:val="CommentText"/>
    <w:link w:val="CommentSubjectChar"/>
    <w:uiPriority w:val="99"/>
    <w:semiHidden/>
    <w:unhideWhenUsed/>
    <w:rsid w:val="00C67C9D"/>
    <w:rPr>
      <w:b/>
      <w:bCs/>
    </w:rPr>
  </w:style>
  <w:style w:type="character" w:customStyle="1" w:styleId="CommentSubjectChar">
    <w:name w:val="Comment Subject Char"/>
    <w:basedOn w:val="CommentTextChar"/>
    <w:link w:val="CommentSubject"/>
    <w:uiPriority w:val="99"/>
    <w:semiHidden/>
    <w:rsid w:val="00C67C9D"/>
    <w:rPr>
      <w:b/>
      <w:bCs/>
      <w:sz w:val="20"/>
      <w:szCs w:val="20"/>
    </w:rPr>
  </w:style>
  <w:style w:type="paragraph" w:styleId="Header">
    <w:name w:val="header"/>
    <w:basedOn w:val="Normal"/>
    <w:link w:val="HeaderChar"/>
    <w:uiPriority w:val="99"/>
    <w:unhideWhenUsed/>
    <w:rsid w:val="005B6B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6B29"/>
  </w:style>
  <w:style w:type="paragraph" w:styleId="FootnoteText">
    <w:name w:val="footnote text"/>
    <w:basedOn w:val="Normal"/>
    <w:link w:val="FootnoteTextChar"/>
    <w:uiPriority w:val="99"/>
    <w:semiHidden/>
    <w:unhideWhenUsed/>
    <w:rsid w:val="00BE379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379F"/>
    <w:rPr>
      <w:sz w:val="20"/>
      <w:szCs w:val="20"/>
    </w:rPr>
  </w:style>
  <w:style w:type="character" w:styleId="FootnoteReference">
    <w:name w:val="footnote reference"/>
    <w:basedOn w:val="DefaultParagraphFont"/>
    <w:uiPriority w:val="99"/>
    <w:semiHidden/>
    <w:unhideWhenUsed/>
    <w:rsid w:val="00BE379F"/>
    <w:rPr>
      <w:vertAlign w:val="superscript"/>
    </w:rPr>
  </w:style>
  <w:style w:type="paragraph" w:styleId="Revision">
    <w:name w:val="Revision"/>
    <w:hidden/>
    <w:uiPriority w:val="99"/>
    <w:semiHidden/>
    <w:rsid w:val="001206D8"/>
    <w:pPr>
      <w:spacing w:after="0" w:line="240" w:lineRule="auto"/>
    </w:pPr>
  </w:style>
  <w:style w:type="paragraph" w:styleId="Caption">
    <w:name w:val="caption"/>
    <w:basedOn w:val="Normal"/>
    <w:next w:val="Normal"/>
    <w:uiPriority w:val="35"/>
    <w:unhideWhenUsed/>
    <w:qFormat/>
    <w:rsid w:val="00651C67"/>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476016">
      <w:bodyDiv w:val="1"/>
      <w:marLeft w:val="0"/>
      <w:marRight w:val="0"/>
      <w:marTop w:val="0"/>
      <w:marBottom w:val="0"/>
      <w:divBdr>
        <w:top w:val="none" w:sz="0" w:space="0" w:color="auto"/>
        <w:left w:val="none" w:sz="0" w:space="0" w:color="auto"/>
        <w:bottom w:val="none" w:sz="0" w:space="0" w:color="auto"/>
        <w:right w:val="none" w:sz="0" w:space="0" w:color="auto"/>
      </w:divBdr>
    </w:div>
    <w:div w:id="148327312">
      <w:bodyDiv w:val="1"/>
      <w:marLeft w:val="0"/>
      <w:marRight w:val="0"/>
      <w:marTop w:val="0"/>
      <w:marBottom w:val="0"/>
      <w:divBdr>
        <w:top w:val="none" w:sz="0" w:space="0" w:color="auto"/>
        <w:left w:val="none" w:sz="0" w:space="0" w:color="auto"/>
        <w:bottom w:val="none" w:sz="0" w:space="0" w:color="auto"/>
        <w:right w:val="none" w:sz="0" w:space="0" w:color="auto"/>
      </w:divBdr>
    </w:div>
    <w:div w:id="555971470">
      <w:bodyDiv w:val="1"/>
      <w:marLeft w:val="0"/>
      <w:marRight w:val="0"/>
      <w:marTop w:val="0"/>
      <w:marBottom w:val="0"/>
      <w:divBdr>
        <w:top w:val="none" w:sz="0" w:space="0" w:color="auto"/>
        <w:left w:val="none" w:sz="0" w:space="0" w:color="auto"/>
        <w:bottom w:val="none" w:sz="0" w:space="0" w:color="auto"/>
        <w:right w:val="none" w:sz="0" w:space="0" w:color="auto"/>
      </w:divBdr>
      <w:divsChild>
        <w:div w:id="1290817122">
          <w:marLeft w:val="806"/>
          <w:marRight w:val="0"/>
          <w:marTop w:val="86"/>
          <w:marBottom w:val="0"/>
          <w:divBdr>
            <w:top w:val="none" w:sz="0" w:space="0" w:color="auto"/>
            <w:left w:val="none" w:sz="0" w:space="0" w:color="auto"/>
            <w:bottom w:val="none" w:sz="0" w:space="0" w:color="auto"/>
            <w:right w:val="none" w:sz="0" w:space="0" w:color="auto"/>
          </w:divBdr>
        </w:div>
      </w:divsChild>
    </w:div>
    <w:div w:id="675498362">
      <w:bodyDiv w:val="1"/>
      <w:marLeft w:val="0"/>
      <w:marRight w:val="0"/>
      <w:marTop w:val="0"/>
      <w:marBottom w:val="0"/>
      <w:divBdr>
        <w:top w:val="none" w:sz="0" w:space="0" w:color="auto"/>
        <w:left w:val="none" w:sz="0" w:space="0" w:color="auto"/>
        <w:bottom w:val="none" w:sz="0" w:space="0" w:color="auto"/>
        <w:right w:val="none" w:sz="0" w:space="0" w:color="auto"/>
      </w:divBdr>
      <w:divsChild>
        <w:div w:id="1681589683">
          <w:marLeft w:val="806"/>
          <w:marRight w:val="0"/>
          <w:marTop w:val="72"/>
          <w:marBottom w:val="0"/>
          <w:divBdr>
            <w:top w:val="none" w:sz="0" w:space="0" w:color="auto"/>
            <w:left w:val="none" w:sz="0" w:space="0" w:color="auto"/>
            <w:bottom w:val="none" w:sz="0" w:space="0" w:color="auto"/>
            <w:right w:val="none" w:sz="0" w:space="0" w:color="auto"/>
          </w:divBdr>
        </w:div>
      </w:divsChild>
    </w:div>
    <w:div w:id="794712550">
      <w:bodyDiv w:val="1"/>
      <w:marLeft w:val="0"/>
      <w:marRight w:val="0"/>
      <w:marTop w:val="0"/>
      <w:marBottom w:val="0"/>
      <w:divBdr>
        <w:top w:val="none" w:sz="0" w:space="0" w:color="auto"/>
        <w:left w:val="none" w:sz="0" w:space="0" w:color="auto"/>
        <w:bottom w:val="none" w:sz="0" w:space="0" w:color="auto"/>
        <w:right w:val="none" w:sz="0" w:space="0" w:color="auto"/>
      </w:divBdr>
      <w:divsChild>
        <w:div w:id="537400086">
          <w:marLeft w:val="806"/>
          <w:marRight w:val="0"/>
          <w:marTop w:val="72"/>
          <w:marBottom w:val="0"/>
          <w:divBdr>
            <w:top w:val="none" w:sz="0" w:space="0" w:color="auto"/>
            <w:left w:val="none" w:sz="0" w:space="0" w:color="auto"/>
            <w:bottom w:val="none" w:sz="0" w:space="0" w:color="auto"/>
            <w:right w:val="none" w:sz="0" w:space="0" w:color="auto"/>
          </w:divBdr>
        </w:div>
        <w:div w:id="1137256038">
          <w:marLeft w:val="1440"/>
          <w:marRight w:val="0"/>
          <w:marTop w:val="67"/>
          <w:marBottom w:val="0"/>
          <w:divBdr>
            <w:top w:val="none" w:sz="0" w:space="0" w:color="auto"/>
            <w:left w:val="none" w:sz="0" w:space="0" w:color="auto"/>
            <w:bottom w:val="none" w:sz="0" w:space="0" w:color="auto"/>
            <w:right w:val="none" w:sz="0" w:space="0" w:color="auto"/>
          </w:divBdr>
        </w:div>
        <w:div w:id="1796099052">
          <w:marLeft w:val="1440"/>
          <w:marRight w:val="0"/>
          <w:marTop w:val="67"/>
          <w:marBottom w:val="0"/>
          <w:divBdr>
            <w:top w:val="none" w:sz="0" w:space="0" w:color="auto"/>
            <w:left w:val="none" w:sz="0" w:space="0" w:color="auto"/>
            <w:bottom w:val="none" w:sz="0" w:space="0" w:color="auto"/>
            <w:right w:val="none" w:sz="0" w:space="0" w:color="auto"/>
          </w:divBdr>
        </w:div>
        <w:div w:id="1356351019">
          <w:marLeft w:val="806"/>
          <w:marRight w:val="0"/>
          <w:marTop w:val="72"/>
          <w:marBottom w:val="0"/>
          <w:divBdr>
            <w:top w:val="none" w:sz="0" w:space="0" w:color="auto"/>
            <w:left w:val="none" w:sz="0" w:space="0" w:color="auto"/>
            <w:bottom w:val="none" w:sz="0" w:space="0" w:color="auto"/>
            <w:right w:val="none" w:sz="0" w:space="0" w:color="auto"/>
          </w:divBdr>
        </w:div>
        <w:div w:id="1819572505">
          <w:marLeft w:val="1440"/>
          <w:marRight w:val="0"/>
          <w:marTop w:val="67"/>
          <w:marBottom w:val="0"/>
          <w:divBdr>
            <w:top w:val="none" w:sz="0" w:space="0" w:color="auto"/>
            <w:left w:val="none" w:sz="0" w:space="0" w:color="auto"/>
            <w:bottom w:val="none" w:sz="0" w:space="0" w:color="auto"/>
            <w:right w:val="none" w:sz="0" w:space="0" w:color="auto"/>
          </w:divBdr>
        </w:div>
        <w:div w:id="67962385">
          <w:marLeft w:val="1440"/>
          <w:marRight w:val="0"/>
          <w:marTop w:val="67"/>
          <w:marBottom w:val="0"/>
          <w:divBdr>
            <w:top w:val="none" w:sz="0" w:space="0" w:color="auto"/>
            <w:left w:val="none" w:sz="0" w:space="0" w:color="auto"/>
            <w:bottom w:val="none" w:sz="0" w:space="0" w:color="auto"/>
            <w:right w:val="none" w:sz="0" w:space="0" w:color="auto"/>
          </w:divBdr>
        </w:div>
        <w:div w:id="170728940">
          <w:marLeft w:val="1440"/>
          <w:marRight w:val="0"/>
          <w:marTop w:val="67"/>
          <w:marBottom w:val="0"/>
          <w:divBdr>
            <w:top w:val="none" w:sz="0" w:space="0" w:color="auto"/>
            <w:left w:val="none" w:sz="0" w:space="0" w:color="auto"/>
            <w:bottom w:val="none" w:sz="0" w:space="0" w:color="auto"/>
            <w:right w:val="none" w:sz="0" w:space="0" w:color="auto"/>
          </w:divBdr>
        </w:div>
        <w:div w:id="1991013543">
          <w:marLeft w:val="806"/>
          <w:marRight w:val="0"/>
          <w:marTop w:val="72"/>
          <w:marBottom w:val="0"/>
          <w:divBdr>
            <w:top w:val="none" w:sz="0" w:space="0" w:color="auto"/>
            <w:left w:val="none" w:sz="0" w:space="0" w:color="auto"/>
            <w:bottom w:val="none" w:sz="0" w:space="0" w:color="auto"/>
            <w:right w:val="none" w:sz="0" w:space="0" w:color="auto"/>
          </w:divBdr>
        </w:div>
        <w:div w:id="1708874776">
          <w:marLeft w:val="1166"/>
          <w:marRight w:val="0"/>
          <w:marTop w:val="58"/>
          <w:marBottom w:val="0"/>
          <w:divBdr>
            <w:top w:val="none" w:sz="0" w:space="0" w:color="auto"/>
            <w:left w:val="none" w:sz="0" w:space="0" w:color="auto"/>
            <w:bottom w:val="none" w:sz="0" w:space="0" w:color="auto"/>
            <w:right w:val="none" w:sz="0" w:space="0" w:color="auto"/>
          </w:divBdr>
        </w:div>
        <w:div w:id="422722681">
          <w:marLeft w:val="1800"/>
          <w:marRight w:val="0"/>
          <w:marTop w:val="48"/>
          <w:marBottom w:val="0"/>
          <w:divBdr>
            <w:top w:val="none" w:sz="0" w:space="0" w:color="auto"/>
            <w:left w:val="none" w:sz="0" w:space="0" w:color="auto"/>
            <w:bottom w:val="none" w:sz="0" w:space="0" w:color="auto"/>
            <w:right w:val="none" w:sz="0" w:space="0" w:color="auto"/>
          </w:divBdr>
        </w:div>
        <w:div w:id="656344529">
          <w:marLeft w:val="1800"/>
          <w:marRight w:val="0"/>
          <w:marTop w:val="48"/>
          <w:marBottom w:val="0"/>
          <w:divBdr>
            <w:top w:val="none" w:sz="0" w:space="0" w:color="auto"/>
            <w:left w:val="none" w:sz="0" w:space="0" w:color="auto"/>
            <w:bottom w:val="none" w:sz="0" w:space="0" w:color="auto"/>
            <w:right w:val="none" w:sz="0" w:space="0" w:color="auto"/>
          </w:divBdr>
        </w:div>
        <w:div w:id="1544249065">
          <w:marLeft w:val="1440"/>
          <w:marRight w:val="0"/>
          <w:marTop w:val="67"/>
          <w:marBottom w:val="0"/>
          <w:divBdr>
            <w:top w:val="none" w:sz="0" w:space="0" w:color="auto"/>
            <w:left w:val="none" w:sz="0" w:space="0" w:color="auto"/>
            <w:bottom w:val="none" w:sz="0" w:space="0" w:color="auto"/>
            <w:right w:val="none" w:sz="0" w:space="0" w:color="auto"/>
          </w:divBdr>
        </w:div>
        <w:div w:id="903029954">
          <w:marLeft w:val="1440"/>
          <w:marRight w:val="0"/>
          <w:marTop w:val="67"/>
          <w:marBottom w:val="0"/>
          <w:divBdr>
            <w:top w:val="none" w:sz="0" w:space="0" w:color="auto"/>
            <w:left w:val="none" w:sz="0" w:space="0" w:color="auto"/>
            <w:bottom w:val="none" w:sz="0" w:space="0" w:color="auto"/>
            <w:right w:val="none" w:sz="0" w:space="0" w:color="auto"/>
          </w:divBdr>
        </w:div>
        <w:div w:id="1098331056">
          <w:marLeft w:val="1440"/>
          <w:marRight w:val="0"/>
          <w:marTop w:val="67"/>
          <w:marBottom w:val="0"/>
          <w:divBdr>
            <w:top w:val="none" w:sz="0" w:space="0" w:color="auto"/>
            <w:left w:val="none" w:sz="0" w:space="0" w:color="auto"/>
            <w:bottom w:val="none" w:sz="0" w:space="0" w:color="auto"/>
            <w:right w:val="none" w:sz="0" w:space="0" w:color="auto"/>
          </w:divBdr>
        </w:div>
        <w:div w:id="1718311960">
          <w:marLeft w:val="1440"/>
          <w:marRight w:val="0"/>
          <w:marTop w:val="67"/>
          <w:marBottom w:val="0"/>
          <w:divBdr>
            <w:top w:val="none" w:sz="0" w:space="0" w:color="auto"/>
            <w:left w:val="none" w:sz="0" w:space="0" w:color="auto"/>
            <w:bottom w:val="none" w:sz="0" w:space="0" w:color="auto"/>
            <w:right w:val="none" w:sz="0" w:space="0" w:color="auto"/>
          </w:divBdr>
        </w:div>
      </w:divsChild>
    </w:div>
    <w:div w:id="866452554">
      <w:bodyDiv w:val="1"/>
      <w:marLeft w:val="0"/>
      <w:marRight w:val="0"/>
      <w:marTop w:val="0"/>
      <w:marBottom w:val="0"/>
      <w:divBdr>
        <w:top w:val="none" w:sz="0" w:space="0" w:color="auto"/>
        <w:left w:val="none" w:sz="0" w:space="0" w:color="auto"/>
        <w:bottom w:val="none" w:sz="0" w:space="0" w:color="auto"/>
        <w:right w:val="none" w:sz="0" w:space="0" w:color="auto"/>
      </w:divBdr>
    </w:div>
    <w:div w:id="913247913">
      <w:bodyDiv w:val="1"/>
      <w:marLeft w:val="0"/>
      <w:marRight w:val="0"/>
      <w:marTop w:val="0"/>
      <w:marBottom w:val="0"/>
      <w:divBdr>
        <w:top w:val="none" w:sz="0" w:space="0" w:color="auto"/>
        <w:left w:val="none" w:sz="0" w:space="0" w:color="auto"/>
        <w:bottom w:val="none" w:sz="0" w:space="0" w:color="auto"/>
        <w:right w:val="none" w:sz="0" w:space="0" w:color="auto"/>
      </w:divBdr>
    </w:div>
    <w:div w:id="1025712083">
      <w:bodyDiv w:val="1"/>
      <w:marLeft w:val="0"/>
      <w:marRight w:val="0"/>
      <w:marTop w:val="0"/>
      <w:marBottom w:val="0"/>
      <w:divBdr>
        <w:top w:val="none" w:sz="0" w:space="0" w:color="auto"/>
        <w:left w:val="none" w:sz="0" w:space="0" w:color="auto"/>
        <w:bottom w:val="none" w:sz="0" w:space="0" w:color="auto"/>
        <w:right w:val="none" w:sz="0" w:space="0" w:color="auto"/>
      </w:divBdr>
    </w:div>
    <w:div w:id="1199659044">
      <w:bodyDiv w:val="1"/>
      <w:marLeft w:val="0"/>
      <w:marRight w:val="0"/>
      <w:marTop w:val="0"/>
      <w:marBottom w:val="0"/>
      <w:divBdr>
        <w:top w:val="none" w:sz="0" w:space="0" w:color="auto"/>
        <w:left w:val="none" w:sz="0" w:space="0" w:color="auto"/>
        <w:bottom w:val="none" w:sz="0" w:space="0" w:color="auto"/>
        <w:right w:val="none" w:sz="0" w:space="0" w:color="auto"/>
      </w:divBdr>
      <w:divsChild>
        <w:div w:id="1955867629">
          <w:marLeft w:val="806"/>
          <w:marRight w:val="0"/>
          <w:marTop w:val="86"/>
          <w:marBottom w:val="0"/>
          <w:divBdr>
            <w:top w:val="none" w:sz="0" w:space="0" w:color="auto"/>
            <w:left w:val="none" w:sz="0" w:space="0" w:color="auto"/>
            <w:bottom w:val="none" w:sz="0" w:space="0" w:color="auto"/>
            <w:right w:val="none" w:sz="0" w:space="0" w:color="auto"/>
          </w:divBdr>
        </w:div>
      </w:divsChild>
    </w:div>
    <w:div w:id="1262033174">
      <w:bodyDiv w:val="1"/>
      <w:marLeft w:val="0"/>
      <w:marRight w:val="0"/>
      <w:marTop w:val="0"/>
      <w:marBottom w:val="0"/>
      <w:divBdr>
        <w:top w:val="none" w:sz="0" w:space="0" w:color="auto"/>
        <w:left w:val="none" w:sz="0" w:space="0" w:color="auto"/>
        <w:bottom w:val="none" w:sz="0" w:space="0" w:color="auto"/>
        <w:right w:val="none" w:sz="0" w:space="0" w:color="auto"/>
      </w:divBdr>
      <w:divsChild>
        <w:div w:id="1593852598">
          <w:marLeft w:val="806"/>
          <w:marRight w:val="0"/>
          <w:marTop w:val="86"/>
          <w:marBottom w:val="0"/>
          <w:divBdr>
            <w:top w:val="none" w:sz="0" w:space="0" w:color="auto"/>
            <w:left w:val="none" w:sz="0" w:space="0" w:color="auto"/>
            <w:bottom w:val="none" w:sz="0" w:space="0" w:color="auto"/>
            <w:right w:val="none" w:sz="0" w:space="0" w:color="auto"/>
          </w:divBdr>
        </w:div>
      </w:divsChild>
    </w:div>
    <w:div w:id="1316227436">
      <w:bodyDiv w:val="1"/>
      <w:marLeft w:val="0"/>
      <w:marRight w:val="0"/>
      <w:marTop w:val="0"/>
      <w:marBottom w:val="0"/>
      <w:divBdr>
        <w:top w:val="none" w:sz="0" w:space="0" w:color="auto"/>
        <w:left w:val="none" w:sz="0" w:space="0" w:color="auto"/>
        <w:bottom w:val="none" w:sz="0" w:space="0" w:color="auto"/>
        <w:right w:val="none" w:sz="0" w:space="0" w:color="auto"/>
      </w:divBdr>
    </w:div>
    <w:div w:id="1439250243">
      <w:bodyDiv w:val="1"/>
      <w:marLeft w:val="0"/>
      <w:marRight w:val="0"/>
      <w:marTop w:val="0"/>
      <w:marBottom w:val="0"/>
      <w:divBdr>
        <w:top w:val="none" w:sz="0" w:space="0" w:color="auto"/>
        <w:left w:val="none" w:sz="0" w:space="0" w:color="auto"/>
        <w:bottom w:val="none" w:sz="0" w:space="0" w:color="auto"/>
        <w:right w:val="none" w:sz="0" w:space="0" w:color="auto"/>
      </w:divBdr>
    </w:div>
    <w:div w:id="1647929035">
      <w:bodyDiv w:val="1"/>
      <w:marLeft w:val="0"/>
      <w:marRight w:val="0"/>
      <w:marTop w:val="0"/>
      <w:marBottom w:val="0"/>
      <w:divBdr>
        <w:top w:val="none" w:sz="0" w:space="0" w:color="auto"/>
        <w:left w:val="none" w:sz="0" w:space="0" w:color="auto"/>
        <w:bottom w:val="none" w:sz="0" w:space="0" w:color="auto"/>
        <w:right w:val="none" w:sz="0" w:space="0" w:color="auto"/>
      </w:divBdr>
      <w:divsChild>
        <w:div w:id="2050450190">
          <w:marLeft w:val="806"/>
          <w:marRight w:val="0"/>
          <w:marTop w:val="86"/>
          <w:marBottom w:val="0"/>
          <w:divBdr>
            <w:top w:val="none" w:sz="0" w:space="0" w:color="auto"/>
            <w:left w:val="none" w:sz="0" w:space="0" w:color="auto"/>
            <w:bottom w:val="none" w:sz="0" w:space="0" w:color="auto"/>
            <w:right w:val="none" w:sz="0" w:space="0" w:color="auto"/>
          </w:divBdr>
        </w:div>
        <w:div w:id="711423899">
          <w:marLeft w:val="1440"/>
          <w:marRight w:val="0"/>
          <w:marTop w:val="72"/>
          <w:marBottom w:val="0"/>
          <w:divBdr>
            <w:top w:val="none" w:sz="0" w:space="0" w:color="auto"/>
            <w:left w:val="none" w:sz="0" w:space="0" w:color="auto"/>
            <w:bottom w:val="none" w:sz="0" w:space="0" w:color="auto"/>
            <w:right w:val="none" w:sz="0" w:space="0" w:color="auto"/>
          </w:divBdr>
        </w:div>
        <w:div w:id="249778000">
          <w:marLeft w:val="1440"/>
          <w:marRight w:val="0"/>
          <w:marTop w:val="72"/>
          <w:marBottom w:val="0"/>
          <w:divBdr>
            <w:top w:val="none" w:sz="0" w:space="0" w:color="auto"/>
            <w:left w:val="none" w:sz="0" w:space="0" w:color="auto"/>
            <w:bottom w:val="none" w:sz="0" w:space="0" w:color="auto"/>
            <w:right w:val="none" w:sz="0" w:space="0" w:color="auto"/>
          </w:divBdr>
        </w:div>
        <w:div w:id="640765785">
          <w:marLeft w:val="1440"/>
          <w:marRight w:val="0"/>
          <w:marTop w:val="72"/>
          <w:marBottom w:val="0"/>
          <w:divBdr>
            <w:top w:val="none" w:sz="0" w:space="0" w:color="auto"/>
            <w:left w:val="none" w:sz="0" w:space="0" w:color="auto"/>
            <w:bottom w:val="none" w:sz="0" w:space="0" w:color="auto"/>
            <w:right w:val="none" w:sz="0" w:space="0" w:color="auto"/>
          </w:divBdr>
        </w:div>
        <w:div w:id="805007211">
          <w:marLeft w:val="1440"/>
          <w:marRight w:val="0"/>
          <w:marTop w:val="72"/>
          <w:marBottom w:val="0"/>
          <w:divBdr>
            <w:top w:val="none" w:sz="0" w:space="0" w:color="auto"/>
            <w:left w:val="none" w:sz="0" w:space="0" w:color="auto"/>
            <w:bottom w:val="none" w:sz="0" w:space="0" w:color="auto"/>
            <w:right w:val="none" w:sz="0" w:space="0" w:color="auto"/>
          </w:divBdr>
        </w:div>
        <w:div w:id="1580023067">
          <w:marLeft w:val="806"/>
          <w:marRight w:val="0"/>
          <w:marTop w:val="86"/>
          <w:marBottom w:val="0"/>
          <w:divBdr>
            <w:top w:val="none" w:sz="0" w:space="0" w:color="auto"/>
            <w:left w:val="none" w:sz="0" w:space="0" w:color="auto"/>
            <w:bottom w:val="none" w:sz="0" w:space="0" w:color="auto"/>
            <w:right w:val="none" w:sz="0" w:space="0" w:color="auto"/>
          </w:divBdr>
        </w:div>
        <w:div w:id="1315992192">
          <w:marLeft w:val="1440"/>
          <w:marRight w:val="0"/>
          <w:marTop w:val="72"/>
          <w:marBottom w:val="0"/>
          <w:divBdr>
            <w:top w:val="none" w:sz="0" w:space="0" w:color="auto"/>
            <w:left w:val="none" w:sz="0" w:space="0" w:color="auto"/>
            <w:bottom w:val="none" w:sz="0" w:space="0" w:color="auto"/>
            <w:right w:val="none" w:sz="0" w:space="0" w:color="auto"/>
          </w:divBdr>
        </w:div>
        <w:div w:id="1248463691">
          <w:marLeft w:val="1440"/>
          <w:marRight w:val="0"/>
          <w:marTop w:val="72"/>
          <w:marBottom w:val="0"/>
          <w:divBdr>
            <w:top w:val="none" w:sz="0" w:space="0" w:color="auto"/>
            <w:left w:val="none" w:sz="0" w:space="0" w:color="auto"/>
            <w:bottom w:val="none" w:sz="0" w:space="0" w:color="auto"/>
            <w:right w:val="none" w:sz="0" w:space="0" w:color="auto"/>
          </w:divBdr>
        </w:div>
        <w:div w:id="1695112895">
          <w:marLeft w:val="806"/>
          <w:marRight w:val="0"/>
          <w:marTop w:val="86"/>
          <w:marBottom w:val="0"/>
          <w:divBdr>
            <w:top w:val="none" w:sz="0" w:space="0" w:color="auto"/>
            <w:left w:val="none" w:sz="0" w:space="0" w:color="auto"/>
            <w:bottom w:val="none" w:sz="0" w:space="0" w:color="auto"/>
            <w:right w:val="none" w:sz="0" w:space="0" w:color="auto"/>
          </w:divBdr>
        </w:div>
        <w:div w:id="1560943314">
          <w:marLeft w:val="1440"/>
          <w:marRight w:val="0"/>
          <w:marTop w:val="72"/>
          <w:marBottom w:val="0"/>
          <w:divBdr>
            <w:top w:val="none" w:sz="0" w:space="0" w:color="auto"/>
            <w:left w:val="none" w:sz="0" w:space="0" w:color="auto"/>
            <w:bottom w:val="none" w:sz="0" w:space="0" w:color="auto"/>
            <w:right w:val="none" w:sz="0" w:space="0" w:color="auto"/>
          </w:divBdr>
        </w:div>
        <w:div w:id="59450289">
          <w:marLeft w:val="1440"/>
          <w:marRight w:val="0"/>
          <w:marTop w:val="72"/>
          <w:marBottom w:val="0"/>
          <w:divBdr>
            <w:top w:val="none" w:sz="0" w:space="0" w:color="auto"/>
            <w:left w:val="none" w:sz="0" w:space="0" w:color="auto"/>
            <w:bottom w:val="none" w:sz="0" w:space="0" w:color="auto"/>
            <w:right w:val="none" w:sz="0" w:space="0" w:color="auto"/>
          </w:divBdr>
        </w:div>
      </w:divsChild>
    </w:div>
    <w:div w:id="1829439182">
      <w:bodyDiv w:val="1"/>
      <w:marLeft w:val="0"/>
      <w:marRight w:val="0"/>
      <w:marTop w:val="0"/>
      <w:marBottom w:val="0"/>
      <w:divBdr>
        <w:top w:val="none" w:sz="0" w:space="0" w:color="auto"/>
        <w:left w:val="none" w:sz="0" w:space="0" w:color="auto"/>
        <w:bottom w:val="none" w:sz="0" w:space="0" w:color="auto"/>
        <w:right w:val="none" w:sz="0" w:space="0" w:color="auto"/>
      </w:divBdr>
    </w:div>
    <w:div w:id="1868442160">
      <w:bodyDiv w:val="1"/>
      <w:marLeft w:val="0"/>
      <w:marRight w:val="0"/>
      <w:marTop w:val="0"/>
      <w:marBottom w:val="0"/>
      <w:divBdr>
        <w:top w:val="none" w:sz="0" w:space="0" w:color="auto"/>
        <w:left w:val="none" w:sz="0" w:space="0" w:color="auto"/>
        <w:bottom w:val="none" w:sz="0" w:space="0" w:color="auto"/>
        <w:right w:val="none" w:sz="0" w:space="0" w:color="auto"/>
      </w:divBdr>
    </w:div>
    <w:div w:id="2135130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26"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2B6FC894-A623-434B-9E75-D0F333DA9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621</Words>
  <Characters>3545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World Health Organization</Company>
  <LinksUpToDate>false</LinksUpToDate>
  <CharactersWithSpaces>4158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SENOUCI, Kamel</dc:creator>
  <cp:lastModifiedBy>Majumder, Anwesha</cp:lastModifiedBy>
  <cp:revision>2</cp:revision>
  <cp:lastPrinted>2016-06-28T06:36:00Z</cp:lastPrinted>
  <dcterms:created xsi:type="dcterms:W3CDTF">2016-08-25T12:00:00Z</dcterms:created>
  <dcterms:modified xsi:type="dcterms:W3CDTF">2016-08-25T12:00:00Z</dcterms:modified>
</cp:coreProperties>
</file>