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E456D" w14:textId="77777777" w:rsidR="001E1094" w:rsidRDefault="001E1094" w:rsidP="001E1094">
      <w:pPr>
        <w:jc w:val="center"/>
        <w:rPr>
          <w:b/>
          <w:sz w:val="40"/>
          <w:szCs w:val="40"/>
        </w:rPr>
      </w:pPr>
      <w:r>
        <w:rPr>
          <w:b/>
          <w:sz w:val="40"/>
          <w:szCs w:val="40"/>
        </w:rPr>
        <w:t>Global Vaccine Action Plan</w:t>
      </w:r>
    </w:p>
    <w:p w14:paraId="01DA57D2" w14:textId="77777777" w:rsidR="001E1094" w:rsidRDefault="001E1094" w:rsidP="001E1094">
      <w:pPr>
        <w:jc w:val="center"/>
        <w:rPr>
          <w:i/>
          <w:sz w:val="40"/>
          <w:szCs w:val="40"/>
        </w:rPr>
      </w:pPr>
      <w:r>
        <w:rPr>
          <w:i/>
          <w:sz w:val="40"/>
          <w:szCs w:val="40"/>
        </w:rPr>
        <w:t>Secretariat Annual Report 2016</w:t>
      </w:r>
    </w:p>
    <w:p w14:paraId="3067B216" w14:textId="77777777" w:rsidR="001E1094" w:rsidRDefault="001E1094" w:rsidP="001E1094">
      <w:pPr>
        <w:jc w:val="center"/>
        <w:rPr>
          <w:i/>
          <w:sz w:val="40"/>
          <w:szCs w:val="40"/>
        </w:rPr>
      </w:pPr>
      <w:r>
        <w:rPr>
          <w:i/>
          <w:sz w:val="40"/>
          <w:szCs w:val="40"/>
        </w:rPr>
        <w:t xml:space="preserve">Priority Country report on progress towards </w:t>
      </w:r>
    </w:p>
    <w:p w14:paraId="1527C293" w14:textId="77777777" w:rsidR="001E1094" w:rsidRDefault="001E1094" w:rsidP="001E1094">
      <w:pPr>
        <w:jc w:val="center"/>
        <w:rPr>
          <w:i/>
          <w:sz w:val="40"/>
          <w:szCs w:val="40"/>
        </w:rPr>
      </w:pPr>
      <w:r>
        <w:rPr>
          <w:i/>
          <w:sz w:val="40"/>
          <w:szCs w:val="40"/>
        </w:rPr>
        <w:t xml:space="preserve">GVAP-RVAP goals </w:t>
      </w:r>
    </w:p>
    <w:p w14:paraId="31603DF2" w14:textId="77777777" w:rsidR="001E1094" w:rsidRDefault="001E1094" w:rsidP="001E1094">
      <w:pPr>
        <w:jc w:val="center"/>
        <w:rPr>
          <w:rFonts w:ascii="Arial" w:hAnsi="Arial"/>
          <w:b/>
          <w:sz w:val="32"/>
        </w:rPr>
      </w:pPr>
    </w:p>
    <w:p w14:paraId="54353DC3" w14:textId="6FB17780" w:rsidR="001E1094" w:rsidRDefault="001E1094" w:rsidP="001E1094">
      <w:pPr>
        <w:jc w:val="center"/>
        <w:rPr>
          <w:rFonts w:ascii="Arial" w:hAnsi="Arial"/>
          <w:b/>
          <w:sz w:val="36"/>
        </w:rPr>
      </w:pPr>
      <w:r>
        <w:rPr>
          <w:rFonts w:ascii="Arial" w:hAnsi="Arial"/>
          <w:b/>
          <w:sz w:val="36"/>
        </w:rPr>
        <w:t>DEMOCRATIC REPUBLIC OF CONGO</w:t>
      </w:r>
    </w:p>
    <w:p w14:paraId="06425866" w14:textId="77777777" w:rsidR="001E1094" w:rsidRDefault="001E1094" w:rsidP="001E1094">
      <w:pPr>
        <w:jc w:val="center"/>
        <w:rPr>
          <w:rFonts w:ascii="Arial" w:hAnsi="Arial"/>
          <w:b/>
          <w:sz w:val="36"/>
        </w:rPr>
      </w:pPr>
    </w:p>
    <w:p w14:paraId="491E978F" w14:textId="448C3F60" w:rsidR="00457E0A" w:rsidRPr="00EE765D" w:rsidRDefault="00457E0A" w:rsidP="00EE765D">
      <w:pPr>
        <w:pStyle w:val="ListParagraph"/>
        <w:numPr>
          <w:ilvl w:val="0"/>
          <w:numId w:val="3"/>
        </w:numPr>
        <w:contextualSpacing w:val="0"/>
        <w:rPr>
          <w:rFonts w:ascii="Arial" w:hAnsi="Arial" w:cs="Arial"/>
          <w:b/>
          <w:sz w:val="26"/>
          <w:szCs w:val="26"/>
        </w:rPr>
      </w:pPr>
      <w:r w:rsidRPr="00527C9D">
        <w:rPr>
          <w:rFonts w:ascii="Arial" w:hAnsi="Arial" w:cs="Arial"/>
          <w:b/>
          <w:sz w:val="26"/>
          <w:szCs w:val="26"/>
        </w:rPr>
        <w:t xml:space="preserve">Progress towards achievement of GVAP goals </w:t>
      </w:r>
    </w:p>
    <w:p w14:paraId="35A92CE8" w14:textId="77777777" w:rsidR="00163179" w:rsidRPr="00527C9D" w:rsidRDefault="00C67C9D" w:rsidP="00163179">
      <w:pPr>
        <w:pStyle w:val="ListParagraph"/>
        <w:numPr>
          <w:ilvl w:val="0"/>
          <w:numId w:val="1"/>
        </w:numPr>
        <w:rPr>
          <w:rFonts w:ascii="Arial" w:hAnsi="Arial" w:cs="Arial"/>
          <w:b/>
          <w:sz w:val="24"/>
          <w:szCs w:val="24"/>
        </w:rPr>
      </w:pPr>
      <w:r w:rsidRPr="00527C9D">
        <w:rPr>
          <w:rFonts w:ascii="Arial" w:hAnsi="Arial" w:cs="Arial"/>
          <w:b/>
          <w:sz w:val="24"/>
          <w:szCs w:val="24"/>
        </w:rPr>
        <w:t xml:space="preserve">Summary </w:t>
      </w:r>
    </w:p>
    <w:p w14:paraId="362C7F99" w14:textId="77777777" w:rsidR="00BA2589" w:rsidRDefault="00BA2589" w:rsidP="00696E6A">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DRC regarding achieving the GVAP </w:t>
      </w:r>
      <w:proofErr w:type="gramStart"/>
      <w:r w:rsidRPr="0000352E">
        <w:rPr>
          <w:rFonts w:ascii="Arial" w:hAnsi="Arial" w:cs="Arial"/>
        </w:rPr>
        <w:t>goals</w:t>
      </w:r>
      <w:proofErr w:type="gramEnd"/>
      <w:r w:rsidRPr="0000352E">
        <w:rPr>
          <w:rFonts w:ascii="Arial" w:hAnsi="Arial" w:cs="Arial"/>
        </w:rPr>
        <w:t>.</w:t>
      </w:r>
      <w:r w:rsidR="00527C9D">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are included in the annex (Country </w:t>
      </w:r>
      <w:r w:rsidR="00D00DC6">
        <w:rPr>
          <w:rFonts w:ascii="Arial" w:hAnsi="Arial" w:cs="Arial"/>
        </w:rPr>
        <w:t xml:space="preserve">immunization </w:t>
      </w:r>
      <w:r w:rsidR="00696E6A">
        <w:rPr>
          <w:rFonts w:ascii="Arial" w:hAnsi="Arial" w:cs="Arial"/>
        </w:rPr>
        <w:t>profile).</w:t>
      </w:r>
    </w:p>
    <w:tbl>
      <w:tblPr>
        <w:tblW w:w="9420" w:type="dxa"/>
        <w:jc w:val="center"/>
        <w:tblLook w:val="04A0" w:firstRow="1" w:lastRow="0" w:firstColumn="1" w:lastColumn="0" w:noHBand="0" w:noVBand="1"/>
      </w:tblPr>
      <w:tblGrid>
        <w:gridCol w:w="3220"/>
        <w:gridCol w:w="3900"/>
        <w:gridCol w:w="2300"/>
      </w:tblGrid>
      <w:tr w:rsidR="004873D9" w:rsidRPr="004873D9" w14:paraId="5DB6CA61" w14:textId="77777777" w:rsidTr="00C2711B">
        <w:trPr>
          <w:trHeight w:val="440"/>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7D6B7"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Area</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14:paraId="676504EB"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Indicator</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297A8E6E"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DR Congo</w:t>
            </w:r>
          </w:p>
        </w:tc>
      </w:tr>
      <w:tr w:rsidR="00527C9D" w:rsidRPr="004873D9" w14:paraId="0DB1DF82" w14:textId="77777777" w:rsidTr="00527C9D">
        <w:trPr>
          <w:trHeight w:val="395"/>
          <w:jc w:val="center"/>
        </w:trPr>
        <w:tc>
          <w:tcPr>
            <w:tcW w:w="3220" w:type="dxa"/>
            <w:vMerge w:val="restart"/>
            <w:tcBorders>
              <w:top w:val="nil"/>
              <w:left w:val="single" w:sz="4" w:space="0" w:color="auto"/>
              <w:right w:val="single" w:sz="4" w:space="0" w:color="auto"/>
            </w:tcBorders>
            <w:shd w:val="clear" w:color="000000" w:fill="DDD9C4"/>
            <w:hideMark/>
          </w:tcPr>
          <w:p w14:paraId="6B825862" w14:textId="77777777" w:rsidR="00527C9D" w:rsidRPr="004873D9" w:rsidRDefault="00527C9D" w:rsidP="00527C9D">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1. Interrupt wild poliovirus transmission</w:t>
            </w:r>
          </w:p>
        </w:tc>
        <w:tc>
          <w:tcPr>
            <w:tcW w:w="3900" w:type="dxa"/>
            <w:tcBorders>
              <w:top w:val="nil"/>
              <w:left w:val="nil"/>
              <w:bottom w:val="single" w:sz="4" w:space="0" w:color="auto"/>
              <w:right w:val="single" w:sz="4" w:space="0" w:color="auto"/>
            </w:tcBorders>
            <w:shd w:val="clear" w:color="000000" w:fill="DDD9C4"/>
            <w:vAlign w:val="center"/>
            <w:hideMark/>
          </w:tcPr>
          <w:p w14:paraId="02858C62" w14:textId="77777777" w:rsidR="00527C9D" w:rsidRPr="004873D9" w:rsidRDefault="00527C9D"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Transmission Interrupted</w:t>
            </w:r>
          </w:p>
        </w:tc>
        <w:tc>
          <w:tcPr>
            <w:tcW w:w="2300" w:type="dxa"/>
            <w:tcBorders>
              <w:top w:val="nil"/>
              <w:left w:val="nil"/>
              <w:bottom w:val="single" w:sz="4" w:space="0" w:color="auto"/>
              <w:right w:val="single" w:sz="4" w:space="0" w:color="auto"/>
            </w:tcBorders>
            <w:shd w:val="clear" w:color="000000" w:fill="00B050"/>
            <w:vAlign w:val="center"/>
            <w:hideMark/>
          </w:tcPr>
          <w:p w14:paraId="58674AEA" w14:textId="77777777" w:rsidR="00527C9D" w:rsidRPr="004873D9" w:rsidRDefault="00527C9D"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Yes</w:t>
            </w:r>
            <w:r>
              <w:rPr>
                <w:rFonts w:ascii="Calibri" w:eastAsia="Times New Roman" w:hAnsi="Calibri" w:cs="Calibri"/>
                <w:b/>
                <w:bCs/>
                <w:color w:val="000000"/>
                <w:lang w:eastAsia="en-GB"/>
              </w:rPr>
              <w:t xml:space="preserve"> (since 2012)</w:t>
            </w:r>
          </w:p>
        </w:tc>
      </w:tr>
      <w:tr w:rsidR="00527C9D" w:rsidRPr="004873D9" w14:paraId="1E8063DC" w14:textId="77777777" w:rsidTr="00886641">
        <w:trPr>
          <w:trHeight w:val="900"/>
          <w:jc w:val="center"/>
        </w:trPr>
        <w:tc>
          <w:tcPr>
            <w:tcW w:w="3220" w:type="dxa"/>
            <w:vMerge/>
            <w:tcBorders>
              <w:left w:val="single" w:sz="4" w:space="0" w:color="auto"/>
              <w:right w:val="single" w:sz="4" w:space="0" w:color="auto"/>
            </w:tcBorders>
            <w:shd w:val="clear" w:color="000000" w:fill="DDD9C4"/>
            <w:vAlign w:val="center"/>
          </w:tcPr>
          <w:p w14:paraId="7BD8494D" w14:textId="77777777" w:rsidR="00527C9D" w:rsidRPr="004873D9" w:rsidRDefault="00527C9D"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DDD9C4"/>
            <w:vAlign w:val="center"/>
            <w:hideMark/>
          </w:tcPr>
          <w:p w14:paraId="33810F53" w14:textId="77777777" w:rsidR="00527C9D" w:rsidRPr="004873D9" w:rsidRDefault="00527C9D" w:rsidP="004873D9">
            <w:pPr>
              <w:spacing w:after="0" w:line="240" w:lineRule="auto"/>
              <w:rPr>
                <w:rFonts w:ascii="Calibri" w:eastAsia="Times New Roman" w:hAnsi="Calibri" w:cs="Calibri"/>
                <w:b/>
                <w:bCs/>
                <w:lang w:eastAsia="en-GB"/>
              </w:rPr>
            </w:pPr>
            <w:r w:rsidRPr="004873D9">
              <w:rPr>
                <w:rFonts w:ascii="Calibri" w:eastAsia="Times New Roman" w:hAnsi="Calibri" w:cs="Calibri"/>
                <w:b/>
                <w:bCs/>
                <w:lang w:eastAsia="en-GB"/>
              </w:rPr>
              <w:t>Risk of late detection</w:t>
            </w:r>
            <w:r w:rsidRPr="004873D9">
              <w:rPr>
                <w:rFonts w:ascii="Calibri" w:eastAsia="Times New Roman" w:hAnsi="Calibri" w:cs="Calibri"/>
                <w:b/>
                <w:bCs/>
                <w:lang w:eastAsia="en-GB"/>
              </w:rPr>
              <w:br/>
              <w:t xml:space="preserve">Percent of adequate stool specimens (Rolling 12m) </w:t>
            </w:r>
            <w:r>
              <w:rPr>
                <w:rFonts w:ascii="Calibri" w:eastAsia="Times New Roman" w:hAnsi="Calibri" w:cs="Calibri"/>
                <w:b/>
                <w:bCs/>
                <w:lang w:eastAsia="en-GB"/>
              </w:rPr>
              <w:t>(</w:t>
            </w:r>
            <w:r w:rsidRPr="004873D9">
              <w:rPr>
                <w:rFonts w:ascii="Calibri" w:eastAsia="Times New Roman" w:hAnsi="Calibri" w:cs="Calibri"/>
                <w:b/>
                <w:bCs/>
                <w:lang w:eastAsia="en-GB"/>
              </w:rPr>
              <w:t>Target &gt; 80%</w:t>
            </w:r>
            <w:r>
              <w:rPr>
                <w:rFonts w:ascii="Calibri" w:eastAsia="Times New Roman" w:hAnsi="Calibri" w:cs="Calibri"/>
                <w:b/>
                <w:bCs/>
                <w:lang w:eastAsia="en-GB"/>
              </w:rPr>
              <w:t>)</w:t>
            </w:r>
          </w:p>
        </w:tc>
        <w:tc>
          <w:tcPr>
            <w:tcW w:w="2300" w:type="dxa"/>
            <w:tcBorders>
              <w:top w:val="nil"/>
              <w:left w:val="nil"/>
              <w:bottom w:val="single" w:sz="4" w:space="0" w:color="auto"/>
              <w:right w:val="single" w:sz="4" w:space="0" w:color="auto"/>
            </w:tcBorders>
            <w:shd w:val="clear" w:color="000000" w:fill="00B050"/>
            <w:vAlign w:val="center"/>
            <w:hideMark/>
          </w:tcPr>
          <w:p w14:paraId="7935C2D5" w14:textId="589BD3A2" w:rsidR="00527C9D" w:rsidRPr="004873D9" w:rsidRDefault="00527C9D" w:rsidP="004873D9">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77%</w:t>
            </w:r>
          </w:p>
        </w:tc>
      </w:tr>
      <w:tr w:rsidR="00527C9D" w:rsidRPr="004873D9" w14:paraId="0CB2D6DC" w14:textId="77777777" w:rsidTr="00886641">
        <w:trPr>
          <w:trHeight w:val="900"/>
          <w:jc w:val="center"/>
        </w:trPr>
        <w:tc>
          <w:tcPr>
            <w:tcW w:w="3220" w:type="dxa"/>
            <w:vMerge/>
            <w:tcBorders>
              <w:left w:val="single" w:sz="4" w:space="0" w:color="auto"/>
              <w:right w:val="single" w:sz="4" w:space="0" w:color="auto"/>
            </w:tcBorders>
            <w:shd w:val="clear" w:color="000000" w:fill="DDD9C4"/>
            <w:vAlign w:val="center"/>
          </w:tcPr>
          <w:p w14:paraId="3E83B9C7" w14:textId="77777777" w:rsidR="00527C9D" w:rsidRPr="004873D9" w:rsidRDefault="00527C9D"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DDD9C4"/>
            <w:vAlign w:val="center"/>
            <w:hideMark/>
          </w:tcPr>
          <w:p w14:paraId="5E7ACC60" w14:textId="0103FF2D" w:rsidR="00527C9D" w:rsidRPr="004873D9" w:rsidRDefault="00527C9D" w:rsidP="00C2711B">
            <w:pPr>
              <w:spacing w:after="0" w:line="240" w:lineRule="auto"/>
              <w:rPr>
                <w:rFonts w:ascii="Calibri" w:eastAsia="Times New Roman" w:hAnsi="Calibri" w:cs="Calibri"/>
                <w:b/>
                <w:bCs/>
                <w:lang w:eastAsia="en-GB"/>
              </w:rPr>
            </w:pPr>
            <w:r w:rsidRPr="004873D9">
              <w:rPr>
                <w:rFonts w:ascii="Calibri" w:eastAsia="Times New Roman" w:hAnsi="Calibri" w:cs="Calibri"/>
                <w:b/>
                <w:bCs/>
                <w:lang w:eastAsia="en-GB"/>
              </w:rPr>
              <w:t>Risk of late detection</w:t>
            </w:r>
            <w:r w:rsidRPr="004873D9">
              <w:rPr>
                <w:rFonts w:ascii="Calibri" w:eastAsia="Times New Roman" w:hAnsi="Calibri" w:cs="Calibri"/>
                <w:b/>
                <w:bCs/>
                <w:lang w:eastAsia="en-GB"/>
              </w:rPr>
              <w:br/>
              <w:t>Non polio AFP rate</w:t>
            </w:r>
            <w:r w:rsidR="00C2711B">
              <w:rPr>
                <w:rFonts w:ascii="Calibri" w:eastAsia="Times New Roman" w:hAnsi="Calibri" w:cs="Calibri"/>
                <w:b/>
                <w:bCs/>
                <w:lang w:eastAsia="en-GB"/>
              </w:rPr>
              <w:t>/100,000</w:t>
            </w:r>
            <w:r w:rsidRPr="004873D9">
              <w:rPr>
                <w:rFonts w:ascii="Calibri" w:eastAsia="Times New Roman" w:hAnsi="Calibri" w:cs="Calibri"/>
                <w:b/>
                <w:bCs/>
                <w:lang w:eastAsia="en-GB"/>
              </w:rPr>
              <w:t xml:space="preserve"> (Rolling 12</w:t>
            </w:r>
            <w:r w:rsidR="002E66AB">
              <w:rPr>
                <w:rFonts w:ascii="Calibri" w:eastAsia="Times New Roman" w:hAnsi="Calibri" w:cs="Calibri"/>
                <w:b/>
                <w:bCs/>
                <w:lang w:eastAsia="en-GB"/>
              </w:rPr>
              <w:t xml:space="preserve"> </w:t>
            </w:r>
            <w:r w:rsidRPr="004873D9">
              <w:rPr>
                <w:rFonts w:ascii="Calibri" w:eastAsia="Times New Roman" w:hAnsi="Calibri" w:cs="Calibri"/>
                <w:b/>
                <w:bCs/>
                <w:lang w:eastAsia="en-GB"/>
              </w:rPr>
              <w:t>m</w:t>
            </w:r>
            <w:r w:rsidR="00C2711B">
              <w:rPr>
                <w:rFonts w:ascii="Calibri" w:eastAsia="Times New Roman" w:hAnsi="Calibri" w:cs="Calibri"/>
                <w:b/>
                <w:bCs/>
                <w:lang w:eastAsia="en-GB"/>
              </w:rPr>
              <w:t>o.</w:t>
            </w:r>
            <w:r w:rsidRPr="004873D9">
              <w:rPr>
                <w:rFonts w:ascii="Calibri" w:eastAsia="Times New Roman" w:hAnsi="Calibri" w:cs="Calibri"/>
                <w:b/>
                <w:bCs/>
                <w:lang w:eastAsia="en-GB"/>
              </w:rPr>
              <w:t xml:space="preserve">) </w:t>
            </w:r>
            <w:r w:rsidR="00C2711B">
              <w:rPr>
                <w:rFonts w:ascii="Calibri" w:eastAsia="Times New Roman" w:hAnsi="Calibri" w:cs="Calibri"/>
                <w:b/>
                <w:bCs/>
                <w:lang w:eastAsia="en-GB"/>
              </w:rPr>
              <w:t>(</w:t>
            </w:r>
            <w:r w:rsidRPr="004873D9">
              <w:rPr>
                <w:rFonts w:ascii="Calibri" w:eastAsia="Times New Roman" w:hAnsi="Calibri" w:cs="Calibri"/>
                <w:b/>
                <w:bCs/>
                <w:lang w:eastAsia="en-GB"/>
              </w:rPr>
              <w:t>Target &gt; 2</w:t>
            </w:r>
            <w:r w:rsidR="00C2711B">
              <w:rPr>
                <w:rFonts w:ascii="Calibri" w:eastAsia="Times New Roman" w:hAnsi="Calibri" w:cs="Calibri"/>
                <w:b/>
                <w:bCs/>
                <w:lang w:eastAsia="en-GB"/>
              </w:rPr>
              <w:t>/100,000</w:t>
            </w:r>
            <w:r w:rsidR="00226696">
              <w:rPr>
                <w:rFonts w:ascii="Calibri" w:eastAsia="Times New Roman" w:hAnsi="Calibri" w:cs="Calibri"/>
                <w:b/>
                <w:bCs/>
                <w:lang w:eastAsia="en-GB"/>
              </w:rPr>
              <w:t xml:space="preserve"> children &lt;15</w:t>
            </w:r>
            <w:r w:rsidR="00C2711B">
              <w:rPr>
                <w:rFonts w:ascii="Calibri" w:eastAsia="Times New Roman" w:hAnsi="Calibri" w:cs="Calibri"/>
                <w:b/>
                <w:bCs/>
                <w:lang w:eastAsia="en-GB"/>
              </w:rPr>
              <w:t>)</w:t>
            </w:r>
          </w:p>
        </w:tc>
        <w:tc>
          <w:tcPr>
            <w:tcW w:w="2300" w:type="dxa"/>
            <w:tcBorders>
              <w:top w:val="nil"/>
              <w:left w:val="nil"/>
              <w:bottom w:val="single" w:sz="4" w:space="0" w:color="auto"/>
              <w:right w:val="single" w:sz="4" w:space="0" w:color="auto"/>
            </w:tcBorders>
            <w:shd w:val="clear" w:color="000000" w:fill="00B050"/>
            <w:vAlign w:val="center"/>
            <w:hideMark/>
          </w:tcPr>
          <w:p w14:paraId="27FF6AD9" w14:textId="1E496713" w:rsidR="00527C9D" w:rsidRPr="004873D9" w:rsidRDefault="00226696" w:rsidP="004873D9">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5.5/100,000 </w:t>
            </w:r>
          </w:p>
        </w:tc>
      </w:tr>
      <w:tr w:rsidR="00527C9D" w:rsidRPr="004873D9" w14:paraId="508AE75E" w14:textId="77777777" w:rsidTr="00C2711B">
        <w:trPr>
          <w:trHeight w:val="1385"/>
          <w:jc w:val="center"/>
        </w:trPr>
        <w:tc>
          <w:tcPr>
            <w:tcW w:w="3220" w:type="dxa"/>
            <w:vMerge/>
            <w:tcBorders>
              <w:left w:val="single" w:sz="4" w:space="0" w:color="auto"/>
              <w:bottom w:val="single" w:sz="4" w:space="0" w:color="auto"/>
              <w:right w:val="single" w:sz="4" w:space="0" w:color="auto"/>
            </w:tcBorders>
            <w:shd w:val="clear" w:color="000000" w:fill="DDD9C4"/>
            <w:vAlign w:val="center"/>
          </w:tcPr>
          <w:p w14:paraId="43E96919" w14:textId="77777777" w:rsidR="00527C9D" w:rsidRPr="004873D9" w:rsidRDefault="00527C9D"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DDD9C4"/>
            <w:vAlign w:val="center"/>
            <w:hideMark/>
          </w:tcPr>
          <w:p w14:paraId="6C71C03E" w14:textId="77777777" w:rsidR="00C2711B" w:rsidRDefault="00527C9D" w:rsidP="00C2711B">
            <w:pPr>
              <w:spacing w:after="0" w:line="240" w:lineRule="auto"/>
              <w:rPr>
                <w:rFonts w:ascii="Calibri" w:eastAsia="Times New Roman" w:hAnsi="Calibri" w:cs="Calibri"/>
                <w:b/>
                <w:bCs/>
                <w:lang w:eastAsia="en-GB"/>
              </w:rPr>
            </w:pPr>
            <w:r w:rsidRPr="004873D9">
              <w:rPr>
                <w:rFonts w:ascii="Calibri" w:eastAsia="Times New Roman" w:hAnsi="Calibri" w:cs="Calibri"/>
                <w:b/>
                <w:bCs/>
                <w:lang w:eastAsia="en-GB"/>
              </w:rPr>
              <w:t>R</w:t>
            </w:r>
            <w:r w:rsidR="00C2711B">
              <w:rPr>
                <w:rFonts w:ascii="Calibri" w:eastAsia="Times New Roman" w:hAnsi="Calibri" w:cs="Calibri"/>
                <w:b/>
                <w:bCs/>
                <w:lang w:eastAsia="en-GB"/>
              </w:rPr>
              <w:t>isk of spread after importation:</w:t>
            </w:r>
          </w:p>
          <w:p w14:paraId="62E8F465" w14:textId="77777777" w:rsidR="00527C9D" w:rsidRPr="004873D9" w:rsidRDefault="00C2711B" w:rsidP="00C2711B">
            <w:pPr>
              <w:spacing w:after="0" w:line="240" w:lineRule="auto"/>
              <w:rPr>
                <w:rFonts w:ascii="Calibri" w:eastAsia="Times New Roman" w:hAnsi="Calibri" w:cs="Calibri"/>
                <w:b/>
                <w:bCs/>
                <w:lang w:eastAsia="en-GB"/>
              </w:rPr>
            </w:pPr>
            <w:r>
              <w:rPr>
                <w:rFonts w:ascii="Calibri" w:eastAsia="Times New Roman" w:hAnsi="Calibri" w:cs="Calibri"/>
                <w:b/>
                <w:bCs/>
                <w:lang w:eastAsia="en-GB"/>
              </w:rPr>
              <w:t xml:space="preserve">Percent </w:t>
            </w:r>
            <w:r w:rsidR="00527C9D" w:rsidRPr="004873D9">
              <w:rPr>
                <w:rFonts w:ascii="Calibri" w:eastAsia="Times New Roman" w:hAnsi="Calibri" w:cs="Calibri"/>
                <w:b/>
                <w:bCs/>
                <w:lang w:eastAsia="en-GB"/>
              </w:rPr>
              <w:t xml:space="preserve">of </w:t>
            </w:r>
            <w:r>
              <w:rPr>
                <w:rFonts w:ascii="Calibri" w:eastAsia="Times New Roman" w:hAnsi="Calibri" w:cs="Calibri"/>
                <w:b/>
                <w:bCs/>
                <w:lang w:eastAsia="en-GB"/>
              </w:rPr>
              <w:t>6</w:t>
            </w:r>
            <w:r w:rsidR="00527C9D" w:rsidRPr="004873D9">
              <w:rPr>
                <w:rFonts w:ascii="Calibri" w:eastAsia="Times New Roman" w:hAnsi="Calibri" w:cs="Calibri"/>
                <w:b/>
                <w:bCs/>
                <w:lang w:eastAsia="en-GB"/>
              </w:rPr>
              <w:t>-59</w:t>
            </w:r>
            <w:r>
              <w:rPr>
                <w:rFonts w:ascii="Calibri" w:eastAsia="Times New Roman" w:hAnsi="Calibri" w:cs="Calibri"/>
                <w:b/>
                <w:bCs/>
                <w:lang w:eastAsia="en-GB"/>
              </w:rPr>
              <w:t xml:space="preserve"> month olds </w:t>
            </w:r>
            <w:r w:rsidR="00527C9D" w:rsidRPr="004873D9">
              <w:rPr>
                <w:rFonts w:ascii="Calibri" w:eastAsia="Times New Roman" w:hAnsi="Calibri" w:cs="Calibri"/>
                <w:b/>
                <w:bCs/>
                <w:lang w:eastAsia="en-GB"/>
              </w:rPr>
              <w:t xml:space="preserve">having received less than 3 doses in the last year before occurrence </w:t>
            </w:r>
            <w:r>
              <w:rPr>
                <w:rFonts w:ascii="Calibri" w:eastAsia="Times New Roman" w:hAnsi="Calibri" w:cs="Calibri"/>
                <w:b/>
                <w:bCs/>
                <w:lang w:eastAsia="en-GB"/>
              </w:rPr>
              <w:t>c</w:t>
            </w:r>
            <w:r w:rsidR="00527C9D" w:rsidRPr="004873D9">
              <w:rPr>
                <w:rFonts w:ascii="Calibri" w:eastAsia="Times New Roman" w:hAnsi="Calibri" w:cs="Calibri"/>
                <w:b/>
                <w:bCs/>
                <w:lang w:eastAsia="en-GB"/>
              </w:rPr>
              <w:t>ase/environmental positive</w:t>
            </w:r>
          </w:p>
        </w:tc>
        <w:tc>
          <w:tcPr>
            <w:tcW w:w="2300" w:type="dxa"/>
            <w:tcBorders>
              <w:top w:val="nil"/>
              <w:left w:val="nil"/>
              <w:bottom w:val="single" w:sz="4" w:space="0" w:color="auto"/>
              <w:right w:val="single" w:sz="4" w:space="0" w:color="auto"/>
            </w:tcBorders>
            <w:shd w:val="clear" w:color="000000" w:fill="FF0000"/>
            <w:vAlign w:val="center"/>
            <w:hideMark/>
          </w:tcPr>
          <w:p w14:paraId="1DF4B9DC" w14:textId="77777777" w:rsidR="00527C9D" w:rsidRPr="004873D9" w:rsidRDefault="00527C9D"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19</w:t>
            </w:r>
          </w:p>
        </w:tc>
      </w:tr>
    </w:tbl>
    <w:p w14:paraId="4101520A" w14:textId="25B7B744" w:rsidR="00432B70" w:rsidRPr="00EE765D" w:rsidRDefault="009318B8" w:rsidP="0051290F">
      <w:pPr>
        <w:pStyle w:val="ListParagraph"/>
        <w:numPr>
          <w:ilvl w:val="0"/>
          <w:numId w:val="1"/>
        </w:numPr>
        <w:contextualSpacing w:val="0"/>
        <w:rPr>
          <w:rFonts w:ascii="Arial" w:hAnsi="Arial" w:cs="Arial"/>
          <w:b/>
          <w:sz w:val="24"/>
          <w:szCs w:val="24"/>
        </w:rPr>
      </w:pPr>
      <w:r w:rsidRPr="00EE765D">
        <w:rPr>
          <w:rFonts w:ascii="Arial" w:hAnsi="Arial" w:cs="Arial"/>
          <w:b/>
          <w:sz w:val="24"/>
          <w:szCs w:val="24"/>
        </w:rPr>
        <w:t>Progress towards specific GVAP goals</w:t>
      </w:r>
      <w:r w:rsidR="00865907" w:rsidRPr="00EE765D">
        <w:rPr>
          <w:rFonts w:ascii="Arial" w:hAnsi="Arial" w:cs="Arial"/>
          <w:b/>
          <w:sz w:val="24"/>
          <w:szCs w:val="24"/>
        </w:rPr>
        <w:t xml:space="preserve"> (issues/challenges/successes)</w:t>
      </w:r>
    </w:p>
    <w:p w14:paraId="32DABE16" w14:textId="55961276" w:rsidR="0051290F" w:rsidRDefault="00641572" w:rsidP="0051290F">
      <w:pPr>
        <w:rPr>
          <w:rFonts w:ascii="Arial" w:hAnsi="Arial" w:cs="Arial"/>
          <w:b/>
          <w:lang w:val="en-US"/>
        </w:rPr>
      </w:pPr>
      <w:r>
        <w:rPr>
          <w:rFonts w:ascii="Arial" w:hAnsi="Arial" w:cs="Arial"/>
          <w:b/>
        </w:rPr>
        <w:t xml:space="preserve">3.1 Goal </w:t>
      </w:r>
      <w:r w:rsidR="0051290F">
        <w:rPr>
          <w:rFonts w:ascii="Arial" w:hAnsi="Arial" w:cs="Arial"/>
          <w:b/>
          <w:lang w:val="en-US"/>
        </w:rPr>
        <w:t>1: Achieve a world free of p</w:t>
      </w:r>
      <w:r w:rsidR="0051290F" w:rsidRPr="00B760C4">
        <w:rPr>
          <w:rFonts w:ascii="Arial" w:hAnsi="Arial" w:cs="Arial"/>
          <w:b/>
          <w:lang w:val="en-US"/>
        </w:rPr>
        <w:t>oliomyelitis</w:t>
      </w:r>
    </w:p>
    <w:p w14:paraId="6270C312" w14:textId="52068732" w:rsidR="00A330ED" w:rsidRPr="00A330ED" w:rsidRDefault="00A330ED" w:rsidP="0051290F">
      <w:pPr>
        <w:rPr>
          <w:rFonts w:ascii="Arial" w:hAnsi="Arial" w:cs="Arial"/>
          <w:u w:val="single"/>
          <w:lang w:val="en-US"/>
        </w:rPr>
      </w:pPr>
      <w:r w:rsidRPr="00A330ED">
        <w:rPr>
          <w:rFonts w:ascii="Arial" w:hAnsi="Arial" w:cs="Arial"/>
          <w:u w:val="single"/>
          <w:lang w:val="en-US"/>
        </w:rPr>
        <w:t>Has polio transmission been interrupted?</w:t>
      </w:r>
    </w:p>
    <w:p w14:paraId="2C54C6C8" w14:textId="1C9C18A9" w:rsidR="0051290F" w:rsidRPr="0051290F" w:rsidRDefault="0051290F" w:rsidP="0051290F">
      <w:pPr>
        <w:rPr>
          <w:rFonts w:ascii="Arial" w:hAnsi="Arial" w:cs="Arial"/>
          <w:lang w:val="en-US"/>
        </w:rPr>
      </w:pPr>
      <w:r>
        <w:rPr>
          <w:rFonts w:ascii="Arial" w:hAnsi="Arial" w:cs="Arial"/>
          <w:lang w:val="en-US"/>
        </w:rPr>
        <w:t xml:space="preserve">Polio transmission has been interrupted in DR Congo, with no cases of wild polio virus </w:t>
      </w:r>
      <w:r w:rsidR="00221A3A">
        <w:rPr>
          <w:rFonts w:ascii="Arial" w:hAnsi="Arial" w:cs="Arial"/>
          <w:lang w:val="en-US"/>
        </w:rPr>
        <w:t xml:space="preserve">(WPV) </w:t>
      </w:r>
      <w:r>
        <w:rPr>
          <w:rFonts w:ascii="Arial" w:hAnsi="Arial" w:cs="Arial"/>
          <w:lang w:val="en-US"/>
        </w:rPr>
        <w:t xml:space="preserve">detected since December 2011, when 93 cases were reported (and 100 cases the previous year). There were 29 cases of vaccine-derived disease from 2010 to 2012 and not </w:t>
      </w:r>
      <w:r>
        <w:rPr>
          <w:rFonts w:ascii="Arial" w:hAnsi="Arial" w:cs="Arial"/>
          <w:lang w:val="en-US"/>
        </w:rPr>
        <w:lastRenderedPageBreak/>
        <w:t>again until 2016, when one case was reported in March.</w:t>
      </w:r>
      <w:r w:rsidR="00B316F3">
        <w:rPr>
          <w:rStyle w:val="FootnoteReference"/>
          <w:rFonts w:ascii="Arial" w:hAnsi="Arial" w:cs="Arial"/>
          <w:lang w:val="en-US"/>
        </w:rPr>
        <w:footnoteReference w:id="1"/>
      </w:r>
      <w:r w:rsidR="00A330ED">
        <w:rPr>
          <w:rFonts w:ascii="Arial" w:hAnsi="Arial" w:cs="Arial"/>
          <w:lang w:val="en-US"/>
        </w:rPr>
        <w:t xml:space="preserve"> This </w:t>
      </w:r>
      <w:r w:rsidR="00221A3A">
        <w:rPr>
          <w:rFonts w:ascii="Arial" w:hAnsi="Arial" w:cs="Arial"/>
          <w:lang w:val="en-US"/>
        </w:rPr>
        <w:t xml:space="preserve">decline in polio cases </w:t>
      </w:r>
      <w:r w:rsidR="00A330ED">
        <w:rPr>
          <w:rFonts w:ascii="Arial" w:hAnsi="Arial" w:cs="Arial"/>
          <w:lang w:val="en-US"/>
        </w:rPr>
        <w:t>could be the result of a series of national immunization days and sub-national immunization days (</w:t>
      </w:r>
      <w:proofErr w:type="spellStart"/>
      <w:r w:rsidR="00A330ED" w:rsidRPr="00A330ED">
        <w:rPr>
          <w:rFonts w:ascii="Arial" w:hAnsi="Arial" w:cs="Arial"/>
          <w:i/>
          <w:lang w:val="en-US"/>
        </w:rPr>
        <w:t>Journées</w:t>
      </w:r>
      <w:proofErr w:type="spellEnd"/>
      <w:r w:rsidR="00A330ED" w:rsidRPr="00A330ED">
        <w:rPr>
          <w:rFonts w:ascii="Arial" w:hAnsi="Arial" w:cs="Arial"/>
          <w:i/>
          <w:lang w:val="en-US"/>
        </w:rPr>
        <w:t xml:space="preserve"> locales de vaccination</w:t>
      </w:r>
      <w:r w:rsidR="00656D34">
        <w:rPr>
          <w:rFonts w:ascii="Arial" w:hAnsi="Arial" w:cs="Arial"/>
          <w:i/>
          <w:lang w:val="en-US"/>
        </w:rPr>
        <w:t xml:space="preserve"> </w:t>
      </w:r>
      <w:r w:rsidR="00656D34" w:rsidRPr="00656D34">
        <w:rPr>
          <w:rFonts w:ascii="Arial" w:hAnsi="Arial" w:cs="Arial"/>
          <w:lang w:val="en-US"/>
        </w:rPr>
        <w:t>or JLVs</w:t>
      </w:r>
      <w:r w:rsidR="00A330ED">
        <w:rPr>
          <w:rFonts w:ascii="Arial" w:hAnsi="Arial" w:cs="Arial"/>
          <w:lang w:val="en-US"/>
        </w:rPr>
        <w:t xml:space="preserve">) that </w:t>
      </w:r>
      <w:r w:rsidR="00B316F3">
        <w:rPr>
          <w:rFonts w:ascii="Arial" w:hAnsi="Arial" w:cs="Arial"/>
          <w:lang w:val="en-US"/>
        </w:rPr>
        <w:t>the country</w:t>
      </w:r>
      <w:r w:rsidR="00A330ED">
        <w:rPr>
          <w:rFonts w:ascii="Arial" w:hAnsi="Arial" w:cs="Arial"/>
          <w:lang w:val="en-US"/>
        </w:rPr>
        <w:t xml:space="preserve"> has conducted in </w:t>
      </w:r>
      <w:r>
        <w:rPr>
          <w:rFonts w:ascii="Arial" w:hAnsi="Arial" w:cs="Arial"/>
          <w:lang w:val="en-US"/>
        </w:rPr>
        <w:t xml:space="preserve">response to </w:t>
      </w:r>
      <w:r w:rsidR="00A330ED">
        <w:rPr>
          <w:rFonts w:ascii="Arial" w:hAnsi="Arial" w:cs="Arial"/>
          <w:lang w:val="en-US"/>
        </w:rPr>
        <w:t xml:space="preserve">the </w:t>
      </w:r>
      <w:r>
        <w:rPr>
          <w:rFonts w:ascii="Arial" w:hAnsi="Arial" w:cs="Arial"/>
          <w:lang w:val="en-US"/>
        </w:rPr>
        <w:t>WPV cases and to eradicate the disease</w:t>
      </w:r>
      <w:r w:rsidR="00656D34">
        <w:rPr>
          <w:rFonts w:ascii="Arial" w:hAnsi="Arial" w:cs="Arial"/>
          <w:lang w:val="en-US"/>
        </w:rPr>
        <w:t xml:space="preserve"> (see below)</w:t>
      </w:r>
      <w:r w:rsidR="00A330ED">
        <w:rPr>
          <w:rFonts w:ascii="Arial" w:hAnsi="Arial" w:cs="Arial"/>
          <w:lang w:val="en-US"/>
        </w:rPr>
        <w:t>. The Government presented a dossier to be declared polio-free in November 2015, which was granted by WHO.</w:t>
      </w:r>
      <w:r>
        <w:rPr>
          <w:rFonts w:ascii="Arial" w:hAnsi="Arial" w:cs="Arial"/>
          <w:lang w:val="en-US"/>
        </w:rPr>
        <w:t xml:space="preserve"> </w:t>
      </w:r>
    </w:p>
    <w:p w14:paraId="05A5A820" w14:textId="77777777" w:rsidR="002E66AB" w:rsidRDefault="002E66AB" w:rsidP="0051290F">
      <w:pPr>
        <w:rPr>
          <w:rFonts w:ascii="Arial" w:hAnsi="Arial" w:cs="Arial"/>
          <w:u w:val="single"/>
          <w:lang w:val="en-US"/>
        </w:rPr>
      </w:pPr>
    </w:p>
    <w:p w14:paraId="3F2F7891" w14:textId="77777777" w:rsidR="002E66AB" w:rsidRDefault="002E66AB" w:rsidP="0051290F">
      <w:pPr>
        <w:rPr>
          <w:rFonts w:ascii="Arial" w:hAnsi="Arial" w:cs="Arial"/>
          <w:u w:val="single"/>
          <w:lang w:val="en-US"/>
        </w:rPr>
      </w:pPr>
    </w:p>
    <w:p w14:paraId="1B311B35" w14:textId="77777777" w:rsidR="002E66AB" w:rsidRDefault="002E66AB" w:rsidP="0051290F">
      <w:pPr>
        <w:rPr>
          <w:rFonts w:ascii="Arial" w:hAnsi="Arial" w:cs="Arial"/>
          <w:u w:val="single"/>
          <w:lang w:val="en-US"/>
        </w:rPr>
      </w:pPr>
    </w:p>
    <w:p w14:paraId="34D15688" w14:textId="5810AB52" w:rsidR="0051290F" w:rsidRPr="00A330ED" w:rsidRDefault="00A330ED" w:rsidP="0051290F">
      <w:pPr>
        <w:rPr>
          <w:rFonts w:ascii="Arial" w:hAnsi="Arial" w:cs="Arial"/>
          <w:u w:val="single"/>
          <w:lang w:val="en-US"/>
        </w:rPr>
      </w:pPr>
      <w:r w:rsidRPr="00A330ED">
        <w:rPr>
          <w:rFonts w:ascii="Arial" w:hAnsi="Arial" w:cs="Arial"/>
          <w:u w:val="single"/>
          <w:lang w:val="en-US"/>
        </w:rPr>
        <w:t>Is the country considered at high risk of polio transmission?</w:t>
      </w:r>
    </w:p>
    <w:p w14:paraId="1289403C" w14:textId="5A7315B9" w:rsidR="00A330ED" w:rsidRDefault="00A330ED" w:rsidP="0051290F">
      <w:pPr>
        <w:rPr>
          <w:rFonts w:ascii="Arial" w:hAnsi="Arial" w:cs="Arial"/>
          <w:lang w:val="en-US"/>
        </w:rPr>
      </w:pPr>
      <w:r>
        <w:rPr>
          <w:rFonts w:ascii="Arial" w:hAnsi="Arial" w:cs="Arial"/>
          <w:lang w:val="en-US"/>
        </w:rPr>
        <w:t>According to the risk assessment for polio transmission cond</w:t>
      </w:r>
      <w:r w:rsidR="00B316F3">
        <w:rPr>
          <w:rFonts w:ascii="Arial" w:hAnsi="Arial" w:cs="Arial"/>
          <w:lang w:val="en-US"/>
        </w:rPr>
        <w:t xml:space="preserve">ucted by </w:t>
      </w:r>
      <w:proofErr w:type="gramStart"/>
      <w:r w:rsidR="00B316F3">
        <w:rPr>
          <w:rFonts w:ascii="Arial" w:hAnsi="Arial" w:cs="Arial"/>
          <w:lang w:val="en-US"/>
        </w:rPr>
        <w:t>WHO</w:t>
      </w:r>
      <w:proofErr w:type="gramEnd"/>
      <w:r w:rsidR="00B316F3">
        <w:rPr>
          <w:rFonts w:ascii="Arial" w:hAnsi="Arial" w:cs="Arial"/>
          <w:lang w:val="en-US"/>
        </w:rPr>
        <w:t xml:space="preserve"> in June 2016</w:t>
      </w:r>
      <w:r>
        <w:rPr>
          <w:rFonts w:ascii="Arial" w:hAnsi="Arial" w:cs="Arial"/>
          <w:lang w:val="en-US"/>
        </w:rPr>
        <w:t>,</w:t>
      </w:r>
      <w:r w:rsidR="00B316F3">
        <w:rPr>
          <w:rStyle w:val="FootnoteReference"/>
          <w:rFonts w:ascii="Arial" w:hAnsi="Arial" w:cs="Arial"/>
          <w:lang w:val="en-US"/>
        </w:rPr>
        <w:footnoteReference w:id="2"/>
      </w:r>
      <w:r>
        <w:rPr>
          <w:rFonts w:ascii="Arial" w:hAnsi="Arial" w:cs="Arial"/>
          <w:lang w:val="en-US"/>
        </w:rPr>
        <w:t xml:space="preserve"> DR</w:t>
      </w:r>
      <w:r w:rsidR="002E66AB">
        <w:rPr>
          <w:rFonts w:ascii="Arial" w:hAnsi="Arial" w:cs="Arial"/>
          <w:lang w:val="en-US"/>
        </w:rPr>
        <w:t xml:space="preserve"> </w:t>
      </w:r>
      <w:r>
        <w:rPr>
          <w:rFonts w:ascii="Arial" w:hAnsi="Arial" w:cs="Arial"/>
          <w:lang w:val="en-US"/>
        </w:rPr>
        <w:t>C</w:t>
      </w:r>
      <w:r w:rsidR="002E66AB">
        <w:rPr>
          <w:rFonts w:ascii="Arial" w:hAnsi="Arial" w:cs="Arial"/>
          <w:lang w:val="en-US"/>
        </w:rPr>
        <w:t>ongo</w:t>
      </w:r>
      <w:r>
        <w:rPr>
          <w:rFonts w:ascii="Arial" w:hAnsi="Arial" w:cs="Arial"/>
          <w:lang w:val="en-US"/>
        </w:rPr>
        <w:t xml:space="preserve"> is at medium risk of polio transmission for the country as a whole. This determination is based on the combination of the potential for transmission in-country and beyond its borders – which is considered high – and the strength of its capacity to respond to and contain an outbreak – which is considered strong. </w:t>
      </w:r>
      <w:r w:rsidR="002E66AB">
        <w:rPr>
          <w:rFonts w:ascii="Arial" w:hAnsi="Arial" w:cs="Arial"/>
          <w:lang w:val="en-US"/>
        </w:rPr>
        <w:t xml:space="preserve">As shown in Figure 2, a number of </w:t>
      </w:r>
      <w:r>
        <w:rPr>
          <w:rFonts w:ascii="Arial" w:hAnsi="Arial" w:cs="Arial"/>
          <w:lang w:val="en-US"/>
        </w:rPr>
        <w:t>the country’s 516 health districts (</w:t>
      </w:r>
      <w:r w:rsidRPr="00210674">
        <w:rPr>
          <w:rFonts w:ascii="Arial" w:hAnsi="Arial" w:cs="Arial"/>
          <w:i/>
          <w:lang w:val="en-US"/>
        </w:rPr>
        <w:t>zones de santé</w:t>
      </w:r>
      <w:r>
        <w:rPr>
          <w:rFonts w:ascii="Arial" w:hAnsi="Arial" w:cs="Arial"/>
          <w:lang w:val="en-US"/>
        </w:rPr>
        <w:t>)</w:t>
      </w:r>
      <w:r w:rsidR="002E66AB">
        <w:rPr>
          <w:rFonts w:ascii="Arial" w:hAnsi="Arial" w:cs="Arial"/>
          <w:lang w:val="en-US"/>
        </w:rPr>
        <w:t xml:space="preserve"> have </w:t>
      </w:r>
      <w:r>
        <w:rPr>
          <w:rFonts w:ascii="Arial" w:hAnsi="Arial" w:cs="Arial"/>
          <w:lang w:val="en-US"/>
        </w:rPr>
        <w:t xml:space="preserve">levels of population movement, a lack of security due to armed conflicts, and poor immunization coverage </w:t>
      </w:r>
      <w:r w:rsidR="00221A3A">
        <w:rPr>
          <w:rFonts w:ascii="Arial" w:hAnsi="Arial" w:cs="Arial"/>
          <w:lang w:val="en-US"/>
        </w:rPr>
        <w:t xml:space="preserve">that </w:t>
      </w:r>
      <w:r>
        <w:rPr>
          <w:rFonts w:ascii="Arial" w:hAnsi="Arial" w:cs="Arial"/>
          <w:lang w:val="en-US"/>
        </w:rPr>
        <w:t>plac</w:t>
      </w:r>
      <w:r w:rsidR="00221A3A">
        <w:rPr>
          <w:rFonts w:ascii="Arial" w:hAnsi="Arial" w:cs="Arial"/>
          <w:lang w:val="en-US"/>
        </w:rPr>
        <w:t>e</w:t>
      </w:r>
      <w:r>
        <w:rPr>
          <w:rFonts w:ascii="Arial" w:hAnsi="Arial" w:cs="Arial"/>
          <w:lang w:val="en-US"/>
        </w:rPr>
        <w:t xml:space="preserve"> them at risk.</w:t>
      </w:r>
    </w:p>
    <w:p w14:paraId="7FC3F27B" w14:textId="3750B004" w:rsidR="00C43F4C" w:rsidRPr="00651C67" w:rsidRDefault="00651C67" w:rsidP="00651C67">
      <w:pPr>
        <w:pStyle w:val="Caption"/>
        <w:rPr>
          <w:rFonts w:ascii="Arial" w:hAnsi="Arial" w:cs="Arial"/>
          <w:b w:val="0"/>
          <w:color w:val="auto"/>
          <w:sz w:val="22"/>
          <w:lang w:val="en-US"/>
        </w:rPr>
      </w:pPr>
      <w:r w:rsidRPr="00651C67">
        <w:rPr>
          <w:rFonts w:ascii="Arial" w:hAnsi="Arial" w:cs="Arial"/>
          <w:color w:val="auto"/>
          <w:sz w:val="22"/>
        </w:rPr>
        <w:t xml:space="preserve">Figure </w:t>
      </w:r>
      <w:r w:rsidRPr="00651C67">
        <w:rPr>
          <w:rFonts w:ascii="Arial" w:hAnsi="Arial" w:cs="Arial"/>
          <w:color w:val="auto"/>
          <w:sz w:val="22"/>
        </w:rPr>
        <w:fldChar w:fldCharType="begin"/>
      </w:r>
      <w:r w:rsidRPr="00651C67">
        <w:rPr>
          <w:rFonts w:ascii="Arial" w:hAnsi="Arial" w:cs="Arial"/>
          <w:color w:val="auto"/>
          <w:sz w:val="22"/>
        </w:rPr>
        <w:instrText xml:space="preserve"> SEQ Figure \* ARABIC </w:instrText>
      </w:r>
      <w:r w:rsidRPr="00651C67">
        <w:rPr>
          <w:rFonts w:ascii="Arial" w:hAnsi="Arial" w:cs="Arial"/>
          <w:color w:val="auto"/>
          <w:sz w:val="22"/>
        </w:rPr>
        <w:fldChar w:fldCharType="separate"/>
      </w:r>
      <w:r w:rsidR="002C45C4">
        <w:rPr>
          <w:rFonts w:ascii="Arial" w:hAnsi="Arial" w:cs="Arial"/>
          <w:noProof/>
          <w:color w:val="auto"/>
          <w:sz w:val="22"/>
        </w:rPr>
        <w:t>2</w:t>
      </w:r>
      <w:r w:rsidRPr="00651C67">
        <w:rPr>
          <w:rFonts w:ascii="Arial" w:hAnsi="Arial" w:cs="Arial"/>
          <w:color w:val="auto"/>
          <w:sz w:val="22"/>
        </w:rPr>
        <w:fldChar w:fldCharType="end"/>
      </w:r>
      <w:r w:rsidRPr="00651C67">
        <w:rPr>
          <w:rFonts w:ascii="Arial" w:hAnsi="Arial" w:cs="Arial"/>
          <w:color w:val="auto"/>
          <w:sz w:val="22"/>
        </w:rPr>
        <w:t xml:space="preserve">: </w:t>
      </w:r>
      <w:r w:rsidR="00C43F4C" w:rsidRPr="00651C67">
        <w:rPr>
          <w:rFonts w:ascii="Arial" w:hAnsi="Arial" w:cs="Arial"/>
          <w:color w:val="auto"/>
          <w:sz w:val="22"/>
          <w:lang w:val="en-US"/>
        </w:rPr>
        <w:t xml:space="preserve">The level of polio </w:t>
      </w:r>
      <w:r w:rsidR="00EE765D" w:rsidRPr="00651C67">
        <w:rPr>
          <w:rFonts w:ascii="Arial" w:hAnsi="Arial" w:cs="Arial"/>
          <w:color w:val="auto"/>
          <w:sz w:val="22"/>
          <w:lang w:val="en-US"/>
        </w:rPr>
        <w:t xml:space="preserve">risk </w:t>
      </w:r>
      <w:r w:rsidR="00C43F4C" w:rsidRPr="00651C67">
        <w:rPr>
          <w:rFonts w:ascii="Arial" w:hAnsi="Arial" w:cs="Arial"/>
          <w:color w:val="auto"/>
          <w:sz w:val="22"/>
          <w:lang w:val="en-US"/>
        </w:rPr>
        <w:t>from importations by health district, 2016</w:t>
      </w:r>
    </w:p>
    <w:p w14:paraId="2AA714A9" w14:textId="44BB01A6" w:rsidR="00C43F4C" w:rsidRDefault="00CD61CC" w:rsidP="00D733F1">
      <w:pPr>
        <w:spacing w:after="0"/>
        <w:jc w:val="center"/>
        <w:rPr>
          <w:rFonts w:ascii="Arial" w:hAnsi="Arial" w:cs="Arial"/>
          <w:lang w:val="en-US"/>
        </w:rPr>
      </w:pPr>
      <w:r w:rsidRPr="00CD61CC">
        <w:rPr>
          <w:rFonts w:ascii="Arial" w:hAnsi="Arial" w:cs="Arial"/>
          <w:noProof/>
          <w:lang w:eastAsia="zh-CN"/>
        </w:rPr>
        <w:drawing>
          <wp:inline distT="0" distB="0" distL="0" distR="0" wp14:anchorId="553B1C3D" wp14:editId="64BA397E">
            <wp:extent cx="5029197" cy="3771900"/>
            <wp:effectExtent l="19050" t="19050" r="1968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801" cy="3803103"/>
                    </a:xfrm>
                    <a:prstGeom prst="rect">
                      <a:avLst/>
                    </a:prstGeom>
                    <a:solidFill>
                      <a:schemeClr val="tx2"/>
                    </a:solidFill>
                    <a:ln>
                      <a:solidFill>
                        <a:schemeClr val="tx1"/>
                      </a:solidFill>
                    </a:ln>
                  </pic:spPr>
                </pic:pic>
              </a:graphicData>
            </a:graphic>
          </wp:inline>
        </w:drawing>
      </w:r>
    </w:p>
    <w:p w14:paraId="5E0534B9" w14:textId="1790BE9D" w:rsidR="00D733F1" w:rsidRDefault="00D733F1" w:rsidP="00D733F1">
      <w:pPr>
        <w:ind w:left="1440" w:hanging="1440"/>
        <w:rPr>
          <w:rFonts w:ascii="Arial" w:hAnsi="Arial" w:cs="Arial"/>
          <w:sz w:val="18"/>
          <w:szCs w:val="18"/>
          <w:lang w:val="en-US"/>
        </w:rPr>
      </w:pPr>
      <w:r w:rsidRPr="00D733F1">
        <w:rPr>
          <w:rFonts w:ascii="Arial" w:hAnsi="Arial" w:cs="Arial"/>
          <w:sz w:val="18"/>
          <w:szCs w:val="18"/>
          <w:lang w:val="en-US"/>
        </w:rPr>
        <w:tab/>
        <w:t>Source: Risk assessment for polio virus transmission: DR Congo presentation (June 15, 2016)</w:t>
      </w:r>
    </w:p>
    <w:p w14:paraId="06D23C2D" w14:textId="77777777" w:rsidR="002945B9" w:rsidRPr="00C43F4C" w:rsidRDefault="002945B9" w:rsidP="002945B9">
      <w:pPr>
        <w:rPr>
          <w:rFonts w:ascii="Arial" w:hAnsi="Arial" w:cs="Arial"/>
          <w:u w:val="single"/>
          <w:lang w:val="en-US"/>
        </w:rPr>
      </w:pPr>
      <w:r w:rsidRPr="00C43F4C">
        <w:rPr>
          <w:rFonts w:ascii="Arial" w:hAnsi="Arial" w:cs="Arial"/>
          <w:u w:val="single"/>
          <w:lang w:val="en-US"/>
        </w:rPr>
        <w:lastRenderedPageBreak/>
        <w:t>What needs to be done to keep DRC polio free?</w:t>
      </w:r>
    </w:p>
    <w:p w14:paraId="4A5B3090" w14:textId="43B86746" w:rsidR="002945B9" w:rsidRDefault="002945B9" w:rsidP="002945B9">
      <w:pPr>
        <w:rPr>
          <w:rFonts w:ascii="Arial" w:hAnsi="Arial" w:cs="Arial"/>
          <w:lang w:val="en-US"/>
        </w:rPr>
      </w:pPr>
      <w:r>
        <w:rPr>
          <w:rFonts w:ascii="Arial" w:hAnsi="Arial" w:cs="Arial"/>
          <w:lang w:val="en-US"/>
        </w:rPr>
        <w:t>To keep DRC free of polio outbreaks, good AFP and polio surveillance must be maintained. The country currently meets several AFP surveillance targets, including a national rate of non-polio AFP incidence of 5.5/100,000 children under the age of 15 and a rate of 91% of reported AFP cases investigated within 48 hours. The percent of cases with adequate stool samples nation-wide is 77% − just below the target of 80%. However, the quality of AFP surveillance is uneven in the country, with 28% of the 516 districts “silent” (reporting no AFP cases) for the first six months of 2016 and six DPSs with adequate stool rates of 60% of less.</w:t>
      </w:r>
      <w:r>
        <w:rPr>
          <w:rStyle w:val="FootnoteReference"/>
          <w:rFonts w:ascii="Arial" w:hAnsi="Arial" w:cs="Arial"/>
          <w:lang w:val="en-US"/>
        </w:rPr>
        <w:footnoteReference w:id="3"/>
      </w:r>
      <w:r>
        <w:rPr>
          <w:rFonts w:ascii="Arial" w:hAnsi="Arial" w:cs="Arial"/>
          <w:lang w:val="en-US"/>
        </w:rPr>
        <w:t xml:space="preserve"> In poor-performing areas, there is limited case-based surveillance and investigations of possible cases, often due to a lack of transport, as well as poor documentation.</w:t>
      </w:r>
    </w:p>
    <w:p w14:paraId="577C65DF" w14:textId="14E03249" w:rsidR="00D733F1" w:rsidRDefault="00D733F1" w:rsidP="00D733F1">
      <w:pPr>
        <w:rPr>
          <w:rFonts w:ascii="Arial" w:hAnsi="Arial" w:cs="Arial"/>
          <w:lang w:val="en-US"/>
        </w:rPr>
      </w:pPr>
      <w:r>
        <w:rPr>
          <w:rFonts w:ascii="Arial" w:hAnsi="Arial" w:cs="Arial"/>
          <w:lang w:val="en-US"/>
        </w:rPr>
        <w:t xml:space="preserve">The surveillance system is heavily supported by WHO, which maintains a team of </w:t>
      </w:r>
      <w:r w:rsidR="002945B9">
        <w:rPr>
          <w:rFonts w:ascii="Arial" w:hAnsi="Arial" w:cs="Arial"/>
          <w:lang w:val="en-US"/>
        </w:rPr>
        <w:t>several dozen</w:t>
      </w:r>
      <w:r>
        <w:rPr>
          <w:rFonts w:ascii="Arial" w:hAnsi="Arial" w:cs="Arial"/>
          <w:lang w:val="en-US"/>
        </w:rPr>
        <w:t xml:space="preserve"> staff and consultants in the provinces (including support staff and drivers), as well as 12 staff at the national level. The country is also supported by the CDC-funded international STOP teams, made up of </w:t>
      </w:r>
      <w:r w:rsidR="009F7B84">
        <w:rPr>
          <w:rFonts w:ascii="Arial" w:hAnsi="Arial" w:cs="Arial"/>
          <w:lang w:val="en-US"/>
        </w:rPr>
        <w:t>10-</w:t>
      </w:r>
      <w:r>
        <w:rPr>
          <w:rFonts w:ascii="Arial" w:hAnsi="Arial" w:cs="Arial"/>
          <w:lang w:val="en-US"/>
        </w:rPr>
        <w:t xml:space="preserve">14 or so surveillance experts who spend time working with health authorities in silent districts to provide technical assistance and training to improve surveillance for AFP and other diseases. They hope to reduce the number of districts not reporting any AFP cases to zero </w:t>
      </w:r>
      <w:r w:rsidR="009F7B84">
        <w:rPr>
          <w:rFonts w:ascii="Arial" w:hAnsi="Arial" w:cs="Arial"/>
          <w:lang w:val="en-US"/>
        </w:rPr>
        <w:t>in</w:t>
      </w:r>
      <w:r>
        <w:rPr>
          <w:rFonts w:ascii="Arial" w:hAnsi="Arial" w:cs="Arial"/>
          <w:lang w:val="en-US"/>
        </w:rPr>
        <w:t xml:space="preserve"> 2016.</w:t>
      </w:r>
    </w:p>
    <w:p w14:paraId="24231CDD" w14:textId="26ABCE31" w:rsidR="00656D34" w:rsidRDefault="00656D34" w:rsidP="00D733F1">
      <w:pPr>
        <w:rPr>
          <w:rFonts w:ascii="Arial" w:hAnsi="Arial" w:cs="Arial"/>
          <w:lang w:val="en-US"/>
        </w:rPr>
      </w:pPr>
      <w:r>
        <w:rPr>
          <w:rFonts w:ascii="Arial" w:hAnsi="Arial" w:cs="Arial"/>
          <w:lang w:val="en-US"/>
        </w:rPr>
        <w:t xml:space="preserve">The immunization program has conducted a series of sub-national </w:t>
      </w:r>
      <w:r w:rsidR="002945B9">
        <w:rPr>
          <w:rFonts w:ascii="Arial" w:hAnsi="Arial" w:cs="Arial"/>
          <w:lang w:val="en-US"/>
        </w:rPr>
        <w:t>polio campaigns</w:t>
      </w:r>
      <w:r>
        <w:rPr>
          <w:rFonts w:ascii="Arial" w:hAnsi="Arial" w:cs="Arial"/>
          <w:lang w:val="en-US"/>
        </w:rPr>
        <w:t>, including catch-up campaigns following the detection of vaccine-derived polio cases</w:t>
      </w:r>
      <w:r w:rsidR="009F7B84">
        <w:rPr>
          <w:rFonts w:ascii="Arial" w:hAnsi="Arial" w:cs="Arial"/>
          <w:lang w:val="en-US"/>
        </w:rPr>
        <w:t>,</w:t>
      </w:r>
      <w:r>
        <w:rPr>
          <w:rFonts w:ascii="Arial" w:hAnsi="Arial" w:cs="Arial"/>
          <w:lang w:val="en-US"/>
        </w:rPr>
        <w:t xml:space="preserve"> every year for the past several years. These include three rounds of JLVs (local vaccination days) in 2015 and two rounds of national immunization days in 2016, with a third planned for October. Due to problems with data quality, the campaigns constantly register coverage rates in excess of 100%. However, one LQA survey following the campaigns in 2015 found that 30% of the districts had what they considered “poor coverage” and an estimated 6% of the children had been missed.</w:t>
      </w:r>
      <w:r w:rsidR="002945B9">
        <w:rPr>
          <w:rStyle w:val="FootnoteReference"/>
          <w:rFonts w:ascii="Arial" w:hAnsi="Arial" w:cs="Arial"/>
          <w:lang w:val="en-US"/>
        </w:rPr>
        <w:footnoteReference w:id="4"/>
      </w:r>
    </w:p>
    <w:p w14:paraId="14F498FB" w14:textId="7AFF4CBF" w:rsidR="00656D34" w:rsidRDefault="00656D34" w:rsidP="00D733F1">
      <w:pPr>
        <w:rPr>
          <w:rFonts w:ascii="Arial" w:hAnsi="Arial" w:cs="Arial"/>
          <w:lang w:val="en-US"/>
        </w:rPr>
      </w:pPr>
      <w:r>
        <w:rPr>
          <w:rFonts w:ascii="Arial" w:hAnsi="Arial" w:cs="Arial"/>
          <w:lang w:val="en-US"/>
        </w:rPr>
        <w:t>Achieving high polio vaccination coverage through the routine immunization program is also critical to reducing the risk of the disease from re</w:t>
      </w:r>
      <w:r w:rsidR="009F7B84">
        <w:rPr>
          <w:rFonts w:ascii="Arial" w:hAnsi="Arial" w:cs="Arial"/>
          <w:lang w:val="en-US"/>
        </w:rPr>
        <w:t>-emerging</w:t>
      </w:r>
      <w:r>
        <w:rPr>
          <w:rFonts w:ascii="Arial" w:hAnsi="Arial" w:cs="Arial"/>
          <w:lang w:val="en-US"/>
        </w:rPr>
        <w:t>. According to the WHO-UNICEF estimates, national coverage of three polio vaccine doses has been in the range of 74-79% since 2011 and was 78% in 2015. This is up from 42% national coverage in 2000, but below the GVAP target of 90% nationally. In addition, the 2016 polio risk assessment identified</w:t>
      </w:r>
      <w:r w:rsidR="002945B9">
        <w:rPr>
          <w:rFonts w:ascii="Arial" w:hAnsi="Arial" w:cs="Arial"/>
          <w:lang w:val="en-US"/>
        </w:rPr>
        <w:t xml:space="preserve"> several </w:t>
      </w:r>
      <w:r>
        <w:rPr>
          <w:rFonts w:ascii="Arial" w:hAnsi="Arial" w:cs="Arial"/>
          <w:lang w:val="en-US"/>
        </w:rPr>
        <w:t xml:space="preserve">districts with poor vaccination coverage, putting them at risk of transmission (see </w:t>
      </w:r>
      <w:r w:rsidR="009F7B84">
        <w:rPr>
          <w:rFonts w:ascii="Arial" w:hAnsi="Arial" w:cs="Arial"/>
          <w:lang w:val="en-US"/>
        </w:rPr>
        <w:t xml:space="preserve">the </w:t>
      </w:r>
      <w:r w:rsidR="002945B9">
        <w:rPr>
          <w:rFonts w:ascii="Arial" w:hAnsi="Arial" w:cs="Arial"/>
          <w:lang w:val="en-US"/>
        </w:rPr>
        <w:t>lower middle</w:t>
      </w:r>
      <w:r w:rsidR="009F7B84">
        <w:rPr>
          <w:rFonts w:ascii="Arial" w:hAnsi="Arial" w:cs="Arial"/>
          <w:lang w:val="en-US"/>
        </w:rPr>
        <w:t xml:space="preserve"> map in </w:t>
      </w:r>
      <w:r w:rsidR="002945B9">
        <w:rPr>
          <w:rFonts w:ascii="Arial" w:hAnsi="Arial" w:cs="Arial"/>
          <w:lang w:val="en-US"/>
        </w:rPr>
        <w:t>Figure 2</w:t>
      </w:r>
      <w:r>
        <w:rPr>
          <w:rFonts w:ascii="Arial" w:hAnsi="Arial" w:cs="Arial"/>
          <w:lang w:val="en-US"/>
        </w:rPr>
        <w:t>).</w:t>
      </w:r>
    </w:p>
    <w:p w14:paraId="530213A8" w14:textId="2361F391" w:rsidR="00210674" w:rsidRDefault="00210674" w:rsidP="00D733F1">
      <w:pPr>
        <w:rPr>
          <w:rFonts w:ascii="Arial" w:hAnsi="Arial" w:cs="Arial"/>
          <w:lang w:val="en-US"/>
        </w:rPr>
      </w:pPr>
      <w:r>
        <w:rPr>
          <w:rFonts w:ascii="Arial" w:hAnsi="Arial" w:cs="Arial"/>
          <w:lang w:val="en-US"/>
        </w:rPr>
        <w:t xml:space="preserve">According to two studies conducted in 2011, refusal </w:t>
      </w:r>
      <w:r w:rsidR="008D27F4">
        <w:rPr>
          <w:rFonts w:ascii="Arial" w:hAnsi="Arial" w:cs="Arial"/>
          <w:lang w:val="en-US"/>
        </w:rPr>
        <w:t xml:space="preserve">of parents </w:t>
      </w:r>
      <w:r>
        <w:rPr>
          <w:rFonts w:ascii="Arial" w:hAnsi="Arial" w:cs="Arial"/>
          <w:lang w:val="en-US"/>
        </w:rPr>
        <w:t>to have their children vaccinated against polio was the second most common reason children were not vaccinated against polio, in contrast to measles, for which refusals were found to be negligible.</w:t>
      </w:r>
      <w:r w:rsidR="002945B9">
        <w:rPr>
          <w:rStyle w:val="FootnoteReference"/>
          <w:rFonts w:ascii="Arial" w:hAnsi="Arial" w:cs="Arial"/>
          <w:lang w:val="en-US"/>
        </w:rPr>
        <w:footnoteReference w:id="5"/>
      </w:r>
      <w:r>
        <w:rPr>
          <w:rFonts w:ascii="Arial" w:hAnsi="Arial" w:cs="Arial"/>
          <w:lang w:val="en-US"/>
        </w:rPr>
        <w:t xml:space="preserve"> Refusals to polio vaccination were found to be due to the existence of 60 </w:t>
      </w:r>
      <w:r w:rsidR="008D27F4">
        <w:rPr>
          <w:rFonts w:ascii="Arial" w:hAnsi="Arial" w:cs="Arial"/>
          <w:lang w:val="en-US"/>
        </w:rPr>
        <w:t xml:space="preserve">or so </w:t>
      </w:r>
      <w:r>
        <w:rPr>
          <w:rFonts w:ascii="Arial" w:hAnsi="Arial" w:cs="Arial"/>
          <w:lang w:val="en-US"/>
        </w:rPr>
        <w:t>religious groups who were against the polio SIAs, the population’s low perceived risk of the disease, the repetitiveness of polio vaccination campaigns</w:t>
      </w:r>
      <w:r w:rsidR="008D27F4">
        <w:rPr>
          <w:rFonts w:ascii="Arial" w:hAnsi="Arial" w:cs="Arial"/>
          <w:lang w:val="en-US"/>
        </w:rPr>
        <w:t xml:space="preserve">, and inadequate communications and social mobilization activities targeting pregnant women and anti-vaccine groups. Intensified communications activities by national consultants and STOP Team members in low-performing provinces and </w:t>
      </w:r>
      <w:proofErr w:type="spellStart"/>
      <w:r w:rsidR="008D27F4" w:rsidRPr="009F7B84">
        <w:rPr>
          <w:rFonts w:ascii="Arial" w:hAnsi="Arial" w:cs="Arial"/>
          <w:i/>
          <w:lang w:val="en-US"/>
        </w:rPr>
        <w:t>ante</w:t>
      </w:r>
      <w:r w:rsidR="009F7B84" w:rsidRPr="009F7B84">
        <w:rPr>
          <w:rFonts w:ascii="Arial" w:hAnsi="Arial" w:cs="Arial"/>
          <w:i/>
          <w:lang w:val="en-US"/>
        </w:rPr>
        <w:t>nne</w:t>
      </w:r>
      <w:r w:rsidR="008D27F4" w:rsidRPr="009F7B84">
        <w:rPr>
          <w:rFonts w:ascii="Arial" w:hAnsi="Arial" w:cs="Arial"/>
          <w:i/>
          <w:lang w:val="en-US"/>
        </w:rPr>
        <w:t>s</w:t>
      </w:r>
      <w:proofErr w:type="spellEnd"/>
      <w:r w:rsidR="008D27F4">
        <w:rPr>
          <w:rFonts w:ascii="Arial" w:hAnsi="Arial" w:cs="Arial"/>
          <w:lang w:val="en-US"/>
        </w:rPr>
        <w:t xml:space="preserve"> in 2012 reduced the number of groups still opposed to </w:t>
      </w:r>
      <w:r w:rsidR="008D27F4">
        <w:rPr>
          <w:rFonts w:ascii="Arial" w:hAnsi="Arial" w:cs="Arial"/>
          <w:lang w:val="en-US"/>
        </w:rPr>
        <w:lastRenderedPageBreak/>
        <w:t>vaccination from 60 to 10 and otherwise increased parents’ knowledge about polio vaccination.</w:t>
      </w:r>
      <w:r w:rsidR="002945B9">
        <w:rPr>
          <w:rStyle w:val="FootnoteReference"/>
          <w:rFonts w:ascii="Arial" w:hAnsi="Arial" w:cs="Arial"/>
          <w:lang w:val="en-US"/>
        </w:rPr>
        <w:footnoteReference w:id="6"/>
      </w:r>
    </w:p>
    <w:p w14:paraId="5FA6B54D" w14:textId="77777777" w:rsidR="00492B17" w:rsidRDefault="00492B17">
      <w:pPr>
        <w:rPr>
          <w:rFonts w:ascii="Arial" w:hAnsi="Arial" w:cs="Arial"/>
          <w:b/>
        </w:rPr>
      </w:pPr>
      <w:r>
        <w:rPr>
          <w:rFonts w:ascii="Arial" w:hAnsi="Arial" w:cs="Arial"/>
          <w:b/>
        </w:rPr>
        <w:br w:type="page"/>
      </w:r>
    </w:p>
    <w:p w14:paraId="30AA08B3" w14:textId="2A85875D" w:rsidR="00D00DC6" w:rsidRDefault="003573EF" w:rsidP="00D00DC6">
      <w:pPr>
        <w:rPr>
          <w:rFonts w:ascii="Arial" w:hAnsi="Arial" w:cs="Arial"/>
          <w:b/>
          <w:sz w:val="24"/>
        </w:rPr>
      </w:pPr>
      <w:r>
        <w:rPr>
          <w:rFonts w:ascii="Arial" w:hAnsi="Arial" w:cs="Arial"/>
          <w:b/>
          <w:sz w:val="24"/>
        </w:rPr>
        <w:lastRenderedPageBreak/>
        <w:t xml:space="preserve">ANNEX: </w:t>
      </w:r>
      <w:r w:rsidR="00D00DC6">
        <w:rPr>
          <w:rFonts w:ascii="Arial" w:hAnsi="Arial" w:cs="Arial"/>
          <w:b/>
          <w:sz w:val="24"/>
        </w:rPr>
        <w:t>Country immunization profile</w:t>
      </w:r>
    </w:p>
    <w:p w14:paraId="4A60B215" w14:textId="77777777" w:rsidR="006C334B" w:rsidRDefault="006C334B" w:rsidP="006C334B">
      <w:pPr>
        <w:pStyle w:val="ListParagraph"/>
        <w:numPr>
          <w:ilvl w:val="0"/>
          <w:numId w:val="5"/>
        </w:numPr>
        <w:rPr>
          <w:b/>
          <w:bCs/>
          <w:sz w:val="24"/>
          <w:szCs w:val="24"/>
        </w:rPr>
      </w:pPr>
      <w:r>
        <w:rPr>
          <w:b/>
          <w:bCs/>
          <w:sz w:val="24"/>
          <w:szCs w:val="24"/>
        </w:rPr>
        <w:t>Polio</w:t>
      </w:r>
    </w:p>
    <w:p w14:paraId="7A9CA62B" w14:textId="4A87C3C0" w:rsidR="00BF4CFA" w:rsidRPr="00BF4CFA" w:rsidRDefault="00BF4CFA" w:rsidP="00BF4CFA">
      <w:pPr>
        <w:pStyle w:val="ListParagraph"/>
        <w:numPr>
          <w:ilvl w:val="0"/>
          <w:numId w:val="7"/>
        </w:numPr>
        <w:rPr>
          <w:b/>
          <w:bCs/>
          <w:sz w:val="24"/>
          <w:szCs w:val="24"/>
        </w:rPr>
      </w:pPr>
      <w:r w:rsidRPr="00BF4CFA">
        <w:rPr>
          <w:b/>
          <w:bCs/>
          <w:sz w:val="24"/>
          <w:szCs w:val="24"/>
        </w:rPr>
        <w:t>Transmission stopped in</w:t>
      </w:r>
      <w:r w:rsidR="00834A2D">
        <w:rPr>
          <w:b/>
          <w:bCs/>
          <w:sz w:val="24"/>
          <w:szCs w:val="24"/>
        </w:rPr>
        <w:t xml:space="preserve"> 2011.</w:t>
      </w:r>
    </w:p>
    <w:p w14:paraId="1861010E" w14:textId="3C8E27DC" w:rsidR="00BF4CFA" w:rsidRPr="00492B17" w:rsidRDefault="00C737EA" w:rsidP="00492B17">
      <w:pPr>
        <w:pStyle w:val="ListParagraph"/>
        <w:numPr>
          <w:ilvl w:val="0"/>
          <w:numId w:val="7"/>
        </w:numPr>
        <w:rPr>
          <w:b/>
          <w:bCs/>
          <w:sz w:val="24"/>
          <w:szCs w:val="24"/>
        </w:rPr>
      </w:pPr>
      <w:r>
        <w:rPr>
          <w:b/>
          <w:bCs/>
          <w:sz w:val="24"/>
          <w:szCs w:val="24"/>
        </w:rPr>
        <w:t>Eradication certified: not yet.</w:t>
      </w:r>
    </w:p>
    <w:p w14:paraId="296E199F" w14:textId="4DB071D2" w:rsidR="00E91097" w:rsidRDefault="00651C67" w:rsidP="00651C67">
      <w:pPr>
        <w:pStyle w:val="Caption"/>
        <w:rPr>
          <w:b w:val="0"/>
        </w:rPr>
      </w:pPr>
      <w:r>
        <w:t xml:space="preserve">Table </w:t>
      </w:r>
      <w:r w:rsidR="00612DB3">
        <w:fldChar w:fldCharType="begin"/>
      </w:r>
      <w:r w:rsidR="00612DB3">
        <w:instrText xml:space="preserve"> SEQ Table \* ARABIC </w:instrText>
      </w:r>
      <w:r w:rsidR="00612DB3">
        <w:fldChar w:fldCharType="separate"/>
      </w:r>
      <w:r>
        <w:rPr>
          <w:noProof/>
        </w:rPr>
        <w:t>1</w:t>
      </w:r>
      <w:r w:rsidR="00612DB3">
        <w:rPr>
          <w:noProof/>
        </w:rPr>
        <w:fldChar w:fldCharType="end"/>
      </w:r>
      <w:r>
        <w:t xml:space="preserve">: </w:t>
      </w:r>
      <w:r w:rsidR="006C334B" w:rsidRPr="001C1E4D">
        <w:t>SIA activities planned in 2016-2017</w:t>
      </w:r>
    </w:p>
    <w:tbl>
      <w:tblPr>
        <w:tblStyle w:val="TableGrid"/>
        <w:tblW w:w="10755" w:type="dxa"/>
        <w:jc w:val="center"/>
        <w:tblInd w:w="-885" w:type="dxa"/>
        <w:tblLook w:val="04A0" w:firstRow="1" w:lastRow="0" w:firstColumn="1" w:lastColumn="0" w:noHBand="0" w:noVBand="1"/>
      </w:tblPr>
      <w:tblGrid>
        <w:gridCol w:w="1106"/>
        <w:gridCol w:w="1358"/>
        <w:gridCol w:w="913"/>
        <w:gridCol w:w="1388"/>
        <w:gridCol w:w="1278"/>
        <w:gridCol w:w="1119"/>
        <w:gridCol w:w="1352"/>
        <w:gridCol w:w="1054"/>
        <w:gridCol w:w="1218"/>
      </w:tblGrid>
      <w:tr w:rsidR="00834A2D" w:rsidRPr="000A7279" w14:paraId="02C6F567" w14:textId="77777777" w:rsidTr="00651C67">
        <w:trPr>
          <w:trHeight w:val="255"/>
          <w:jc w:val="center"/>
        </w:trPr>
        <w:tc>
          <w:tcPr>
            <w:tcW w:w="1106" w:type="dxa"/>
            <w:noWrap/>
            <w:hideMark/>
          </w:tcPr>
          <w:p w14:paraId="7FD9BCE7" w14:textId="77777777" w:rsidR="00E91097" w:rsidRPr="000A7279" w:rsidRDefault="00E91097" w:rsidP="000A7279">
            <w:pPr>
              <w:jc w:val="center"/>
              <w:rPr>
                <w:b/>
              </w:rPr>
            </w:pPr>
            <w:r w:rsidRPr="000A7279">
              <w:rPr>
                <w:b/>
              </w:rPr>
              <w:t>Activity</w:t>
            </w:r>
          </w:p>
        </w:tc>
        <w:tc>
          <w:tcPr>
            <w:tcW w:w="1327" w:type="dxa"/>
            <w:noWrap/>
            <w:hideMark/>
          </w:tcPr>
          <w:p w14:paraId="5F30E972" w14:textId="77777777" w:rsidR="00E91097" w:rsidRPr="000A7279" w:rsidRDefault="00E91097" w:rsidP="000A7279">
            <w:pPr>
              <w:jc w:val="center"/>
              <w:rPr>
                <w:b/>
              </w:rPr>
            </w:pPr>
            <w:r w:rsidRPr="000A7279">
              <w:rPr>
                <w:b/>
              </w:rPr>
              <w:t>Intervention</w:t>
            </w:r>
          </w:p>
        </w:tc>
        <w:tc>
          <w:tcPr>
            <w:tcW w:w="913" w:type="dxa"/>
            <w:noWrap/>
            <w:hideMark/>
          </w:tcPr>
          <w:p w14:paraId="72789A3F" w14:textId="77777777" w:rsidR="00E91097" w:rsidRPr="000A7279" w:rsidRDefault="00E91097" w:rsidP="000A7279">
            <w:pPr>
              <w:jc w:val="center"/>
              <w:rPr>
                <w:b/>
              </w:rPr>
            </w:pPr>
            <w:r w:rsidRPr="000A7279">
              <w:rPr>
                <w:b/>
              </w:rPr>
              <w:t>Year</w:t>
            </w:r>
          </w:p>
        </w:tc>
        <w:tc>
          <w:tcPr>
            <w:tcW w:w="1388" w:type="dxa"/>
            <w:noWrap/>
            <w:hideMark/>
          </w:tcPr>
          <w:p w14:paraId="17C248F1" w14:textId="2022F137" w:rsidR="00E91097" w:rsidRPr="000A7279" w:rsidRDefault="00E91097" w:rsidP="000A7279">
            <w:pPr>
              <w:jc w:val="center"/>
              <w:rPr>
                <w:b/>
              </w:rPr>
            </w:pPr>
            <w:r w:rsidRPr="000A7279">
              <w:rPr>
                <w:b/>
              </w:rPr>
              <w:t>Start</w:t>
            </w:r>
            <w:r w:rsidR="00834A2D" w:rsidRPr="000A7279">
              <w:rPr>
                <w:b/>
              </w:rPr>
              <w:t xml:space="preserve"> </w:t>
            </w:r>
            <w:r w:rsidRPr="000A7279">
              <w:rPr>
                <w:b/>
              </w:rPr>
              <w:t>Date</w:t>
            </w:r>
          </w:p>
        </w:tc>
        <w:tc>
          <w:tcPr>
            <w:tcW w:w="1278" w:type="dxa"/>
            <w:noWrap/>
            <w:hideMark/>
          </w:tcPr>
          <w:p w14:paraId="13750851" w14:textId="7D385C14" w:rsidR="00E91097" w:rsidRPr="000A7279" w:rsidRDefault="00E91097" w:rsidP="000A7279">
            <w:pPr>
              <w:jc w:val="center"/>
              <w:rPr>
                <w:b/>
              </w:rPr>
            </w:pPr>
            <w:r w:rsidRPr="000A7279">
              <w:rPr>
                <w:b/>
              </w:rPr>
              <w:t>End</w:t>
            </w:r>
            <w:r w:rsidR="00834A2D" w:rsidRPr="000A7279">
              <w:rPr>
                <w:b/>
              </w:rPr>
              <w:t xml:space="preserve"> </w:t>
            </w:r>
            <w:r w:rsidRPr="000A7279">
              <w:rPr>
                <w:b/>
              </w:rPr>
              <w:t>Date</w:t>
            </w:r>
          </w:p>
        </w:tc>
        <w:tc>
          <w:tcPr>
            <w:tcW w:w="1119" w:type="dxa"/>
            <w:noWrap/>
            <w:hideMark/>
          </w:tcPr>
          <w:p w14:paraId="0BCCB8D6" w14:textId="417F65C4" w:rsidR="00E91097" w:rsidRPr="000A7279" w:rsidRDefault="00E91097" w:rsidP="000A7279">
            <w:pPr>
              <w:jc w:val="center"/>
              <w:rPr>
                <w:b/>
              </w:rPr>
            </w:pPr>
            <w:r w:rsidRPr="000A7279">
              <w:rPr>
                <w:b/>
              </w:rPr>
              <w:t>Age</w:t>
            </w:r>
            <w:r w:rsidR="00834A2D" w:rsidRPr="000A7279">
              <w:rPr>
                <w:b/>
              </w:rPr>
              <w:t xml:space="preserve"> </w:t>
            </w:r>
            <w:r w:rsidRPr="000A7279">
              <w:rPr>
                <w:b/>
              </w:rPr>
              <w:t>Group</w:t>
            </w:r>
          </w:p>
        </w:tc>
        <w:tc>
          <w:tcPr>
            <w:tcW w:w="1352" w:type="dxa"/>
            <w:noWrap/>
            <w:hideMark/>
          </w:tcPr>
          <w:p w14:paraId="47DBA011" w14:textId="77777777" w:rsidR="00E91097" w:rsidRPr="000A7279" w:rsidRDefault="00E91097" w:rsidP="000A7279">
            <w:pPr>
              <w:jc w:val="center"/>
              <w:rPr>
                <w:b/>
              </w:rPr>
            </w:pPr>
            <w:r w:rsidRPr="000A7279">
              <w:rPr>
                <w:b/>
              </w:rPr>
              <w:t>Extent</w:t>
            </w:r>
          </w:p>
        </w:tc>
        <w:tc>
          <w:tcPr>
            <w:tcW w:w="1054" w:type="dxa"/>
            <w:noWrap/>
            <w:hideMark/>
          </w:tcPr>
          <w:p w14:paraId="4F987A1A" w14:textId="77777777" w:rsidR="00E91097" w:rsidRPr="000A7279" w:rsidRDefault="00E91097" w:rsidP="000A7279">
            <w:pPr>
              <w:jc w:val="center"/>
              <w:rPr>
                <w:b/>
              </w:rPr>
            </w:pPr>
            <w:r w:rsidRPr="000A7279">
              <w:rPr>
                <w:b/>
              </w:rPr>
              <w:t>Status</w:t>
            </w:r>
          </w:p>
        </w:tc>
        <w:tc>
          <w:tcPr>
            <w:tcW w:w="1218" w:type="dxa"/>
            <w:noWrap/>
            <w:hideMark/>
          </w:tcPr>
          <w:p w14:paraId="27910DB1" w14:textId="77777777" w:rsidR="00E91097" w:rsidRPr="000A7279" w:rsidRDefault="00E91097" w:rsidP="000A7279">
            <w:pPr>
              <w:jc w:val="center"/>
              <w:rPr>
                <w:b/>
              </w:rPr>
            </w:pPr>
            <w:r w:rsidRPr="000A7279">
              <w:rPr>
                <w:b/>
              </w:rPr>
              <w:t>Target</w:t>
            </w:r>
          </w:p>
        </w:tc>
      </w:tr>
      <w:tr w:rsidR="00834A2D" w:rsidRPr="00E91097" w14:paraId="15D5AE3F" w14:textId="77777777" w:rsidTr="00651C67">
        <w:trPr>
          <w:trHeight w:val="255"/>
          <w:jc w:val="center"/>
        </w:trPr>
        <w:tc>
          <w:tcPr>
            <w:tcW w:w="1106" w:type="dxa"/>
            <w:noWrap/>
            <w:hideMark/>
          </w:tcPr>
          <w:p w14:paraId="25C12971" w14:textId="653B5741" w:rsidR="00E91097" w:rsidRPr="00E91097" w:rsidRDefault="00E91097" w:rsidP="00834A2D">
            <w:r w:rsidRPr="00E91097">
              <w:t>Catch</w:t>
            </w:r>
            <w:r w:rsidR="00834A2D">
              <w:t xml:space="preserve"> u</w:t>
            </w:r>
            <w:r w:rsidRPr="00E91097">
              <w:t>p</w:t>
            </w:r>
          </w:p>
        </w:tc>
        <w:tc>
          <w:tcPr>
            <w:tcW w:w="1327" w:type="dxa"/>
            <w:noWrap/>
            <w:hideMark/>
          </w:tcPr>
          <w:p w14:paraId="7E5F904B" w14:textId="77777777" w:rsidR="00E91097" w:rsidRPr="00E91097" w:rsidRDefault="00E91097" w:rsidP="00E91097">
            <w:r w:rsidRPr="00E91097">
              <w:t>MR</w:t>
            </w:r>
          </w:p>
        </w:tc>
        <w:tc>
          <w:tcPr>
            <w:tcW w:w="913" w:type="dxa"/>
            <w:noWrap/>
            <w:hideMark/>
          </w:tcPr>
          <w:p w14:paraId="332F7F96" w14:textId="77777777" w:rsidR="00E91097" w:rsidRPr="00E91097" w:rsidRDefault="00E91097" w:rsidP="00E91097">
            <w:r w:rsidRPr="00E91097">
              <w:t>2017</w:t>
            </w:r>
          </w:p>
        </w:tc>
        <w:tc>
          <w:tcPr>
            <w:tcW w:w="1388" w:type="dxa"/>
            <w:noWrap/>
            <w:hideMark/>
          </w:tcPr>
          <w:p w14:paraId="403E7E86" w14:textId="45FA341B" w:rsidR="00E91097" w:rsidRPr="00E91097" w:rsidRDefault="00E91097" w:rsidP="00E91097"/>
        </w:tc>
        <w:tc>
          <w:tcPr>
            <w:tcW w:w="1278" w:type="dxa"/>
            <w:noWrap/>
            <w:hideMark/>
          </w:tcPr>
          <w:p w14:paraId="3888BD23" w14:textId="77777777" w:rsidR="00E91097" w:rsidRPr="00E91097" w:rsidRDefault="00E91097" w:rsidP="00E91097"/>
        </w:tc>
        <w:tc>
          <w:tcPr>
            <w:tcW w:w="1119" w:type="dxa"/>
            <w:noWrap/>
            <w:hideMark/>
          </w:tcPr>
          <w:p w14:paraId="70CCB51D" w14:textId="77777777" w:rsidR="00E91097" w:rsidRPr="00E91097" w:rsidRDefault="00E91097" w:rsidP="00E91097">
            <w:r w:rsidRPr="00E91097">
              <w:t>6 M-14 Y</w:t>
            </w:r>
          </w:p>
        </w:tc>
        <w:tc>
          <w:tcPr>
            <w:tcW w:w="1352" w:type="dxa"/>
            <w:noWrap/>
            <w:hideMark/>
          </w:tcPr>
          <w:p w14:paraId="784D0BB9" w14:textId="08E29B7B" w:rsidR="00E91097" w:rsidRPr="00E91097" w:rsidRDefault="00E91097" w:rsidP="00E91097">
            <w:r w:rsidRPr="00E91097">
              <w:t>Nat</w:t>
            </w:r>
            <w:r w:rsidR="00834A2D">
              <w:t>ional rollout</w:t>
            </w:r>
          </w:p>
        </w:tc>
        <w:tc>
          <w:tcPr>
            <w:tcW w:w="1054" w:type="dxa"/>
            <w:noWrap/>
            <w:hideMark/>
          </w:tcPr>
          <w:p w14:paraId="3EC7B184" w14:textId="77777777" w:rsidR="00E91097" w:rsidRPr="00E91097" w:rsidRDefault="00E91097" w:rsidP="00E91097">
            <w:r w:rsidRPr="00E91097">
              <w:t>planned</w:t>
            </w:r>
          </w:p>
        </w:tc>
        <w:tc>
          <w:tcPr>
            <w:tcW w:w="1218" w:type="dxa"/>
            <w:noWrap/>
            <w:hideMark/>
          </w:tcPr>
          <w:p w14:paraId="0DF1F1CB" w14:textId="738B082A" w:rsidR="00E91097" w:rsidRPr="00E91097" w:rsidRDefault="00E91097" w:rsidP="00E91097">
            <w:r w:rsidRPr="00E91097">
              <w:t>7</w:t>
            </w:r>
            <w:r w:rsidR="00834A2D">
              <w:t>,</w:t>
            </w:r>
            <w:r w:rsidRPr="00E91097">
              <w:t>320</w:t>
            </w:r>
            <w:r w:rsidR="00834A2D">
              <w:t>,</w:t>
            </w:r>
            <w:r w:rsidRPr="00E91097">
              <w:t>281</w:t>
            </w:r>
          </w:p>
        </w:tc>
      </w:tr>
      <w:tr w:rsidR="00834A2D" w:rsidRPr="00E91097" w14:paraId="42182C89" w14:textId="77777777" w:rsidTr="00651C67">
        <w:trPr>
          <w:trHeight w:val="255"/>
          <w:jc w:val="center"/>
        </w:trPr>
        <w:tc>
          <w:tcPr>
            <w:tcW w:w="1106" w:type="dxa"/>
            <w:noWrap/>
            <w:hideMark/>
          </w:tcPr>
          <w:p w14:paraId="418A74E3" w14:textId="01F6ADA7" w:rsidR="00834A2D" w:rsidRPr="00E91097" w:rsidRDefault="00834A2D" w:rsidP="00834A2D">
            <w:r w:rsidRPr="00E91097">
              <w:t>Follow</w:t>
            </w:r>
            <w:r>
              <w:t xml:space="preserve"> u</w:t>
            </w:r>
            <w:r w:rsidRPr="00E91097">
              <w:t>p</w:t>
            </w:r>
          </w:p>
        </w:tc>
        <w:tc>
          <w:tcPr>
            <w:tcW w:w="1327" w:type="dxa"/>
            <w:noWrap/>
            <w:hideMark/>
          </w:tcPr>
          <w:p w14:paraId="77B305AC" w14:textId="77777777" w:rsidR="00834A2D" w:rsidRPr="00E91097" w:rsidRDefault="00834A2D" w:rsidP="00834A2D">
            <w:r w:rsidRPr="00E91097">
              <w:t>Measles</w:t>
            </w:r>
          </w:p>
        </w:tc>
        <w:tc>
          <w:tcPr>
            <w:tcW w:w="913" w:type="dxa"/>
            <w:noWrap/>
            <w:hideMark/>
          </w:tcPr>
          <w:p w14:paraId="29ED9631" w14:textId="77777777" w:rsidR="00834A2D" w:rsidRPr="00E91097" w:rsidRDefault="00834A2D" w:rsidP="00834A2D">
            <w:r w:rsidRPr="00E91097">
              <w:t>2016</w:t>
            </w:r>
          </w:p>
        </w:tc>
        <w:tc>
          <w:tcPr>
            <w:tcW w:w="1388" w:type="dxa"/>
            <w:noWrap/>
            <w:hideMark/>
          </w:tcPr>
          <w:p w14:paraId="1AA78F46" w14:textId="77777777" w:rsidR="00834A2D" w:rsidRPr="00E91097" w:rsidRDefault="00834A2D" w:rsidP="00834A2D">
            <w:r w:rsidRPr="00E91097">
              <w:t>19/07/2016</w:t>
            </w:r>
          </w:p>
        </w:tc>
        <w:tc>
          <w:tcPr>
            <w:tcW w:w="1278" w:type="dxa"/>
            <w:noWrap/>
            <w:hideMark/>
          </w:tcPr>
          <w:p w14:paraId="2930301F" w14:textId="77777777" w:rsidR="00834A2D" w:rsidRPr="00E91097" w:rsidRDefault="00834A2D" w:rsidP="00834A2D">
            <w:r w:rsidRPr="00E91097">
              <w:t>01/11/2016</w:t>
            </w:r>
          </w:p>
        </w:tc>
        <w:tc>
          <w:tcPr>
            <w:tcW w:w="1119" w:type="dxa"/>
            <w:noWrap/>
            <w:hideMark/>
          </w:tcPr>
          <w:p w14:paraId="38B2D7E0" w14:textId="77777777" w:rsidR="00834A2D" w:rsidRPr="00E91097" w:rsidRDefault="00834A2D" w:rsidP="00834A2D">
            <w:r w:rsidRPr="00E91097">
              <w:t>6-59 M</w:t>
            </w:r>
          </w:p>
        </w:tc>
        <w:tc>
          <w:tcPr>
            <w:tcW w:w="1352" w:type="dxa"/>
            <w:noWrap/>
            <w:hideMark/>
          </w:tcPr>
          <w:p w14:paraId="40107235" w14:textId="2DCE0A39" w:rsidR="00834A2D" w:rsidRPr="00E91097" w:rsidRDefault="00834A2D" w:rsidP="00834A2D">
            <w:r w:rsidRPr="00E91097">
              <w:t>Nat</w:t>
            </w:r>
            <w:r>
              <w:t>ional rollout</w:t>
            </w:r>
          </w:p>
        </w:tc>
        <w:tc>
          <w:tcPr>
            <w:tcW w:w="1054" w:type="dxa"/>
            <w:noWrap/>
            <w:hideMark/>
          </w:tcPr>
          <w:p w14:paraId="51FA402E" w14:textId="77777777" w:rsidR="00834A2D" w:rsidRPr="00E91097" w:rsidRDefault="00834A2D" w:rsidP="00834A2D">
            <w:r w:rsidRPr="00E91097">
              <w:t>planned</w:t>
            </w:r>
          </w:p>
        </w:tc>
        <w:tc>
          <w:tcPr>
            <w:tcW w:w="1218" w:type="dxa"/>
            <w:noWrap/>
            <w:hideMark/>
          </w:tcPr>
          <w:p w14:paraId="087D1841" w14:textId="32DCA658" w:rsidR="00834A2D" w:rsidRPr="00E91097" w:rsidRDefault="00834A2D" w:rsidP="00834A2D">
            <w:r w:rsidRPr="00E91097">
              <w:t>16</w:t>
            </w:r>
            <w:r>
              <w:t>,</w:t>
            </w:r>
            <w:r w:rsidRPr="00E91097">
              <w:t>109</w:t>
            </w:r>
            <w:r>
              <w:t>,</w:t>
            </w:r>
            <w:r w:rsidRPr="00E91097">
              <w:t>995</w:t>
            </w:r>
          </w:p>
        </w:tc>
      </w:tr>
      <w:tr w:rsidR="00834A2D" w:rsidRPr="00E91097" w14:paraId="3F9B58BC" w14:textId="77777777" w:rsidTr="00651C67">
        <w:trPr>
          <w:trHeight w:val="255"/>
          <w:jc w:val="center"/>
        </w:trPr>
        <w:tc>
          <w:tcPr>
            <w:tcW w:w="1106" w:type="dxa"/>
            <w:noWrap/>
            <w:hideMark/>
          </w:tcPr>
          <w:p w14:paraId="34716314" w14:textId="77777777" w:rsidR="00E91097" w:rsidRPr="00E91097" w:rsidRDefault="00E91097" w:rsidP="00E91097">
            <w:r w:rsidRPr="00E91097">
              <w:t>SNID</w:t>
            </w:r>
          </w:p>
        </w:tc>
        <w:tc>
          <w:tcPr>
            <w:tcW w:w="1327" w:type="dxa"/>
            <w:noWrap/>
            <w:hideMark/>
          </w:tcPr>
          <w:p w14:paraId="7CF2D1E6" w14:textId="77777777" w:rsidR="00E91097" w:rsidRPr="00E91097" w:rsidRDefault="00E91097" w:rsidP="00E91097">
            <w:proofErr w:type="spellStart"/>
            <w:r w:rsidRPr="00E91097">
              <w:t>bOPV</w:t>
            </w:r>
            <w:proofErr w:type="spellEnd"/>
          </w:p>
        </w:tc>
        <w:tc>
          <w:tcPr>
            <w:tcW w:w="913" w:type="dxa"/>
            <w:noWrap/>
            <w:hideMark/>
          </w:tcPr>
          <w:p w14:paraId="0A6B6A61" w14:textId="77777777" w:rsidR="00E91097" w:rsidRPr="00E91097" w:rsidRDefault="00E91097" w:rsidP="00E91097">
            <w:r w:rsidRPr="00E91097">
              <w:t>2016</w:t>
            </w:r>
          </w:p>
        </w:tc>
        <w:tc>
          <w:tcPr>
            <w:tcW w:w="1388" w:type="dxa"/>
            <w:noWrap/>
            <w:hideMark/>
          </w:tcPr>
          <w:p w14:paraId="55DCCE99" w14:textId="77777777" w:rsidR="00E91097" w:rsidRPr="00E91097" w:rsidRDefault="00E91097" w:rsidP="00E91097">
            <w:r w:rsidRPr="00E91097">
              <w:t>01/10/2016</w:t>
            </w:r>
          </w:p>
        </w:tc>
        <w:tc>
          <w:tcPr>
            <w:tcW w:w="1278" w:type="dxa"/>
            <w:noWrap/>
            <w:hideMark/>
          </w:tcPr>
          <w:p w14:paraId="12EEA8BD" w14:textId="77777777" w:rsidR="00E91097" w:rsidRPr="00E91097" w:rsidRDefault="00E91097" w:rsidP="00E91097"/>
        </w:tc>
        <w:tc>
          <w:tcPr>
            <w:tcW w:w="1119" w:type="dxa"/>
            <w:noWrap/>
            <w:hideMark/>
          </w:tcPr>
          <w:p w14:paraId="68CC1660" w14:textId="77777777" w:rsidR="00E91097" w:rsidRPr="00E91097" w:rsidRDefault="00E91097" w:rsidP="00E91097">
            <w:r w:rsidRPr="00E91097">
              <w:t>0 to 5 years</w:t>
            </w:r>
          </w:p>
        </w:tc>
        <w:tc>
          <w:tcPr>
            <w:tcW w:w="1352" w:type="dxa"/>
            <w:noWrap/>
            <w:hideMark/>
          </w:tcPr>
          <w:p w14:paraId="78835828" w14:textId="5604F4F5" w:rsidR="00E91097" w:rsidRPr="00E91097" w:rsidRDefault="00E91097" w:rsidP="00834A2D">
            <w:r w:rsidRPr="00E91097">
              <w:t>Sub-</w:t>
            </w:r>
            <w:r w:rsidR="00834A2D">
              <w:t>n</w:t>
            </w:r>
            <w:r w:rsidRPr="00E91097">
              <w:t>ational</w:t>
            </w:r>
          </w:p>
        </w:tc>
        <w:tc>
          <w:tcPr>
            <w:tcW w:w="1054" w:type="dxa"/>
            <w:noWrap/>
            <w:hideMark/>
          </w:tcPr>
          <w:p w14:paraId="61D9FD53" w14:textId="77777777" w:rsidR="00E91097" w:rsidRPr="00E91097" w:rsidRDefault="00E91097" w:rsidP="00E91097">
            <w:r w:rsidRPr="00E91097">
              <w:t>Planned</w:t>
            </w:r>
          </w:p>
        </w:tc>
        <w:tc>
          <w:tcPr>
            <w:tcW w:w="1218" w:type="dxa"/>
            <w:noWrap/>
            <w:hideMark/>
          </w:tcPr>
          <w:p w14:paraId="02D850AB" w14:textId="015EAAE4" w:rsidR="00E91097" w:rsidRPr="00E91097" w:rsidRDefault="00E91097" w:rsidP="00E91097">
            <w:r w:rsidRPr="00E91097">
              <w:t>8</w:t>
            </w:r>
            <w:r w:rsidR="00834A2D">
              <w:t>,</w:t>
            </w:r>
            <w:r w:rsidRPr="00E91097">
              <w:t>121</w:t>
            </w:r>
            <w:r w:rsidR="00834A2D">
              <w:t>,</w:t>
            </w:r>
            <w:r w:rsidRPr="00E91097">
              <w:t>548</w:t>
            </w:r>
          </w:p>
        </w:tc>
      </w:tr>
      <w:tr w:rsidR="00834A2D" w:rsidRPr="00E91097" w14:paraId="781389A1" w14:textId="77777777" w:rsidTr="00651C67">
        <w:trPr>
          <w:trHeight w:val="255"/>
          <w:jc w:val="center"/>
        </w:trPr>
        <w:tc>
          <w:tcPr>
            <w:tcW w:w="1106" w:type="dxa"/>
            <w:noWrap/>
            <w:hideMark/>
          </w:tcPr>
          <w:p w14:paraId="45A7E902" w14:textId="77777777" w:rsidR="00E91097" w:rsidRPr="00E91097" w:rsidRDefault="00E91097" w:rsidP="00E91097">
            <w:r w:rsidRPr="00E91097">
              <w:t>NID</w:t>
            </w:r>
          </w:p>
        </w:tc>
        <w:tc>
          <w:tcPr>
            <w:tcW w:w="1327" w:type="dxa"/>
            <w:noWrap/>
            <w:hideMark/>
          </w:tcPr>
          <w:p w14:paraId="55A2D1DC" w14:textId="77777777" w:rsidR="00E91097" w:rsidRPr="00E91097" w:rsidRDefault="00E91097" w:rsidP="00E91097">
            <w:proofErr w:type="spellStart"/>
            <w:r w:rsidRPr="00E91097">
              <w:t>tOPV</w:t>
            </w:r>
            <w:proofErr w:type="spellEnd"/>
          </w:p>
        </w:tc>
        <w:tc>
          <w:tcPr>
            <w:tcW w:w="913" w:type="dxa"/>
            <w:noWrap/>
            <w:hideMark/>
          </w:tcPr>
          <w:p w14:paraId="6259C07C" w14:textId="77777777" w:rsidR="00E91097" w:rsidRPr="00E91097" w:rsidRDefault="00E91097" w:rsidP="00E91097">
            <w:r w:rsidRPr="00E91097">
              <w:t>2016</w:t>
            </w:r>
          </w:p>
        </w:tc>
        <w:tc>
          <w:tcPr>
            <w:tcW w:w="1388" w:type="dxa"/>
            <w:noWrap/>
            <w:hideMark/>
          </w:tcPr>
          <w:p w14:paraId="283A2D8A" w14:textId="77777777" w:rsidR="00E91097" w:rsidRPr="00E91097" w:rsidRDefault="00E91097" w:rsidP="00E91097">
            <w:r w:rsidRPr="00E91097">
              <w:t>14/04/2016</w:t>
            </w:r>
          </w:p>
        </w:tc>
        <w:tc>
          <w:tcPr>
            <w:tcW w:w="1278" w:type="dxa"/>
            <w:noWrap/>
            <w:hideMark/>
          </w:tcPr>
          <w:p w14:paraId="5AF1CE77" w14:textId="77777777" w:rsidR="00E91097" w:rsidRPr="00E91097" w:rsidRDefault="00E91097" w:rsidP="00E91097">
            <w:r w:rsidRPr="00E91097">
              <w:t>16/04/2016</w:t>
            </w:r>
          </w:p>
        </w:tc>
        <w:tc>
          <w:tcPr>
            <w:tcW w:w="1119" w:type="dxa"/>
            <w:noWrap/>
            <w:hideMark/>
          </w:tcPr>
          <w:p w14:paraId="098A8213" w14:textId="77777777" w:rsidR="00E91097" w:rsidRPr="00E91097" w:rsidRDefault="00E91097" w:rsidP="00E91097">
            <w:r w:rsidRPr="00E91097">
              <w:t>0 to 5 years</w:t>
            </w:r>
          </w:p>
        </w:tc>
        <w:tc>
          <w:tcPr>
            <w:tcW w:w="1352" w:type="dxa"/>
            <w:noWrap/>
            <w:hideMark/>
          </w:tcPr>
          <w:p w14:paraId="21ACDA63" w14:textId="77777777" w:rsidR="00E91097" w:rsidRPr="00E91097" w:rsidRDefault="00E91097" w:rsidP="00E91097">
            <w:r w:rsidRPr="00E91097">
              <w:t>National</w:t>
            </w:r>
          </w:p>
        </w:tc>
        <w:tc>
          <w:tcPr>
            <w:tcW w:w="1054" w:type="dxa"/>
            <w:noWrap/>
            <w:hideMark/>
          </w:tcPr>
          <w:p w14:paraId="7F42C660" w14:textId="77777777" w:rsidR="00E91097" w:rsidRPr="00E91097" w:rsidRDefault="00E91097" w:rsidP="00E91097">
            <w:r w:rsidRPr="00E91097">
              <w:t>Planned</w:t>
            </w:r>
          </w:p>
        </w:tc>
        <w:tc>
          <w:tcPr>
            <w:tcW w:w="1218" w:type="dxa"/>
            <w:noWrap/>
            <w:hideMark/>
          </w:tcPr>
          <w:p w14:paraId="3FC15CD7" w14:textId="3DFC9598" w:rsidR="00E91097" w:rsidRPr="00E91097" w:rsidRDefault="00E91097" w:rsidP="00E91097">
            <w:r w:rsidRPr="00E91097">
              <w:t>18</w:t>
            </w:r>
            <w:r w:rsidR="00834A2D">
              <w:t>,</w:t>
            </w:r>
            <w:r w:rsidRPr="00E91097">
              <w:t>166</w:t>
            </w:r>
            <w:r w:rsidR="00834A2D">
              <w:t>,</w:t>
            </w:r>
            <w:r w:rsidRPr="00E91097">
              <w:t>533</w:t>
            </w:r>
          </w:p>
        </w:tc>
      </w:tr>
      <w:tr w:rsidR="00834A2D" w:rsidRPr="00E91097" w14:paraId="76E2B1A5" w14:textId="77777777" w:rsidTr="00651C67">
        <w:trPr>
          <w:trHeight w:val="255"/>
          <w:jc w:val="center"/>
        </w:trPr>
        <w:tc>
          <w:tcPr>
            <w:tcW w:w="1106" w:type="dxa"/>
            <w:noWrap/>
            <w:hideMark/>
          </w:tcPr>
          <w:p w14:paraId="2093EA6A" w14:textId="77777777" w:rsidR="00E91097" w:rsidRPr="00E91097" w:rsidRDefault="00E91097" w:rsidP="00E91097">
            <w:r w:rsidRPr="00E91097">
              <w:t>NID</w:t>
            </w:r>
          </w:p>
        </w:tc>
        <w:tc>
          <w:tcPr>
            <w:tcW w:w="1327" w:type="dxa"/>
            <w:noWrap/>
            <w:hideMark/>
          </w:tcPr>
          <w:p w14:paraId="6594A0F9" w14:textId="77777777" w:rsidR="00E91097" w:rsidRPr="00E91097" w:rsidRDefault="00E91097" w:rsidP="00E91097">
            <w:proofErr w:type="spellStart"/>
            <w:r w:rsidRPr="00E91097">
              <w:t>tOPV</w:t>
            </w:r>
            <w:proofErr w:type="spellEnd"/>
          </w:p>
        </w:tc>
        <w:tc>
          <w:tcPr>
            <w:tcW w:w="913" w:type="dxa"/>
            <w:noWrap/>
            <w:hideMark/>
          </w:tcPr>
          <w:p w14:paraId="11F060B4" w14:textId="77777777" w:rsidR="00E91097" w:rsidRPr="00E91097" w:rsidRDefault="00E91097" w:rsidP="00E91097">
            <w:r w:rsidRPr="00E91097">
              <w:t>2016</w:t>
            </w:r>
          </w:p>
        </w:tc>
        <w:tc>
          <w:tcPr>
            <w:tcW w:w="1388" w:type="dxa"/>
            <w:noWrap/>
            <w:hideMark/>
          </w:tcPr>
          <w:p w14:paraId="4DBA909D" w14:textId="77777777" w:rsidR="00E91097" w:rsidRPr="00E91097" w:rsidRDefault="00E91097" w:rsidP="00E91097">
            <w:r w:rsidRPr="00E91097">
              <w:t>24/03/2016</w:t>
            </w:r>
          </w:p>
        </w:tc>
        <w:tc>
          <w:tcPr>
            <w:tcW w:w="1278" w:type="dxa"/>
            <w:noWrap/>
            <w:hideMark/>
          </w:tcPr>
          <w:p w14:paraId="094AABDC" w14:textId="77777777" w:rsidR="00E91097" w:rsidRPr="00E91097" w:rsidRDefault="00E91097" w:rsidP="00E91097">
            <w:r w:rsidRPr="00E91097">
              <w:t>26/03/2016</w:t>
            </w:r>
          </w:p>
        </w:tc>
        <w:tc>
          <w:tcPr>
            <w:tcW w:w="1119" w:type="dxa"/>
            <w:noWrap/>
            <w:hideMark/>
          </w:tcPr>
          <w:p w14:paraId="10AFBBB7" w14:textId="77777777" w:rsidR="00E91097" w:rsidRPr="00E91097" w:rsidRDefault="00E91097" w:rsidP="00E91097">
            <w:r w:rsidRPr="00E91097">
              <w:t>0 to 5 years</w:t>
            </w:r>
          </w:p>
        </w:tc>
        <w:tc>
          <w:tcPr>
            <w:tcW w:w="1352" w:type="dxa"/>
            <w:noWrap/>
            <w:hideMark/>
          </w:tcPr>
          <w:p w14:paraId="40C11613" w14:textId="77777777" w:rsidR="00E91097" w:rsidRPr="00E91097" w:rsidRDefault="00E91097" w:rsidP="00E91097">
            <w:r w:rsidRPr="00E91097">
              <w:t>National</w:t>
            </w:r>
          </w:p>
        </w:tc>
        <w:tc>
          <w:tcPr>
            <w:tcW w:w="1054" w:type="dxa"/>
            <w:noWrap/>
            <w:hideMark/>
          </w:tcPr>
          <w:p w14:paraId="4A78B264" w14:textId="77777777" w:rsidR="00E91097" w:rsidRPr="00E91097" w:rsidRDefault="00E91097" w:rsidP="00E91097">
            <w:r w:rsidRPr="00E91097">
              <w:t>Planned</w:t>
            </w:r>
          </w:p>
        </w:tc>
        <w:tc>
          <w:tcPr>
            <w:tcW w:w="1218" w:type="dxa"/>
            <w:noWrap/>
            <w:hideMark/>
          </w:tcPr>
          <w:p w14:paraId="136077DA" w14:textId="11149CC7" w:rsidR="00E91097" w:rsidRPr="00E91097" w:rsidRDefault="00E91097" w:rsidP="00E91097">
            <w:r w:rsidRPr="00E91097">
              <w:t>18</w:t>
            </w:r>
            <w:r w:rsidR="00834A2D">
              <w:t>,</w:t>
            </w:r>
            <w:r w:rsidRPr="00E91097">
              <w:t>166</w:t>
            </w:r>
            <w:r w:rsidR="00834A2D">
              <w:t>,</w:t>
            </w:r>
            <w:r w:rsidRPr="00E91097">
              <w:t>533</w:t>
            </w:r>
          </w:p>
        </w:tc>
      </w:tr>
      <w:tr w:rsidR="00834A2D" w:rsidRPr="00E91097" w14:paraId="658B50DE" w14:textId="77777777" w:rsidTr="00651C67">
        <w:trPr>
          <w:trHeight w:val="255"/>
          <w:jc w:val="center"/>
        </w:trPr>
        <w:tc>
          <w:tcPr>
            <w:tcW w:w="1106" w:type="dxa"/>
            <w:noWrap/>
            <w:hideMark/>
          </w:tcPr>
          <w:p w14:paraId="71C603C5" w14:textId="77777777" w:rsidR="00E91097" w:rsidRPr="00E91097" w:rsidRDefault="00E91097" w:rsidP="00E91097">
            <w:r w:rsidRPr="00E91097">
              <w:t>SNID</w:t>
            </w:r>
          </w:p>
        </w:tc>
        <w:tc>
          <w:tcPr>
            <w:tcW w:w="1327" w:type="dxa"/>
            <w:noWrap/>
            <w:hideMark/>
          </w:tcPr>
          <w:p w14:paraId="548B8E15" w14:textId="77777777" w:rsidR="00E91097" w:rsidRPr="00E91097" w:rsidRDefault="00E91097" w:rsidP="00E91097">
            <w:proofErr w:type="spellStart"/>
            <w:r w:rsidRPr="00E91097">
              <w:t>tOPV</w:t>
            </w:r>
            <w:proofErr w:type="spellEnd"/>
          </w:p>
        </w:tc>
        <w:tc>
          <w:tcPr>
            <w:tcW w:w="913" w:type="dxa"/>
            <w:noWrap/>
            <w:hideMark/>
          </w:tcPr>
          <w:p w14:paraId="08D69CAA" w14:textId="77777777" w:rsidR="00E91097" w:rsidRPr="00E91097" w:rsidRDefault="00E91097" w:rsidP="00E91097">
            <w:r w:rsidRPr="00E91097">
              <w:t>2016</w:t>
            </w:r>
          </w:p>
        </w:tc>
        <w:tc>
          <w:tcPr>
            <w:tcW w:w="1388" w:type="dxa"/>
            <w:noWrap/>
            <w:hideMark/>
          </w:tcPr>
          <w:p w14:paraId="2C44E1DA" w14:textId="77777777" w:rsidR="00E91097" w:rsidRPr="00E91097" w:rsidRDefault="00E91097" w:rsidP="00E91097">
            <w:r w:rsidRPr="00E91097">
              <w:t>25/04/2016</w:t>
            </w:r>
          </w:p>
        </w:tc>
        <w:tc>
          <w:tcPr>
            <w:tcW w:w="1278" w:type="dxa"/>
            <w:noWrap/>
            <w:hideMark/>
          </w:tcPr>
          <w:p w14:paraId="69993598" w14:textId="77777777" w:rsidR="00E91097" w:rsidRPr="00E91097" w:rsidRDefault="00E91097" w:rsidP="00E91097">
            <w:r w:rsidRPr="00E91097">
              <w:t>27/04/2016</w:t>
            </w:r>
          </w:p>
        </w:tc>
        <w:tc>
          <w:tcPr>
            <w:tcW w:w="1119" w:type="dxa"/>
            <w:noWrap/>
            <w:hideMark/>
          </w:tcPr>
          <w:p w14:paraId="35A9FA69" w14:textId="77777777" w:rsidR="00E91097" w:rsidRPr="00E91097" w:rsidRDefault="00E91097" w:rsidP="00E91097">
            <w:r w:rsidRPr="00E91097">
              <w:t>0 to 9 years</w:t>
            </w:r>
          </w:p>
        </w:tc>
        <w:tc>
          <w:tcPr>
            <w:tcW w:w="1352" w:type="dxa"/>
            <w:noWrap/>
            <w:hideMark/>
          </w:tcPr>
          <w:p w14:paraId="54F86117" w14:textId="1482208F" w:rsidR="00E91097" w:rsidRPr="00E91097" w:rsidRDefault="00834A2D" w:rsidP="00E91097">
            <w:r>
              <w:t>Sub-n</w:t>
            </w:r>
            <w:r w:rsidR="00E91097" w:rsidRPr="00E91097">
              <w:t>ational</w:t>
            </w:r>
          </w:p>
        </w:tc>
        <w:tc>
          <w:tcPr>
            <w:tcW w:w="1054" w:type="dxa"/>
            <w:noWrap/>
            <w:hideMark/>
          </w:tcPr>
          <w:p w14:paraId="57B18C1E" w14:textId="77777777" w:rsidR="00E91097" w:rsidRPr="00E91097" w:rsidRDefault="00E91097" w:rsidP="00E91097">
            <w:r w:rsidRPr="00E91097">
              <w:t>Planned</w:t>
            </w:r>
          </w:p>
        </w:tc>
        <w:tc>
          <w:tcPr>
            <w:tcW w:w="1218" w:type="dxa"/>
            <w:noWrap/>
            <w:hideMark/>
          </w:tcPr>
          <w:p w14:paraId="51592FCB" w14:textId="5022084E" w:rsidR="00E91097" w:rsidRPr="00E91097" w:rsidRDefault="00E91097" w:rsidP="00E91097">
            <w:r w:rsidRPr="00E91097">
              <w:t>1</w:t>
            </w:r>
            <w:r w:rsidR="00834A2D">
              <w:t>,</w:t>
            </w:r>
            <w:r w:rsidRPr="00E91097">
              <w:t>430</w:t>
            </w:r>
            <w:r w:rsidR="00834A2D">
              <w:t>,</w:t>
            </w:r>
            <w:r w:rsidRPr="00E91097">
              <w:t>939</w:t>
            </w:r>
          </w:p>
        </w:tc>
      </w:tr>
      <w:tr w:rsidR="00834A2D" w:rsidRPr="00E91097" w14:paraId="554832BA" w14:textId="77777777" w:rsidTr="00651C67">
        <w:trPr>
          <w:trHeight w:val="255"/>
          <w:jc w:val="center"/>
        </w:trPr>
        <w:tc>
          <w:tcPr>
            <w:tcW w:w="1106" w:type="dxa"/>
            <w:noWrap/>
            <w:hideMark/>
          </w:tcPr>
          <w:p w14:paraId="2CAA317C" w14:textId="77777777" w:rsidR="00E91097" w:rsidRPr="00E91097" w:rsidRDefault="00E91097" w:rsidP="00E91097">
            <w:r w:rsidRPr="00E91097">
              <w:t>Campaign</w:t>
            </w:r>
          </w:p>
        </w:tc>
        <w:tc>
          <w:tcPr>
            <w:tcW w:w="1327" w:type="dxa"/>
            <w:noWrap/>
            <w:hideMark/>
          </w:tcPr>
          <w:p w14:paraId="18393DE9" w14:textId="77777777" w:rsidR="00E91097" w:rsidRPr="00E91097" w:rsidRDefault="00E91097" w:rsidP="00E91097">
            <w:proofErr w:type="spellStart"/>
            <w:r w:rsidRPr="00E91097">
              <w:t>MenA</w:t>
            </w:r>
            <w:proofErr w:type="spellEnd"/>
          </w:p>
        </w:tc>
        <w:tc>
          <w:tcPr>
            <w:tcW w:w="913" w:type="dxa"/>
            <w:noWrap/>
            <w:hideMark/>
          </w:tcPr>
          <w:p w14:paraId="6708E1A5" w14:textId="77777777" w:rsidR="00E91097" w:rsidRPr="00E91097" w:rsidRDefault="00E91097" w:rsidP="00E91097">
            <w:r w:rsidRPr="00E91097">
              <w:t>2016</w:t>
            </w:r>
          </w:p>
        </w:tc>
        <w:tc>
          <w:tcPr>
            <w:tcW w:w="1388" w:type="dxa"/>
            <w:noWrap/>
            <w:hideMark/>
          </w:tcPr>
          <w:p w14:paraId="5AC55427" w14:textId="77777777" w:rsidR="00E91097" w:rsidRPr="00E91097" w:rsidRDefault="00E91097" w:rsidP="00E91097">
            <w:r w:rsidRPr="00E91097">
              <w:t>01/02/2016</w:t>
            </w:r>
          </w:p>
        </w:tc>
        <w:tc>
          <w:tcPr>
            <w:tcW w:w="1278" w:type="dxa"/>
            <w:noWrap/>
            <w:hideMark/>
          </w:tcPr>
          <w:p w14:paraId="5F3A3482" w14:textId="77777777" w:rsidR="00E91097" w:rsidRPr="00E91097" w:rsidRDefault="00E91097" w:rsidP="00E91097"/>
        </w:tc>
        <w:tc>
          <w:tcPr>
            <w:tcW w:w="1119" w:type="dxa"/>
            <w:noWrap/>
            <w:hideMark/>
          </w:tcPr>
          <w:p w14:paraId="56FD3EFC" w14:textId="77777777" w:rsidR="00E91097" w:rsidRPr="00E91097" w:rsidRDefault="00E91097" w:rsidP="00E91097">
            <w:r w:rsidRPr="00E91097">
              <w:t>1-29 Y</w:t>
            </w:r>
          </w:p>
        </w:tc>
        <w:tc>
          <w:tcPr>
            <w:tcW w:w="1352" w:type="dxa"/>
            <w:noWrap/>
            <w:hideMark/>
          </w:tcPr>
          <w:p w14:paraId="4C6628A1" w14:textId="77777777" w:rsidR="00E91097" w:rsidRPr="00E91097" w:rsidRDefault="00E91097" w:rsidP="00E91097">
            <w:r w:rsidRPr="00E91097">
              <w:t>Sub-national</w:t>
            </w:r>
          </w:p>
        </w:tc>
        <w:tc>
          <w:tcPr>
            <w:tcW w:w="1054" w:type="dxa"/>
            <w:noWrap/>
            <w:hideMark/>
          </w:tcPr>
          <w:p w14:paraId="06319596" w14:textId="77777777" w:rsidR="00E91097" w:rsidRPr="00E91097" w:rsidRDefault="00E91097" w:rsidP="00E91097">
            <w:r w:rsidRPr="00E91097">
              <w:t>planned</w:t>
            </w:r>
          </w:p>
        </w:tc>
        <w:tc>
          <w:tcPr>
            <w:tcW w:w="1218" w:type="dxa"/>
            <w:noWrap/>
            <w:hideMark/>
          </w:tcPr>
          <w:p w14:paraId="374460F4" w14:textId="18DDC840" w:rsidR="00E91097" w:rsidRPr="00E91097" w:rsidRDefault="00E91097" w:rsidP="00E91097">
            <w:r w:rsidRPr="00E91097">
              <w:t>10</w:t>
            </w:r>
            <w:r w:rsidR="00834A2D">
              <w:t>,</w:t>
            </w:r>
            <w:r w:rsidRPr="00E91097">
              <w:t>117</w:t>
            </w:r>
            <w:r w:rsidR="00834A2D">
              <w:t>,</w:t>
            </w:r>
            <w:r w:rsidRPr="00E91097">
              <w:t>371</w:t>
            </w:r>
          </w:p>
        </w:tc>
      </w:tr>
      <w:tr w:rsidR="00834A2D" w:rsidRPr="00E91097" w14:paraId="116F6158" w14:textId="77777777" w:rsidTr="00651C67">
        <w:trPr>
          <w:trHeight w:val="255"/>
          <w:jc w:val="center"/>
        </w:trPr>
        <w:tc>
          <w:tcPr>
            <w:tcW w:w="1106" w:type="dxa"/>
            <w:noWrap/>
            <w:hideMark/>
          </w:tcPr>
          <w:p w14:paraId="4DCEEB5A" w14:textId="77777777" w:rsidR="00E91097" w:rsidRPr="00E91097" w:rsidRDefault="00E91097" w:rsidP="00E91097">
            <w:r w:rsidRPr="00E91097">
              <w:t>Campaign</w:t>
            </w:r>
          </w:p>
        </w:tc>
        <w:tc>
          <w:tcPr>
            <w:tcW w:w="1327" w:type="dxa"/>
            <w:noWrap/>
            <w:hideMark/>
          </w:tcPr>
          <w:p w14:paraId="1627B71C" w14:textId="77777777" w:rsidR="00E91097" w:rsidRPr="00E91097" w:rsidRDefault="00E91097" w:rsidP="00E91097">
            <w:proofErr w:type="spellStart"/>
            <w:r w:rsidRPr="00E91097">
              <w:t>MenA</w:t>
            </w:r>
            <w:proofErr w:type="spellEnd"/>
          </w:p>
        </w:tc>
        <w:tc>
          <w:tcPr>
            <w:tcW w:w="913" w:type="dxa"/>
            <w:noWrap/>
            <w:hideMark/>
          </w:tcPr>
          <w:p w14:paraId="0CA877BB" w14:textId="77777777" w:rsidR="00E91097" w:rsidRPr="00E91097" w:rsidRDefault="00E91097" w:rsidP="00E91097">
            <w:r w:rsidRPr="00E91097">
              <w:t>2016</w:t>
            </w:r>
          </w:p>
        </w:tc>
        <w:tc>
          <w:tcPr>
            <w:tcW w:w="1388" w:type="dxa"/>
            <w:noWrap/>
            <w:hideMark/>
          </w:tcPr>
          <w:p w14:paraId="3605EA25" w14:textId="77777777" w:rsidR="00E91097" w:rsidRPr="00E91097" w:rsidRDefault="00E91097" w:rsidP="00E91097">
            <w:r w:rsidRPr="00E91097">
              <w:t>01/05/2016</w:t>
            </w:r>
          </w:p>
        </w:tc>
        <w:tc>
          <w:tcPr>
            <w:tcW w:w="1278" w:type="dxa"/>
            <w:noWrap/>
            <w:hideMark/>
          </w:tcPr>
          <w:p w14:paraId="1BF46389" w14:textId="77777777" w:rsidR="00E91097" w:rsidRPr="00E91097" w:rsidRDefault="00E91097" w:rsidP="00E91097"/>
        </w:tc>
        <w:tc>
          <w:tcPr>
            <w:tcW w:w="1119" w:type="dxa"/>
            <w:noWrap/>
            <w:hideMark/>
          </w:tcPr>
          <w:p w14:paraId="099B4D4C" w14:textId="77777777" w:rsidR="00E91097" w:rsidRPr="00E91097" w:rsidRDefault="00E91097" w:rsidP="00E91097">
            <w:r w:rsidRPr="00E91097">
              <w:t>1-29 Y</w:t>
            </w:r>
          </w:p>
        </w:tc>
        <w:tc>
          <w:tcPr>
            <w:tcW w:w="1352" w:type="dxa"/>
            <w:noWrap/>
            <w:hideMark/>
          </w:tcPr>
          <w:p w14:paraId="25F11DE0" w14:textId="77777777" w:rsidR="00E91097" w:rsidRPr="00E91097" w:rsidRDefault="00E91097" w:rsidP="00E91097">
            <w:r w:rsidRPr="00E91097">
              <w:t>Sub-national</w:t>
            </w:r>
          </w:p>
        </w:tc>
        <w:tc>
          <w:tcPr>
            <w:tcW w:w="1054" w:type="dxa"/>
            <w:noWrap/>
            <w:hideMark/>
          </w:tcPr>
          <w:p w14:paraId="2E13D5DF" w14:textId="77777777" w:rsidR="00E91097" w:rsidRPr="00E91097" w:rsidRDefault="00E91097" w:rsidP="00E91097">
            <w:r w:rsidRPr="00E91097">
              <w:t>planned</w:t>
            </w:r>
          </w:p>
        </w:tc>
        <w:tc>
          <w:tcPr>
            <w:tcW w:w="1218" w:type="dxa"/>
            <w:noWrap/>
            <w:hideMark/>
          </w:tcPr>
          <w:p w14:paraId="4A008807" w14:textId="3AE8282D" w:rsidR="00E91097" w:rsidRPr="00E91097" w:rsidRDefault="00E91097" w:rsidP="00E91097">
            <w:r w:rsidRPr="00E91097">
              <w:t>7</w:t>
            </w:r>
            <w:r w:rsidR="00834A2D">
              <w:t>,</w:t>
            </w:r>
            <w:r w:rsidRPr="00E91097">
              <w:t>927</w:t>
            </w:r>
            <w:r w:rsidR="00834A2D">
              <w:t>,</w:t>
            </w:r>
            <w:r w:rsidRPr="00E91097">
              <w:t>555</w:t>
            </w:r>
          </w:p>
        </w:tc>
      </w:tr>
    </w:tbl>
    <w:p w14:paraId="78F6168D" w14:textId="77777777" w:rsidR="006C334B" w:rsidRDefault="006C334B" w:rsidP="00E91097">
      <w:r>
        <w:t>Source: WHO/IVB Database as at 12/4/2016</w:t>
      </w:r>
    </w:p>
    <w:p w14:paraId="71AF2B5F" w14:textId="77777777" w:rsidR="002C45C4" w:rsidRDefault="002C45C4" w:rsidP="002C45C4">
      <w:pPr>
        <w:pStyle w:val="Caption"/>
        <w:rPr>
          <w:rFonts w:ascii="Arial" w:hAnsi="Arial" w:cs="Arial"/>
          <w:color w:val="auto"/>
          <w:sz w:val="22"/>
        </w:rPr>
      </w:pPr>
      <w:r w:rsidRPr="002C45C4">
        <w:rPr>
          <w:rFonts w:ascii="Arial" w:hAnsi="Arial" w:cs="Arial"/>
          <w:color w:val="auto"/>
          <w:sz w:val="22"/>
        </w:rPr>
        <w:t xml:space="preserve">Figure </w:t>
      </w:r>
      <w:r w:rsidRPr="002C45C4">
        <w:rPr>
          <w:rFonts w:ascii="Arial" w:hAnsi="Arial" w:cs="Arial"/>
          <w:color w:val="auto"/>
          <w:sz w:val="22"/>
        </w:rPr>
        <w:fldChar w:fldCharType="begin"/>
      </w:r>
      <w:r w:rsidRPr="002C45C4">
        <w:rPr>
          <w:rFonts w:ascii="Arial" w:hAnsi="Arial" w:cs="Arial"/>
          <w:color w:val="auto"/>
          <w:sz w:val="22"/>
        </w:rPr>
        <w:instrText xml:space="preserve"> SEQ Figure \* ARABIC </w:instrText>
      </w:r>
      <w:r w:rsidRPr="002C45C4">
        <w:rPr>
          <w:rFonts w:ascii="Arial" w:hAnsi="Arial" w:cs="Arial"/>
          <w:color w:val="auto"/>
          <w:sz w:val="22"/>
        </w:rPr>
        <w:fldChar w:fldCharType="separate"/>
      </w:r>
      <w:r w:rsidRPr="002C45C4">
        <w:rPr>
          <w:rFonts w:ascii="Arial" w:hAnsi="Arial" w:cs="Arial"/>
          <w:color w:val="auto"/>
          <w:sz w:val="22"/>
        </w:rPr>
        <w:t>5</w:t>
      </w:r>
      <w:r w:rsidRPr="002C45C4">
        <w:rPr>
          <w:rFonts w:ascii="Arial" w:hAnsi="Arial" w:cs="Arial"/>
          <w:color w:val="auto"/>
          <w:sz w:val="22"/>
        </w:rPr>
        <w:fldChar w:fldCharType="end"/>
      </w:r>
      <w:r w:rsidRPr="002C45C4">
        <w:rPr>
          <w:rFonts w:ascii="Arial" w:hAnsi="Arial" w:cs="Arial"/>
          <w:color w:val="auto"/>
          <w:sz w:val="22"/>
        </w:rPr>
        <w:t>: All vaccines national coverage, DRC, 2000-2015</w:t>
      </w:r>
    </w:p>
    <w:p w14:paraId="4E52C0E1" w14:textId="5CA9DE8C" w:rsidR="008349B3" w:rsidRPr="00651C67" w:rsidRDefault="002C45C4" w:rsidP="00492B17">
      <w:pPr>
        <w:pStyle w:val="Caption"/>
        <w:jc w:val="center"/>
        <w:rPr>
          <w:rFonts w:ascii="Arial" w:hAnsi="Arial" w:cs="Arial"/>
          <w:color w:val="auto"/>
          <w:sz w:val="22"/>
        </w:rPr>
      </w:pPr>
      <w:r>
        <w:rPr>
          <w:rFonts w:ascii="Arial" w:hAnsi="Arial" w:cs="Arial"/>
          <w:noProof/>
          <w:color w:val="auto"/>
          <w:sz w:val="22"/>
          <w:lang w:eastAsia="zh-CN"/>
        </w:rPr>
        <w:drawing>
          <wp:inline distT="0" distB="0" distL="0" distR="0" wp14:anchorId="45D0BE6B" wp14:editId="7D87D23D">
            <wp:extent cx="4185814" cy="3057525"/>
            <wp:effectExtent l="0" t="0" r="5715" b="0"/>
            <wp:docPr id="14" name="Picture 14" descr="D:\data\GVAP Reports\2016\3. Scrore Cards 2016\jan visualizations DTP3 per country\Punch cards per country\dr c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dr con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5814" cy="3057525"/>
                    </a:xfrm>
                    <a:prstGeom prst="rect">
                      <a:avLst/>
                    </a:prstGeom>
                    <a:noFill/>
                    <a:ln>
                      <a:noFill/>
                    </a:ln>
                  </pic:spPr>
                </pic:pic>
              </a:graphicData>
            </a:graphic>
          </wp:inline>
        </w:drawing>
      </w:r>
      <w:r w:rsidR="007774F8">
        <w:rPr>
          <w:rFonts w:ascii="Arial" w:hAnsi="Arial" w:cs="Arial"/>
          <w:noProof/>
          <w:color w:val="auto"/>
          <w:sz w:val="22"/>
          <w:szCs w:val="22"/>
          <w:lang w:eastAsia="zh-CN"/>
        </w:rPr>
        <w:drawing>
          <wp:inline distT="0" distB="0" distL="0" distR="0" wp14:anchorId="287A4BA4" wp14:editId="76B487D9">
            <wp:extent cx="4181475" cy="963900"/>
            <wp:effectExtent l="0" t="0" r="0" b="8255"/>
            <wp:docPr id="11" name="Picture 11"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9623" cy="963473"/>
                    </a:xfrm>
                    <a:prstGeom prst="rect">
                      <a:avLst/>
                    </a:prstGeom>
                    <a:noFill/>
                    <a:ln>
                      <a:noFill/>
                    </a:ln>
                  </pic:spPr>
                </pic:pic>
              </a:graphicData>
            </a:graphic>
          </wp:inline>
        </w:drawing>
      </w:r>
      <w:bookmarkStart w:id="0" w:name="_GoBack"/>
      <w:bookmarkEnd w:id="0"/>
    </w:p>
    <w:sectPr w:rsidR="008349B3" w:rsidRPr="00651C67" w:rsidSect="00A54964">
      <w:footerReference w:type="default" r:id="rId12"/>
      <w:pgSz w:w="11906" w:h="16838"/>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CB9EC" w15:done="0"/>
  <w15:commentEx w15:paraId="21A16C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BE801" w14:textId="77777777" w:rsidR="00612DB3" w:rsidRDefault="00612DB3">
      <w:pPr>
        <w:spacing w:after="0" w:line="240" w:lineRule="auto"/>
      </w:pPr>
      <w:r>
        <w:separator/>
      </w:r>
    </w:p>
  </w:endnote>
  <w:endnote w:type="continuationSeparator" w:id="0">
    <w:p w14:paraId="2D7795D6" w14:textId="77777777" w:rsidR="00612DB3" w:rsidRDefault="006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368549"/>
      <w:docPartObj>
        <w:docPartGallery w:val="Page Numbers (Bottom of Page)"/>
        <w:docPartUnique/>
      </w:docPartObj>
    </w:sdtPr>
    <w:sdtEndPr>
      <w:rPr>
        <w:noProof/>
      </w:rPr>
    </w:sdtEndPr>
    <w:sdtContent>
      <w:p w14:paraId="21ECBE59" w14:textId="7F09FF43" w:rsidR="00EE1C5C" w:rsidRDefault="00EE1C5C">
        <w:pPr>
          <w:pStyle w:val="Footer"/>
          <w:jc w:val="center"/>
        </w:pPr>
        <w:r>
          <w:fldChar w:fldCharType="begin"/>
        </w:r>
        <w:r>
          <w:instrText xml:space="preserve"> PAGE   \* MERGEFORMAT </w:instrText>
        </w:r>
        <w:r>
          <w:fldChar w:fldCharType="separate"/>
        </w:r>
        <w:r w:rsidR="00492B17">
          <w:rPr>
            <w:noProof/>
          </w:rPr>
          <w:t>5</w:t>
        </w:r>
        <w:r>
          <w:rPr>
            <w:noProof/>
          </w:rPr>
          <w:fldChar w:fldCharType="end"/>
        </w:r>
      </w:p>
    </w:sdtContent>
  </w:sdt>
  <w:p w14:paraId="0BDC7254" w14:textId="4134CEC2" w:rsidR="00EE1C5C" w:rsidRDefault="00EE1C5C" w:rsidP="0088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2CFE9" w14:textId="77777777" w:rsidR="00612DB3" w:rsidRDefault="00612DB3">
      <w:pPr>
        <w:spacing w:after="0" w:line="240" w:lineRule="auto"/>
      </w:pPr>
      <w:r>
        <w:separator/>
      </w:r>
    </w:p>
  </w:footnote>
  <w:footnote w:type="continuationSeparator" w:id="0">
    <w:p w14:paraId="54F39C37" w14:textId="77777777" w:rsidR="00612DB3" w:rsidRDefault="00612DB3">
      <w:pPr>
        <w:spacing w:after="0" w:line="240" w:lineRule="auto"/>
      </w:pPr>
      <w:r>
        <w:continuationSeparator/>
      </w:r>
    </w:p>
  </w:footnote>
  <w:footnote w:id="1">
    <w:p w14:paraId="582644AA" w14:textId="13892C1D" w:rsidR="00B316F3" w:rsidRPr="00B316F3" w:rsidRDefault="00B316F3">
      <w:pPr>
        <w:pStyle w:val="FootnoteText"/>
        <w:rPr>
          <w:lang w:val="en-US"/>
        </w:rPr>
      </w:pPr>
      <w:r>
        <w:rPr>
          <w:rStyle w:val="FootnoteReference"/>
        </w:rPr>
        <w:footnoteRef/>
      </w:r>
      <w:r>
        <w:t xml:space="preserve"> </w:t>
      </w:r>
      <w:proofErr w:type="gramStart"/>
      <w:r>
        <w:rPr>
          <w:lang w:val="en-US"/>
        </w:rPr>
        <w:t>WHO/Geneva.</w:t>
      </w:r>
      <w:proofErr w:type="gramEnd"/>
      <w:r>
        <w:rPr>
          <w:lang w:val="en-US"/>
        </w:rPr>
        <w:t xml:space="preserve"> Risk assessment for poliovirus transmission: DR Congo, 15 June 2016 (presentation).</w:t>
      </w:r>
    </w:p>
  </w:footnote>
  <w:footnote w:id="2">
    <w:p w14:paraId="4900041F" w14:textId="25BC86B4" w:rsidR="00B316F3" w:rsidRPr="00B316F3" w:rsidRDefault="00B316F3">
      <w:pPr>
        <w:pStyle w:val="FootnoteText"/>
        <w:rPr>
          <w:lang w:val="en-US"/>
        </w:rPr>
      </w:pPr>
      <w:r>
        <w:rPr>
          <w:rStyle w:val="FootnoteReference"/>
        </w:rPr>
        <w:footnoteRef/>
      </w:r>
      <w:r>
        <w:t xml:space="preserve"> </w:t>
      </w:r>
      <w:proofErr w:type="gramStart"/>
      <w:r>
        <w:rPr>
          <w:lang w:val="en-US"/>
        </w:rPr>
        <w:t>WHO/Geneva.</w:t>
      </w:r>
      <w:proofErr w:type="gramEnd"/>
      <w:r>
        <w:rPr>
          <w:lang w:val="en-US"/>
        </w:rPr>
        <w:t xml:space="preserve"> Risk assessment for poliovirus transmission: DR Congo, 15 June 2016 (presentation).</w:t>
      </w:r>
    </w:p>
  </w:footnote>
  <w:footnote w:id="3">
    <w:p w14:paraId="2762D037" w14:textId="77777777" w:rsidR="002945B9" w:rsidRPr="002945B9" w:rsidRDefault="002945B9" w:rsidP="002945B9">
      <w:pPr>
        <w:pStyle w:val="FootnoteText"/>
        <w:rPr>
          <w:lang w:val="en-US"/>
        </w:rPr>
      </w:pPr>
      <w:r>
        <w:rPr>
          <w:rStyle w:val="FootnoteReference"/>
        </w:rPr>
        <w:footnoteRef/>
      </w:r>
      <w:r>
        <w:t xml:space="preserve"> </w:t>
      </w:r>
      <w:proofErr w:type="gramStart"/>
      <w:r>
        <w:rPr>
          <w:lang w:val="en-US"/>
        </w:rPr>
        <w:t>Internal WHO/UNICEF memo, July 5, 2016.</w:t>
      </w:r>
      <w:proofErr w:type="gramEnd"/>
    </w:p>
  </w:footnote>
  <w:footnote w:id="4">
    <w:p w14:paraId="2811F090" w14:textId="451C69F0" w:rsidR="002945B9" w:rsidRPr="002945B9" w:rsidRDefault="002945B9">
      <w:pPr>
        <w:pStyle w:val="FootnoteText"/>
        <w:rPr>
          <w:lang w:val="en-US"/>
        </w:rPr>
      </w:pPr>
      <w:r>
        <w:rPr>
          <w:rStyle w:val="FootnoteReference"/>
        </w:rPr>
        <w:footnoteRef/>
      </w:r>
      <w:r>
        <w:t xml:space="preserve"> Draft EPI Action Plan for 2016, February 2016.</w:t>
      </w:r>
    </w:p>
  </w:footnote>
  <w:footnote w:id="5">
    <w:p w14:paraId="2CD826A6" w14:textId="70643772" w:rsidR="002945B9" w:rsidRPr="002945B9" w:rsidRDefault="002945B9">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2015-2019.</w:t>
      </w:r>
    </w:p>
  </w:footnote>
  <w:footnote w:id="6">
    <w:p w14:paraId="7FC9C063" w14:textId="45401039" w:rsidR="002945B9" w:rsidRPr="002945B9" w:rsidRDefault="002945B9">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2015-2019.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A03"/>
    <w:multiLevelType w:val="hybridMultilevel"/>
    <w:tmpl w:val="CE063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D70F0"/>
    <w:multiLevelType w:val="hybridMultilevel"/>
    <w:tmpl w:val="F15E4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CD12B0"/>
    <w:multiLevelType w:val="multilevel"/>
    <w:tmpl w:val="3DD481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910D11"/>
    <w:multiLevelType w:val="hybridMultilevel"/>
    <w:tmpl w:val="ECF6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823D2"/>
    <w:multiLevelType w:val="multilevel"/>
    <w:tmpl w:val="C82C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6">
    <w:nsid w:val="3F432496"/>
    <w:multiLevelType w:val="hybridMultilevel"/>
    <w:tmpl w:val="74EE471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A590C9C"/>
    <w:multiLevelType w:val="hybridMultilevel"/>
    <w:tmpl w:val="DB2CC0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nsid w:val="4C757444"/>
    <w:multiLevelType w:val="hybridMultilevel"/>
    <w:tmpl w:val="314ED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0">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84511EA"/>
    <w:multiLevelType w:val="hybridMultilevel"/>
    <w:tmpl w:val="DB5E4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6C682281"/>
    <w:multiLevelType w:val="hybridMultilevel"/>
    <w:tmpl w:val="E8A82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74B65"/>
    <w:multiLevelType w:val="multilevel"/>
    <w:tmpl w:val="502C0C5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1"/>
  </w:num>
  <w:num w:numId="5">
    <w:abstractNumId w:val="22"/>
  </w:num>
  <w:num w:numId="6">
    <w:abstractNumId w:val="2"/>
  </w:num>
  <w:num w:numId="7">
    <w:abstractNumId w:val="8"/>
  </w:num>
  <w:num w:numId="8">
    <w:abstractNumId w:val="20"/>
  </w:num>
  <w:num w:numId="9">
    <w:abstractNumId w:val="6"/>
  </w:num>
  <w:num w:numId="10">
    <w:abstractNumId w:val="28"/>
  </w:num>
  <w:num w:numId="11">
    <w:abstractNumId w:val="27"/>
  </w:num>
  <w:num w:numId="12">
    <w:abstractNumId w:val="15"/>
  </w:num>
  <w:num w:numId="13">
    <w:abstractNumId w:val="24"/>
  </w:num>
  <w:num w:numId="14">
    <w:abstractNumId w:val="19"/>
  </w:num>
  <w:num w:numId="15">
    <w:abstractNumId w:val="29"/>
  </w:num>
  <w:num w:numId="16">
    <w:abstractNumId w:val="10"/>
  </w:num>
  <w:num w:numId="17">
    <w:abstractNumId w:val="21"/>
  </w:num>
  <w:num w:numId="18">
    <w:abstractNumId w:val="13"/>
  </w:num>
  <w:num w:numId="19">
    <w:abstractNumId w:val="30"/>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6"/>
  </w:num>
  <w:num w:numId="24">
    <w:abstractNumId w:val="23"/>
  </w:num>
  <w:num w:numId="25">
    <w:abstractNumId w:val="25"/>
  </w:num>
  <w:num w:numId="26">
    <w:abstractNumId w:val="16"/>
  </w:num>
  <w:num w:numId="27">
    <w:abstractNumId w:val="3"/>
  </w:num>
  <w:num w:numId="28">
    <w:abstractNumId w:val="0"/>
  </w:num>
  <w:num w:numId="29">
    <w:abstractNumId w:val="18"/>
  </w:num>
  <w:num w:numId="30">
    <w:abstractNumId w:val="17"/>
  </w:num>
  <w:num w:numId="3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78D5"/>
    <w:rsid w:val="000258EE"/>
    <w:rsid w:val="00044F3E"/>
    <w:rsid w:val="00052693"/>
    <w:rsid w:val="0007442D"/>
    <w:rsid w:val="00084796"/>
    <w:rsid w:val="00096E70"/>
    <w:rsid w:val="000A6F7C"/>
    <w:rsid w:val="000A7279"/>
    <w:rsid w:val="000B0082"/>
    <w:rsid w:val="000C2C44"/>
    <w:rsid w:val="000E3D3E"/>
    <w:rsid w:val="00112FEE"/>
    <w:rsid w:val="0011764D"/>
    <w:rsid w:val="001206D8"/>
    <w:rsid w:val="00144801"/>
    <w:rsid w:val="00157C23"/>
    <w:rsid w:val="00163179"/>
    <w:rsid w:val="001A33B2"/>
    <w:rsid w:val="001B0097"/>
    <w:rsid w:val="001C1193"/>
    <w:rsid w:val="001C1E4D"/>
    <w:rsid w:val="001C28AB"/>
    <w:rsid w:val="001C5026"/>
    <w:rsid w:val="001D1D41"/>
    <w:rsid w:val="001D336C"/>
    <w:rsid w:val="001D6E48"/>
    <w:rsid w:val="001E1094"/>
    <w:rsid w:val="001E10B1"/>
    <w:rsid w:val="001E7D06"/>
    <w:rsid w:val="001F2D8D"/>
    <w:rsid w:val="00210674"/>
    <w:rsid w:val="00221A3A"/>
    <w:rsid w:val="002258E3"/>
    <w:rsid w:val="00226696"/>
    <w:rsid w:val="002327A5"/>
    <w:rsid w:val="00232D9A"/>
    <w:rsid w:val="002818D0"/>
    <w:rsid w:val="00281CEF"/>
    <w:rsid w:val="00292589"/>
    <w:rsid w:val="00293DEE"/>
    <w:rsid w:val="002945B9"/>
    <w:rsid w:val="002970A7"/>
    <w:rsid w:val="002B73D6"/>
    <w:rsid w:val="002C0BCF"/>
    <w:rsid w:val="002C45C4"/>
    <w:rsid w:val="002D61F5"/>
    <w:rsid w:val="002D762A"/>
    <w:rsid w:val="002E66AB"/>
    <w:rsid w:val="002F1749"/>
    <w:rsid w:val="002F20C9"/>
    <w:rsid w:val="00321B47"/>
    <w:rsid w:val="00324CCD"/>
    <w:rsid w:val="003573EF"/>
    <w:rsid w:val="00364456"/>
    <w:rsid w:val="00370616"/>
    <w:rsid w:val="00371B50"/>
    <w:rsid w:val="00373BA5"/>
    <w:rsid w:val="003B6F84"/>
    <w:rsid w:val="003C49D6"/>
    <w:rsid w:val="003D24BB"/>
    <w:rsid w:val="003D6679"/>
    <w:rsid w:val="003E30EC"/>
    <w:rsid w:val="003F4825"/>
    <w:rsid w:val="0040083F"/>
    <w:rsid w:val="00432B70"/>
    <w:rsid w:val="00436537"/>
    <w:rsid w:val="0044011A"/>
    <w:rsid w:val="00441EDC"/>
    <w:rsid w:val="00444AD2"/>
    <w:rsid w:val="00457E0A"/>
    <w:rsid w:val="004826EF"/>
    <w:rsid w:val="004873D9"/>
    <w:rsid w:val="00492B17"/>
    <w:rsid w:val="00496569"/>
    <w:rsid w:val="004A0E8E"/>
    <w:rsid w:val="004A394A"/>
    <w:rsid w:val="004B5B75"/>
    <w:rsid w:val="004D307D"/>
    <w:rsid w:val="004E24A2"/>
    <w:rsid w:val="004F6777"/>
    <w:rsid w:val="00500171"/>
    <w:rsid w:val="0050564C"/>
    <w:rsid w:val="0051290F"/>
    <w:rsid w:val="005133F8"/>
    <w:rsid w:val="00513BF2"/>
    <w:rsid w:val="00527C9D"/>
    <w:rsid w:val="00530B48"/>
    <w:rsid w:val="00530FEA"/>
    <w:rsid w:val="00532476"/>
    <w:rsid w:val="00534013"/>
    <w:rsid w:val="005356D4"/>
    <w:rsid w:val="00544B6F"/>
    <w:rsid w:val="005765C7"/>
    <w:rsid w:val="0058000D"/>
    <w:rsid w:val="00581FD6"/>
    <w:rsid w:val="005B6B29"/>
    <w:rsid w:val="005C6F1C"/>
    <w:rsid w:val="005F0283"/>
    <w:rsid w:val="00612DB3"/>
    <w:rsid w:val="00623FB4"/>
    <w:rsid w:val="006262C9"/>
    <w:rsid w:val="00635C8E"/>
    <w:rsid w:val="0063770B"/>
    <w:rsid w:val="006410AE"/>
    <w:rsid w:val="00641572"/>
    <w:rsid w:val="00651C67"/>
    <w:rsid w:val="006562DB"/>
    <w:rsid w:val="00656D34"/>
    <w:rsid w:val="006842AB"/>
    <w:rsid w:val="00696E6A"/>
    <w:rsid w:val="006A4380"/>
    <w:rsid w:val="006A4CB9"/>
    <w:rsid w:val="006B771A"/>
    <w:rsid w:val="006C334B"/>
    <w:rsid w:val="006F3709"/>
    <w:rsid w:val="007033F7"/>
    <w:rsid w:val="00734C9E"/>
    <w:rsid w:val="00762ACA"/>
    <w:rsid w:val="0076408F"/>
    <w:rsid w:val="00767749"/>
    <w:rsid w:val="00770EEA"/>
    <w:rsid w:val="007753BA"/>
    <w:rsid w:val="00775B84"/>
    <w:rsid w:val="007774F8"/>
    <w:rsid w:val="0079008F"/>
    <w:rsid w:val="007A35F6"/>
    <w:rsid w:val="007B053A"/>
    <w:rsid w:val="007C52E5"/>
    <w:rsid w:val="007C5F79"/>
    <w:rsid w:val="007D0750"/>
    <w:rsid w:val="007D16A4"/>
    <w:rsid w:val="007D2AA9"/>
    <w:rsid w:val="007E0DEE"/>
    <w:rsid w:val="007F0729"/>
    <w:rsid w:val="008053B7"/>
    <w:rsid w:val="008105B2"/>
    <w:rsid w:val="00813EED"/>
    <w:rsid w:val="00824634"/>
    <w:rsid w:val="00824C6B"/>
    <w:rsid w:val="00825812"/>
    <w:rsid w:val="008349B3"/>
    <w:rsid w:val="00834A2D"/>
    <w:rsid w:val="0083568C"/>
    <w:rsid w:val="00846F7D"/>
    <w:rsid w:val="00856B69"/>
    <w:rsid w:val="00863F77"/>
    <w:rsid w:val="00864DC1"/>
    <w:rsid w:val="00865907"/>
    <w:rsid w:val="00871017"/>
    <w:rsid w:val="008741BB"/>
    <w:rsid w:val="00883C0A"/>
    <w:rsid w:val="00886641"/>
    <w:rsid w:val="008908FC"/>
    <w:rsid w:val="008A1C67"/>
    <w:rsid w:val="008B71DB"/>
    <w:rsid w:val="008C6318"/>
    <w:rsid w:val="008D27F4"/>
    <w:rsid w:val="008E4926"/>
    <w:rsid w:val="008E7AA0"/>
    <w:rsid w:val="008F4F49"/>
    <w:rsid w:val="009318B8"/>
    <w:rsid w:val="009462E5"/>
    <w:rsid w:val="009563E8"/>
    <w:rsid w:val="009A5026"/>
    <w:rsid w:val="009B091D"/>
    <w:rsid w:val="009C09D8"/>
    <w:rsid w:val="009E1E59"/>
    <w:rsid w:val="009E262A"/>
    <w:rsid w:val="009F7B84"/>
    <w:rsid w:val="00A11AC1"/>
    <w:rsid w:val="00A330ED"/>
    <w:rsid w:val="00A40512"/>
    <w:rsid w:val="00A44D74"/>
    <w:rsid w:val="00A54964"/>
    <w:rsid w:val="00A574A9"/>
    <w:rsid w:val="00A83A9B"/>
    <w:rsid w:val="00AA42DB"/>
    <w:rsid w:val="00AA7025"/>
    <w:rsid w:val="00AD1B7E"/>
    <w:rsid w:val="00AD379D"/>
    <w:rsid w:val="00AE7557"/>
    <w:rsid w:val="00AF3E38"/>
    <w:rsid w:val="00B07860"/>
    <w:rsid w:val="00B13423"/>
    <w:rsid w:val="00B218CC"/>
    <w:rsid w:val="00B316F3"/>
    <w:rsid w:val="00B7182E"/>
    <w:rsid w:val="00B76F10"/>
    <w:rsid w:val="00B96660"/>
    <w:rsid w:val="00BA2589"/>
    <w:rsid w:val="00BA768D"/>
    <w:rsid w:val="00BB1369"/>
    <w:rsid w:val="00BC23BE"/>
    <w:rsid w:val="00BE379F"/>
    <w:rsid w:val="00BF14CF"/>
    <w:rsid w:val="00BF4CFA"/>
    <w:rsid w:val="00C148D5"/>
    <w:rsid w:val="00C2711B"/>
    <w:rsid w:val="00C43F4C"/>
    <w:rsid w:val="00C60E99"/>
    <w:rsid w:val="00C67C9D"/>
    <w:rsid w:val="00C737EA"/>
    <w:rsid w:val="00CA1D86"/>
    <w:rsid w:val="00CD3FD9"/>
    <w:rsid w:val="00CD61CC"/>
    <w:rsid w:val="00CF0E45"/>
    <w:rsid w:val="00CF2BF7"/>
    <w:rsid w:val="00D00DC6"/>
    <w:rsid w:val="00D17551"/>
    <w:rsid w:val="00D27E92"/>
    <w:rsid w:val="00D30DD8"/>
    <w:rsid w:val="00D53F27"/>
    <w:rsid w:val="00D732C7"/>
    <w:rsid w:val="00D733F1"/>
    <w:rsid w:val="00D9435D"/>
    <w:rsid w:val="00D9563B"/>
    <w:rsid w:val="00DB6570"/>
    <w:rsid w:val="00DC5960"/>
    <w:rsid w:val="00DD7791"/>
    <w:rsid w:val="00DE3314"/>
    <w:rsid w:val="00DE7F02"/>
    <w:rsid w:val="00E11B99"/>
    <w:rsid w:val="00E1686A"/>
    <w:rsid w:val="00E37109"/>
    <w:rsid w:val="00E703C2"/>
    <w:rsid w:val="00E82006"/>
    <w:rsid w:val="00E86411"/>
    <w:rsid w:val="00E91097"/>
    <w:rsid w:val="00E9485D"/>
    <w:rsid w:val="00EB5A7D"/>
    <w:rsid w:val="00EC5704"/>
    <w:rsid w:val="00EE1C5C"/>
    <w:rsid w:val="00EE46A2"/>
    <w:rsid w:val="00EE765D"/>
    <w:rsid w:val="00F41A91"/>
    <w:rsid w:val="00F453F4"/>
    <w:rsid w:val="00F577A7"/>
    <w:rsid w:val="00F63D60"/>
    <w:rsid w:val="00F74620"/>
    <w:rsid w:val="00F81B65"/>
    <w:rsid w:val="00F85BA5"/>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6016">
      <w:bodyDiv w:val="1"/>
      <w:marLeft w:val="0"/>
      <w:marRight w:val="0"/>
      <w:marTop w:val="0"/>
      <w:marBottom w:val="0"/>
      <w:divBdr>
        <w:top w:val="none" w:sz="0" w:space="0" w:color="auto"/>
        <w:left w:val="none" w:sz="0" w:space="0" w:color="auto"/>
        <w:bottom w:val="none" w:sz="0" w:space="0" w:color="auto"/>
        <w:right w:val="none" w:sz="0" w:space="0" w:color="auto"/>
      </w:divBdr>
    </w:div>
    <w:div w:id="148327312">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66452554">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16227436">
      <w:bodyDiv w:val="1"/>
      <w:marLeft w:val="0"/>
      <w:marRight w:val="0"/>
      <w:marTop w:val="0"/>
      <w:marBottom w:val="0"/>
      <w:divBdr>
        <w:top w:val="none" w:sz="0" w:space="0" w:color="auto"/>
        <w:left w:val="none" w:sz="0" w:space="0" w:color="auto"/>
        <w:bottom w:val="none" w:sz="0" w:space="0" w:color="auto"/>
        <w:right w:val="none" w:sz="0" w:space="0" w:color="auto"/>
      </w:divBdr>
    </w:div>
    <w:div w:id="1439250243">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351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C4A3C2F-40DA-4352-81B2-E4540E81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2016-08-25T11:56:00Z</dcterms:created>
  <dcterms:modified xsi:type="dcterms:W3CDTF">2016-08-25T11:56:00Z</dcterms:modified>
</cp:coreProperties>
</file>