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C2711B" w:rsidRPr="004873D9" w14:paraId="7204B441" w14:textId="77777777" w:rsidTr="00C2711B">
        <w:trPr>
          <w:trHeight w:val="600"/>
          <w:jc w:val="center"/>
        </w:trPr>
        <w:tc>
          <w:tcPr>
            <w:tcW w:w="3220" w:type="dxa"/>
            <w:vMerge w:val="restart"/>
            <w:tcBorders>
              <w:top w:val="nil"/>
              <w:left w:val="single" w:sz="4" w:space="0" w:color="auto"/>
              <w:right w:val="single" w:sz="4" w:space="0" w:color="auto"/>
            </w:tcBorders>
            <w:shd w:val="clear" w:color="000000" w:fill="F2DCDB"/>
            <w:hideMark/>
          </w:tcPr>
          <w:p w14:paraId="37E1FA4F" w14:textId="77777777" w:rsidR="00C2711B" w:rsidRPr="004873D9" w:rsidRDefault="00C2711B" w:rsidP="00C2711B">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4. Rubella/CRS Elimination</w:t>
            </w:r>
          </w:p>
        </w:tc>
        <w:tc>
          <w:tcPr>
            <w:tcW w:w="3900" w:type="dxa"/>
            <w:tcBorders>
              <w:top w:val="nil"/>
              <w:left w:val="nil"/>
              <w:bottom w:val="single" w:sz="4" w:space="0" w:color="auto"/>
              <w:right w:val="single" w:sz="4" w:space="0" w:color="auto"/>
            </w:tcBorders>
            <w:shd w:val="clear" w:color="000000" w:fill="F2DCDB"/>
            <w:vAlign w:val="center"/>
            <w:hideMark/>
          </w:tcPr>
          <w:p w14:paraId="734C8A1A" w14:textId="77777777" w:rsidR="00C2711B" w:rsidRPr="004873D9" w:rsidRDefault="00AD1B7E" w:rsidP="00AD1B7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Rubella vaccine c</w:t>
            </w:r>
            <w:r w:rsidR="00C2711B" w:rsidRPr="004873D9">
              <w:rPr>
                <w:rFonts w:ascii="Calibri" w:eastAsia="Times New Roman" w:hAnsi="Calibri" w:cs="Calibri"/>
                <w:b/>
                <w:bCs/>
                <w:color w:val="000000"/>
                <w:lang w:eastAsia="en-GB"/>
              </w:rPr>
              <w:t xml:space="preserve">overage  </w:t>
            </w:r>
          </w:p>
        </w:tc>
        <w:tc>
          <w:tcPr>
            <w:tcW w:w="2300" w:type="dxa"/>
            <w:tcBorders>
              <w:top w:val="nil"/>
              <w:left w:val="nil"/>
              <w:bottom w:val="single" w:sz="4" w:space="0" w:color="auto"/>
              <w:right w:val="single" w:sz="4" w:space="0" w:color="auto"/>
            </w:tcBorders>
            <w:shd w:val="clear" w:color="000000" w:fill="FF0000"/>
            <w:vAlign w:val="center"/>
            <w:hideMark/>
          </w:tcPr>
          <w:p w14:paraId="5A5B0CBE" w14:textId="77777777" w:rsidR="00C2711B" w:rsidRPr="004873D9" w:rsidRDefault="00AD1B7E" w:rsidP="00AD1B7E">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Vaccine n</w:t>
            </w:r>
            <w:r w:rsidR="00C2711B" w:rsidRPr="004873D9">
              <w:rPr>
                <w:rFonts w:ascii="Calibri" w:eastAsia="Times New Roman" w:hAnsi="Calibri" w:cs="Calibri"/>
                <w:b/>
                <w:bCs/>
                <w:color w:val="000000"/>
                <w:lang w:eastAsia="en-GB"/>
              </w:rPr>
              <w:t>ot introduced</w:t>
            </w:r>
          </w:p>
        </w:tc>
      </w:tr>
      <w:tr w:rsidR="00C2711B" w:rsidRPr="004873D9" w14:paraId="546B6279" w14:textId="77777777" w:rsidTr="00886641">
        <w:trPr>
          <w:trHeight w:val="300"/>
          <w:jc w:val="center"/>
        </w:trPr>
        <w:tc>
          <w:tcPr>
            <w:tcW w:w="3220" w:type="dxa"/>
            <w:vMerge/>
            <w:tcBorders>
              <w:left w:val="single" w:sz="4" w:space="0" w:color="auto"/>
              <w:bottom w:val="single" w:sz="4" w:space="0" w:color="auto"/>
              <w:right w:val="single" w:sz="4" w:space="0" w:color="auto"/>
            </w:tcBorders>
            <w:shd w:val="clear" w:color="000000" w:fill="F2DCDB"/>
            <w:vAlign w:val="center"/>
            <w:hideMark/>
          </w:tcPr>
          <w:p w14:paraId="39841CA5" w14:textId="77777777" w:rsidR="00C2711B" w:rsidRPr="004873D9" w:rsidRDefault="00C2711B" w:rsidP="00C2711B">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F2DCDB"/>
            <w:vAlign w:val="center"/>
            <w:hideMark/>
          </w:tcPr>
          <w:p w14:paraId="1C4BC9AC" w14:textId="77777777" w:rsidR="00C2711B" w:rsidRPr="004873D9" w:rsidRDefault="00C2711B"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SIAs planned?</w:t>
            </w:r>
          </w:p>
        </w:tc>
        <w:tc>
          <w:tcPr>
            <w:tcW w:w="2300" w:type="dxa"/>
            <w:tcBorders>
              <w:top w:val="nil"/>
              <w:left w:val="nil"/>
              <w:bottom w:val="single" w:sz="4" w:space="0" w:color="auto"/>
              <w:right w:val="single" w:sz="4" w:space="0" w:color="auto"/>
            </w:tcBorders>
            <w:shd w:val="clear" w:color="000000" w:fill="00B050"/>
            <w:vAlign w:val="center"/>
            <w:hideMark/>
          </w:tcPr>
          <w:p w14:paraId="22849C42" w14:textId="77777777" w:rsidR="00C2711B" w:rsidRPr="004873D9" w:rsidRDefault="00C2711B"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SIAs planned for 2017</w:t>
            </w:r>
          </w:p>
        </w:tc>
      </w:tr>
    </w:tbl>
    <w:p w14:paraId="5DFFFAE7" w14:textId="77777777" w:rsidR="006A4CB9" w:rsidRPr="006A4CB9" w:rsidRDefault="006A4CB9" w:rsidP="00696E6A">
      <w:pPr>
        <w:rPr>
          <w:rFonts w:ascii="Arial" w:hAnsi="Arial" w:cs="Arial"/>
          <w:b/>
        </w:rPr>
      </w:pPr>
      <w:r w:rsidRPr="006A4CB9">
        <w:rPr>
          <w:rFonts w:ascii="Arial" w:hAnsi="Arial" w:cs="Arial"/>
          <w:b/>
        </w:rPr>
        <w:t>Rubella</w:t>
      </w:r>
    </w:p>
    <w:p w14:paraId="58403665" w14:textId="57BCFB83" w:rsidR="006A4CB9" w:rsidRDefault="006A4CB9" w:rsidP="00696E6A">
      <w:pPr>
        <w:rPr>
          <w:rFonts w:ascii="Arial" w:hAnsi="Arial" w:cs="Arial"/>
        </w:rPr>
      </w:pPr>
      <w:r>
        <w:rPr>
          <w:rFonts w:ascii="Arial" w:hAnsi="Arial" w:cs="Arial"/>
        </w:rPr>
        <w:t>Rubella has also not been eliminated in DRC and rubella vaccine is not yet used in the public sector. Sentinel site surveillance for rubella – in the same three sites where rotavirus and bacterial meningitis surveillance is taking place – has just begun. However, for several years, blood samples of suspected measles cases that test negative for measles are tested for rubella and the number of positive rubella cases found each year through this testing has more than doubled in five years – from 320 in 2011</w:t>
      </w:r>
      <w:r w:rsidR="00112FEE">
        <w:rPr>
          <w:rFonts w:ascii="Arial" w:hAnsi="Arial" w:cs="Arial"/>
        </w:rPr>
        <w:t xml:space="preserve"> to more than 760 in both 2013 and 2014. Few cases of CRS have been detected, however. The sentinel site surveillance should provide better estimates of rubella and CRS incidence.</w:t>
      </w:r>
    </w:p>
    <w:p w14:paraId="20435272" w14:textId="07783066" w:rsidR="00112FEE" w:rsidRDefault="00112FEE" w:rsidP="00696E6A">
      <w:pPr>
        <w:rPr>
          <w:rFonts w:ascii="Arial" w:hAnsi="Arial" w:cs="Arial"/>
        </w:rPr>
      </w:pPr>
      <w:r>
        <w:rPr>
          <w:rFonts w:ascii="Arial" w:hAnsi="Arial" w:cs="Arial"/>
        </w:rPr>
        <w:t xml:space="preserve">The 2015-2019 </w:t>
      </w:r>
      <w:proofErr w:type="spellStart"/>
      <w:r>
        <w:rPr>
          <w:rFonts w:ascii="Arial" w:hAnsi="Arial" w:cs="Arial"/>
        </w:rPr>
        <w:t>cMYP</w:t>
      </w:r>
      <w:proofErr w:type="spellEnd"/>
      <w:r>
        <w:rPr>
          <w:rFonts w:ascii="Arial" w:hAnsi="Arial" w:cs="Arial"/>
        </w:rPr>
        <w:t xml:space="preserve"> calls for the immunization program to conduct measles-rubella vaccination campaigns in 2017, followed by the introduction of two MR doses in the routine schedule in 2018. Activities have yet to take place (as of mid-July 2016) to apply for GAVI funding for the SIAs.</w:t>
      </w:r>
    </w:p>
    <w:p w14:paraId="5D68CBF0" w14:textId="4F12AA22" w:rsidR="009E262A" w:rsidRPr="00BA768D" w:rsidRDefault="009E262A" w:rsidP="00BA768D">
      <w:pPr>
        <w:rPr>
          <w:rFonts w:ascii="Arial" w:hAnsi="Arial" w:cs="Arial"/>
        </w:rPr>
      </w:pPr>
      <w:r w:rsidRPr="00BA768D">
        <w:rPr>
          <w:rFonts w:ascii="Arial" w:hAnsi="Arial" w:cs="Arial"/>
          <w:b/>
          <w:sz w:val="24"/>
        </w:rPr>
        <w:br w:type="page"/>
      </w:r>
    </w:p>
    <w:p w14:paraId="30AA08B3" w14:textId="0A5D50A6"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71AF2B5F" w14:textId="77777777" w:rsidR="002C45C4" w:rsidRDefault="002C45C4" w:rsidP="002C45C4">
      <w:pPr>
        <w:pStyle w:val="Caption"/>
        <w:rPr>
          <w:rFonts w:ascii="Arial" w:hAnsi="Arial" w:cs="Arial"/>
          <w:color w:val="auto"/>
          <w:sz w:val="22"/>
        </w:rPr>
      </w:pPr>
      <w:r w:rsidRPr="002C45C4">
        <w:rPr>
          <w:rFonts w:ascii="Arial" w:hAnsi="Arial" w:cs="Arial"/>
          <w:color w:val="auto"/>
          <w:sz w:val="22"/>
        </w:rPr>
        <w:t xml:space="preserve">Figure </w:t>
      </w:r>
      <w:r w:rsidRPr="002C45C4">
        <w:rPr>
          <w:rFonts w:ascii="Arial" w:hAnsi="Arial" w:cs="Arial"/>
          <w:color w:val="auto"/>
          <w:sz w:val="22"/>
        </w:rPr>
        <w:fldChar w:fldCharType="begin"/>
      </w:r>
      <w:r w:rsidRPr="002C45C4">
        <w:rPr>
          <w:rFonts w:ascii="Arial" w:hAnsi="Arial" w:cs="Arial"/>
          <w:color w:val="auto"/>
          <w:sz w:val="22"/>
        </w:rPr>
        <w:instrText xml:space="preserve"> SEQ Figure \* ARABIC </w:instrText>
      </w:r>
      <w:r w:rsidRPr="002C45C4">
        <w:rPr>
          <w:rFonts w:ascii="Arial" w:hAnsi="Arial" w:cs="Arial"/>
          <w:color w:val="auto"/>
          <w:sz w:val="22"/>
        </w:rPr>
        <w:fldChar w:fldCharType="separate"/>
      </w:r>
      <w:r w:rsidRPr="002C45C4">
        <w:rPr>
          <w:rFonts w:ascii="Arial" w:hAnsi="Arial" w:cs="Arial"/>
          <w:color w:val="auto"/>
          <w:sz w:val="22"/>
        </w:rPr>
        <w:t>5</w:t>
      </w:r>
      <w:r w:rsidRPr="002C45C4">
        <w:rPr>
          <w:rFonts w:ascii="Arial" w:hAnsi="Arial" w:cs="Arial"/>
          <w:color w:val="auto"/>
          <w:sz w:val="22"/>
        </w:rPr>
        <w:fldChar w:fldCharType="end"/>
      </w:r>
      <w:r w:rsidRPr="002C45C4">
        <w:rPr>
          <w:rFonts w:ascii="Arial" w:hAnsi="Arial" w:cs="Arial"/>
          <w:color w:val="auto"/>
          <w:sz w:val="22"/>
        </w:rPr>
        <w:t>: All vaccines national coverage, DRC, 2000-2015</w:t>
      </w:r>
    </w:p>
    <w:p w14:paraId="3E2E53B2" w14:textId="05D23A51" w:rsidR="00457E0A" w:rsidRPr="001E3C74" w:rsidRDefault="002C45C4" w:rsidP="001E3C74">
      <w:pPr>
        <w:pStyle w:val="Caption"/>
        <w:jc w:val="center"/>
        <w:rPr>
          <w:rFonts w:ascii="Arial" w:hAnsi="Arial" w:cs="Arial"/>
          <w:b w:val="0"/>
          <w:bCs w:val="0"/>
        </w:rPr>
      </w:pPr>
      <w:r>
        <w:rPr>
          <w:rFonts w:ascii="Arial" w:hAnsi="Arial" w:cs="Arial"/>
          <w:noProof/>
          <w:color w:val="auto"/>
          <w:sz w:val="22"/>
          <w:lang w:eastAsia="zh-CN"/>
        </w:rPr>
        <w:drawing>
          <wp:inline distT="0" distB="0" distL="0" distR="0" wp14:anchorId="45D0BE6B" wp14:editId="7D87D23D">
            <wp:extent cx="4185814" cy="3057525"/>
            <wp:effectExtent l="0" t="0" r="5715" b="0"/>
            <wp:docPr id="14" name="Picture 14" descr="D:\data\GVAP Reports\2016\3. Scrore Cards 2016\jan visualizations DTP3 per country\Punch cards per country\dr c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dr co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5814" cy="3057525"/>
                    </a:xfrm>
                    <a:prstGeom prst="rect">
                      <a:avLst/>
                    </a:prstGeom>
                    <a:noFill/>
                    <a:ln>
                      <a:noFill/>
                    </a:ln>
                  </pic:spPr>
                </pic:pic>
              </a:graphicData>
            </a:graphic>
          </wp:inline>
        </w:drawing>
      </w:r>
      <w:r w:rsidR="007774F8">
        <w:rPr>
          <w:rFonts w:ascii="Arial" w:hAnsi="Arial" w:cs="Arial"/>
          <w:noProof/>
          <w:color w:val="auto"/>
          <w:sz w:val="22"/>
          <w:szCs w:val="22"/>
          <w:lang w:eastAsia="zh-CN"/>
        </w:rPr>
        <w:drawing>
          <wp:inline distT="0" distB="0" distL="0" distR="0" wp14:anchorId="287A4BA4" wp14:editId="76B487D9">
            <wp:extent cx="4181475" cy="963900"/>
            <wp:effectExtent l="0" t="0" r="0" b="8255"/>
            <wp:docPr id="11" name="Picture 11"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23" cy="963473"/>
                    </a:xfrm>
                    <a:prstGeom prst="rect">
                      <a:avLst/>
                    </a:prstGeom>
                    <a:noFill/>
                    <a:ln>
                      <a:noFill/>
                    </a:ln>
                  </pic:spPr>
                </pic:pic>
              </a:graphicData>
            </a:graphic>
          </wp:inline>
        </w:drawing>
      </w:r>
      <w:bookmarkStart w:id="0" w:name="_GoBack"/>
      <w:bookmarkEnd w:id="0"/>
    </w:p>
    <w:sectPr w:rsidR="00457E0A" w:rsidRPr="001E3C74" w:rsidSect="00A54964">
      <w:footerReference w:type="default" r:id="rId11"/>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F983C" w14:textId="77777777" w:rsidR="005E3C48" w:rsidRDefault="005E3C48">
      <w:pPr>
        <w:spacing w:after="0" w:line="240" w:lineRule="auto"/>
      </w:pPr>
      <w:r>
        <w:separator/>
      </w:r>
    </w:p>
  </w:endnote>
  <w:endnote w:type="continuationSeparator" w:id="0">
    <w:p w14:paraId="77BC843F" w14:textId="77777777" w:rsidR="005E3C48" w:rsidRDefault="005E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1E3C74">
          <w:rPr>
            <w:noProof/>
          </w:rPr>
          <w:t>2</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E338A" w14:textId="77777777" w:rsidR="005E3C48" w:rsidRDefault="005E3C48">
      <w:pPr>
        <w:spacing w:after="0" w:line="240" w:lineRule="auto"/>
      </w:pPr>
      <w:r>
        <w:separator/>
      </w:r>
    </w:p>
  </w:footnote>
  <w:footnote w:type="continuationSeparator" w:id="0">
    <w:p w14:paraId="58A75D7D" w14:textId="77777777" w:rsidR="005E3C48" w:rsidRDefault="005E3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44801"/>
    <w:rsid w:val="00157C23"/>
    <w:rsid w:val="00163179"/>
    <w:rsid w:val="001A33B2"/>
    <w:rsid w:val="001B0097"/>
    <w:rsid w:val="001C1193"/>
    <w:rsid w:val="001C1E4D"/>
    <w:rsid w:val="001C28AB"/>
    <w:rsid w:val="001C5026"/>
    <w:rsid w:val="001D1D41"/>
    <w:rsid w:val="001D336C"/>
    <w:rsid w:val="001D6E48"/>
    <w:rsid w:val="001E1094"/>
    <w:rsid w:val="001E10B1"/>
    <w:rsid w:val="001E3C74"/>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B6F84"/>
    <w:rsid w:val="003C49D6"/>
    <w:rsid w:val="003D24BB"/>
    <w:rsid w:val="003D6679"/>
    <w:rsid w:val="003E30EC"/>
    <w:rsid w:val="003F4825"/>
    <w:rsid w:val="0040083F"/>
    <w:rsid w:val="00432B70"/>
    <w:rsid w:val="00436537"/>
    <w:rsid w:val="0044011A"/>
    <w:rsid w:val="00441EDC"/>
    <w:rsid w:val="00444AD2"/>
    <w:rsid w:val="00457E0A"/>
    <w:rsid w:val="004826EF"/>
    <w:rsid w:val="004873D9"/>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E3C48"/>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9704A"/>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22C7ECB-4EB1-49FB-BA96-3116486A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2016-08-25T12:06:00Z</dcterms:created>
  <dcterms:modified xsi:type="dcterms:W3CDTF">2016-08-25T12:06:00Z</dcterms:modified>
</cp:coreProperties>
</file>