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61BEB" w14:textId="77777777" w:rsidR="006A1FAD" w:rsidRPr="00C27BB5" w:rsidRDefault="006A1FAD" w:rsidP="006A1FAD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3A69E36F" w14:textId="77777777" w:rsidR="006A1FAD" w:rsidRDefault="006A1FAD" w:rsidP="006A1FAD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0B46E3BB" w14:textId="77777777" w:rsidR="006A1FAD" w:rsidRDefault="006A1FAD" w:rsidP="006A1FA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399B3E92" w14:textId="77777777" w:rsidR="006A1FAD" w:rsidRPr="00C27BB5" w:rsidRDefault="006A1FAD" w:rsidP="006A1FA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13BC4560" w14:textId="77777777" w:rsidR="006A1FAD" w:rsidRDefault="006A1FAD" w:rsidP="006A1FAD">
      <w:pPr>
        <w:jc w:val="center"/>
        <w:rPr>
          <w:rFonts w:ascii="Arial" w:hAnsi="Arial"/>
          <w:b/>
          <w:sz w:val="32"/>
        </w:rPr>
      </w:pPr>
    </w:p>
    <w:p w14:paraId="38BE41A7" w14:textId="0A7E8711" w:rsidR="006A1FAD" w:rsidRDefault="006A1FAD" w:rsidP="006A1FAD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ETHIOPIA</w:t>
      </w:r>
    </w:p>
    <w:p w14:paraId="14D2E5E9" w14:textId="77777777" w:rsidR="006A1FAD" w:rsidRDefault="006A1FAD" w:rsidP="006A1FAD">
      <w:pPr>
        <w:jc w:val="center"/>
        <w:rPr>
          <w:rFonts w:ascii="Arial" w:hAnsi="Arial"/>
          <w:b/>
          <w:sz w:val="36"/>
        </w:rPr>
      </w:pPr>
    </w:p>
    <w:p w14:paraId="1BA8BDFA" w14:textId="77777777" w:rsidR="00ED73EE" w:rsidRPr="006140E6" w:rsidRDefault="00ED73EE" w:rsidP="00ED73E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  <w:lang w:val="en-US"/>
        </w:rPr>
      </w:pPr>
      <w:r w:rsidRPr="006140E6">
        <w:rPr>
          <w:rFonts w:ascii="Arial" w:hAnsi="Arial" w:cs="Arial"/>
          <w:b/>
          <w:sz w:val="26"/>
          <w:szCs w:val="26"/>
          <w:lang w:val="en-US"/>
        </w:rPr>
        <w:t xml:space="preserve">Progress towards achievement of GVAP goals </w:t>
      </w:r>
    </w:p>
    <w:p w14:paraId="338CD3E6" w14:textId="77777777" w:rsidR="00ED73EE" w:rsidRPr="006140E6" w:rsidRDefault="00ED73EE" w:rsidP="00ED73EE">
      <w:pPr>
        <w:pStyle w:val="ListParagraph"/>
        <w:rPr>
          <w:rFonts w:ascii="Arial" w:hAnsi="Arial" w:cs="Arial"/>
          <w:b/>
          <w:lang w:val="en-US"/>
        </w:rPr>
      </w:pPr>
    </w:p>
    <w:p w14:paraId="3CA9DB3F" w14:textId="77777777" w:rsidR="00ED73EE" w:rsidRPr="006140E6" w:rsidRDefault="00ED73EE" w:rsidP="00ED73E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6140E6">
        <w:rPr>
          <w:rFonts w:ascii="Arial" w:hAnsi="Arial" w:cs="Arial"/>
          <w:b/>
          <w:sz w:val="24"/>
          <w:szCs w:val="24"/>
          <w:lang w:val="en-US"/>
        </w:rPr>
        <w:t xml:space="preserve">Summary </w:t>
      </w:r>
    </w:p>
    <w:p w14:paraId="2A48FB84" w14:textId="178C6855" w:rsidR="00BA2589" w:rsidRPr="006140E6" w:rsidRDefault="00BA2589" w:rsidP="005B635F">
      <w:pPr>
        <w:rPr>
          <w:rFonts w:ascii="Arial" w:hAnsi="Arial" w:cs="Arial"/>
          <w:lang w:val="en-US"/>
        </w:rPr>
      </w:pPr>
      <w:r w:rsidRPr="006140E6">
        <w:rPr>
          <w:rFonts w:ascii="Arial" w:hAnsi="Arial" w:cs="Arial"/>
          <w:lang w:val="en-US"/>
        </w:rPr>
        <w:t xml:space="preserve">This </w:t>
      </w:r>
      <w:r w:rsidR="006C334B" w:rsidRPr="006140E6">
        <w:rPr>
          <w:rFonts w:ascii="Arial" w:hAnsi="Arial" w:cs="Arial"/>
          <w:lang w:val="en-US"/>
        </w:rPr>
        <w:t xml:space="preserve">summary table describes </w:t>
      </w:r>
      <w:r w:rsidRPr="006140E6">
        <w:rPr>
          <w:rFonts w:ascii="Arial" w:hAnsi="Arial" w:cs="Arial"/>
          <w:lang w:val="en-US"/>
        </w:rPr>
        <w:t xml:space="preserve">the current situation in </w:t>
      </w:r>
      <w:r w:rsidR="005B635F" w:rsidRPr="006140E6">
        <w:rPr>
          <w:rFonts w:ascii="Arial" w:hAnsi="Arial" w:cs="Arial"/>
          <w:lang w:val="en-US"/>
        </w:rPr>
        <w:t xml:space="preserve">Ethiopia </w:t>
      </w:r>
      <w:r w:rsidRPr="006140E6">
        <w:rPr>
          <w:rFonts w:ascii="Arial" w:hAnsi="Arial" w:cs="Arial"/>
          <w:lang w:val="en-US"/>
        </w:rPr>
        <w:t>regarding achieving the GVAP goals.</w:t>
      </w:r>
      <w:r w:rsidR="00492F98" w:rsidRPr="006140E6">
        <w:rPr>
          <w:rFonts w:ascii="Arial" w:hAnsi="Arial" w:cs="Arial"/>
          <w:lang w:val="en-US"/>
        </w:rPr>
        <w:t xml:space="preserve"> </w:t>
      </w:r>
      <w:r w:rsidR="00500171" w:rsidRPr="006140E6">
        <w:rPr>
          <w:rFonts w:ascii="Arial" w:hAnsi="Arial" w:cs="Arial"/>
          <w:lang w:val="en-US"/>
        </w:rPr>
        <w:t>D</w:t>
      </w:r>
      <w:r w:rsidR="00696E6A" w:rsidRPr="006140E6">
        <w:rPr>
          <w:rFonts w:ascii="Arial" w:hAnsi="Arial" w:cs="Arial"/>
          <w:lang w:val="en-US"/>
        </w:rPr>
        <w:t xml:space="preserve">ata </w:t>
      </w:r>
      <w:r w:rsidR="00E11B99" w:rsidRPr="006140E6">
        <w:rPr>
          <w:rFonts w:ascii="Arial" w:hAnsi="Arial" w:cs="Arial"/>
          <w:lang w:val="en-US"/>
        </w:rPr>
        <w:t xml:space="preserve">used to assess progress towards achievement of </w:t>
      </w:r>
      <w:r w:rsidR="00696E6A" w:rsidRPr="006140E6">
        <w:rPr>
          <w:rFonts w:ascii="Arial" w:hAnsi="Arial" w:cs="Arial"/>
          <w:lang w:val="en-US"/>
        </w:rPr>
        <w:t xml:space="preserve">GVAP goals are included in the annex (Country </w:t>
      </w:r>
      <w:r w:rsidR="00D00DC6" w:rsidRPr="006140E6">
        <w:rPr>
          <w:rFonts w:ascii="Arial" w:hAnsi="Arial" w:cs="Arial"/>
          <w:lang w:val="en-US"/>
        </w:rPr>
        <w:t xml:space="preserve">immunization </w:t>
      </w:r>
      <w:r w:rsidR="00696E6A" w:rsidRPr="006140E6">
        <w:rPr>
          <w:rFonts w:ascii="Arial" w:hAnsi="Arial" w:cs="Arial"/>
          <w:lang w:val="en-US"/>
        </w:rPr>
        <w:t>profile).</w:t>
      </w:r>
    </w:p>
    <w:tbl>
      <w:tblPr>
        <w:tblW w:w="9452" w:type="dxa"/>
        <w:jc w:val="center"/>
        <w:tblLook w:val="04A0" w:firstRow="1" w:lastRow="0" w:firstColumn="1" w:lastColumn="0" w:noHBand="0" w:noVBand="1"/>
      </w:tblPr>
      <w:tblGrid>
        <w:gridCol w:w="3220"/>
        <w:gridCol w:w="3767"/>
        <w:gridCol w:w="2465"/>
      </w:tblGrid>
      <w:tr w:rsidR="004331C0" w:rsidRPr="006140E6" w14:paraId="7A0A3041" w14:textId="77777777" w:rsidTr="00AD65EC">
        <w:trPr>
          <w:trHeight w:val="413"/>
          <w:tblHeader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61B40" w14:textId="77777777" w:rsidR="004331C0" w:rsidRPr="006140E6" w:rsidRDefault="004331C0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  <w:t>Area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0299C" w14:textId="77777777" w:rsidR="004331C0" w:rsidRPr="006140E6" w:rsidRDefault="004331C0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  <w:t>Indicator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85FA6" w14:textId="77777777" w:rsidR="004331C0" w:rsidRPr="006140E6" w:rsidRDefault="004331C0" w:rsidP="00352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  <w:t>Ethiopia</w:t>
            </w:r>
          </w:p>
        </w:tc>
      </w:tr>
      <w:tr w:rsidR="004331C0" w:rsidRPr="006140E6" w14:paraId="09463B80" w14:textId="77777777" w:rsidTr="00AD65EC">
        <w:trPr>
          <w:trHeight w:val="9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14:paraId="2546ABCD" w14:textId="1B8E0663" w:rsidR="004331C0" w:rsidRPr="006140E6" w:rsidRDefault="004331C0" w:rsidP="001461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 xml:space="preserve">10. Government expenditure on routine immunization per live birth </w:t>
            </w:r>
            <w:r w:rsidR="001461BD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(</w:t>
            </w: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US</w:t>
            </w:r>
            <w:r w:rsidR="001461BD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$)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hideMark/>
          </w:tcPr>
          <w:p w14:paraId="2339900C" w14:textId="60A1BFBC" w:rsidR="004331C0" w:rsidRPr="006140E6" w:rsidRDefault="00AD65EC" w:rsidP="00526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 xml:space="preserve">Average for 2013-15 </w:t>
            </w:r>
            <w:r w:rsidR="00526AA3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and 2010-2011</w:t>
            </w:r>
            <w:r w:rsidR="001461BD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 xml:space="preserve"> </w:t>
            </w: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(% change)</w:t>
            </w:r>
            <w:r w:rsidR="00071321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 xml:space="preserve"> (JFR 2015)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6BD2990B" w14:textId="44181B64" w:rsidR="004331C0" w:rsidRPr="006140E6" w:rsidRDefault="004331C0" w:rsidP="00526A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1</w:t>
            </w:r>
            <w:r w:rsidR="00526AA3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3</w:t>
            </w: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.8 to 1</w:t>
            </w:r>
            <w:r w:rsidR="00526AA3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1</w:t>
            </w: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.</w:t>
            </w:r>
            <w:r w:rsidR="00526AA3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5</w:t>
            </w: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 xml:space="preserve"> (-1</w:t>
            </w:r>
            <w:r w:rsidR="00526AA3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6</w:t>
            </w: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%)</w:t>
            </w:r>
          </w:p>
        </w:tc>
      </w:tr>
    </w:tbl>
    <w:p w14:paraId="0F2DC76F" w14:textId="1BEBE748" w:rsidR="00914A96" w:rsidRPr="00515073" w:rsidRDefault="00914A96" w:rsidP="00777C17">
      <w:pPr>
        <w:pStyle w:val="ListParagraph"/>
        <w:numPr>
          <w:ilvl w:val="1"/>
          <w:numId w:val="28"/>
        </w:numPr>
        <w:contextualSpacing w:val="0"/>
        <w:rPr>
          <w:rFonts w:ascii="Arial" w:hAnsi="Arial" w:cs="Arial"/>
          <w:b/>
          <w:lang w:val="en-US"/>
        </w:rPr>
      </w:pPr>
      <w:r w:rsidRPr="00515073">
        <w:rPr>
          <w:rFonts w:ascii="Arial" w:hAnsi="Arial" w:cs="Arial"/>
          <w:b/>
          <w:lang w:val="en-US"/>
        </w:rPr>
        <w:t>Government Financing of Immunization</w:t>
      </w:r>
    </w:p>
    <w:p w14:paraId="7D50710E" w14:textId="77777777" w:rsidR="00EE76C4" w:rsidRDefault="00777C17" w:rsidP="00EE76C4">
      <w:pPr>
        <w:pStyle w:val="ListParagraph"/>
        <w:ind w:left="0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Government has a pooled funding mechanism – the MDG Performance Fund</w:t>
      </w:r>
      <w:r>
        <w:rPr>
          <w:rStyle w:val="FootnoteReference"/>
          <w:rFonts w:ascii="Arial" w:hAnsi="Arial" w:cs="Arial"/>
          <w:lang w:val="en-US"/>
        </w:rPr>
        <w:footnoteReference w:id="1"/>
      </w:r>
      <w:r>
        <w:rPr>
          <w:rFonts w:ascii="Arial" w:hAnsi="Arial" w:cs="Arial"/>
          <w:lang w:val="en-US"/>
        </w:rPr>
        <w:t xml:space="preserve"> – into which funds from the Government and develop</w:t>
      </w:r>
      <w:r w:rsidR="00460D76">
        <w:rPr>
          <w:rFonts w:ascii="Arial" w:hAnsi="Arial" w:cs="Arial"/>
          <w:lang w:val="en-US"/>
        </w:rPr>
        <w:t>ment</w:t>
      </w:r>
      <w:r>
        <w:rPr>
          <w:rFonts w:ascii="Arial" w:hAnsi="Arial" w:cs="Arial"/>
          <w:lang w:val="en-US"/>
        </w:rPr>
        <w:t xml:space="preserve"> partners, including GAVI HSS funding – are </w:t>
      </w:r>
      <w:r w:rsidR="00460D76">
        <w:rPr>
          <w:rFonts w:ascii="Arial" w:hAnsi="Arial" w:cs="Arial"/>
          <w:lang w:val="en-US"/>
        </w:rPr>
        <w:t>placed to finance</w:t>
      </w:r>
      <w:r>
        <w:rPr>
          <w:rFonts w:ascii="Arial" w:hAnsi="Arial" w:cs="Arial"/>
          <w:lang w:val="en-US"/>
        </w:rPr>
        <w:t xml:space="preserve"> </w:t>
      </w:r>
      <w:r w:rsidR="00460D76">
        <w:rPr>
          <w:rFonts w:ascii="Arial" w:hAnsi="Arial" w:cs="Arial"/>
          <w:lang w:val="en-US"/>
        </w:rPr>
        <w:t xml:space="preserve">health programs and </w:t>
      </w:r>
      <w:r>
        <w:rPr>
          <w:rFonts w:ascii="Arial" w:hAnsi="Arial" w:cs="Arial"/>
          <w:lang w:val="en-US"/>
        </w:rPr>
        <w:t xml:space="preserve">health </w:t>
      </w:r>
      <w:r w:rsidR="00460D76">
        <w:rPr>
          <w:rFonts w:ascii="Arial" w:hAnsi="Arial" w:cs="Arial"/>
          <w:lang w:val="en-US"/>
        </w:rPr>
        <w:t>system strengthening. The Fund, established as part of the country’s Joint Financing Arrangement (under the IHP+), in an effort to simplify budgetary and financial management by having one plan, one budget, and one reporting mechanism to which all developmental partners agree.</w:t>
      </w:r>
      <w:r>
        <w:rPr>
          <w:rFonts w:ascii="Arial" w:hAnsi="Arial" w:cs="Arial"/>
          <w:lang w:val="en-US"/>
        </w:rPr>
        <w:t xml:space="preserve"> </w:t>
      </w:r>
    </w:p>
    <w:p w14:paraId="7B695A34" w14:textId="0847BCE4" w:rsidR="001F4121" w:rsidRDefault="00460D76" w:rsidP="00F045B5">
      <w:pPr>
        <w:pStyle w:val="ListParagraph"/>
        <w:ind w:left="0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2014/15, the </w:t>
      </w:r>
      <w:r w:rsidR="001461BD">
        <w:rPr>
          <w:rFonts w:ascii="Arial" w:hAnsi="Arial" w:cs="Arial"/>
          <w:lang w:val="en-US"/>
        </w:rPr>
        <w:t>federal G</w:t>
      </w:r>
      <w:r>
        <w:rPr>
          <w:rFonts w:ascii="Arial" w:hAnsi="Arial" w:cs="Arial"/>
          <w:lang w:val="en-US"/>
        </w:rPr>
        <w:t>overnment paid for 63% of the costs of procuring traditional vaccines ($1.8 million out of $2.9 million), using Government and MDG funds, while UNICEF paid for the remaining 37%.</w:t>
      </w:r>
      <w:r w:rsidR="001461BD">
        <w:rPr>
          <w:rStyle w:val="FootnoteReference"/>
          <w:rFonts w:ascii="Arial" w:hAnsi="Arial" w:cs="Arial"/>
          <w:lang w:val="en-US"/>
        </w:rPr>
        <w:footnoteReference w:id="2"/>
      </w:r>
      <w:r>
        <w:rPr>
          <w:rFonts w:ascii="Arial" w:hAnsi="Arial" w:cs="Arial"/>
          <w:lang w:val="en-US"/>
        </w:rPr>
        <w:t xml:space="preserve"> A budget line it</w:t>
      </w:r>
      <w:r w:rsidR="004A106A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>m now exists for vaccine purchases, including co-financing of the new vaccines that Ethiopia has introduced</w:t>
      </w:r>
      <w:r w:rsidR="004A106A">
        <w:rPr>
          <w:rFonts w:ascii="Arial" w:hAnsi="Arial" w:cs="Arial"/>
          <w:lang w:val="en-US"/>
        </w:rPr>
        <w:t xml:space="preserve"> with GAVI support. While the Government still does not cover 100% of the cost of procuring traditional vaccines, it has to date </w:t>
      </w:r>
      <w:r w:rsidR="00F045B5">
        <w:rPr>
          <w:rFonts w:ascii="Arial" w:hAnsi="Arial" w:cs="Arial"/>
          <w:lang w:val="en-US"/>
        </w:rPr>
        <w:t xml:space="preserve">met </w:t>
      </w:r>
      <w:r w:rsidR="004A106A">
        <w:rPr>
          <w:rFonts w:ascii="Arial" w:hAnsi="Arial" w:cs="Arial"/>
          <w:lang w:val="en-US"/>
        </w:rPr>
        <w:t xml:space="preserve">its co-financing obligations to GAVI for new vaccines, without once being in arrears or default. These obligations have grown substantially </w:t>
      </w:r>
      <w:r w:rsidR="00EE76C4">
        <w:rPr>
          <w:rFonts w:ascii="Arial" w:hAnsi="Arial" w:cs="Arial"/>
          <w:lang w:val="en-US"/>
        </w:rPr>
        <w:t xml:space="preserve">in the past five years </w:t>
      </w:r>
      <w:r w:rsidR="004A106A">
        <w:rPr>
          <w:rFonts w:ascii="Arial" w:hAnsi="Arial" w:cs="Arial"/>
          <w:lang w:val="en-US"/>
        </w:rPr>
        <w:t>as</w:t>
      </w:r>
      <w:r w:rsidR="00EE76C4">
        <w:rPr>
          <w:rFonts w:ascii="Arial" w:hAnsi="Arial" w:cs="Arial"/>
          <w:lang w:val="en-US"/>
        </w:rPr>
        <w:t xml:space="preserve"> new vaccines </w:t>
      </w:r>
      <w:r w:rsidR="00EE76C4">
        <w:rPr>
          <w:rFonts w:ascii="Arial" w:hAnsi="Arial" w:cs="Arial"/>
          <w:lang w:val="en-US"/>
        </w:rPr>
        <w:lastRenderedPageBreak/>
        <w:t>have been added to the EPI</w:t>
      </w:r>
      <w:r w:rsidR="001461BD">
        <w:rPr>
          <w:rFonts w:ascii="Arial" w:hAnsi="Arial" w:cs="Arial"/>
          <w:lang w:val="en-US"/>
        </w:rPr>
        <w:t>. By</w:t>
      </w:r>
      <w:r w:rsidR="00EE76C4">
        <w:rPr>
          <w:rFonts w:ascii="Arial" w:hAnsi="Arial" w:cs="Arial"/>
          <w:lang w:val="en-US"/>
        </w:rPr>
        <w:t xml:space="preserve"> 2015, co-financing totaled $6.2 million, or 77% of the Government’s total expenditures for vaccines, with traditional vaccines making up the remaini</w:t>
      </w:r>
      <w:r w:rsidR="001F4121">
        <w:rPr>
          <w:rFonts w:ascii="Arial" w:hAnsi="Arial" w:cs="Arial"/>
          <w:lang w:val="en-US"/>
        </w:rPr>
        <w:t>ng 23%.</w:t>
      </w:r>
      <w:r w:rsidR="001461BD">
        <w:rPr>
          <w:rStyle w:val="FootnoteReference"/>
          <w:rFonts w:ascii="Arial" w:hAnsi="Arial" w:cs="Arial"/>
          <w:lang w:val="en-US"/>
        </w:rPr>
        <w:footnoteReference w:id="3"/>
      </w:r>
      <w:r w:rsidR="001F4121">
        <w:rPr>
          <w:rFonts w:ascii="Arial" w:hAnsi="Arial" w:cs="Arial"/>
          <w:lang w:val="en-US"/>
        </w:rPr>
        <w:t xml:space="preserve"> </w:t>
      </w:r>
    </w:p>
    <w:p w14:paraId="7B3681B9" w14:textId="13B1510E" w:rsidR="00914A96" w:rsidRPr="006140E6" w:rsidRDefault="00EE76C4" w:rsidP="00EE76C4">
      <w:pPr>
        <w:pStyle w:val="ListParagraph"/>
        <w:ind w:left="0"/>
        <w:contextualSpacing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Of the total expenditures for vaccines used </w:t>
      </w:r>
      <w:r w:rsidR="00D664AC">
        <w:rPr>
          <w:rFonts w:ascii="Arial" w:hAnsi="Arial" w:cs="Arial"/>
          <w:lang w:val="en-US"/>
        </w:rPr>
        <w:t>by</w:t>
      </w:r>
      <w:r>
        <w:rPr>
          <w:rFonts w:ascii="Arial" w:hAnsi="Arial" w:cs="Arial"/>
          <w:lang w:val="en-US"/>
        </w:rPr>
        <w:t xml:space="preserve"> the Ethiopian immunization program, including GAVI support, the Government’s contribution for vaccine purchases increased from 5% in 2010 to 14% by 2015 – mainly due to co-financing. The Government paid for 33% of the overall national EPI budget in 2014/15, including staff salaries and other operational costs</w:t>
      </w:r>
      <w:r w:rsidR="00D664AC">
        <w:rPr>
          <w:rFonts w:ascii="Arial" w:hAnsi="Arial" w:cs="Arial"/>
          <w:lang w:val="en-US"/>
        </w:rPr>
        <w:t>.</w:t>
      </w:r>
      <w:r w:rsidR="00D664AC">
        <w:rPr>
          <w:rStyle w:val="FootnoteReference"/>
          <w:rFonts w:ascii="Arial" w:hAnsi="Arial" w:cs="Arial"/>
          <w:lang w:val="en-US"/>
        </w:rPr>
        <w:footnoteReference w:id="4"/>
      </w:r>
      <w:r>
        <w:rPr>
          <w:rFonts w:ascii="Arial" w:hAnsi="Arial" w:cs="Arial"/>
          <w:lang w:val="en-US"/>
        </w:rPr>
        <w:t xml:space="preserve"> This is up from 8%</w:t>
      </w:r>
      <w:r w:rsidR="00D664AC">
        <w:rPr>
          <w:rFonts w:ascii="Arial" w:hAnsi="Arial" w:cs="Arial"/>
          <w:lang w:val="en-US"/>
        </w:rPr>
        <w:t xml:space="preserve"> in 2012, according to JRF data</w:t>
      </w:r>
      <w:r w:rsidR="001F4121">
        <w:rPr>
          <w:rFonts w:ascii="Arial" w:hAnsi="Arial" w:cs="Arial"/>
          <w:lang w:val="en-US"/>
        </w:rPr>
        <w:t xml:space="preserve">. It should be noted, however, that since MDG Performance Funds are used for traditional vaccine purchases and co-financing, the actual government contribution for vaccines and </w:t>
      </w:r>
      <w:r w:rsidR="00071321">
        <w:rPr>
          <w:rFonts w:ascii="Arial" w:hAnsi="Arial" w:cs="Arial"/>
          <w:lang w:val="en-US"/>
        </w:rPr>
        <w:t xml:space="preserve">to </w:t>
      </w:r>
      <w:r w:rsidR="001F4121">
        <w:rPr>
          <w:rFonts w:ascii="Arial" w:hAnsi="Arial" w:cs="Arial"/>
          <w:lang w:val="en-US"/>
        </w:rPr>
        <w:t>the overall EPI budget is not clear</w:t>
      </w:r>
      <w:r w:rsidR="00281949">
        <w:rPr>
          <w:rFonts w:ascii="Arial" w:hAnsi="Arial" w:cs="Arial"/>
          <w:lang w:val="en-US"/>
        </w:rPr>
        <w:t>, nor is it clear to what extent the Government has increased immunization spending using its own funds.</w:t>
      </w:r>
      <w:r w:rsidR="001F412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</w:p>
    <w:p w14:paraId="58D91CC2" w14:textId="77777777" w:rsidR="00914A96" w:rsidRPr="006140E6" w:rsidRDefault="00914A96">
      <w:pPr>
        <w:rPr>
          <w:rFonts w:ascii="Arial" w:hAnsi="Arial" w:cs="Arial"/>
          <w:lang w:val="en-US"/>
        </w:rPr>
        <w:sectPr w:rsidR="00914A96" w:rsidRPr="006140E6" w:rsidSect="00914A96"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C334335" w14:textId="77777777" w:rsidR="00D27284" w:rsidRPr="006140E6" w:rsidRDefault="00D27284" w:rsidP="00D27284">
      <w:pPr>
        <w:rPr>
          <w:rFonts w:ascii="Arial" w:hAnsi="Arial" w:cs="Arial"/>
          <w:b/>
          <w:sz w:val="24"/>
          <w:lang w:val="en-US"/>
        </w:rPr>
      </w:pPr>
      <w:r w:rsidRPr="006140E6">
        <w:rPr>
          <w:rFonts w:ascii="Arial" w:hAnsi="Arial" w:cs="Arial"/>
          <w:b/>
          <w:sz w:val="24"/>
          <w:lang w:val="en-US"/>
        </w:rPr>
        <w:lastRenderedPageBreak/>
        <w:t>ANNEXES</w:t>
      </w:r>
    </w:p>
    <w:p w14:paraId="199DD513" w14:textId="00D3BB04" w:rsidR="00E1542F" w:rsidRPr="00651A7C" w:rsidRDefault="00D27284" w:rsidP="00E1542F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  <w:r w:rsidRPr="00E1542F">
        <w:rPr>
          <w:lang w:val="en-US"/>
        </w:rPr>
        <w:t>% of total expenditures on vaccines financed by government funds</w:t>
      </w:r>
      <w:r w:rsidR="008B63EF">
        <w:rPr>
          <w:lang w:val="en-US"/>
        </w:rPr>
        <w:t xml:space="preserve"> (JRF 2015)</w:t>
      </w:r>
      <w:r w:rsidR="00061C69">
        <w:rPr>
          <w:lang w:val="en-US"/>
        </w:rPr>
        <w:t>:</w:t>
      </w:r>
    </w:p>
    <w:p w14:paraId="65D86511" w14:textId="77777777" w:rsidR="00651A7C" w:rsidRDefault="00651A7C" w:rsidP="00651A7C">
      <w:pPr>
        <w:pStyle w:val="Caption"/>
        <w:rPr>
          <w:rFonts w:ascii="Arial" w:hAnsi="Arial" w:cs="Arial"/>
          <w:color w:val="auto"/>
          <w:sz w:val="22"/>
        </w:rPr>
      </w:pPr>
    </w:p>
    <w:p w14:paraId="285A0316" w14:textId="4FB30E65" w:rsidR="00651A7C" w:rsidRPr="00651A7C" w:rsidRDefault="00651A7C" w:rsidP="00651A7C">
      <w:pPr>
        <w:pStyle w:val="Caption"/>
        <w:rPr>
          <w:rFonts w:ascii="Arial" w:hAnsi="Arial" w:cs="Arial"/>
          <w:color w:val="auto"/>
          <w:sz w:val="22"/>
        </w:rPr>
      </w:pPr>
      <w:r w:rsidRPr="00651A7C">
        <w:rPr>
          <w:rFonts w:ascii="Arial" w:hAnsi="Arial" w:cs="Arial"/>
          <w:color w:val="auto"/>
          <w:sz w:val="22"/>
        </w:rPr>
        <w:t xml:space="preserve">Figure </w:t>
      </w:r>
      <w:r w:rsidRPr="00651A7C">
        <w:rPr>
          <w:rFonts w:ascii="Arial" w:hAnsi="Arial" w:cs="Arial"/>
          <w:color w:val="auto"/>
          <w:sz w:val="22"/>
        </w:rPr>
        <w:fldChar w:fldCharType="begin"/>
      </w:r>
      <w:r w:rsidRPr="00651A7C">
        <w:rPr>
          <w:rFonts w:ascii="Arial" w:hAnsi="Arial" w:cs="Arial"/>
          <w:color w:val="auto"/>
          <w:sz w:val="22"/>
        </w:rPr>
        <w:instrText xml:space="preserve"> SEQ Figure \* ARABIC </w:instrText>
      </w:r>
      <w:r w:rsidRPr="00651A7C">
        <w:rPr>
          <w:rFonts w:ascii="Arial" w:hAnsi="Arial" w:cs="Arial"/>
          <w:color w:val="auto"/>
          <w:sz w:val="22"/>
        </w:rPr>
        <w:fldChar w:fldCharType="separate"/>
      </w:r>
      <w:r w:rsidRPr="00651A7C">
        <w:rPr>
          <w:rFonts w:ascii="Arial" w:hAnsi="Arial" w:cs="Arial"/>
          <w:color w:val="auto"/>
          <w:sz w:val="22"/>
        </w:rPr>
        <w:t>8</w:t>
      </w:r>
      <w:r w:rsidRPr="00651A7C">
        <w:rPr>
          <w:rFonts w:ascii="Arial" w:hAnsi="Arial" w:cs="Arial"/>
          <w:color w:val="auto"/>
          <w:sz w:val="22"/>
        </w:rPr>
        <w:fldChar w:fldCharType="end"/>
      </w:r>
      <w:r w:rsidRPr="00651A7C">
        <w:rPr>
          <w:rFonts w:ascii="Arial" w:hAnsi="Arial" w:cs="Arial"/>
          <w:color w:val="auto"/>
          <w:sz w:val="22"/>
        </w:rPr>
        <w:t>: Percentage of total expenditures on vaccines  financed by government funds (JRF 2015):</w:t>
      </w:r>
    </w:p>
    <w:tbl>
      <w:tblPr>
        <w:tblStyle w:val="GridTable4-Accent31"/>
        <w:tblpPr w:leftFromText="180" w:rightFromText="180" w:vertAnchor="text" w:horzAnchor="page" w:tblpX="823" w:tblpY="16"/>
        <w:tblW w:w="10205" w:type="dxa"/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850"/>
        <w:gridCol w:w="827"/>
        <w:gridCol w:w="827"/>
        <w:gridCol w:w="850"/>
        <w:gridCol w:w="851"/>
        <w:gridCol w:w="851"/>
        <w:gridCol w:w="1039"/>
        <w:gridCol w:w="1026"/>
        <w:gridCol w:w="816"/>
      </w:tblGrid>
      <w:tr w:rsidR="00651A7C" w:rsidRPr="005E2000" w14:paraId="6AC00E7A" w14:textId="77777777" w:rsidTr="0006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28F317B" w14:textId="77777777" w:rsidR="00061C69" w:rsidRPr="005E2000" w:rsidRDefault="00061C69" w:rsidP="00061C69">
            <w:pPr>
              <w:jc w:val="center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Country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  <w:right w:val="dotDotDash" w:sz="4" w:space="0" w:color="auto"/>
            </w:tcBorders>
            <w:vAlign w:val="center"/>
          </w:tcPr>
          <w:p w14:paraId="6A69F66D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Income</w:t>
            </w:r>
          </w:p>
        </w:tc>
        <w:tc>
          <w:tcPr>
            <w:tcW w:w="850" w:type="dxa"/>
            <w:tcBorders>
              <w:top w:val="single" w:sz="4" w:space="0" w:color="auto"/>
              <w:left w:val="dotDotDash" w:sz="4" w:space="0" w:color="auto"/>
              <w:bottom w:val="nil"/>
            </w:tcBorders>
            <w:noWrap/>
            <w:vAlign w:val="center"/>
            <w:hideMark/>
          </w:tcPr>
          <w:p w14:paraId="7E1F9D05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2010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1DD7B876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2011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77CC5337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2012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74A168B4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2013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6F3AA7D1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844E274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2015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45B05AC6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2010-2011</w:t>
            </w: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br/>
              <w:t>Average</w:t>
            </w:r>
          </w:p>
        </w:tc>
        <w:tc>
          <w:tcPr>
            <w:tcW w:w="1026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14:paraId="19974795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 xml:space="preserve">2013-2015 </w:t>
            </w: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br/>
              <w:t>Average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A1D6F3" w14:textId="77777777" w:rsidR="00061C69" w:rsidRPr="005E2000" w:rsidRDefault="00061C69" w:rsidP="00061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</w:pPr>
            <w:r w:rsidRPr="005E2000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val="en-US" w:eastAsia="en-US"/>
              </w:rPr>
              <w:t>Change</w:t>
            </w:r>
          </w:p>
        </w:tc>
      </w:tr>
      <w:tr w:rsidR="00651A7C" w:rsidRPr="00AB4A69" w14:paraId="6C7185CE" w14:textId="77777777" w:rsidTr="0006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4F8553B" w14:textId="77777777" w:rsidR="00061C69" w:rsidRPr="00DD77F1" w:rsidRDefault="00061C69" w:rsidP="00061C69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otDotDash" w:sz="4" w:space="0" w:color="auto"/>
            </w:tcBorders>
            <w:vAlign w:val="center"/>
          </w:tcPr>
          <w:p w14:paraId="25EA9C64" w14:textId="77777777" w:rsidR="00061C69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dotDotDash" w:sz="4" w:space="0" w:color="auto"/>
              <w:bottom w:val="nil"/>
              <w:right w:val="nil"/>
            </w:tcBorders>
            <w:noWrap/>
            <w:vAlign w:val="center"/>
          </w:tcPr>
          <w:p w14:paraId="347E67A5" w14:textId="77777777" w:rsidR="00061C69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5AEB12" w14:textId="77777777" w:rsidR="00061C69" w:rsidRPr="0053228F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F91257" w14:textId="77777777" w:rsidR="00061C69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4176BC" w14:textId="77777777" w:rsidR="00061C69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74F021" w14:textId="77777777" w:rsidR="00061C69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32CCFC6" w14:textId="77777777" w:rsidR="00061C69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92B91BB" w14:textId="77777777" w:rsidR="00061C69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82929E" w14:textId="77777777" w:rsidR="00061C69" w:rsidRDefault="00061C69" w:rsidP="00061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73F8F84" w14:textId="77777777" w:rsidR="00061C69" w:rsidRDefault="00061C69" w:rsidP="005C0B41">
            <w:pPr>
              <w:ind w:firstLineChars="100" w:firstLine="1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651A7C" w:rsidRPr="00AB4A69" w14:paraId="26D5862D" w14:textId="77777777" w:rsidTr="00061C6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271B48" w14:textId="77777777" w:rsidR="00061C69" w:rsidRPr="00DD77F1" w:rsidRDefault="00061C69" w:rsidP="00061C6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DD77F1">
              <w:rPr>
                <w:rFonts w:ascii="Calibri" w:hAnsi="Calibri"/>
                <w:sz w:val="18"/>
                <w:szCs w:val="18"/>
              </w:rPr>
              <w:t>Ethiopia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dotDotDash" w:sz="4" w:space="0" w:color="auto"/>
            </w:tcBorders>
            <w:vAlign w:val="center"/>
          </w:tcPr>
          <w:p w14:paraId="294E8548" w14:textId="77777777" w:rsidR="00061C69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LIC</w:t>
            </w:r>
          </w:p>
        </w:tc>
        <w:tc>
          <w:tcPr>
            <w:tcW w:w="850" w:type="dxa"/>
            <w:tcBorders>
              <w:top w:val="nil"/>
              <w:left w:val="dotDotDash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5BD2C1" w14:textId="77777777" w:rsidR="00061C69" w:rsidRPr="0053228F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sz w:val="18"/>
                <w:szCs w:val="18"/>
              </w:rPr>
              <w:t>13.80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B1076A" w14:textId="77777777" w:rsidR="00061C69" w:rsidRPr="0053228F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18"/>
                <w:szCs w:val="18"/>
                <w:lang w:val="en-US" w:eastAsia="en-US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76240E" w14:textId="77777777" w:rsidR="00061C69" w:rsidRPr="0053228F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sz w:val="18"/>
                <w:szCs w:val="18"/>
              </w:rPr>
              <w:t>1.79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520FEC" w14:textId="77777777" w:rsidR="00061C69" w:rsidRPr="0053228F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i/>
                <w:iCs/>
                <w:sz w:val="18"/>
                <w:szCs w:val="18"/>
              </w:rPr>
              <w:t>9.42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397441" w14:textId="77777777" w:rsidR="00061C69" w:rsidRPr="0053228F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sz w:val="18"/>
                <w:szCs w:val="18"/>
              </w:rPr>
              <w:t>11.54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8D7" w14:textId="77777777" w:rsidR="00061C69" w:rsidRPr="0053228F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sz w:val="18"/>
                <w:szCs w:val="18"/>
              </w:rPr>
              <w:t>13.62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D3590" w14:textId="77777777" w:rsidR="00061C69" w:rsidRPr="0053228F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13.80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0CBDC4" w14:textId="77777777" w:rsidR="00061C69" w:rsidRPr="0053228F" w:rsidRDefault="00061C69" w:rsidP="00061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11.53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8C39F" w14:textId="77777777" w:rsidR="00061C69" w:rsidRPr="00AB4A69" w:rsidRDefault="00061C69" w:rsidP="005C0B41">
            <w:pPr>
              <w:ind w:firstLineChars="100" w:firstLine="1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-16%</w:t>
            </w:r>
          </w:p>
        </w:tc>
      </w:tr>
    </w:tbl>
    <w:p w14:paraId="17749983" w14:textId="77777777" w:rsidR="00B637A0" w:rsidRPr="00E1542F" w:rsidRDefault="00B637A0" w:rsidP="00B637A0">
      <w:pPr>
        <w:spacing w:after="0"/>
        <w:rPr>
          <w:rFonts w:ascii="Arial" w:hAnsi="Arial" w:cs="Arial"/>
          <w:b/>
          <w:sz w:val="24"/>
          <w:lang w:val="en-US"/>
        </w:rPr>
      </w:pPr>
    </w:p>
    <w:sectPr w:rsidR="00B637A0" w:rsidRPr="00E1542F" w:rsidSect="00492F9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FD711" w15:done="0"/>
  <w15:commentEx w15:paraId="688936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0CD09" w14:textId="77777777" w:rsidR="002B7151" w:rsidRDefault="002B7151">
      <w:pPr>
        <w:spacing w:after="0" w:line="240" w:lineRule="auto"/>
      </w:pPr>
      <w:r>
        <w:separator/>
      </w:r>
    </w:p>
  </w:endnote>
  <w:endnote w:type="continuationSeparator" w:id="0">
    <w:p w14:paraId="3CDBBBF7" w14:textId="77777777" w:rsidR="002B7151" w:rsidRDefault="002B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8990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5CB33" w14:textId="72C2CB37" w:rsidR="0074708B" w:rsidRDefault="007470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2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0E7B36" w14:textId="4EFE2247" w:rsidR="0074708B" w:rsidRDefault="0074708B" w:rsidP="00EE7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C490F" w14:textId="77777777" w:rsidR="002B7151" w:rsidRDefault="002B7151">
      <w:pPr>
        <w:spacing w:after="0" w:line="240" w:lineRule="auto"/>
      </w:pPr>
      <w:r>
        <w:separator/>
      </w:r>
    </w:p>
  </w:footnote>
  <w:footnote w:type="continuationSeparator" w:id="0">
    <w:p w14:paraId="67EB59D2" w14:textId="77777777" w:rsidR="002B7151" w:rsidRDefault="002B7151">
      <w:pPr>
        <w:spacing w:after="0" w:line="240" w:lineRule="auto"/>
      </w:pPr>
      <w:r>
        <w:continuationSeparator/>
      </w:r>
    </w:p>
  </w:footnote>
  <w:footnote w:id="1">
    <w:p w14:paraId="69BBB10C" w14:textId="10F5945E" w:rsidR="0074708B" w:rsidRPr="00777C17" w:rsidRDefault="007470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Now renamed the SDG Development Fund.</w:t>
      </w:r>
    </w:p>
  </w:footnote>
  <w:footnote w:id="2">
    <w:p w14:paraId="766F1C0D" w14:textId="25CCC515" w:rsidR="0074708B" w:rsidRPr="001461BD" w:rsidRDefault="007470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GAVI Joint Appraisal report for Ethiopia, 2015.</w:t>
      </w:r>
    </w:p>
  </w:footnote>
  <w:footnote w:id="3">
    <w:p w14:paraId="43262F66" w14:textId="7C8839BA" w:rsidR="0074708B" w:rsidRPr="001461BD" w:rsidRDefault="007470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GAVI Joint Appraisal report for Ethiopia, 2015.</w:t>
      </w:r>
    </w:p>
  </w:footnote>
  <w:footnote w:id="4">
    <w:p w14:paraId="50422F03" w14:textId="79B0DF63" w:rsidR="0074708B" w:rsidRPr="00D664AC" w:rsidRDefault="007470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GAVI Joint Appraisal report for Ethiopia, 2015.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DB7"/>
    <w:multiLevelType w:val="hybridMultilevel"/>
    <w:tmpl w:val="F6D055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0A2FFB"/>
    <w:multiLevelType w:val="hybridMultilevel"/>
    <w:tmpl w:val="2DA8F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382162"/>
    <w:multiLevelType w:val="hybridMultilevel"/>
    <w:tmpl w:val="E83CC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495C14"/>
    <w:multiLevelType w:val="multilevel"/>
    <w:tmpl w:val="4860E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66AD1"/>
    <w:multiLevelType w:val="hybridMultilevel"/>
    <w:tmpl w:val="A38E1D58"/>
    <w:lvl w:ilvl="0" w:tplc="04090005">
      <w:start w:val="1"/>
      <w:numFmt w:val="bullet"/>
      <w:lvlText w:val=""/>
      <w:lvlJc w:val="left"/>
      <w:pPr>
        <w:ind w:left="-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abstractNum w:abstractNumId="16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E4406"/>
    <w:multiLevelType w:val="hybridMultilevel"/>
    <w:tmpl w:val="B30692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6F47CE"/>
    <w:multiLevelType w:val="multilevel"/>
    <w:tmpl w:val="D6FE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4B95021"/>
    <w:multiLevelType w:val="hybridMultilevel"/>
    <w:tmpl w:val="B1F204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0036C"/>
    <w:multiLevelType w:val="hybridMultilevel"/>
    <w:tmpl w:val="FCF83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1"/>
  </w:num>
  <w:num w:numId="5">
    <w:abstractNumId w:val="21"/>
  </w:num>
  <w:num w:numId="6">
    <w:abstractNumId w:val="2"/>
  </w:num>
  <w:num w:numId="7">
    <w:abstractNumId w:val="8"/>
  </w:num>
  <w:num w:numId="8">
    <w:abstractNumId w:val="19"/>
  </w:num>
  <w:num w:numId="9">
    <w:abstractNumId w:val="6"/>
  </w:num>
  <w:num w:numId="10">
    <w:abstractNumId w:val="26"/>
  </w:num>
  <w:num w:numId="11">
    <w:abstractNumId w:val="25"/>
  </w:num>
  <w:num w:numId="12">
    <w:abstractNumId w:val="16"/>
  </w:num>
  <w:num w:numId="13">
    <w:abstractNumId w:val="24"/>
  </w:num>
  <w:num w:numId="14">
    <w:abstractNumId w:val="18"/>
  </w:num>
  <w:num w:numId="15">
    <w:abstractNumId w:val="27"/>
  </w:num>
  <w:num w:numId="16">
    <w:abstractNumId w:val="10"/>
  </w:num>
  <w:num w:numId="17">
    <w:abstractNumId w:val="20"/>
  </w:num>
  <w:num w:numId="18">
    <w:abstractNumId w:val="13"/>
  </w:num>
  <w:num w:numId="19">
    <w:abstractNumId w:val="28"/>
  </w:num>
  <w:num w:numId="20">
    <w:abstractNumId w:val="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8"/>
  </w:num>
  <w:num w:numId="25">
    <w:abstractNumId w:val="19"/>
  </w:num>
  <w:num w:numId="26">
    <w:abstractNumId w:val="11"/>
  </w:num>
  <w:num w:numId="27">
    <w:abstractNumId w:val="9"/>
  </w:num>
  <w:num w:numId="28">
    <w:abstractNumId w:val="22"/>
  </w:num>
  <w:num w:numId="29">
    <w:abstractNumId w:val="15"/>
  </w:num>
  <w:num w:numId="30">
    <w:abstractNumId w:val="5"/>
  </w:num>
  <w:num w:numId="31">
    <w:abstractNumId w:val="17"/>
  </w:num>
  <w:num w:numId="32">
    <w:abstractNumId w:val="7"/>
  </w:num>
  <w:num w:numId="33">
    <w:abstractNumId w:val="23"/>
  </w:num>
  <w:num w:numId="34">
    <w:abstractNumId w:val="0"/>
  </w:num>
  <w:num w:numId="3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217B3"/>
    <w:rsid w:val="00025C91"/>
    <w:rsid w:val="00052693"/>
    <w:rsid w:val="00061C69"/>
    <w:rsid w:val="00071321"/>
    <w:rsid w:val="0007442D"/>
    <w:rsid w:val="00075417"/>
    <w:rsid w:val="00096E70"/>
    <w:rsid w:val="000C2C44"/>
    <w:rsid w:val="000C61CE"/>
    <w:rsid w:val="000E3D3E"/>
    <w:rsid w:val="001461BD"/>
    <w:rsid w:val="00153320"/>
    <w:rsid w:val="00163179"/>
    <w:rsid w:val="001634BB"/>
    <w:rsid w:val="00177ED5"/>
    <w:rsid w:val="0019049C"/>
    <w:rsid w:val="001A42D9"/>
    <w:rsid w:val="001A55DB"/>
    <w:rsid w:val="001B0097"/>
    <w:rsid w:val="001C1193"/>
    <w:rsid w:val="001C1E4D"/>
    <w:rsid w:val="001C5026"/>
    <w:rsid w:val="001F2D8D"/>
    <w:rsid w:val="001F4121"/>
    <w:rsid w:val="00211685"/>
    <w:rsid w:val="00225429"/>
    <w:rsid w:val="002258E3"/>
    <w:rsid w:val="002327A5"/>
    <w:rsid w:val="00232D9A"/>
    <w:rsid w:val="002652D3"/>
    <w:rsid w:val="0027046F"/>
    <w:rsid w:val="002818D0"/>
    <w:rsid w:val="00281949"/>
    <w:rsid w:val="00281CEF"/>
    <w:rsid w:val="00292589"/>
    <w:rsid w:val="00297C3C"/>
    <w:rsid w:val="002B7151"/>
    <w:rsid w:val="002B73D6"/>
    <w:rsid w:val="002C0BCF"/>
    <w:rsid w:val="002D61F5"/>
    <w:rsid w:val="002D762A"/>
    <w:rsid w:val="002E36C1"/>
    <w:rsid w:val="002F1749"/>
    <w:rsid w:val="002F20C9"/>
    <w:rsid w:val="003333F6"/>
    <w:rsid w:val="00352ED6"/>
    <w:rsid w:val="00370616"/>
    <w:rsid w:val="003707DB"/>
    <w:rsid w:val="00371B50"/>
    <w:rsid w:val="00373BA5"/>
    <w:rsid w:val="003B6F84"/>
    <w:rsid w:val="003D24BB"/>
    <w:rsid w:val="003D6679"/>
    <w:rsid w:val="003E2E31"/>
    <w:rsid w:val="003E30EC"/>
    <w:rsid w:val="003E4FEA"/>
    <w:rsid w:val="003F2AB3"/>
    <w:rsid w:val="003F4825"/>
    <w:rsid w:val="003F5FE8"/>
    <w:rsid w:val="00410919"/>
    <w:rsid w:val="00420940"/>
    <w:rsid w:val="00432B70"/>
    <w:rsid w:val="004331C0"/>
    <w:rsid w:val="00436537"/>
    <w:rsid w:val="00441EDC"/>
    <w:rsid w:val="00442F4B"/>
    <w:rsid w:val="0044441D"/>
    <w:rsid w:val="00451E35"/>
    <w:rsid w:val="00457E0A"/>
    <w:rsid w:val="00460D76"/>
    <w:rsid w:val="00461388"/>
    <w:rsid w:val="00461727"/>
    <w:rsid w:val="004826EF"/>
    <w:rsid w:val="00492F98"/>
    <w:rsid w:val="00496D3D"/>
    <w:rsid w:val="004A106A"/>
    <w:rsid w:val="004A394A"/>
    <w:rsid w:val="004A4FE5"/>
    <w:rsid w:val="004A78E2"/>
    <w:rsid w:val="004B5B75"/>
    <w:rsid w:val="004D307D"/>
    <w:rsid w:val="004E7450"/>
    <w:rsid w:val="004F6777"/>
    <w:rsid w:val="00500171"/>
    <w:rsid w:val="0050564C"/>
    <w:rsid w:val="005133F8"/>
    <w:rsid w:val="00513BF2"/>
    <w:rsid w:val="00515073"/>
    <w:rsid w:val="00526AA3"/>
    <w:rsid w:val="00530FEA"/>
    <w:rsid w:val="00532476"/>
    <w:rsid w:val="00534013"/>
    <w:rsid w:val="005406A6"/>
    <w:rsid w:val="0058000D"/>
    <w:rsid w:val="00594240"/>
    <w:rsid w:val="005975E4"/>
    <w:rsid w:val="005B00C9"/>
    <w:rsid w:val="005B3DAE"/>
    <w:rsid w:val="005B635F"/>
    <w:rsid w:val="005B6B29"/>
    <w:rsid w:val="005C0B41"/>
    <w:rsid w:val="005C1966"/>
    <w:rsid w:val="005C6F1C"/>
    <w:rsid w:val="005F0283"/>
    <w:rsid w:val="006019F4"/>
    <w:rsid w:val="006140E6"/>
    <w:rsid w:val="00614B06"/>
    <w:rsid w:val="0063770B"/>
    <w:rsid w:val="006410AE"/>
    <w:rsid w:val="00641572"/>
    <w:rsid w:val="00646BBE"/>
    <w:rsid w:val="00651A7C"/>
    <w:rsid w:val="006842AB"/>
    <w:rsid w:val="0069294F"/>
    <w:rsid w:val="00696E6A"/>
    <w:rsid w:val="006A1FAD"/>
    <w:rsid w:val="006A4380"/>
    <w:rsid w:val="006C160F"/>
    <w:rsid w:val="006C334B"/>
    <w:rsid w:val="006C5940"/>
    <w:rsid w:val="006D454B"/>
    <w:rsid w:val="007033F7"/>
    <w:rsid w:val="00706FB3"/>
    <w:rsid w:val="0071529A"/>
    <w:rsid w:val="007368DB"/>
    <w:rsid w:val="0074708B"/>
    <w:rsid w:val="0076408F"/>
    <w:rsid w:val="00767749"/>
    <w:rsid w:val="00770EEA"/>
    <w:rsid w:val="00777C17"/>
    <w:rsid w:val="0079008F"/>
    <w:rsid w:val="007A35F6"/>
    <w:rsid w:val="007B053A"/>
    <w:rsid w:val="007C346A"/>
    <w:rsid w:val="007C5F79"/>
    <w:rsid w:val="007D16A4"/>
    <w:rsid w:val="007D2AA9"/>
    <w:rsid w:val="007E0DEE"/>
    <w:rsid w:val="007F0729"/>
    <w:rsid w:val="008053B7"/>
    <w:rsid w:val="008105B2"/>
    <w:rsid w:val="00824C6B"/>
    <w:rsid w:val="00825812"/>
    <w:rsid w:val="0083568C"/>
    <w:rsid w:val="008462BE"/>
    <w:rsid w:val="00856B69"/>
    <w:rsid w:val="00861920"/>
    <w:rsid w:val="00863F77"/>
    <w:rsid w:val="00865907"/>
    <w:rsid w:val="0087073B"/>
    <w:rsid w:val="00873B54"/>
    <w:rsid w:val="00883C0A"/>
    <w:rsid w:val="008A1C67"/>
    <w:rsid w:val="008B63EF"/>
    <w:rsid w:val="008C1347"/>
    <w:rsid w:val="008C461F"/>
    <w:rsid w:val="008D2A44"/>
    <w:rsid w:val="008D3BDF"/>
    <w:rsid w:val="008E352E"/>
    <w:rsid w:val="008E4926"/>
    <w:rsid w:val="008E7AA0"/>
    <w:rsid w:val="008F0A50"/>
    <w:rsid w:val="008F4F49"/>
    <w:rsid w:val="008F4FAA"/>
    <w:rsid w:val="00907C58"/>
    <w:rsid w:val="00914A96"/>
    <w:rsid w:val="00917F8A"/>
    <w:rsid w:val="009318B8"/>
    <w:rsid w:val="00952C8B"/>
    <w:rsid w:val="009563E8"/>
    <w:rsid w:val="00957EAE"/>
    <w:rsid w:val="00962F43"/>
    <w:rsid w:val="00971509"/>
    <w:rsid w:val="009A5026"/>
    <w:rsid w:val="009B091D"/>
    <w:rsid w:val="009C09D8"/>
    <w:rsid w:val="009E1E59"/>
    <w:rsid w:val="009F4681"/>
    <w:rsid w:val="00A11AC1"/>
    <w:rsid w:val="00A1405E"/>
    <w:rsid w:val="00A43899"/>
    <w:rsid w:val="00A441A1"/>
    <w:rsid w:val="00A44D74"/>
    <w:rsid w:val="00A52B11"/>
    <w:rsid w:val="00AA7F9D"/>
    <w:rsid w:val="00AC50A6"/>
    <w:rsid w:val="00AD65EC"/>
    <w:rsid w:val="00AE7557"/>
    <w:rsid w:val="00AF0E45"/>
    <w:rsid w:val="00B13423"/>
    <w:rsid w:val="00B218CC"/>
    <w:rsid w:val="00B46B36"/>
    <w:rsid w:val="00B56AF8"/>
    <w:rsid w:val="00B57B9C"/>
    <w:rsid w:val="00B637A0"/>
    <w:rsid w:val="00B760C4"/>
    <w:rsid w:val="00B77816"/>
    <w:rsid w:val="00BA2589"/>
    <w:rsid w:val="00BD74C8"/>
    <w:rsid w:val="00BE212A"/>
    <w:rsid w:val="00BF14CF"/>
    <w:rsid w:val="00BF4CFA"/>
    <w:rsid w:val="00C0480C"/>
    <w:rsid w:val="00C67C9D"/>
    <w:rsid w:val="00C77721"/>
    <w:rsid w:val="00CA3E94"/>
    <w:rsid w:val="00CA5738"/>
    <w:rsid w:val="00CD3FD9"/>
    <w:rsid w:val="00CE15CF"/>
    <w:rsid w:val="00CF0796"/>
    <w:rsid w:val="00CF0E45"/>
    <w:rsid w:val="00CF1FC7"/>
    <w:rsid w:val="00D00DC6"/>
    <w:rsid w:val="00D126F0"/>
    <w:rsid w:val="00D16753"/>
    <w:rsid w:val="00D17551"/>
    <w:rsid w:val="00D27284"/>
    <w:rsid w:val="00D27E92"/>
    <w:rsid w:val="00D30DD8"/>
    <w:rsid w:val="00D411FC"/>
    <w:rsid w:val="00D6260F"/>
    <w:rsid w:val="00D664AC"/>
    <w:rsid w:val="00D732C7"/>
    <w:rsid w:val="00D80D99"/>
    <w:rsid w:val="00D909E8"/>
    <w:rsid w:val="00D9435D"/>
    <w:rsid w:val="00D9563B"/>
    <w:rsid w:val="00DA2F74"/>
    <w:rsid w:val="00DA6251"/>
    <w:rsid w:val="00DB02AD"/>
    <w:rsid w:val="00DC02D8"/>
    <w:rsid w:val="00DC1CC8"/>
    <w:rsid w:val="00DC5960"/>
    <w:rsid w:val="00E01945"/>
    <w:rsid w:val="00E11B99"/>
    <w:rsid w:val="00E1542F"/>
    <w:rsid w:val="00E1686A"/>
    <w:rsid w:val="00E35B5F"/>
    <w:rsid w:val="00E37109"/>
    <w:rsid w:val="00E4138E"/>
    <w:rsid w:val="00E420C5"/>
    <w:rsid w:val="00E533E0"/>
    <w:rsid w:val="00E65FBD"/>
    <w:rsid w:val="00E748EB"/>
    <w:rsid w:val="00E86411"/>
    <w:rsid w:val="00EC0E0D"/>
    <w:rsid w:val="00EC5704"/>
    <w:rsid w:val="00ED73EE"/>
    <w:rsid w:val="00EE76C4"/>
    <w:rsid w:val="00EF71B6"/>
    <w:rsid w:val="00F045B5"/>
    <w:rsid w:val="00F1079F"/>
    <w:rsid w:val="00F42CC4"/>
    <w:rsid w:val="00F577A7"/>
    <w:rsid w:val="00F63D60"/>
    <w:rsid w:val="00F81B65"/>
    <w:rsid w:val="00F85BA5"/>
    <w:rsid w:val="00FA641C"/>
    <w:rsid w:val="00FC7616"/>
    <w:rsid w:val="00FD688B"/>
    <w:rsid w:val="00FF456D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777C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7C1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61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211685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5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777C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7C1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61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211685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5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23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9F96111-4CD2-493B-ABAA-F2224EB9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2016-08-25T13:04:00Z</dcterms:created>
  <dcterms:modified xsi:type="dcterms:W3CDTF">2016-08-25T13:04:00Z</dcterms:modified>
</cp:coreProperties>
</file>