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061BEB" w14:textId="77777777" w:rsidR="006A1FAD" w:rsidRPr="00C27BB5" w:rsidRDefault="006A1FAD" w:rsidP="006A1FAD">
      <w:pPr>
        <w:jc w:val="center"/>
        <w:rPr>
          <w:b/>
          <w:sz w:val="40"/>
          <w:szCs w:val="40"/>
        </w:rPr>
      </w:pPr>
      <w:r w:rsidRPr="00C27BB5">
        <w:rPr>
          <w:b/>
          <w:sz w:val="40"/>
          <w:szCs w:val="40"/>
        </w:rPr>
        <w:t>Global Vaccine Action Plan</w:t>
      </w:r>
    </w:p>
    <w:p w14:paraId="3A69E36F" w14:textId="77777777" w:rsidR="006A1FAD" w:rsidRDefault="006A1FAD" w:rsidP="006A1FAD">
      <w:pPr>
        <w:jc w:val="center"/>
        <w:rPr>
          <w:i/>
          <w:sz w:val="40"/>
          <w:szCs w:val="40"/>
        </w:rPr>
      </w:pPr>
      <w:r w:rsidRPr="00C27BB5">
        <w:rPr>
          <w:i/>
          <w:sz w:val="40"/>
          <w:szCs w:val="40"/>
        </w:rPr>
        <w:t>Secretariat Annual Report 2016</w:t>
      </w:r>
    </w:p>
    <w:p w14:paraId="0B46E3BB" w14:textId="77777777" w:rsidR="006A1FAD" w:rsidRDefault="006A1FAD" w:rsidP="006A1FAD">
      <w:pPr>
        <w:jc w:val="center"/>
        <w:rPr>
          <w:i/>
          <w:sz w:val="40"/>
          <w:szCs w:val="40"/>
        </w:rPr>
      </w:pPr>
      <w:r>
        <w:rPr>
          <w:i/>
          <w:sz w:val="40"/>
          <w:szCs w:val="40"/>
        </w:rPr>
        <w:t>Priority C</w:t>
      </w:r>
      <w:r w:rsidRPr="00C27BB5">
        <w:rPr>
          <w:i/>
          <w:sz w:val="40"/>
          <w:szCs w:val="40"/>
        </w:rPr>
        <w:t xml:space="preserve">ountry report on progress towards </w:t>
      </w:r>
    </w:p>
    <w:p w14:paraId="399B3E92" w14:textId="77777777" w:rsidR="006A1FAD" w:rsidRPr="00C27BB5" w:rsidRDefault="006A1FAD" w:rsidP="006A1FAD">
      <w:pPr>
        <w:jc w:val="center"/>
        <w:rPr>
          <w:i/>
          <w:sz w:val="40"/>
          <w:szCs w:val="40"/>
        </w:rPr>
      </w:pPr>
      <w:r>
        <w:rPr>
          <w:i/>
          <w:sz w:val="40"/>
          <w:szCs w:val="40"/>
        </w:rPr>
        <w:t>GVAP-RVAP</w:t>
      </w:r>
      <w:r w:rsidRPr="00C27BB5">
        <w:rPr>
          <w:i/>
          <w:sz w:val="40"/>
          <w:szCs w:val="40"/>
        </w:rPr>
        <w:t xml:space="preserve"> goals </w:t>
      </w:r>
    </w:p>
    <w:p w14:paraId="13BC4560" w14:textId="77777777" w:rsidR="006A1FAD" w:rsidRDefault="006A1FAD" w:rsidP="006A1FAD">
      <w:pPr>
        <w:jc w:val="center"/>
        <w:rPr>
          <w:rFonts w:ascii="Arial" w:hAnsi="Arial"/>
          <w:b/>
          <w:sz w:val="32"/>
        </w:rPr>
      </w:pPr>
    </w:p>
    <w:p w14:paraId="38BE41A7" w14:textId="0A7E8711" w:rsidR="006A1FAD" w:rsidRDefault="006A1FAD" w:rsidP="006A1FAD">
      <w:pPr>
        <w:jc w:val="center"/>
        <w:rPr>
          <w:rFonts w:ascii="Arial" w:hAnsi="Arial"/>
          <w:b/>
          <w:sz w:val="36"/>
        </w:rPr>
      </w:pPr>
      <w:r>
        <w:rPr>
          <w:rFonts w:ascii="Arial" w:hAnsi="Arial"/>
          <w:b/>
          <w:sz w:val="36"/>
        </w:rPr>
        <w:t>ETHIOPIA</w:t>
      </w:r>
    </w:p>
    <w:p w14:paraId="14D2E5E9" w14:textId="77777777" w:rsidR="006A1FAD" w:rsidRDefault="006A1FAD" w:rsidP="006A1FAD">
      <w:pPr>
        <w:jc w:val="center"/>
        <w:rPr>
          <w:rFonts w:ascii="Arial" w:hAnsi="Arial"/>
          <w:b/>
          <w:sz w:val="36"/>
        </w:rPr>
      </w:pPr>
    </w:p>
    <w:p w14:paraId="1BA8BDFA" w14:textId="77777777" w:rsidR="00ED73EE" w:rsidRPr="006140E6" w:rsidRDefault="00ED73EE" w:rsidP="00ED73EE">
      <w:pPr>
        <w:pStyle w:val="ListParagraph"/>
        <w:numPr>
          <w:ilvl w:val="0"/>
          <w:numId w:val="3"/>
        </w:numPr>
        <w:rPr>
          <w:rFonts w:ascii="Arial" w:hAnsi="Arial" w:cs="Arial"/>
          <w:b/>
          <w:sz w:val="26"/>
          <w:szCs w:val="26"/>
          <w:lang w:val="en-US"/>
        </w:rPr>
      </w:pPr>
      <w:r w:rsidRPr="006140E6">
        <w:rPr>
          <w:rFonts w:ascii="Arial" w:hAnsi="Arial" w:cs="Arial"/>
          <w:b/>
          <w:sz w:val="26"/>
          <w:szCs w:val="26"/>
          <w:lang w:val="en-US"/>
        </w:rPr>
        <w:t xml:space="preserve">Progress towards achievement of GVAP goals </w:t>
      </w:r>
    </w:p>
    <w:p w14:paraId="338CD3E6" w14:textId="77777777" w:rsidR="00ED73EE" w:rsidRPr="006140E6" w:rsidRDefault="00ED73EE" w:rsidP="00ED73EE">
      <w:pPr>
        <w:pStyle w:val="ListParagraph"/>
        <w:rPr>
          <w:rFonts w:ascii="Arial" w:hAnsi="Arial" w:cs="Arial"/>
          <w:b/>
          <w:lang w:val="en-US"/>
        </w:rPr>
      </w:pPr>
    </w:p>
    <w:p w14:paraId="3CA9DB3F" w14:textId="77777777" w:rsidR="00ED73EE" w:rsidRPr="006140E6" w:rsidRDefault="00ED73EE" w:rsidP="00ED73EE">
      <w:pPr>
        <w:pStyle w:val="ListParagraph"/>
        <w:numPr>
          <w:ilvl w:val="0"/>
          <w:numId w:val="1"/>
        </w:numPr>
        <w:rPr>
          <w:rFonts w:ascii="Arial" w:hAnsi="Arial" w:cs="Arial"/>
          <w:b/>
          <w:sz w:val="24"/>
          <w:szCs w:val="24"/>
          <w:lang w:val="en-US"/>
        </w:rPr>
      </w:pPr>
      <w:r w:rsidRPr="006140E6">
        <w:rPr>
          <w:rFonts w:ascii="Arial" w:hAnsi="Arial" w:cs="Arial"/>
          <w:b/>
          <w:sz w:val="24"/>
          <w:szCs w:val="24"/>
          <w:lang w:val="en-US"/>
        </w:rPr>
        <w:t xml:space="preserve">Summary </w:t>
      </w:r>
    </w:p>
    <w:p w14:paraId="2A48FB84" w14:textId="178C6855" w:rsidR="00BA2589" w:rsidRPr="006140E6" w:rsidRDefault="00BA2589" w:rsidP="005B635F">
      <w:pPr>
        <w:rPr>
          <w:rFonts w:ascii="Arial" w:hAnsi="Arial" w:cs="Arial"/>
          <w:lang w:val="en-US"/>
        </w:rPr>
      </w:pPr>
      <w:r w:rsidRPr="006140E6">
        <w:rPr>
          <w:rFonts w:ascii="Arial" w:hAnsi="Arial" w:cs="Arial"/>
          <w:lang w:val="en-US"/>
        </w:rPr>
        <w:t xml:space="preserve">This </w:t>
      </w:r>
      <w:r w:rsidR="006C334B" w:rsidRPr="006140E6">
        <w:rPr>
          <w:rFonts w:ascii="Arial" w:hAnsi="Arial" w:cs="Arial"/>
          <w:lang w:val="en-US"/>
        </w:rPr>
        <w:t xml:space="preserve">summary table describes </w:t>
      </w:r>
      <w:r w:rsidRPr="006140E6">
        <w:rPr>
          <w:rFonts w:ascii="Arial" w:hAnsi="Arial" w:cs="Arial"/>
          <w:lang w:val="en-US"/>
        </w:rPr>
        <w:t xml:space="preserve">the current situation in </w:t>
      </w:r>
      <w:r w:rsidR="005B635F" w:rsidRPr="006140E6">
        <w:rPr>
          <w:rFonts w:ascii="Arial" w:hAnsi="Arial" w:cs="Arial"/>
          <w:lang w:val="en-US"/>
        </w:rPr>
        <w:t xml:space="preserve">Ethiopia </w:t>
      </w:r>
      <w:r w:rsidRPr="006140E6">
        <w:rPr>
          <w:rFonts w:ascii="Arial" w:hAnsi="Arial" w:cs="Arial"/>
          <w:lang w:val="en-US"/>
        </w:rPr>
        <w:t xml:space="preserve">regarding achieving the GVAP </w:t>
      </w:r>
      <w:proofErr w:type="gramStart"/>
      <w:r w:rsidRPr="006140E6">
        <w:rPr>
          <w:rFonts w:ascii="Arial" w:hAnsi="Arial" w:cs="Arial"/>
          <w:lang w:val="en-US"/>
        </w:rPr>
        <w:t>goals</w:t>
      </w:r>
      <w:proofErr w:type="gramEnd"/>
      <w:r w:rsidRPr="006140E6">
        <w:rPr>
          <w:rFonts w:ascii="Arial" w:hAnsi="Arial" w:cs="Arial"/>
          <w:lang w:val="en-US"/>
        </w:rPr>
        <w:t>.</w:t>
      </w:r>
      <w:r w:rsidR="00492F98" w:rsidRPr="006140E6">
        <w:rPr>
          <w:rFonts w:ascii="Arial" w:hAnsi="Arial" w:cs="Arial"/>
          <w:lang w:val="en-US"/>
        </w:rPr>
        <w:t xml:space="preserve"> </w:t>
      </w:r>
      <w:r w:rsidR="00500171" w:rsidRPr="006140E6">
        <w:rPr>
          <w:rFonts w:ascii="Arial" w:hAnsi="Arial" w:cs="Arial"/>
          <w:lang w:val="en-US"/>
        </w:rPr>
        <w:t>D</w:t>
      </w:r>
      <w:r w:rsidR="00696E6A" w:rsidRPr="006140E6">
        <w:rPr>
          <w:rFonts w:ascii="Arial" w:hAnsi="Arial" w:cs="Arial"/>
          <w:lang w:val="en-US"/>
        </w:rPr>
        <w:t xml:space="preserve">ata </w:t>
      </w:r>
      <w:r w:rsidR="00E11B99" w:rsidRPr="006140E6">
        <w:rPr>
          <w:rFonts w:ascii="Arial" w:hAnsi="Arial" w:cs="Arial"/>
          <w:lang w:val="en-US"/>
        </w:rPr>
        <w:t xml:space="preserve">used to assess progress towards achievement of </w:t>
      </w:r>
      <w:r w:rsidR="00696E6A" w:rsidRPr="006140E6">
        <w:rPr>
          <w:rFonts w:ascii="Arial" w:hAnsi="Arial" w:cs="Arial"/>
          <w:lang w:val="en-US"/>
        </w:rPr>
        <w:t xml:space="preserve">GVAP goals are included in the annex (Country </w:t>
      </w:r>
      <w:r w:rsidR="00D00DC6" w:rsidRPr="006140E6">
        <w:rPr>
          <w:rFonts w:ascii="Arial" w:hAnsi="Arial" w:cs="Arial"/>
          <w:lang w:val="en-US"/>
        </w:rPr>
        <w:t xml:space="preserve">immunization </w:t>
      </w:r>
      <w:r w:rsidR="00696E6A" w:rsidRPr="006140E6">
        <w:rPr>
          <w:rFonts w:ascii="Arial" w:hAnsi="Arial" w:cs="Arial"/>
          <w:lang w:val="en-US"/>
        </w:rPr>
        <w:t>profile).</w:t>
      </w:r>
    </w:p>
    <w:tbl>
      <w:tblPr>
        <w:tblW w:w="9452" w:type="dxa"/>
        <w:jc w:val="center"/>
        <w:tblLook w:val="04A0" w:firstRow="1" w:lastRow="0" w:firstColumn="1" w:lastColumn="0" w:noHBand="0" w:noVBand="1"/>
      </w:tblPr>
      <w:tblGrid>
        <w:gridCol w:w="3220"/>
        <w:gridCol w:w="3767"/>
        <w:gridCol w:w="2465"/>
      </w:tblGrid>
      <w:tr w:rsidR="004331C0" w:rsidRPr="006140E6" w14:paraId="7A0A3041" w14:textId="77777777" w:rsidTr="00AD65EC">
        <w:trPr>
          <w:trHeight w:val="413"/>
          <w:tblHeader/>
          <w:jc w:val="center"/>
        </w:trPr>
        <w:tc>
          <w:tcPr>
            <w:tcW w:w="3220" w:type="dxa"/>
            <w:tcBorders>
              <w:top w:val="single" w:sz="4" w:space="0" w:color="auto"/>
              <w:left w:val="single" w:sz="4" w:space="0" w:color="auto"/>
              <w:bottom w:val="single" w:sz="4" w:space="0" w:color="auto"/>
              <w:right w:val="single" w:sz="4" w:space="0" w:color="auto"/>
            </w:tcBorders>
            <w:shd w:val="clear" w:color="auto" w:fill="auto"/>
            <w:hideMark/>
          </w:tcPr>
          <w:p w14:paraId="17461B40" w14:textId="77777777" w:rsidR="004331C0" w:rsidRPr="006140E6" w:rsidRDefault="004331C0" w:rsidP="00352ED6">
            <w:pPr>
              <w:spacing w:after="0" w:line="240" w:lineRule="auto"/>
              <w:rPr>
                <w:rFonts w:ascii="Calibri" w:eastAsia="Times New Roman" w:hAnsi="Calibri" w:cs="Calibri"/>
                <w:b/>
                <w:bCs/>
                <w:color w:val="000000"/>
                <w:sz w:val="28"/>
                <w:szCs w:val="28"/>
                <w:lang w:val="en-US" w:eastAsia="en-GB"/>
              </w:rPr>
            </w:pPr>
            <w:r w:rsidRPr="006140E6">
              <w:rPr>
                <w:rFonts w:ascii="Calibri" w:eastAsia="Times New Roman" w:hAnsi="Calibri" w:cs="Calibri"/>
                <w:b/>
                <w:bCs/>
                <w:color w:val="000000"/>
                <w:sz w:val="28"/>
                <w:szCs w:val="28"/>
                <w:lang w:val="en-US" w:eastAsia="en-GB"/>
              </w:rPr>
              <w:t>Area</w:t>
            </w:r>
          </w:p>
        </w:tc>
        <w:tc>
          <w:tcPr>
            <w:tcW w:w="3767" w:type="dxa"/>
            <w:tcBorders>
              <w:top w:val="single" w:sz="4" w:space="0" w:color="auto"/>
              <w:left w:val="nil"/>
              <w:bottom w:val="single" w:sz="4" w:space="0" w:color="auto"/>
              <w:right w:val="single" w:sz="4" w:space="0" w:color="auto"/>
            </w:tcBorders>
            <w:shd w:val="clear" w:color="auto" w:fill="auto"/>
            <w:hideMark/>
          </w:tcPr>
          <w:p w14:paraId="7790299C" w14:textId="77777777" w:rsidR="004331C0" w:rsidRPr="006140E6" w:rsidRDefault="004331C0" w:rsidP="00352ED6">
            <w:pPr>
              <w:spacing w:after="0" w:line="240" w:lineRule="auto"/>
              <w:rPr>
                <w:rFonts w:ascii="Calibri" w:eastAsia="Times New Roman" w:hAnsi="Calibri" w:cs="Calibri"/>
                <w:b/>
                <w:bCs/>
                <w:color w:val="000000"/>
                <w:sz w:val="28"/>
                <w:szCs w:val="28"/>
                <w:lang w:val="en-US" w:eastAsia="en-GB"/>
              </w:rPr>
            </w:pPr>
            <w:r w:rsidRPr="006140E6">
              <w:rPr>
                <w:rFonts w:ascii="Calibri" w:eastAsia="Times New Roman" w:hAnsi="Calibri" w:cs="Calibri"/>
                <w:b/>
                <w:bCs/>
                <w:color w:val="000000"/>
                <w:sz w:val="28"/>
                <w:szCs w:val="28"/>
                <w:lang w:val="en-US" w:eastAsia="en-GB"/>
              </w:rPr>
              <w:t>Indicator</w:t>
            </w:r>
          </w:p>
        </w:tc>
        <w:tc>
          <w:tcPr>
            <w:tcW w:w="2465" w:type="dxa"/>
            <w:tcBorders>
              <w:top w:val="single" w:sz="4" w:space="0" w:color="auto"/>
              <w:left w:val="nil"/>
              <w:bottom w:val="single" w:sz="4" w:space="0" w:color="auto"/>
              <w:right w:val="single" w:sz="4" w:space="0" w:color="auto"/>
            </w:tcBorders>
            <w:shd w:val="clear" w:color="auto" w:fill="auto"/>
            <w:hideMark/>
          </w:tcPr>
          <w:p w14:paraId="38C85FA6" w14:textId="77777777" w:rsidR="004331C0" w:rsidRPr="006140E6" w:rsidRDefault="004331C0" w:rsidP="00352ED6">
            <w:pPr>
              <w:spacing w:after="0" w:line="240" w:lineRule="auto"/>
              <w:jc w:val="center"/>
              <w:rPr>
                <w:rFonts w:ascii="Calibri" w:eastAsia="Times New Roman" w:hAnsi="Calibri" w:cs="Calibri"/>
                <w:b/>
                <w:bCs/>
                <w:color w:val="000000"/>
                <w:sz w:val="28"/>
                <w:szCs w:val="28"/>
                <w:lang w:val="en-US" w:eastAsia="en-GB"/>
              </w:rPr>
            </w:pPr>
            <w:r w:rsidRPr="006140E6">
              <w:rPr>
                <w:rFonts w:ascii="Calibri" w:eastAsia="Times New Roman" w:hAnsi="Calibri" w:cs="Calibri"/>
                <w:b/>
                <w:bCs/>
                <w:color w:val="000000"/>
                <w:sz w:val="28"/>
                <w:szCs w:val="28"/>
                <w:lang w:val="en-US" w:eastAsia="en-GB"/>
              </w:rPr>
              <w:t>Ethiopia</w:t>
            </w:r>
          </w:p>
        </w:tc>
      </w:tr>
      <w:tr w:rsidR="00ED73EE" w:rsidRPr="006140E6" w14:paraId="0493E1F3" w14:textId="77777777" w:rsidTr="00E4138E">
        <w:trPr>
          <w:trHeight w:val="368"/>
          <w:jc w:val="center"/>
        </w:trPr>
        <w:tc>
          <w:tcPr>
            <w:tcW w:w="3220" w:type="dxa"/>
            <w:vMerge w:val="restart"/>
            <w:tcBorders>
              <w:top w:val="nil"/>
              <w:left w:val="single" w:sz="4" w:space="0" w:color="auto"/>
              <w:right w:val="single" w:sz="4" w:space="0" w:color="auto"/>
            </w:tcBorders>
            <w:shd w:val="clear" w:color="000000" w:fill="F2DCDB"/>
            <w:hideMark/>
          </w:tcPr>
          <w:p w14:paraId="393F3DFC" w14:textId="70B427CB" w:rsidR="00ED73EE" w:rsidRPr="006140E6" w:rsidRDefault="00AD65EC" w:rsidP="00352ED6">
            <w:pPr>
              <w:spacing w:after="0" w:line="240" w:lineRule="auto"/>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3. Measles e</w:t>
            </w:r>
            <w:r w:rsidR="00ED73EE" w:rsidRPr="006140E6">
              <w:rPr>
                <w:rFonts w:ascii="Calibri" w:eastAsia="Times New Roman" w:hAnsi="Calibri" w:cs="Calibri"/>
                <w:b/>
                <w:bCs/>
                <w:color w:val="000000"/>
                <w:lang w:val="en-US" w:eastAsia="en-GB"/>
              </w:rPr>
              <w:t>limination</w:t>
            </w:r>
          </w:p>
        </w:tc>
        <w:tc>
          <w:tcPr>
            <w:tcW w:w="3767" w:type="dxa"/>
            <w:tcBorders>
              <w:top w:val="nil"/>
              <w:left w:val="nil"/>
              <w:bottom w:val="single" w:sz="4" w:space="0" w:color="auto"/>
              <w:right w:val="single" w:sz="4" w:space="0" w:color="auto"/>
            </w:tcBorders>
            <w:shd w:val="clear" w:color="000000" w:fill="F2DCDB"/>
            <w:hideMark/>
          </w:tcPr>
          <w:p w14:paraId="4A39B155" w14:textId="7EB4DE53" w:rsidR="00ED73EE" w:rsidRPr="006140E6" w:rsidRDefault="00ED73EE" w:rsidP="00352ED6">
            <w:pPr>
              <w:spacing w:after="0" w:line="240" w:lineRule="auto"/>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Coverage MCV1 (201</w:t>
            </w:r>
            <w:r w:rsidR="00352ED6" w:rsidRPr="006140E6">
              <w:rPr>
                <w:rFonts w:ascii="Calibri" w:eastAsia="Times New Roman" w:hAnsi="Calibri" w:cs="Calibri"/>
                <w:b/>
                <w:bCs/>
                <w:color w:val="000000"/>
                <w:lang w:val="en-US" w:eastAsia="en-GB"/>
              </w:rPr>
              <w:t>5</w:t>
            </w:r>
            <w:r w:rsidRPr="006140E6">
              <w:rPr>
                <w:rFonts w:ascii="Calibri" w:eastAsia="Times New Roman" w:hAnsi="Calibri" w:cs="Calibri"/>
                <w:b/>
                <w:bCs/>
                <w:color w:val="000000"/>
                <w:lang w:val="en-US" w:eastAsia="en-GB"/>
              </w:rPr>
              <w:t xml:space="preserve"> WUENIC)</w:t>
            </w:r>
          </w:p>
        </w:tc>
        <w:tc>
          <w:tcPr>
            <w:tcW w:w="2465" w:type="dxa"/>
            <w:tcBorders>
              <w:top w:val="nil"/>
              <w:left w:val="nil"/>
              <w:bottom w:val="single" w:sz="4" w:space="0" w:color="auto"/>
              <w:right w:val="single" w:sz="4" w:space="0" w:color="auto"/>
            </w:tcBorders>
            <w:shd w:val="clear" w:color="000000" w:fill="FF0000"/>
            <w:hideMark/>
          </w:tcPr>
          <w:p w14:paraId="77A4B3D5" w14:textId="603C6EAA" w:rsidR="00ED73EE" w:rsidRPr="006140E6" w:rsidRDefault="00ED73EE" w:rsidP="00352ED6">
            <w:pPr>
              <w:spacing w:after="0" w:line="240" w:lineRule="auto"/>
              <w:jc w:val="center"/>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7</w:t>
            </w:r>
            <w:r w:rsidR="00352ED6" w:rsidRPr="006140E6">
              <w:rPr>
                <w:rFonts w:ascii="Calibri" w:eastAsia="Times New Roman" w:hAnsi="Calibri" w:cs="Calibri"/>
                <w:b/>
                <w:bCs/>
                <w:color w:val="000000"/>
                <w:lang w:val="en-US" w:eastAsia="en-GB"/>
              </w:rPr>
              <w:t>8</w:t>
            </w:r>
            <w:r w:rsidRPr="006140E6">
              <w:rPr>
                <w:rFonts w:ascii="Calibri" w:eastAsia="Times New Roman" w:hAnsi="Calibri" w:cs="Calibri"/>
                <w:b/>
                <w:bCs/>
                <w:color w:val="000000"/>
                <w:lang w:val="en-US" w:eastAsia="en-GB"/>
              </w:rPr>
              <w:t>%</w:t>
            </w:r>
          </w:p>
        </w:tc>
      </w:tr>
      <w:tr w:rsidR="00ED73EE" w:rsidRPr="006140E6" w14:paraId="71EFF644" w14:textId="77777777" w:rsidTr="00AD65EC">
        <w:trPr>
          <w:trHeight w:val="300"/>
          <w:jc w:val="center"/>
        </w:trPr>
        <w:tc>
          <w:tcPr>
            <w:tcW w:w="3220" w:type="dxa"/>
            <w:vMerge/>
            <w:tcBorders>
              <w:left w:val="single" w:sz="4" w:space="0" w:color="auto"/>
              <w:right w:val="single" w:sz="4" w:space="0" w:color="auto"/>
            </w:tcBorders>
            <w:shd w:val="clear" w:color="000000" w:fill="F2DCDB"/>
          </w:tcPr>
          <w:p w14:paraId="384FEC96" w14:textId="3D8E692D" w:rsidR="00ED73EE" w:rsidRPr="006140E6" w:rsidRDefault="00ED73EE" w:rsidP="00352ED6">
            <w:pPr>
              <w:spacing w:after="0" w:line="240" w:lineRule="auto"/>
              <w:rPr>
                <w:rFonts w:ascii="Calibri" w:eastAsia="Times New Roman" w:hAnsi="Calibri" w:cs="Calibri"/>
                <w:b/>
                <w:bCs/>
                <w:color w:val="000000"/>
                <w:lang w:val="en-US" w:eastAsia="en-GB"/>
              </w:rPr>
            </w:pPr>
          </w:p>
        </w:tc>
        <w:tc>
          <w:tcPr>
            <w:tcW w:w="3767" w:type="dxa"/>
            <w:tcBorders>
              <w:top w:val="nil"/>
              <w:left w:val="nil"/>
              <w:bottom w:val="single" w:sz="4" w:space="0" w:color="auto"/>
              <w:right w:val="single" w:sz="4" w:space="0" w:color="auto"/>
            </w:tcBorders>
            <w:shd w:val="clear" w:color="000000" w:fill="F2DCDB"/>
            <w:hideMark/>
          </w:tcPr>
          <w:p w14:paraId="6D341101" w14:textId="77777777" w:rsidR="00ED73EE" w:rsidRPr="006140E6" w:rsidRDefault="00ED73EE" w:rsidP="00352ED6">
            <w:pPr>
              <w:spacing w:after="0" w:line="240" w:lineRule="auto"/>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 xml:space="preserve">Coverage MCV2 </w:t>
            </w:r>
          </w:p>
        </w:tc>
        <w:tc>
          <w:tcPr>
            <w:tcW w:w="2465" w:type="dxa"/>
            <w:tcBorders>
              <w:top w:val="nil"/>
              <w:left w:val="nil"/>
              <w:bottom w:val="single" w:sz="4" w:space="0" w:color="auto"/>
              <w:right w:val="single" w:sz="4" w:space="0" w:color="auto"/>
            </w:tcBorders>
            <w:shd w:val="clear" w:color="000000" w:fill="FF0000"/>
            <w:hideMark/>
          </w:tcPr>
          <w:p w14:paraId="1175DEC5" w14:textId="77777777" w:rsidR="00ED73EE" w:rsidRPr="006140E6" w:rsidRDefault="00ED73EE" w:rsidP="00352ED6">
            <w:pPr>
              <w:spacing w:after="0" w:line="240" w:lineRule="auto"/>
              <w:jc w:val="center"/>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Not in schedule</w:t>
            </w:r>
          </w:p>
        </w:tc>
      </w:tr>
      <w:tr w:rsidR="00ED73EE" w:rsidRPr="006140E6" w14:paraId="65ED4478" w14:textId="77777777" w:rsidTr="00AD65EC">
        <w:trPr>
          <w:trHeight w:val="600"/>
          <w:jc w:val="center"/>
        </w:trPr>
        <w:tc>
          <w:tcPr>
            <w:tcW w:w="3220" w:type="dxa"/>
            <w:vMerge/>
            <w:tcBorders>
              <w:left w:val="single" w:sz="4" w:space="0" w:color="auto"/>
              <w:right w:val="single" w:sz="4" w:space="0" w:color="auto"/>
            </w:tcBorders>
            <w:shd w:val="clear" w:color="000000" w:fill="F2DCDB"/>
          </w:tcPr>
          <w:p w14:paraId="1DC79294" w14:textId="1B65B060" w:rsidR="00ED73EE" w:rsidRPr="006140E6" w:rsidRDefault="00ED73EE" w:rsidP="00352ED6">
            <w:pPr>
              <w:spacing w:after="0" w:line="240" w:lineRule="auto"/>
              <w:rPr>
                <w:rFonts w:ascii="Calibri" w:eastAsia="Times New Roman" w:hAnsi="Calibri" w:cs="Calibri"/>
                <w:b/>
                <w:bCs/>
                <w:color w:val="000000"/>
                <w:lang w:val="en-US" w:eastAsia="en-GB"/>
              </w:rPr>
            </w:pPr>
          </w:p>
        </w:tc>
        <w:tc>
          <w:tcPr>
            <w:tcW w:w="3767" w:type="dxa"/>
            <w:tcBorders>
              <w:top w:val="nil"/>
              <w:left w:val="nil"/>
              <w:bottom w:val="single" w:sz="4" w:space="0" w:color="auto"/>
              <w:right w:val="single" w:sz="4" w:space="0" w:color="auto"/>
            </w:tcBorders>
            <w:shd w:val="clear" w:color="000000" w:fill="F2DCDB"/>
            <w:hideMark/>
          </w:tcPr>
          <w:p w14:paraId="0C4F059F" w14:textId="6B4313A0" w:rsidR="00ED73EE" w:rsidRPr="006140E6" w:rsidRDefault="00ED73EE" w:rsidP="00352ED6">
            <w:pPr>
              <w:spacing w:after="0" w:line="240" w:lineRule="auto"/>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 xml:space="preserve">Percentage of districts with MCV1 coverage </w:t>
            </w:r>
            <w:r w:rsidR="00352ED6" w:rsidRPr="006140E6">
              <w:rPr>
                <w:rFonts w:ascii="Calibri" w:eastAsia="Times New Roman" w:hAnsi="Calibri" w:cs="Calibri"/>
                <w:b/>
                <w:bCs/>
                <w:color w:val="000000"/>
                <w:lang w:val="en-US" w:eastAsia="en-GB"/>
              </w:rPr>
              <w:t>≥</w:t>
            </w:r>
            <w:r w:rsidRPr="006140E6">
              <w:rPr>
                <w:rFonts w:ascii="Calibri" w:eastAsia="Times New Roman" w:hAnsi="Calibri" w:cs="Calibri"/>
                <w:b/>
                <w:bCs/>
                <w:color w:val="000000"/>
                <w:lang w:val="en-US" w:eastAsia="en-GB"/>
              </w:rPr>
              <w:t>95% (2015 JRF)</w:t>
            </w:r>
          </w:p>
        </w:tc>
        <w:tc>
          <w:tcPr>
            <w:tcW w:w="2465" w:type="dxa"/>
            <w:tcBorders>
              <w:top w:val="nil"/>
              <w:left w:val="nil"/>
              <w:bottom w:val="single" w:sz="4" w:space="0" w:color="auto"/>
              <w:right w:val="single" w:sz="4" w:space="0" w:color="auto"/>
            </w:tcBorders>
            <w:shd w:val="clear" w:color="000000" w:fill="FF0000"/>
            <w:hideMark/>
          </w:tcPr>
          <w:p w14:paraId="61507033" w14:textId="77777777" w:rsidR="00ED73EE" w:rsidRPr="006140E6" w:rsidRDefault="00ED73EE" w:rsidP="00352ED6">
            <w:pPr>
              <w:spacing w:after="0" w:line="240" w:lineRule="auto"/>
              <w:jc w:val="center"/>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30%</w:t>
            </w:r>
          </w:p>
        </w:tc>
      </w:tr>
      <w:tr w:rsidR="00ED73EE" w:rsidRPr="006140E6" w14:paraId="271091A3" w14:textId="77777777" w:rsidTr="00AD65EC">
        <w:trPr>
          <w:trHeight w:val="300"/>
          <w:jc w:val="center"/>
        </w:trPr>
        <w:tc>
          <w:tcPr>
            <w:tcW w:w="3220" w:type="dxa"/>
            <w:vMerge/>
            <w:tcBorders>
              <w:left w:val="single" w:sz="4" w:space="0" w:color="auto"/>
              <w:right w:val="single" w:sz="4" w:space="0" w:color="auto"/>
            </w:tcBorders>
            <w:shd w:val="clear" w:color="000000" w:fill="F2DCDB"/>
          </w:tcPr>
          <w:p w14:paraId="5A6897AB" w14:textId="272C223A" w:rsidR="00ED73EE" w:rsidRPr="006140E6" w:rsidRDefault="00ED73EE" w:rsidP="00352ED6">
            <w:pPr>
              <w:spacing w:after="0" w:line="240" w:lineRule="auto"/>
              <w:rPr>
                <w:rFonts w:ascii="Calibri" w:eastAsia="Times New Roman" w:hAnsi="Calibri" w:cs="Calibri"/>
                <w:b/>
                <w:bCs/>
                <w:color w:val="000000"/>
                <w:lang w:val="en-US" w:eastAsia="en-GB"/>
              </w:rPr>
            </w:pPr>
          </w:p>
        </w:tc>
        <w:tc>
          <w:tcPr>
            <w:tcW w:w="3767" w:type="dxa"/>
            <w:tcBorders>
              <w:top w:val="nil"/>
              <w:left w:val="nil"/>
              <w:bottom w:val="single" w:sz="4" w:space="0" w:color="auto"/>
              <w:right w:val="single" w:sz="4" w:space="0" w:color="auto"/>
            </w:tcBorders>
            <w:shd w:val="clear" w:color="000000" w:fill="F2DCDB"/>
            <w:hideMark/>
          </w:tcPr>
          <w:p w14:paraId="798F606C" w14:textId="77777777" w:rsidR="00ED73EE" w:rsidRPr="006140E6" w:rsidRDefault="00ED73EE" w:rsidP="00352ED6">
            <w:pPr>
              <w:spacing w:after="0" w:line="240" w:lineRule="auto"/>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Last national SIA</w:t>
            </w:r>
          </w:p>
        </w:tc>
        <w:tc>
          <w:tcPr>
            <w:tcW w:w="2465" w:type="dxa"/>
            <w:tcBorders>
              <w:top w:val="nil"/>
              <w:left w:val="nil"/>
              <w:bottom w:val="single" w:sz="4" w:space="0" w:color="auto"/>
              <w:right w:val="single" w:sz="4" w:space="0" w:color="auto"/>
            </w:tcBorders>
            <w:shd w:val="clear" w:color="000000" w:fill="FF0000"/>
            <w:hideMark/>
          </w:tcPr>
          <w:p w14:paraId="17AEC6E2" w14:textId="77777777" w:rsidR="00ED73EE" w:rsidRPr="006140E6" w:rsidRDefault="00ED73EE" w:rsidP="00352ED6">
            <w:pPr>
              <w:spacing w:after="0" w:line="240" w:lineRule="auto"/>
              <w:jc w:val="center"/>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2013</w:t>
            </w:r>
          </w:p>
        </w:tc>
      </w:tr>
      <w:tr w:rsidR="00ED73EE" w:rsidRPr="006140E6" w14:paraId="4D6B3204" w14:textId="77777777" w:rsidTr="00E4138E">
        <w:trPr>
          <w:trHeight w:val="300"/>
          <w:jc w:val="center"/>
        </w:trPr>
        <w:tc>
          <w:tcPr>
            <w:tcW w:w="3220" w:type="dxa"/>
            <w:vMerge/>
            <w:tcBorders>
              <w:left w:val="single" w:sz="4" w:space="0" w:color="auto"/>
              <w:bottom w:val="single" w:sz="4" w:space="0" w:color="auto"/>
              <w:right w:val="single" w:sz="4" w:space="0" w:color="auto"/>
            </w:tcBorders>
            <w:shd w:val="clear" w:color="000000" w:fill="F2DCDB"/>
          </w:tcPr>
          <w:p w14:paraId="41AFE345" w14:textId="6329CC42" w:rsidR="00ED73EE" w:rsidRPr="006140E6" w:rsidRDefault="00ED73EE" w:rsidP="00352ED6">
            <w:pPr>
              <w:spacing w:after="0" w:line="240" w:lineRule="auto"/>
              <w:rPr>
                <w:rFonts w:ascii="Calibri" w:eastAsia="Times New Roman" w:hAnsi="Calibri" w:cs="Calibri"/>
                <w:b/>
                <w:bCs/>
                <w:color w:val="000000"/>
                <w:lang w:val="en-US" w:eastAsia="en-GB"/>
              </w:rPr>
            </w:pPr>
          </w:p>
        </w:tc>
        <w:tc>
          <w:tcPr>
            <w:tcW w:w="3767" w:type="dxa"/>
            <w:tcBorders>
              <w:top w:val="nil"/>
              <w:left w:val="nil"/>
              <w:bottom w:val="single" w:sz="4" w:space="0" w:color="auto"/>
              <w:right w:val="single" w:sz="4" w:space="0" w:color="auto"/>
            </w:tcBorders>
            <w:shd w:val="clear" w:color="000000" w:fill="F2DCDB"/>
            <w:hideMark/>
          </w:tcPr>
          <w:p w14:paraId="13AEABBB" w14:textId="77777777" w:rsidR="00ED73EE" w:rsidRPr="006140E6" w:rsidRDefault="00ED73EE" w:rsidP="00352ED6">
            <w:pPr>
              <w:spacing w:after="0" w:line="240" w:lineRule="auto"/>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Post SIA coverage survey conducted</w:t>
            </w:r>
          </w:p>
        </w:tc>
        <w:tc>
          <w:tcPr>
            <w:tcW w:w="2465" w:type="dxa"/>
            <w:tcBorders>
              <w:top w:val="nil"/>
              <w:left w:val="nil"/>
              <w:bottom w:val="single" w:sz="4" w:space="0" w:color="auto"/>
              <w:right w:val="single" w:sz="4" w:space="0" w:color="auto"/>
            </w:tcBorders>
            <w:shd w:val="clear" w:color="auto" w:fill="00B050"/>
            <w:hideMark/>
          </w:tcPr>
          <w:p w14:paraId="7A84A2EC" w14:textId="1921ECCF" w:rsidR="00ED73EE" w:rsidRPr="006140E6" w:rsidRDefault="00E4138E" w:rsidP="00352ED6">
            <w:pPr>
              <w:spacing w:after="0" w:line="240" w:lineRule="auto"/>
              <w:jc w:val="center"/>
              <w:rPr>
                <w:rFonts w:ascii="Calibri" w:eastAsia="Times New Roman" w:hAnsi="Calibri" w:cs="Calibri"/>
                <w:b/>
                <w:bCs/>
                <w:color w:val="000000"/>
                <w:lang w:val="en-US" w:eastAsia="en-GB"/>
              </w:rPr>
            </w:pPr>
            <w:r>
              <w:rPr>
                <w:rFonts w:ascii="Calibri" w:eastAsia="Times New Roman" w:hAnsi="Calibri" w:cs="Calibri"/>
                <w:b/>
                <w:bCs/>
                <w:color w:val="000000"/>
                <w:lang w:val="en-US" w:eastAsia="en-GB"/>
              </w:rPr>
              <w:t>Yes</w:t>
            </w:r>
          </w:p>
        </w:tc>
      </w:tr>
    </w:tbl>
    <w:p w14:paraId="382AF0C4" w14:textId="33F9ED6B" w:rsidR="0019049C" w:rsidRPr="00646BBE" w:rsidRDefault="0019049C" w:rsidP="00646BBE">
      <w:pPr>
        <w:pStyle w:val="ListParagraph"/>
        <w:numPr>
          <w:ilvl w:val="2"/>
          <w:numId w:val="18"/>
        </w:numPr>
        <w:rPr>
          <w:rFonts w:ascii="Arial" w:hAnsi="Arial" w:cs="Arial"/>
          <w:b/>
          <w:lang w:val="en-US"/>
        </w:rPr>
      </w:pPr>
      <w:r w:rsidRPr="00646BBE">
        <w:rPr>
          <w:rFonts w:ascii="Arial" w:hAnsi="Arial" w:cs="Arial"/>
          <w:b/>
          <w:lang w:val="en-US"/>
        </w:rPr>
        <w:t xml:space="preserve">Achieve measles elimination and rubella and CRS elimination </w:t>
      </w:r>
    </w:p>
    <w:p w14:paraId="36012B28" w14:textId="77777777" w:rsidR="005B3DAE" w:rsidRPr="005B3DAE" w:rsidRDefault="005B3DAE" w:rsidP="0019049C">
      <w:pPr>
        <w:rPr>
          <w:rFonts w:ascii="Arial" w:hAnsi="Arial" w:cs="Arial"/>
          <w:b/>
          <w:lang w:val="en-US"/>
        </w:rPr>
      </w:pPr>
      <w:r w:rsidRPr="005B3DAE">
        <w:rPr>
          <w:rFonts w:ascii="Arial" w:hAnsi="Arial" w:cs="Arial"/>
          <w:b/>
          <w:lang w:val="en-US"/>
        </w:rPr>
        <w:t>Measles</w:t>
      </w:r>
    </w:p>
    <w:p w14:paraId="591FCCA0" w14:textId="7A96B0CB" w:rsidR="0019049C" w:rsidRDefault="008F4FAA" w:rsidP="0019049C">
      <w:pPr>
        <w:rPr>
          <w:rFonts w:ascii="Arial" w:hAnsi="Arial" w:cs="Arial"/>
          <w:lang w:val="en-US"/>
        </w:rPr>
      </w:pPr>
      <w:r>
        <w:rPr>
          <w:rFonts w:ascii="Arial" w:hAnsi="Arial" w:cs="Arial"/>
          <w:lang w:val="en-US"/>
        </w:rPr>
        <w:t>Ethiopia is not currently on track to meet the goal of measles elimination by 2020, despite the federal Government’s commitment to do so and its considerable efforts to combat the disease with multiple national and sub-national campaigns. The number of reported measles outbreaks has increased in recent years – from 145 in 2012, to 24</w:t>
      </w:r>
      <w:r w:rsidR="00CF1FC7">
        <w:rPr>
          <w:rFonts w:ascii="Arial" w:hAnsi="Arial" w:cs="Arial"/>
          <w:lang w:val="en-US"/>
        </w:rPr>
        <w:t>3 in 2013 and 302 in 2014</w:t>
      </w:r>
      <w:r>
        <w:rPr>
          <w:rFonts w:ascii="Arial" w:hAnsi="Arial" w:cs="Arial"/>
          <w:lang w:val="en-US"/>
        </w:rPr>
        <w:t>,</w:t>
      </w:r>
      <w:r w:rsidR="00CF1FC7">
        <w:rPr>
          <w:rStyle w:val="FootnoteReference"/>
          <w:rFonts w:ascii="Arial" w:hAnsi="Arial" w:cs="Arial"/>
          <w:lang w:val="en-US"/>
        </w:rPr>
        <w:footnoteReference w:id="1"/>
      </w:r>
      <w:r>
        <w:rPr>
          <w:rFonts w:ascii="Arial" w:hAnsi="Arial" w:cs="Arial"/>
          <w:lang w:val="en-US"/>
        </w:rPr>
        <w:t xml:space="preserve"> as has the</w:t>
      </w:r>
      <w:r w:rsidR="00CF1FC7">
        <w:rPr>
          <w:rFonts w:ascii="Arial" w:hAnsi="Arial" w:cs="Arial"/>
          <w:lang w:val="en-US"/>
        </w:rPr>
        <w:t xml:space="preserve"> number of reported cases (see f</w:t>
      </w:r>
      <w:r>
        <w:rPr>
          <w:rFonts w:ascii="Arial" w:hAnsi="Arial" w:cs="Arial"/>
          <w:lang w:val="en-US"/>
        </w:rPr>
        <w:t>igure in the Annex). The highest number of annual reported cases was, in fact, in 2015 (nearly 18,000 cases, as compared to 5,000 or less each year from 2006 to 2013)</w:t>
      </w:r>
      <w:r w:rsidR="00CF1FC7">
        <w:rPr>
          <w:rFonts w:ascii="Arial" w:hAnsi="Arial" w:cs="Arial"/>
          <w:lang w:val="en-US"/>
        </w:rPr>
        <w:t>. I</w:t>
      </w:r>
      <w:r>
        <w:rPr>
          <w:rFonts w:ascii="Arial" w:hAnsi="Arial" w:cs="Arial"/>
          <w:lang w:val="en-US"/>
        </w:rPr>
        <w:t xml:space="preserve">mproved measles </w:t>
      </w:r>
      <w:r w:rsidR="000C61CE">
        <w:rPr>
          <w:rFonts w:ascii="Arial" w:hAnsi="Arial" w:cs="Arial"/>
          <w:lang w:val="en-US"/>
        </w:rPr>
        <w:t xml:space="preserve">surveillance and </w:t>
      </w:r>
      <w:r>
        <w:rPr>
          <w:rFonts w:ascii="Arial" w:hAnsi="Arial" w:cs="Arial"/>
          <w:lang w:val="en-US"/>
        </w:rPr>
        <w:t>reporting could be a factor</w:t>
      </w:r>
      <w:r w:rsidR="00CF1FC7">
        <w:rPr>
          <w:rFonts w:ascii="Arial" w:hAnsi="Arial" w:cs="Arial"/>
          <w:lang w:val="en-US"/>
        </w:rPr>
        <w:t xml:space="preserve"> in the increased reported incidence, however</w:t>
      </w:r>
      <w:r>
        <w:rPr>
          <w:rFonts w:ascii="Arial" w:hAnsi="Arial" w:cs="Arial"/>
          <w:lang w:val="en-US"/>
        </w:rPr>
        <w:t>. Annual national measles incidence for 2015</w:t>
      </w:r>
      <w:r w:rsidR="0087073B">
        <w:rPr>
          <w:rFonts w:ascii="Arial" w:hAnsi="Arial" w:cs="Arial"/>
          <w:lang w:val="en-US"/>
        </w:rPr>
        <w:t>/</w:t>
      </w:r>
      <w:r>
        <w:rPr>
          <w:rFonts w:ascii="Arial" w:hAnsi="Arial" w:cs="Arial"/>
          <w:lang w:val="en-US"/>
        </w:rPr>
        <w:t xml:space="preserve">16 (laboratory and epidemiologically confirmed cases) was estimated at 83 per one </w:t>
      </w:r>
      <w:r>
        <w:rPr>
          <w:rFonts w:ascii="Arial" w:hAnsi="Arial" w:cs="Arial"/>
          <w:lang w:val="en-US"/>
        </w:rPr>
        <w:lastRenderedPageBreak/>
        <w:t>million population, compared to the elimination threshold of &lt;1/1 million.</w:t>
      </w:r>
      <w:r w:rsidR="00CF1FC7">
        <w:rPr>
          <w:rStyle w:val="FootnoteReference"/>
          <w:rFonts w:ascii="Arial" w:hAnsi="Arial" w:cs="Arial"/>
          <w:lang w:val="en-US"/>
        </w:rPr>
        <w:footnoteReference w:id="2"/>
      </w:r>
      <w:r>
        <w:rPr>
          <w:rFonts w:ascii="Arial" w:hAnsi="Arial" w:cs="Arial"/>
          <w:lang w:val="en-US"/>
        </w:rPr>
        <w:t xml:space="preserve"> Reported measles incidence varies dramatically by region – from as low as 0 to as high as 220 per million. </w:t>
      </w:r>
    </w:p>
    <w:p w14:paraId="212A0EBF" w14:textId="7042DB1E" w:rsidR="008F4FAA" w:rsidRDefault="001A42D9" w:rsidP="0019049C">
      <w:pPr>
        <w:rPr>
          <w:rFonts w:ascii="Arial" w:hAnsi="Arial" w:cs="Arial"/>
          <w:lang w:val="en-US"/>
        </w:rPr>
      </w:pPr>
      <w:r>
        <w:rPr>
          <w:rFonts w:ascii="Arial" w:hAnsi="Arial" w:cs="Arial"/>
          <w:lang w:val="en-US"/>
        </w:rPr>
        <w:t>Outbreaks earlier in this</w:t>
      </w:r>
      <w:r w:rsidR="008F4FAA">
        <w:rPr>
          <w:rFonts w:ascii="Arial" w:hAnsi="Arial" w:cs="Arial"/>
          <w:lang w:val="en-US"/>
        </w:rPr>
        <w:t xml:space="preserve"> decade (e.g., 2010/11) were concentrated in “developing regions”, such as Somali and Afar, and were believed to be caused by an increase in refugees from Somalia. However, the disease has spread in recent years to other areas far from the Somali border, such as Oromia in the South and the Southern Nations Nationalities Peoples (SNNP) region</w:t>
      </w:r>
      <w:r w:rsidR="0087073B">
        <w:rPr>
          <w:rFonts w:ascii="Arial" w:hAnsi="Arial" w:cs="Arial"/>
          <w:lang w:val="en-US"/>
        </w:rPr>
        <w:t>.</w:t>
      </w:r>
    </w:p>
    <w:p w14:paraId="0F875540" w14:textId="776B322D" w:rsidR="0087073B" w:rsidRDefault="0087073B" w:rsidP="003E2E31">
      <w:pPr>
        <w:rPr>
          <w:rFonts w:ascii="Arial" w:hAnsi="Arial" w:cs="Arial"/>
          <w:lang w:val="en-US"/>
        </w:rPr>
      </w:pPr>
      <w:r>
        <w:rPr>
          <w:rFonts w:ascii="Arial" w:hAnsi="Arial" w:cs="Arial"/>
          <w:lang w:val="en-US"/>
        </w:rPr>
        <w:t>The main reason given by informants and reports for the recent increase in measles incidence is the accumulation of susceptible</w:t>
      </w:r>
      <w:r w:rsidR="00D6260F">
        <w:rPr>
          <w:rFonts w:ascii="Arial" w:hAnsi="Arial" w:cs="Arial"/>
          <w:lang w:val="en-US"/>
        </w:rPr>
        <w:t xml:space="preserve"> individual</w:t>
      </w:r>
      <w:r>
        <w:rPr>
          <w:rFonts w:ascii="Arial" w:hAnsi="Arial" w:cs="Arial"/>
          <w:lang w:val="en-US"/>
        </w:rPr>
        <w:t>s due to a failure to vaccinate sufficient numbers of children through routine immunization</w:t>
      </w:r>
      <w:r w:rsidR="001A42D9">
        <w:rPr>
          <w:rFonts w:ascii="Arial" w:hAnsi="Arial" w:cs="Arial"/>
          <w:lang w:val="en-US"/>
        </w:rPr>
        <w:t xml:space="preserve"> and</w:t>
      </w:r>
      <w:r w:rsidR="001A42D9" w:rsidRPr="001A42D9">
        <w:rPr>
          <w:rFonts w:ascii="Arial" w:hAnsi="Arial" w:cs="Arial"/>
          <w:lang w:val="en-US"/>
        </w:rPr>
        <w:t xml:space="preserve"> </w:t>
      </w:r>
      <w:r w:rsidR="001A42D9">
        <w:rPr>
          <w:rFonts w:ascii="Arial" w:hAnsi="Arial" w:cs="Arial"/>
          <w:lang w:val="en-US"/>
        </w:rPr>
        <w:t>SIAs</w:t>
      </w:r>
      <w:r>
        <w:rPr>
          <w:rFonts w:ascii="Arial" w:hAnsi="Arial" w:cs="Arial"/>
          <w:lang w:val="en-US"/>
        </w:rPr>
        <w:t xml:space="preserve">. Ethiopia </w:t>
      </w:r>
      <w:r w:rsidR="001A42D9">
        <w:rPr>
          <w:rFonts w:ascii="Arial" w:hAnsi="Arial" w:cs="Arial"/>
          <w:lang w:val="en-US"/>
        </w:rPr>
        <w:t>conducted</w:t>
      </w:r>
      <w:r>
        <w:rPr>
          <w:rFonts w:ascii="Arial" w:hAnsi="Arial" w:cs="Arial"/>
          <w:lang w:val="en-US"/>
        </w:rPr>
        <w:t xml:space="preserve"> its first national measles catch-up campaign in a phase</w:t>
      </w:r>
      <w:r w:rsidR="003E2E31">
        <w:rPr>
          <w:rFonts w:ascii="Arial" w:hAnsi="Arial" w:cs="Arial"/>
          <w:lang w:val="en-US"/>
        </w:rPr>
        <w:t>d</w:t>
      </w:r>
      <w:r>
        <w:rPr>
          <w:rFonts w:ascii="Arial" w:hAnsi="Arial" w:cs="Arial"/>
          <w:lang w:val="en-US"/>
        </w:rPr>
        <w:t xml:space="preserve"> manner from 2003 to 2005 for children up to 15 years of age, followed by three follow-up campaigns for children under four or five every three years or so. While these later SIAs led to a sharp reduction in measles cases in children four years and younger, the disease struck older children and adults; 70% of confirmed cases in the first four </w:t>
      </w:r>
      <w:r w:rsidR="003E2E31">
        <w:rPr>
          <w:rFonts w:ascii="Arial" w:hAnsi="Arial" w:cs="Arial"/>
          <w:lang w:val="en-US"/>
        </w:rPr>
        <w:t xml:space="preserve">months </w:t>
      </w:r>
      <w:r>
        <w:rPr>
          <w:rFonts w:ascii="Arial" w:hAnsi="Arial" w:cs="Arial"/>
          <w:lang w:val="en-US"/>
        </w:rPr>
        <w:t>following the 2011 SIAs were more than five years of age.</w:t>
      </w:r>
      <w:r w:rsidR="001A42D9">
        <w:rPr>
          <w:rStyle w:val="FootnoteReference"/>
          <w:rFonts w:ascii="Arial" w:hAnsi="Arial" w:cs="Arial"/>
          <w:lang w:val="en-US"/>
        </w:rPr>
        <w:footnoteReference w:id="3"/>
      </w:r>
      <w:r>
        <w:rPr>
          <w:rFonts w:ascii="Arial" w:hAnsi="Arial" w:cs="Arial"/>
          <w:lang w:val="en-US"/>
        </w:rPr>
        <w:t xml:space="preserve"> The movement of people from sparsely-populated areas</w:t>
      </w:r>
      <w:r w:rsidR="001A42D9">
        <w:rPr>
          <w:rFonts w:ascii="Arial" w:hAnsi="Arial" w:cs="Arial"/>
          <w:lang w:val="en-US"/>
        </w:rPr>
        <w:t xml:space="preserve"> with</w:t>
      </w:r>
      <w:r w:rsidR="001A42D9" w:rsidRPr="001A42D9">
        <w:rPr>
          <w:rFonts w:ascii="Arial" w:hAnsi="Arial" w:cs="Arial"/>
          <w:lang w:val="en-US"/>
        </w:rPr>
        <w:t xml:space="preserve"> </w:t>
      </w:r>
      <w:r w:rsidR="001A42D9">
        <w:rPr>
          <w:rFonts w:ascii="Arial" w:hAnsi="Arial" w:cs="Arial"/>
          <w:lang w:val="en-US"/>
        </w:rPr>
        <w:t>low vaccination coverage</w:t>
      </w:r>
      <w:r>
        <w:rPr>
          <w:rFonts w:ascii="Arial" w:hAnsi="Arial" w:cs="Arial"/>
          <w:lang w:val="en-US"/>
        </w:rPr>
        <w:t xml:space="preserve">, such as Somali and Afar, to more populated parts of the country is implicated in the geographic spread and increase in incidence of the disease. </w:t>
      </w:r>
    </w:p>
    <w:p w14:paraId="6C6FCF9C" w14:textId="5428361A" w:rsidR="00952C8B" w:rsidRDefault="0087073B" w:rsidP="0019049C">
      <w:pPr>
        <w:rPr>
          <w:rFonts w:ascii="Arial" w:hAnsi="Arial" w:cs="Arial"/>
          <w:lang w:val="en-US"/>
        </w:rPr>
      </w:pPr>
      <w:r>
        <w:rPr>
          <w:rFonts w:ascii="Arial" w:hAnsi="Arial" w:cs="Arial"/>
          <w:lang w:val="en-US"/>
        </w:rPr>
        <w:t xml:space="preserve">The immunization program is now conducting </w:t>
      </w:r>
      <w:r w:rsidR="005C1966">
        <w:rPr>
          <w:rFonts w:ascii="Arial" w:hAnsi="Arial" w:cs="Arial"/>
          <w:lang w:val="en-US"/>
        </w:rPr>
        <w:t xml:space="preserve">measles </w:t>
      </w:r>
      <w:r>
        <w:rPr>
          <w:rFonts w:ascii="Arial" w:hAnsi="Arial" w:cs="Arial"/>
          <w:lang w:val="en-US"/>
        </w:rPr>
        <w:t xml:space="preserve">SIAs on a yearly basis, though they reportedly vary in quality, with some, including the recent April 2016 campaign, implemented without adequate preparation time, making is more difficult to reach more remote areas. However, the main problem remains the </w:t>
      </w:r>
      <w:r w:rsidR="00952C8B">
        <w:rPr>
          <w:rFonts w:ascii="Arial" w:hAnsi="Arial" w:cs="Arial"/>
          <w:lang w:val="en-US"/>
        </w:rPr>
        <w:t>in</w:t>
      </w:r>
      <w:r>
        <w:rPr>
          <w:rFonts w:ascii="Arial" w:hAnsi="Arial" w:cs="Arial"/>
          <w:lang w:val="en-US"/>
        </w:rPr>
        <w:t>ability</w:t>
      </w:r>
      <w:r w:rsidR="00952C8B">
        <w:rPr>
          <w:rFonts w:ascii="Arial" w:hAnsi="Arial" w:cs="Arial"/>
          <w:lang w:val="en-US"/>
        </w:rPr>
        <w:t xml:space="preserve"> of the routine immunization program to achieve sufficiently high measles vaccination coverage to eliminate the disease. According to the WUENIC estimates, national measles coverage reached 78% in 2015, but ranged from 62-68% in the four previous years. Coverage is very uneven by region – with rates ranging from 34% to 98% among 12-23 months</w:t>
      </w:r>
      <w:r w:rsidR="001A42D9" w:rsidRPr="001A42D9">
        <w:rPr>
          <w:rFonts w:ascii="Arial" w:hAnsi="Arial" w:cs="Arial"/>
          <w:lang w:val="en-US"/>
        </w:rPr>
        <w:t xml:space="preserve"> </w:t>
      </w:r>
      <w:r w:rsidR="001A42D9">
        <w:rPr>
          <w:rFonts w:ascii="Arial" w:hAnsi="Arial" w:cs="Arial"/>
          <w:lang w:val="en-US"/>
        </w:rPr>
        <w:t>in the 2012 immunization coverage survey</w:t>
      </w:r>
      <w:r w:rsidR="00952C8B">
        <w:rPr>
          <w:rFonts w:ascii="Arial" w:hAnsi="Arial" w:cs="Arial"/>
          <w:lang w:val="en-US"/>
        </w:rPr>
        <w:t>.</w:t>
      </w:r>
      <w:r w:rsidR="001A42D9">
        <w:rPr>
          <w:rStyle w:val="FootnoteReference"/>
          <w:rFonts w:ascii="Arial" w:hAnsi="Arial" w:cs="Arial"/>
          <w:lang w:val="en-US"/>
        </w:rPr>
        <w:footnoteReference w:id="4"/>
      </w:r>
      <w:r w:rsidR="00952C8B">
        <w:rPr>
          <w:rFonts w:ascii="Arial" w:hAnsi="Arial" w:cs="Arial"/>
          <w:lang w:val="en-US"/>
        </w:rPr>
        <w:t xml:space="preserve"> According to administrative coverage data, only 30% of districts in 2015 met the target of ≥95% measles vaccination coverage.</w:t>
      </w:r>
    </w:p>
    <w:p w14:paraId="68C95F9F" w14:textId="064BA9EF" w:rsidR="000217B3" w:rsidRDefault="000217B3" w:rsidP="0019049C">
      <w:pPr>
        <w:rPr>
          <w:rFonts w:ascii="Arial" w:hAnsi="Arial" w:cs="Arial"/>
          <w:lang w:val="en-US"/>
        </w:rPr>
      </w:pPr>
      <w:r>
        <w:rPr>
          <w:rFonts w:ascii="Arial" w:hAnsi="Arial" w:cs="Arial"/>
          <w:lang w:val="en-US"/>
        </w:rPr>
        <w:t xml:space="preserve">An investigation of continual measles outbreaks in the SNNP region conducted in 2014 attributed the insufficient performance of the routine immunization program to many of the problems discussed under Section 3.3 below (e.g., lack of daily immunization services, cold chain inadequacies, </w:t>
      </w:r>
      <w:proofErr w:type="gramStart"/>
      <w:r>
        <w:rPr>
          <w:rFonts w:ascii="Arial" w:hAnsi="Arial" w:cs="Arial"/>
          <w:lang w:val="en-US"/>
        </w:rPr>
        <w:t>frequent</w:t>
      </w:r>
      <w:proofErr w:type="gramEnd"/>
      <w:r>
        <w:rPr>
          <w:rFonts w:ascii="Arial" w:hAnsi="Arial" w:cs="Arial"/>
          <w:lang w:val="en-US"/>
        </w:rPr>
        <w:t xml:space="preserve"> vaccine </w:t>
      </w:r>
      <w:proofErr w:type="spellStart"/>
      <w:r>
        <w:rPr>
          <w:rFonts w:ascii="Arial" w:hAnsi="Arial" w:cs="Arial"/>
          <w:lang w:val="en-US"/>
        </w:rPr>
        <w:t>stockouts</w:t>
      </w:r>
      <w:proofErr w:type="spellEnd"/>
      <w:r>
        <w:rPr>
          <w:rFonts w:ascii="Arial" w:hAnsi="Arial" w:cs="Arial"/>
          <w:lang w:val="en-US"/>
        </w:rPr>
        <w:t>).</w:t>
      </w:r>
      <w:r w:rsidR="00420940">
        <w:rPr>
          <w:rStyle w:val="FootnoteReference"/>
          <w:rFonts w:ascii="Arial" w:hAnsi="Arial" w:cs="Arial"/>
          <w:lang w:val="en-US"/>
        </w:rPr>
        <w:footnoteReference w:id="5"/>
      </w:r>
      <w:r>
        <w:rPr>
          <w:rFonts w:ascii="Arial" w:hAnsi="Arial" w:cs="Arial"/>
          <w:lang w:val="en-US"/>
        </w:rPr>
        <w:t xml:space="preserve"> Two additional problems identified in the measles outbreak investigation were:</w:t>
      </w:r>
    </w:p>
    <w:p w14:paraId="5A6E9A30" w14:textId="31738A32" w:rsidR="0087073B" w:rsidRPr="006019F4" w:rsidRDefault="000217B3" w:rsidP="006019F4">
      <w:pPr>
        <w:pStyle w:val="ListParagraph"/>
        <w:numPr>
          <w:ilvl w:val="0"/>
          <w:numId w:val="33"/>
        </w:numPr>
        <w:rPr>
          <w:rFonts w:ascii="Arial" w:hAnsi="Arial" w:cs="Arial"/>
          <w:lang w:val="en-US"/>
        </w:rPr>
      </w:pPr>
      <w:r w:rsidRPr="006019F4">
        <w:rPr>
          <w:rFonts w:ascii="Arial" w:hAnsi="Arial" w:cs="Arial"/>
          <w:lang w:val="en-US"/>
        </w:rPr>
        <w:t xml:space="preserve">A reluctance </w:t>
      </w:r>
      <w:r w:rsidR="005B3DAE" w:rsidRPr="006019F4">
        <w:rPr>
          <w:rFonts w:ascii="Arial" w:hAnsi="Arial" w:cs="Arial"/>
          <w:lang w:val="en-US"/>
        </w:rPr>
        <w:t>among</w:t>
      </w:r>
      <w:r w:rsidRPr="006019F4">
        <w:rPr>
          <w:rFonts w:ascii="Arial" w:hAnsi="Arial" w:cs="Arial"/>
          <w:lang w:val="en-US"/>
        </w:rPr>
        <w:t xml:space="preserve"> health workers</w:t>
      </w:r>
      <w:r w:rsidR="005B3DAE" w:rsidRPr="006019F4">
        <w:rPr>
          <w:rFonts w:ascii="Arial" w:hAnsi="Arial" w:cs="Arial"/>
          <w:lang w:val="en-US"/>
        </w:rPr>
        <w:t xml:space="preserve"> to open multi-dose vials of measles vaccine for less than six or seven children at a time to reduce wastage, resulting </w:t>
      </w:r>
      <w:r w:rsidR="00420940" w:rsidRPr="006019F4">
        <w:rPr>
          <w:rFonts w:ascii="Arial" w:hAnsi="Arial" w:cs="Arial"/>
          <w:lang w:val="en-US"/>
        </w:rPr>
        <w:t xml:space="preserve">in </w:t>
      </w:r>
      <w:r w:rsidR="005B3DAE" w:rsidRPr="006019F4">
        <w:rPr>
          <w:rFonts w:ascii="Arial" w:hAnsi="Arial" w:cs="Arial"/>
          <w:lang w:val="en-US"/>
        </w:rPr>
        <w:t>missed opportunities to vaccinate against measles;</w:t>
      </w:r>
    </w:p>
    <w:p w14:paraId="6BBCAAD2" w14:textId="331A86D2" w:rsidR="005B3DAE" w:rsidRPr="006019F4" w:rsidRDefault="005B3DAE" w:rsidP="006019F4">
      <w:pPr>
        <w:pStyle w:val="ListParagraph"/>
        <w:numPr>
          <w:ilvl w:val="0"/>
          <w:numId w:val="33"/>
        </w:numPr>
        <w:rPr>
          <w:rFonts w:ascii="Arial" w:hAnsi="Arial" w:cs="Arial"/>
          <w:lang w:val="en-US"/>
        </w:rPr>
      </w:pPr>
      <w:r w:rsidRPr="006019F4">
        <w:rPr>
          <w:rFonts w:ascii="Arial" w:hAnsi="Arial" w:cs="Arial"/>
          <w:lang w:val="en-US"/>
        </w:rPr>
        <w:t xml:space="preserve">Over-reporting of coverage numbers due to “persistent demand for unrealistically perfect performance” from higher-ups and a </w:t>
      </w:r>
      <w:r w:rsidR="00420940" w:rsidRPr="006019F4">
        <w:rPr>
          <w:rFonts w:ascii="Arial" w:hAnsi="Arial" w:cs="Arial"/>
          <w:lang w:val="en-US"/>
        </w:rPr>
        <w:t xml:space="preserve">performance-based </w:t>
      </w:r>
      <w:r w:rsidRPr="006019F4">
        <w:rPr>
          <w:rFonts w:ascii="Arial" w:hAnsi="Arial" w:cs="Arial"/>
          <w:lang w:val="en-US"/>
        </w:rPr>
        <w:t>reward system</w:t>
      </w:r>
      <w:r w:rsidR="00420940" w:rsidRPr="006019F4">
        <w:rPr>
          <w:rFonts w:ascii="Arial" w:hAnsi="Arial" w:cs="Arial"/>
          <w:lang w:val="en-US"/>
        </w:rPr>
        <w:t>. This</w:t>
      </w:r>
      <w:r w:rsidRPr="006019F4">
        <w:rPr>
          <w:rFonts w:ascii="Arial" w:hAnsi="Arial" w:cs="Arial"/>
          <w:lang w:val="en-US"/>
        </w:rPr>
        <w:t xml:space="preserve"> result</w:t>
      </w:r>
      <w:r w:rsidR="00420940" w:rsidRPr="006019F4">
        <w:rPr>
          <w:rFonts w:ascii="Arial" w:hAnsi="Arial" w:cs="Arial"/>
          <w:lang w:val="en-US"/>
        </w:rPr>
        <w:t>s</w:t>
      </w:r>
      <w:r w:rsidRPr="006019F4">
        <w:rPr>
          <w:rFonts w:ascii="Arial" w:hAnsi="Arial" w:cs="Arial"/>
          <w:lang w:val="en-US"/>
        </w:rPr>
        <w:t xml:space="preserve"> in </w:t>
      </w:r>
      <w:r w:rsidRPr="006019F4">
        <w:rPr>
          <w:rFonts w:ascii="Arial" w:hAnsi="Arial" w:cs="Arial"/>
          <w:lang w:val="en-US"/>
        </w:rPr>
        <w:lastRenderedPageBreak/>
        <w:t>high administrative coverage rates for measles, and complacency until outbreaks began to occur. In one area, a post-outbreak survey revealed a covered rate of 52%, compared to 80-100% administrative coverage rates for the previous seven years.</w:t>
      </w:r>
    </w:p>
    <w:p w14:paraId="356C1D41" w14:textId="79E59116" w:rsidR="005B3DAE" w:rsidRDefault="005B3DAE" w:rsidP="00B57B9C">
      <w:pPr>
        <w:rPr>
          <w:rFonts w:ascii="Arial" w:hAnsi="Arial" w:cs="Arial"/>
          <w:lang w:val="en-US"/>
        </w:rPr>
      </w:pPr>
      <w:r>
        <w:rPr>
          <w:rFonts w:ascii="Arial" w:hAnsi="Arial" w:cs="Arial"/>
          <w:lang w:val="en-US"/>
        </w:rPr>
        <w:t>As mentioned</w:t>
      </w:r>
      <w:r w:rsidR="00420940">
        <w:rPr>
          <w:rFonts w:ascii="Arial" w:hAnsi="Arial" w:cs="Arial"/>
          <w:lang w:val="en-US"/>
        </w:rPr>
        <w:t xml:space="preserve"> above</w:t>
      </w:r>
      <w:r>
        <w:rPr>
          <w:rFonts w:ascii="Arial" w:hAnsi="Arial" w:cs="Arial"/>
          <w:lang w:val="en-US"/>
        </w:rPr>
        <w:t>, the Government has increased the frequency of measles SIAS in order to halt the increase and spread of outbreaks</w:t>
      </w:r>
      <w:r w:rsidR="00420940">
        <w:rPr>
          <w:rFonts w:ascii="Arial" w:hAnsi="Arial" w:cs="Arial"/>
          <w:lang w:val="en-US"/>
        </w:rPr>
        <w:t>,</w:t>
      </w:r>
      <w:r>
        <w:rPr>
          <w:rFonts w:ascii="Arial" w:hAnsi="Arial" w:cs="Arial"/>
          <w:lang w:val="en-US"/>
        </w:rPr>
        <w:t xml:space="preserve"> and measles vaccination coverage has improved in the past three years. Coverage should also improve </w:t>
      </w:r>
      <w:r w:rsidR="00420940">
        <w:rPr>
          <w:rFonts w:ascii="Arial" w:hAnsi="Arial" w:cs="Arial"/>
          <w:lang w:val="en-US"/>
        </w:rPr>
        <w:t>once</w:t>
      </w:r>
      <w:r>
        <w:rPr>
          <w:rFonts w:ascii="Arial" w:hAnsi="Arial" w:cs="Arial"/>
          <w:lang w:val="en-US"/>
        </w:rPr>
        <w:t xml:space="preserve"> the EPI introduces a second measles vaccine dose into the routine program, currently planned for 2018. Ethiopia also has a relatively strong surveillance infrastructure for measles, due to</w:t>
      </w:r>
      <w:r w:rsidR="00420940">
        <w:rPr>
          <w:rFonts w:ascii="Arial" w:hAnsi="Arial" w:cs="Arial"/>
          <w:lang w:val="en-US"/>
        </w:rPr>
        <w:t xml:space="preserve"> the existence of</w:t>
      </w:r>
      <w:r>
        <w:rPr>
          <w:rFonts w:ascii="Arial" w:hAnsi="Arial" w:cs="Arial"/>
          <w:lang w:val="en-US"/>
        </w:rPr>
        <w:t xml:space="preserve"> surveillance focal points at all levels of the health system, and district-level rapid response teams, as well as epidemic response committees at all levels. This system is heavily supported by WHO and UNICEF, </w:t>
      </w:r>
      <w:r w:rsidR="00420940">
        <w:rPr>
          <w:rFonts w:ascii="Arial" w:hAnsi="Arial" w:cs="Arial"/>
          <w:lang w:val="en-US"/>
        </w:rPr>
        <w:t>which cover</w:t>
      </w:r>
      <w:r>
        <w:rPr>
          <w:rFonts w:ascii="Arial" w:hAnsi="Arial" w:cs="Arial"/>
          <w:lang w:val="en-US"/>
        </w:rPr>
        <w:t xml:space="preserve"> the costs of the 11 regional surveillance coordinators and surveillance medical officers (SMOs) and supporting staff in zonal health departments throughout the country. </w:t>
      </w:r>
      <w:proofErr w:type="gramStart"/>
      <w:r>
        <w:rPr>
          <w:rFonts w:ascii="Arial" w:hAnsi="Arial" w:cs="Arial"/>
          <w:lang w:val="en-US"/>
        </w:rPr>
        <w:t>The WHO</w:t>
      </w:r>
      <w:proofErr w:type="gramEnd"/>
      <w:r>
        <w:rPr>
          <w:rFonts w:ascii="Arial" w:hAnsi="Arial" w:cs="Arial"/>
          <w:lang w:val="en-US"/>
        </w:rPr>
        <w:t>-supported surveillance team alone, including administrative assistants and drivers, numbered 114 persons in 2015.</w:t>
      </w:r>
    </w:p>
    <w:p w14:paraId="58D91CC2" w14:textId="77777777" w:rsidR="00914A96" w:rsidRPr="006140E6" w:rsidRDefault="00914A96">
      <w:pPr>
        <w:rPr>
          <w:rFonts w:ascii="Arial" w:hAnsi="Arial" w:cs="Arial"/>
          <w:lang w:val="en-US"/>
        </w:rPr>
        <w:sectPr w:rsidR="00914A96" w:rsidRPr="006140E6" w:rsidSect="00914A96">
          <w:footerReference w:type="default" r:id="rId9"/>
          <w:pgSz w:w="11906" w:h="16838"/>
          <w:pgMar w:top="1440" w:right="1440" w:bottom="1440" w:left="1440" w:header="709" w:footer="709" w:gutter="0"/>
          <w:cols w:space="708"/>
          <w:docGrid w:linePitch="360"/>
        </w:sectPr>
      </w:pPr>
    </w:p>
    <w:p w14:paraId="70D9AE28" w14:textId="7FBC56B2" w:rsidR="00D27284" w:rsidRPr="00646BBE" w:rsidRDefault="00D27284" w:rsidP="00646BBE">
      <w:pPr>
        <w:rPr>
          <w:rFonts w:ascii="Arial" w:hAnsi="Arial" w:cs="Arial"/>
          <w:b/>
          <w:sz w:val="24"/>
          <w:lang w:val="en-US"/>
        </w:rPr>
      </w:pPr>
      <w:r w:rsidRPr="006140E6">
        <w:rPr>
          <w:rFonts w:ascii="Arial" w:hAnsi="Arial" w:cs="Arial"/>
          <w:b/>
          <w:sz w:val="24"/>
          <w:lang w:val="en-US"/>
        </w:rPr>
        <w:lastRenderedPageBreak/>
        <w:t>ANNEXES</w:t>
      </w:r>
    </w:p>
    <w:p w14:paraId="69FB1AF5" w14:textId="77777777" w:rsidR="00D27284" w:rsidRDefault="00D27284" w:rsidP="00D27284">
      <w:pPr>
        <w:pStyle w:val="ListParagraph"/>
        <w:numPr>
          <w:ilvl w:val="0"/>
          <w:numId w:val="22"/>
        </w:numPr>
        <w:rPr>
          <w:b/>
          <w:bCs/>
          <w:sz w:val="24"/>
          <w:szCs w:val="24"/>
          <w:lang w:val="en-US"/>
        </w:rPr>
      </w:pPr>
      <w:r w:rsidRPr="006140E6">
        <w:rPr>
          <w:b/>
          <w:bCs/>
          <w:sz w:val="24"/>
          <w:szCs w:val="24"/>
          <w:lang w:val="en-US"/>
        </w:rPr>
        <w:t>Measles and rubella</w:t>
      </w:r>
    </w:p>
    <w:p w14:paraId="43E6E671" w14:textId="77777777" w:rsidR="001A55DB" w:rsidRPr="001A55DB" w:rsidRDefault="001A55DB" w:rsidP="001A55DB">
      <w:pPr>
        <w:pStyle w:val="Caption"/>
        <w:rPr>
          <w:rFonts w:ascii="Arial" w:hAnsi="Arial" w:cs="Arial"/>
          <w:color w:val="auto"/>
          <w:sz w:val="22"/>
        </w:rPr>
      </w:pPr>
      <w:r w:rsidRPr="001A55DB">
        <w:rPr>
          <w:rFonts w:ascii="Arial" w:hAnsi="Arial" w:cs="Arial"/>
          <w:color w:val="auto"/>
          <w:sz w:val="22"/>
        </w:rPr>
        <w:t xml:space="preserve">Figure </w:t>
      </w:r>
      <w:r w:rsidRPr="001A55DB">
        <w:rPr>
          <w:rFonts w:ascii="Arial" w:hAnsi="Arial" w:cs="Arial"/>
          <w:color w:val="auto"/>
          <w:sz w:val="22"/>
        </w:rPr>
        <w:fldChar w:fldCharType="begin"/>
      </w:r>
      <w:r w:rsidRPr="001A55DB">
        <w:rPr>
          <w:rFonts w:ascii="Arial" w:hAnsi="Arial" w:cs="Arial"/>
          <w:color w:val="auto"/>
          <w:sz w:val="22"/>
        </w:rPr>
        <w:instrText xml:space="preserve"> SEQ Figure \* ARABIC </w:instrText>
      </w:r>
      <w:r w:rsidRPr="001A55DB">
        <w:rPr>
          <w:rFonts w:ascii="Arial" w:hAnsi="Arial" w:cs="Arial"/>
          <w:color w:val="auto"/>
          <w:sz w:val="22"/>
        </w:rPr>
        <w:fldChar w:fldCharType="separate"/>
      </w:r>
      <w:r w:rsidR="00651A7C">
        <w:rPr>
          <w:rFonts w:ascii="Arial" w:hAnsi="Arial" w:cs="Arial"/>
          <w:noProof/>
          <w:color w:val="auto"/>
          <w:sz w:val="22"/>
        </w:rPr>
        <w:t>3</w:t>
      </w:r>
      <w:r w:rsidRPr="001A55DB">
        <w:rPr>
          <w:rFonts w:ascii="Arial" w:hAnsi="Arial" w:cs="Arial"/>
          <w:color w:val="auto"/>
          <w:sz w:val="22"/>
        </w:rPr>
        <w:fldChar w:fldCharType="end"/>
      </w:r>
      <w:r w:rsidRPr="001A55DB">
        <w:rPr>
          <w:rFonts w:ascii="Arial" w:hAnsi="Arial" w:cs="Arial"/>
          <w:color w:val="auto"/>
          <w:sz w:val="22"/>
        </w:rPr>
        <w:t>: Reported Measles cases and MCV coverage, Ethiopia, 1990-2015</w:t>
      </w:r>
    </w:p>
    <w:p w14:paraId="61460E88" w14:textId="0C235578" w:rsidR="00D27284" w:rsidRPr="006140E6" w:rsidRDefault="00E35B5F" w:rsidP="001A55DB">
      <w:pPr>
        <w:pStyle w:val="Caption"/>
        <w:rPr>
          <w:b w:val="0"/>
          <w:bCs w:val="0"/>
          <w:sz w:val="32"/>
          <w:szCs w:val="32"/>
          <w:lang w:val="en-US"/>
        </w:rPr>
      </w:pPr>
      <w:r w:rsidRPr="006140E6">
        <w:rPr>
          <w:noProof/>
          <w:lang w:eastAsia="zh-CN"/>
        </w:rPr>
        <w:drawing>
          <wp:inline distT="0" distB="0" distL="0" distR="0" wp14:anchorId="62639D6A" wp14:editId="1644B838">
            <wp:extent cx="5724525" cy="3219450"/>
            <wp:effectExtent l="19050" t="19050" r="28575" b="19050"/>
            <wp:docPr id="9" name="Picture 9" descr="Y:\GVAP\Priority_countries\ETHMCV1_MCV2_MEAS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Y:\GVAP\Priority_countries\ETHMCV1_MCV2_MEASL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solidFill>
                        <a:schemeClr val="tx1"/>
                      </a:solidFill>
                    </a:ln>
                  </pic:spPr>
                </pic:pic>
              </a:graphicData>
            </a:graphic>
          </wp:inline>
        </w:drawing>
      </w:r>
    </w:p>
    <w:p w14:paraId="21FD6AAB" w14:textId="582CCA47" w:rsidR="00E35B5F" w:rsidRPr="00651A7C" w:rsidRDefault="001A55DB" w:rsidP="001A55DB">
      <w:pPr>
        <w:pStyle w:val="Caption"/>
        <w:rPr>
          <w:rFonts w:ascii="Arial" w:hAnsi="Arial" w:cs="Arial"/>
          <w:color w:val="auto"/>
          <w:sz w:val="22"/>
        </w:rPr>
      </w:pPr>
      <w:r w:rsidRPr="00651A7C">
        <w:rPr>
          <w:rFonts w:ascii="Arial" w:hAnsi="Arial" w:cs="Arial"/>
          <w:color w:val="auto"/>
          <w:sz w:val="22"/>
        </w:rPr>
        <w:t xml:space="preserve">Table </w:t>
      </w:r>
      <w:r w:rsidRPr="00651A7C">
        <w:rPr>
          <w:rFonts w:ascii="Arial" w:hAnsi="Arial" w:cs="Arial"/>
          <w:color w:val="auto"/>
          <w:sz w:val="22"/>
        </w:rPr>
        <w:fldChar w:fldCharType="begin"/>
      </w:r>
      <w:r w:rsidRPr="00651A7C">
        <w:rPr>
          <w:rFonts w:ascii="Arial" w:hAnsi="Arial" w:cs="Arial"/>
          <w:color w:val="auto"/>
          <w:sz w:val="22"/>
        </w:rPr>
        <w:instrText xml:space="preserve"> SEQ Table \* ARABIC </w:instrText>
      </w:r>
      <w:r w:rsidRPr="00651A7C">
        <w:rPr>
          <w:rFonts w:ascii="Arial" w:hAnsi="Arial" w:cs="Arial"/>
          <w:color w:val="auto"/>
          <w:sz w:val="22"/>
        </w:rPr>
        <w:fldChar w:fldCharType="separate"/>
      </w:r>
      <w:r w:rsidRPr="00651A7C">
        <w:rPr>
          <w:rFonts w:ascii="Arial" w:hAnsi="Arial" w:cs="Arial"/>
          <w:color w:val="auto"/>
          <w:sz w:val="22"/>
        </w:rPr>
        <w:t>1</w:t>
      </w:r>
      <w:r w:rsidRPr="00651A7C">
        <w:rPr>
          <w:rFonts w:ascii="Arial" w:hAnsi="Arial" w:cs="Arial"/>
          <w:color w:val="auto"/>
          <w:sz w:val="22"/>
        </w:rPr>
        <w:fldChar w:fldCharType="end"/>
      </w:r>
      <w:r w:rsidRPr="00651A7C">
        <w:rPr>
          <w:rFonts w:ascii="Arial" w:hAnsi="Arial" w:cs="Arial"/>
          <w:color w:val="auto"/>
          <w:sz w:val="22"/>
        </w:rPr>
        <w:t>:</w:t>
      </w:r>
      <w:r w:rsidR="00D27284" w:rsidRPr="00651A7C">
        <w:rPr>
          <w:rFonts w:ascii="Arial" w:hAnsi="Arial" w:cs="Arial"/>
          <w:color w:val="auto"/>
          <w:sz w:val="22"/>
        </w:rPr>
        <w:t xml:space="preserve"> SIA activities planned in 2016-2017</w:t>
      </w:r>
    </w:p>
    <w:tbl>
      <w:tblPr>
        <w:tblStyle w:val="TableGrid"/>
        <w:tblW w:w="9720" w:type="dxa"/>
        <w:tblInd w:w="-342" w:type="dxa"/>
        <w:tblLook w:val="04A0" w:firstRow="1" w:lastRow="0" w:firstColumn="1" w:lastColumn="0" w:noHBand="0" w:noVBand="1"/>
      </w:tblPr>
      <w:tblGrid>
        <w:gridCol w:w="1127"/>
        <w:gridCol w:w="1358"/>
        <w:gridCol w:w="756"/>
        <w:gridCol w:w="1278"/>
        <w:gridCol w:w="1278"/>
        <w:gridCol w:w="1070"/>
        <w:gridCol w:w="976"/>
        <w:gridCol w:w="944"/>
        <w:gridCol w:w="1218"/>
      </w:tblGrid>
      <w:tr w:rsidR="00E35B5F" w:rsidRPr="00E1542F" w14:paraId="79E26435" w14:textId="77777777" w:rsidTr="00E1542F">
        <w:trPr>
          <w:trHeight w:val="255"/>
        </w:trPr>
        <w:tc>
          <w:tcPr>
            <w:tcW w:w="1127" w:type="dxa"/>
            <w:noWrap/>
            <w:hideMark/>
          </w:tcPr>
          <w:p w14:paraId="7D33C7D9" w14:textId="77777777" w:rsidR="00E35B5F" w:rsidRPr="00E1542F" w:rsidRDefault="00E35B5F" w:rsidP="00E1542F">
            <w:pPr>
              <w:jc w:val="center"/>
              <w:rPr>
                <w:b/>
                <w:lang w:val="en-US"/>
              </w:rPr>
            </w:pPr>
            <w:r w:rsidRPr="00E1542F">
              <w:rPr>
                <w:b/>
                <w:lang w:val="en-US"/>
              </w:rPr>
              <w:t>Activity</w:t>
            </w:r>
          </w:p>
        </w:tc>
        <w:tc>
          <w:tcPr>
            <w:tcW w:w="1267" w:type="dxa"/>
            <w:noWrap/>
            <w:hideMark/>
          </w:tcPr>
          <w:p w14:paraId="4686D295" w14:textId="77777777" w:rsidR="00E35B5F" w:rsidRPr="00E1542F" w:rsidRDefault="00E35B5F" w:rsidP="00E1542F">
            <w:pPr>
              <w:jc w:val="center"/>
              <w:rPr>
                <w:b/>
                <w:lang w:val="en-US"/>
              </w:rPr>
            </w:pPr>
            <w:r w:rsidRPr="00E1542F">
              <w:rPr>
                <w:b/>
                <w:lang w:val="en-US"/>
              </w:rPr>
              <w:t>Intervention</w:t>
            </w:r>
          </w:p>
        </w:tc>
        <w:tc>
          <w:tcPr>
            <w:tcW w:w="756" w:type="dxa"/>
            <w:noWrap/>
            <w:hideMark/>
          </w:tcPr>
          <w:p w14:paraId="3D49769F" w14:textId="77777777" w:rsidR="00E35B5F" w:rsidRPr="00E1542F" w:rsidRDefault="00E35B5F" w:rsidP="00E1542F">
            <w:pPr>
              <w:jc w:val="center"/>
              <w:rPr>
                <w:b/>
                <w:lang w:val="en-US"/>
              </w:rPr>
            </w:pPr>
            <w:r w:rsidRPr="00E1542F">
              <w:rPr>
                <w:b/>
                <w:lang w:val="en-US"/>
              </w:rPr>
              <w:t>Year</w:t>
            </w:r>
          </w:p>
        </w:tc>
        <w:tc>
          <w:tcPr>
            <w:tcW w:w="1220" w:type="dxa"/>
            <w:noWrap/>
            <w:hideMark/>
          </w:tcPr>
          <w:p w14:paraId="46587918" w14:textId="474BCBF3" w:rsidR="00E35B5F" w:rsidRPr="00E1542F" w:rsidRDefault="00E35B5F" w:rsidP="00E1542F">
            <w:pPr>
              <w:jc w:val="center"/>
              <w:rPr>
                <w:b/>
                <w:lang w:val="en-US"/>
              </w:rPr>
            </w:pPr>
            <w:r w:rsidRPr="00E1542F">
              <w:rPr>
                <w:b/>
                <w:lang w:val="en-US"/>
              </w:rPr>
              <w:t>Start</w:t>
            </w:r>
            <w:r w:rsidR="00E1542F" w:rsidRPr="00E1542F">
              <w:rPr>
                <w:b/>
                <w:lang w:val="en-US"/>
              </w:rPr>
              <w:t xml:space="preserve"> </w:t>
            </w:r>
            <w:r w:rsidRPr="00E1542F">
              <w:rPr>
                <w:b/>
                <w:lang w:val="en-US"/>
              </w:rPr>
              <w:t>Date</w:t>
            </w:r>
          </w:p>
        </w:tc>
        <w:tc>
          <w:tcPr>
            <w:tcW w:w="1220" w:type="dxa"/>
            <w:noWrap/>
            <w:hideMark/>
          </w:tcPr>
          <w:p w14:paraId="4B2A648F" w14:textId="41DBF7F4" w:rsidR="00E35B5F" w:rsidRPr="00E1542F" w:rsidRDefault="00E35B5F" w:rsidP="00E1542F">
            <w:pPr>
              <w:jc w:val="center"/>
              <w:rPr>
                <w:b/>
                <w:lang w:val="en-US"/>
              </w:rPr>
            </w:pPr>
            <w:r w:rsidRPr="00E1542F">
              <w:rPr>
                <w:b/>
                <w:lang w:val="en-US"/>
              </w:rPr>
              <w:t>End</w:t>
            </w:r>
            <w:r w:rsidR="00E1542F" w:rsidRPr="00E1542F">
              <w:rPr>
                <w:b/>
                <w:lang w:val="en-US"/>
              </w:rPr>
              <w:t xml:space="preserve"> </w:t>
            </w:r>
            <w:r w:rsidRPr="00E1542F">
              <w:rPr>
                <w:b/>
                <w:lang w:val="en-US"/>
              </w:rPr>
              <w:t>Date</w:t>
            </w:r>
          </w:p>
        </w:tc>
        <w:tc>
          <w:tcPr>
            <w:tcW w:w="1070" w:type="dxa"/>
            <w:noWrap/>
            <w:hideMark/>
          </w:tcPr>
          <w:p w14:paraId="3460AFCC" w14:textId="2EC41AD7" w:rsidR="00E35B5F" w:rsidRPr="00E1542F" w:rsidRDefault="00E35B5F" w:rsidP="00E1542F">
            <w:pPr>
              <w:jc w:val="center"/>
              <w:rPr>
                <w:b/>
                <w:lang w:val="en-US"/>
              </w:rPr>
            </w:pPr>
            <w:r w:rsidRPr="00E1542F">
              <w:rPr>
                <w:b/>
                <w:lang w:val="en-US"/>
              </w:rPr>
              <w:t>Age</w:t>
            </w:r>
            <w:r w:rsidR="00E1542F" w:rsidRPr="00E1542F">
              <w:rPr>
                <w:b/>
                <w:lang w:val="en-US"/>
              </w:rPr>
              <w:t xml:space="preserve"> </w:t>
            </w:r>
            <w:r w:rsidRPr="00E1542F">
              <w:rPr>
                <w:b/>
                <w:lang w:val="en-US"/>
              </w:rPr>
              <w:t>Group</w:t>
            </w:r>
          </w:p>
        </w:tc>
        <w:tc>
          <w:tcPr>
            <w:tcW w:w="960" w:type="dxa"/>
            <w:noWrap/>
            <w:hideMark/>
          </w:tcPr>
          <w:p w14:paraId="7C44E385" w14:textId="77777777" w:rsidR="00E35B5F" w:rsidRPr="00E1542F" w:rsidRDefault="00E35B5F" w:rsidP="00E1542F">
            <w:pPr>
              <w:jc w:val="center"/>
              <w:rPr>
                <w:b/>
                <w:lang w:val="en-US"/>
              </w:rPr>
            </w:pPr>
            <w:r w:rsidRPr="00E1542F">
              <w:rPr>
                <w:b/>
                <w:lang w:val="en-US"/>
              </w:rPr>
              <w:t>Extent</w:t>
            </w:r>
          </w:p>
        </w:tc>
        <w:tc>
          <w:tcPr>
            <w:tcW w:w="904" w:type="dxa"/>
            <w:noWrap/>
            <w:hideMark/>
          </w:tcPr>
          <w:p w14:paraId="79D97147" w14:textId="77777777" w:rsidR="00E35B5F" w:rsidRPr="00E1542F" w:rsidRDefault="00E35B5F" w:rsidP="00E1542F">
            <w:pPr>
              <w:jc w:val="center"/>
              <w:rPr>
                <w:b/>
                <w:lang w:val="en-US"/>
              </w:rPr>
            </w:pPr>
            <w:r w:rsidRPr="00E1542F">
              <w:rPr>
                <w:b/>
                <w:lang w:val="en-US"/>
              </w:rPr>
              <w:t>Status</w:t>
            </w:r>
          </w:p>
        </w:tc>
        <w:tc>
          <w:tcPr>
            <w:tcW w:w="1196" w:type="dxa"/>
            <w:noWrap/>
            <w:hideMark/>
          </w:tcPr>
          <w:p w14:paraId="25DBBCB0" w14:textId="77777777" w:rsidR="00E35B5F" w:rsidRPr="00E1542F" w:rsidRDefault="00E35B5F" w:rsidP="00E1542F">
            <w:pPr>
              <w:jc w:val="center"/>
              <w:rPr>
                <w:b/>
                <w:lang w:val="en-US"/>
              </w:rPr>
            </w:pPr>
            <w:r w:rsidRPr="00E1542F">
              <w:rPr>
                <w:b/>
                <w:lang w:val="en-US"/>
              </w:rPr>
              <w:t>Target</w:t>
            </w:r>
          </w:p>
        </w:tc>
      </w:tr>
      <w:tr w:rsidR="00E35B5F" w:rsidRPr="00E1542F" w14:paraId="37BA479C" w14:textId="77777777" w:rsidTr="00E1542F">
        <w:trPr>
          <w:trHeight w:val="255"/>
        </w:trPr>
        <w:tc>
          <w:tcPr>
            <w:tcW w:w="1127" w:type="dxa"/>
            <w:noWrap/>
            <w:hideMark/>
          </w:tcPr>
          <w:p w14:paraId="7D2B2EE6" w14:textId="77777777" w:rsidR="00E35B5F" w:rsidRPr="00E1542F" w:rsidRDefault="00E35B5F" w:rsidP="00E35B5F">
            <w:pPr>
              <w:rPr>
                <w:lang w:val="en-US"/>
              </w:rPr>
            </w:pPr>
            <w:r w:rsidRPr="00E1542F">
              <w:rPr>
                <w:lang w:val="en-US"/>
              </w:rPr>
              <w:t>ORI</w:t>
            </w:r>
          </w:p>
        </w:tc>
        <w:tc>
          <w:tcPr>
            <w:tcW w:w="1267" w:type="dxa"/>
            <w:noWrap/>
            <w:hideMark/>
          </w:tcPr>
          <w:p w14:paraId="7CB33219" w14:textId="77777777" w:rsidR="00E35B5F" w:rsidRPr="00E1542F" w:rsidRDefault="00E35B5F" w:rsidP="00E35B5F">
            <w:pPr>
              <w:rPr>
                <w:lang w:val="en-US"/>
              </w:rPr>
            </w:pPr>
            <w:r w:rsidRPr="00E1542F">
              <w:rPr>
                <w:lang w:val="en-US"/>
              </w:rPr>
              <w:t>Measles</w:t>
            </w:r>
          </w:p>
        </w:tc>
        <w:tc>
          <w:tcPr>
            <w:tcW w:w="756" w:type="dxa"/>
            <w:noWrap/>
            <w:hideMark/>
          </w:tcPr>
          <w:p w14:paraId="0195F5BA" w14:textId="77777777" w:rsidR="00E35B5F" w:rsidRPr="00E1542F" w:rsidRDefault="00E35B5F" w:rsidP="00E35B5F">
            <w:pPr>
              <w:rPr>
                <w:lang w:val="en-US"/>
              </w:rPr>
            </w:pPr>
            <w:r w:rsidRPr="00E1542F">
              <w:rPr>
                <w:lang w:val="en-US"/>
              </w:rPr>
              <w:t>2016</w:t>
            </w:r>
          </w:p>
        </w:tc>
        <w:tc>
          <w:tcPr>
            <w:tcW w:w="1220" w:type="dxa"/>
            <w:noWrap/>
            <w:hideMark/>
          </w:tcPr>
          <w:p w14:paraId="710091CC" w14:textId="77777777" w:rsidR="00E35B5F" w:rsidRPr="00E1542F" w:rsidRDefault="00E35B5F" w:rsidP="00E35B5F">
            <w:pPr>
              <w:rPr>
                <w:lang w:val="en-US"/>
              </w:rPr>
            </w:pPr>
            <w:r w:rsidRPr="00E1542F">
              <w:rPr>
                <w:lang w:val="en-US"/>
              </w:rPr>
              <w:t>22/04/2016</w:t>
            </w:r>
          </w:p>
        </w:tc>
        <w:tc>
          <w:tcPr>
            <w:tcW w:w="1220" w:type="dxa"/>
            <w:noWrap/>
            <w:hideMark/>
          </w:tcPr>
          <w:p w14:paraId="3DE625EA" w14:textId="77777777" w:rsidR="00E35B5F" w:rsidRPr="00E1542F" w:rsidRDefault="00E35B5F" w:rsidP="00E35B5F">
            <w:pPr>
              <w:rPr>
                <w:lang w:val="en-US"/>
              </w:rPr>
            </w:pPr>
            <w:r w:rsidRPr="00E1542F">
              <w:rPr>
                <w:lang w:val="en-US"/>
              </w:rPr>
              <w:t>28/04/2016</w:t>
            </w:r>
          </w:p>
        </w:tc>
        <w:tc>
          <w:tcPr>
            <w:tcW w:w="1070" w:type="dxa"/>
            <w:noWrap/>
            <w:hideMark/>
          </w:tcPr>
          <w:p w14:paraId="4149491D" w14:textId="1304CB89" w:rsidR="00E35B5F" w:rsidRPr="00E1542F" w:rsidRDefault="00E35B5F" w:rsidP="00E1542F">
            <w:pPr>
              <w:rPr>
                <w:lang w:val="en-US"/>
              </w:rPr>
            </w:pPr>
            <w:r w:rsidRPr="00E1542F">
              <w:rPr>
                <w:lang w:val="en-US"/>
              </w:rPr>
              <w:t xml:space="preserve">6 </w:t>
            </w:r>
            <w:r w:rsidR="00E1542F">
              <w:rPr>
                <w:lang w:val="en-US"/>
              </w:rPr>
              <w:t xml:space="preserve">months to </w:t>
            </w:r>
            <w:r w:rsidRPr="00E1542F">
              <w:rPr>
                <w:lang w:val="en-US"/>
              </w:rPr>
              <w:t xml:space="preserve">&lt;15 </w:t>
            </w:r>
            <w:r w:rsidR="00E1542F">
              <w:rPr>
                <w:lang w:val="en-US"/>
              </w:rPr>
              <w:t>years</w:t>
            </w:r>
          </w:p>
        </w:tc>
        <w:tc>
          <w:tcPr>
            <w:tcW w:w="960" w:type="dxa"/>
            <w:noWrap/>
            <w:hideMark/>
          </w:tcPr>
          <w:p w14:paraId="3386C5D6" w14:textId="77777777" w:rsidR="00E35B5F" w:rsidRPr="00E1542F" w:rsidRDefault="00E35B5F" w:rsidP="00E35B5F">
            <w:pPr>
              <w:rPr>
                <w:lang w:val="en-US"/>
              </w:rPr>
            </w:pPr>
            <w:r w:rsidRPr="00E1542F">
              <w:rPr>
                <w:lang w:val="en-US"/>
              </w:rPr>
              <w:t>Sub-national</w:t>
            </w:r>
          </w:p>
        </w:tc>
        <w:tc>
          <w:tcPr>
            <w:tcW w:w="904" w:type="dxa"/>
            <w:noWrap/>
            <w:hideMark/>
          </w:tcPr>
          <w:p w14:paraId="54607696" w14:textId="77777777" w:rsidR="00E35B5F" w:rsidRPr="00E1542F" w:rsidRDefault="00E35B5F" w:rsidP="00E35B5F">
            <w:pPr>
              <w:rPr>
                <w:lang w:val="en-US"/>
              </w:rPr>
            </w:pPr>
            <w:r w:rsidRPr="00E1542F">
              <w:rPr>
                <w:lang w:val="en-US"/>
              </w:rPr>
              <w:t>done</w:t>
            </w:r>
          </w:p>
        </w:tc>
        <w:tc>
          <w:tcPr>
            <w:tcW w:w="1196" w:type="dxa"/>
            <w:noWrap/>
            <w:hideMark/>
          </w:tcPr>
          <w:p w14:paraId="13B23C26" w14:textId="105D322A" w:rsidR="00E35B5F" w:rsidRPr="00E1542F" w:rsidRDefault="00E35B5F" w:rsidP="00E35B5F">
            <w:pPr>
              <w:rPr>
                <w:lang w:val="en-US"/>
              </w:rPr>
            </w:pPr>
            <w:r w:rsidRPr="00E1542F">
              <w:rPr>
                <w:lang w:val="en-US"/>
              </w:rPr>
              <w:t>25</w:t>
            </w:r>
            <w:r w:rsidR="00E1542F" w:rsidRPr="00E1542F">
              <w:rPr>
                <w:lang w:val="en-US"/>
              </w:rPr>
              <w:t>,</w:t>
            </w:r>
            <w:r w:rsidRPr="00E1542F">
              <w:rPr>
                <w:lang w:val="en-US"/>
              </w:rPr>
              <w:t>894</w:t>
            </w:r>
            <w:r w:rsidR="00E1542F" w:rsidRPr="00E1542F">
              <w:rPr>
                <w:lang w:val="en-US"/>
              </w:rPr>
              <w:t>,</w:t>
            </w:r>
            <w:r w:rsidRPr="00E1542F">
              <w:rPr>
                <w:lang w:val="en-US"/>
              </w:rPr>
              <w:t>518</w:t>
            </w:r>
          </w:p>
        </w:tc>
      </w:tr>
      <w:tr w:rsidR="00E35B5F" w:rsidRPr="00E1542F" w14:paraId="5432F38A" w14:textId="77777777" w:rsidTr="00E1542F">
        <w:trPr>
          <w:trHeight w:val="255"/>
        </w:trPr>
        <w:tc>
          <w:tcPr>
            <w:tcW w:w="1127" w:type="dxa"/>
            <w:noWrap/>
            <w:hideMark/>
          </w:tcPr>
          <w:p w14:paraId="005A024B" w14:textId="77777777" w:rsidR="00E35B5F" w:rsidRPr="00E1542F" w:rsidRDefault="00E35B5F" w:rsidP="00E35B5F">
            <w:pPr>
              <w:rPr>
                <w:lang w:val="en-US"/>
              </w:rPr>
            </w:pPr>
            <w:r w:rsidRPr="00E1542F">
              <w:rPr>
                <w:lang w:val="en-US"/>
              </w:rPr>
              <w:t>SNID</w:t>
            </w:r>
          </w:p>
        </w:tc>
        <w:tc>
          <w:tcPr>
            <w:tcW w:w="1267" w:type="dxa"/>
            <w:noWrap/>
            <w:hideMark/>
          </w:tcPr>
          <w:p w14:paraId="1816A9D3" w14:textId="77777777" w:rsidR="00E35B5F" w:rsidRPr="00E1542F" w:rsidRDefault="00E35B5F" w:rsidP="00E35B5F">
            <w:pPr>
              <w:rPr>
                <w:lang w:val="en-US"/>
              </w:rPr>
            </w:pPr>
            <w:proofErr w:type="spellStart"/>
            <w:r w:rsidRPr="00E1542F">
              <w:rPr>
                <w:lang w:val="en-US"/>
              </w:rPr>
              <w:t>tOPV</w:t>
            </w:r>
            <w:proofErr w:type="spellEnd"/>
          </w:p>
        </w:tc>
        <w:tc>
          <w:tcPr>
            <w:tcW w:w="756" w:type="dxa"/>
            <w:noWrap/>
            <w:hideMark/>
          </w:tcPr>
          <w:p w14:paraId="387DCE6F" w14:textId="77777777" w:rsidR="00E35B5F" w:rsidRPr="00E1542F" w:rsidRDefault="00E35B5F" w:rsidP="00E35B5F">
            <w:pPr>
              <w:rPr>
                <w:lang w:val="en-US"/>
              </w:rPr>
            </w:pPr>
            <w:r w:rsidRPr="00E1542F">
              <w:rPr>
                <w:lang w:val="en-US"/>
              </w:rPr>
              <w:t>2016</w:t>
            </w:r>
          </w:p>
        </w:tc>
        <w:tc>
          <w:tcPr>
            <w:tcW w:w="1220" w:type="dxa"/>
            <w:noWrap/>
            <w:hideMark/>
          </w:tcPr>
          <w:p w14:paraId="4D6544CF" w14:textId="77777777" w:rsidR="00E35B5F" w:rsidRPr="00E1542F" w:rsidRDefault="00E35B5F" w:rsidP="00E35B5F">
            <w:pPr>
              <w:rPr>
                <w:lang w:val="en-US"/>
              </w:rPr>
            </w:pPr>
            <w:r w:rsidRPr="00E1542F">
              <w:rPr>
                <w:lang w:val="en-US"/>
              </w:rPr>
              <w:t>19/02/2016</w:t>
            </w:r>
          </w:p>
        </w:tc>
        <w:tc>
          <w:tcPr>
            <w:tcW w:w="1220" w:type="dxa"/>
            <w:noWrap/>
            <w:hideMark/>
          </w:tcPr>
          <w:p w14:paraId="410D8600" w14:textId="77777777" w:rsidR="00E35B5F" w:rsidRPr="00E1542F" w:rsidRDefault="00E35B5F" w:rsidP="00E35B5F">
            <w:pPr>
              <w:rPr>
                <w:lang w:val="en-US"/>
              </w:rPr>
            </w:pPr>
            <w:r w:rsidRPr="00E1542F">
              <w:rPr>
                <w:lang w:val="en-US"/>
              </w:rPr>
              <w:t>21/02/2016</w:t>
            </w:r>
          </w:p>
        </w:tc>
        <w:tc>
          <w:tcPr>
            <w:tcW w:w="1070" w:type="dxa"/>
            <w:noWrap/>
            <w:hideMark/>
          </w:tcPr>
          <w:p w14:paraId="3EDA8ECF" w14:textId="77777777" w:rsidR="00E35B5F" w:rsidRPr="00E1542F" w:rsidRDefault="00E35B5F" w:rsidP="00E35B5F">
            <w:pPr>
              <w:rPr>
                <w:lang w:val="en-US"/>
              </w:rPr>
            </w:pPr>
            <w:r w:rsidRPr="00E1542F">
              <w:rPr>
                <w:lang w:val="en-US"/>
              </w:rPr>
              <w:t>0 to 5 years</w:t>
            </w:r>
          </w:p>
        </w:tc>
        <w:tc>
          <w:tcPr>
            <w:tcW w:w="960" w:type="dxa"/>
            <w:noWrap/>
            <w:hideMark/>
          </w:tcPr>
          <w:p w14:paraId="61A568C0" w14:textId="77777777" w:rsidR="00E35B5F" w:rsidRPr="00E1542F" w:rsidRDefault="00E35B5F" w:rsidP="00E35B5F">
            <w:pPr>
              <w:rPr>
                <w:lang w:val="en-US"/>
              </w:rPr>
            </w:pPr>
            <w:r w:rsidRPr="00E1542F">
              <w:rPr>
                <w:lang w:val="en-US"/>
              </w:rPr>
              <w:t xml:space="preserve"> Sub-National</w:t>
            </w:r>
          </w:p>
        </w:tc>
        <w:tc>
          <w:tcPr>
            <w:tcW w:w="904" w:type="dxa"/>
            <w:noWrap/>
            <w:hideMark/>
          </w:tcPr>
          <w:p w14:paraId="21B06784" w14:textId="77777777" w:rsidR="00E35B5F" w:rsidRPr="00E1542F" w:rsidRDefault="00E35B5F" w:rsidP="00E35B5F">
            <w:pPr>
              <w:rPr>
                <w:lang w:val="en-US"/>
              </w:rPr>
            </w:pPr>
            <w:r w:rsidRPr="00E1542F">
              <w:rPr>
                <w:lang w:val="en-US"/>
              </w:rPr>
              <w:t>Planned</w:t>
            </w:r>
          </w:p>
        </w:tc>
        <w:tc>
          <w:tcPr>
            <w:tcW w:w="1196" w:type="dxa"/>
            <w:noWrap/>
            <w:hideMark/>
          </w:tcPr>
          <w:p w14:paraId="077FFDA9" w14:textId="3B829BCF" w:rsidR="00E35B5F" w:rsidRPr="00E1542F" w:rsidRDefault="00E35B5F" w:rsidP="00E35B5F">
            <w:pPr>
              <w:rPr>
                <w:lang w:val="en-US"/>
              </w:rPr>
            </w:pPr>
            <w:r w:rsidRPr="00E1542F">
              <w:rPr>
                <w:lang w:val="en-US"/>
              </w:rPr>
              <w:t>4</w:t>
            </w:r>
            <w:r w:rsidR="00E1542F" w:rsidRPr="00E1542F">
              <w:rPr>
                <w:lang w:val="en-US"/>
              </w:rPr>
              <w:t>,</w:t>
            </w:r>
            <w:r w:rsidRPr="00E1542F">
              <w:rPr>
                <w:lang w:val="en-US"/>
              </w:rPr>
              <w:t>043</w:t>
            </w:r>
            <w:r w:rsidR="00E1542F" w:rsidRPr="00E1542F">
              <w:rPr>
                <w:lang w:val="en-US"/>
              </w:rPr>
              <w:t>,</w:t>
            </w:r>
            <w:r w:rsidRPr="00E1542F">
              <w:rPr>
                <w:lang w:val="en-US"/>
              </w:rPr>
              <w:t>159</w:t>
            </w:r>
          </w:p>
        </w:tc>
      </w:tr>
      <w:tr w:rsidR="00E35B5F" w:rsidRPr="00E1542F" w14:paraId="10893AB0" w14:textId="77777777" w:rsidTr="00E1542F">
        <w:trPr>
          <w:trHeight w:val="255"/>
        </w:trPr>
        <w:tc>
          <w:tcPr>
            <w:tcW w:w="1127" w:type="dxa"/>
            <w:noWrap/>
            <w:hideMark/>
          </w:tcPr>
          <w:p w14:paraId="41B5E959" w14:textId="77777777" w:rsidR="00E35B5F" w:rsidRPr="00E1542F" w:rsidRDefault="00E35B5F" w:rsidP="00E35B5F">
            <w:pPr>
              <w:rPr>
                <w:lang w:val="en-US"/>
              </w:rPr>
            </w:pPr>
            <w:r w:rsidRPr="00E1542F">
              <w:rPr>
                <w:lang w:val="en-US"/>
              </w:rPr>
              <w:t>NID</w:t>
            </w:r>
          </w:p>
        </w:tc>
        <w:tc>
          <w:tcPr>
            <w:tcW w:w="1267" w:type="dxa"/>
            <w:noWrap/>
            <w:hideMark/>
          </w:tcPr>
          <w:p w14:paraId="7AC5CA9A" w14:textId="77777777" w:rsidR="00E35B5F" w:rsidRPr="00E1542F" w:rsidRDefault="00E35B5F" w:rsidP="00E35B5F">
            <w:pPr>
              <w:rPr>
                <w:lang w:val="en-US"/>
              </w:rPr>
            </w:pPr>
            <w:proofErr w:type="spellStart"/>
            <w:r w:rsidRPr="00E1542F">
              <w:rPr>
                <w:lang w:val="en-US"/>
              </w:rPr>
              <w:t>tOPV</w:t>
            </w:r>
            <w:proofErr w:type="spellEnd"/>
          </w:p>
        </w:tc>
        <w:tc>
          <w:tcPr>
            <w:tcW w:w="756" w:type="dxa"/>
            <w:noWrap/>
            <w:hideMark/>
          </w:tcPr>
          <w:p w14:paraId="10FA7CE5" w14:textId="77777777" w:rsidR="00E35B5F" w:rsidRPr="00E1542F" w:rsidRDefault="00E35B5F" w:rsidP="00E35B5F">
            <w:pPr>
              <w:rPr>
                <w:lang w:val="en-US"/>
              </w:rPr>
            </w:pPr>
            <w:r w:rsidRPr="00E1542F">
              <w:rPr>
                <w:lang w:val="en-US"/>
              </w:rPr>
              <w:t>2016</w:t>
            </w:r>
          </w:p>
        </w:tc>
        <w:tc>
          <w:tcPr>
            <w:tcW w:w="1220" w:type="dxa"/>
            <w:noWrap/>
            <w:hideMark/>
          </w:tcPr>
          <w:p w14:paraId="749615E9" w14:textId="77777777" w:rsidR="00E35B5F" w:rsidRPr="00E1542F" w:rsidRDefault="00E35B5F" w:rsidP="00E35B5F">
            <w:pPr>
              <w:rPr>
                <w:lang w:val="en-US"/>
              </w:rPr>
            </w:pPr>
            <w:r w:rsidRPr="00E1542F">
              <w:rPr>
                <w:lang w:val="en-US"/>
              </w:rPr>
              <w:t>01/03/2016</w:t>
            </w:r>
          </w:p>
        </w:tc>
        <w:tc>
          <w:tcPr>
            <w:tcW w:w="1220" w:type="dxa"/>
            <w:noWrap/>
            <w:hideMark/>
          </w:tcPr>
          <w:p w14:paraId="3CD378BE" w14:textId="77777777" w:rsidR="00E35B5F" w:rsidRPr="00E1542F" w:rsidRDefault="00E35B5F" w:rsidP="00E35B5F">
            <w:pPr>
              <w:rPr>
                <w:lang w:val="en-US"/>
              </w:rPr>
            </w:pPr>
            <w:r w:rsidRPr="00E1542F">
              <w:rPr>
                <w:lang w:val="en-US"/>
              </w:rPr>
              <w:t>01/03/2016</w:t>
            </w:r>
          </w:p>
        </w:tc>
        <w:tc>
          <w:tcPr>
            <w:tcW w:w="1070" w:type="dxa"/>
            <w:noWrap/>
            <w:hideMark/>
          </w:tcPr>
          <w:p w14:paraId="17CBD67C" w14:textId="77777777" w:rsidR="00E35B5F" w:rsidRPr="00E1542F" w:rsidRDefault="00E35B5F" w:rsidP="00E35B5F">
            <w:pPr>
              <w:rPr>
                <w:lang w:val="en-US"/>
              </w:rPr>
            </w:pPr>
            <w:r w:rsidRPr="00E1542F">
              <w:rPr>
                <w:lang w:val="en-US"/>
              </w:rPr>
              <w:t>0 to 5 years</w:t>
            </w:r>
          </w:p>
        </w:tc>
        <w:tc>
          <w:tcPr>
            <w:tcW w:w="960" w:type="dxa"/>
            <w:noWrap/>
            <w:hideMark/>
          </w:tcPr>
          <w:p w14:paraId="01F01523" w14:textId="77777777" w:rsidR="00E35B5F" w:rsidRPr="00E1542F" w:rsidRDefault="00E35B5F" w:rsidP="00E35B5F">
            <w:pPr>
              <w:rPr>
                <w:lang w:val="en-US"/>
              </w:rPr>
            </w:pPr>
            <w:r w:rsidRPr="00E1542F">
              <w:rPr>
                <w:lang w:val="en-US"/>
              </w:rPr>
              <w:t>National</w:t>
            </w:r>
          </w:p>
        </w:tc>
        <w:tc>
          <w:tcPr>
            <w:tcW w:w="904" w:type="dxa"/>
            <w:noWrap/>
            <w:hideMark/>
          </w:tcPr>
          <w:p w14:paraId="72679B21" w14:textId="77777777" w:rsidR="00E35B5F" w:rsidRPr="00E1542F" w:rsidRDefault="00E35B5F" w:rsidP="00E35B5F">
            <w:pPr>
              <w:rPr>
                <w:lang w:val="en-US"/>
              </w:rPr>
            </w:pPr>
            <w:r w:rsidRPr="00E1542F">
              <w:rPr>
                <w:lang w:val="en-US"/>
              </w:rPr>
              <w:t>Planned</w:t>
            </w:r>
          </w:p>
        </w:tc>
        <w:tc>
          <w:tcPr>
            <w:tcW w:w="1196" w:type="dxa"/>
            <w:noWrap/>
            <w:hideMark/>
          </w:tcPr>
          <w:p w14:paraId="0BB742C5" w14:textId="47E50960" w:rsidR="00E35B5F" w:rsidRPr="00E1542F" w:rsidRDefault="00E35B5F" w:rsidP="00E35B5F">
            <w:pPr>
              <w:rPr>
                <w:lang w:val="en-US"/>
              </w:rPr>
            </w:pPr>
            <w:r w:rsidRPr="00E1542F">
              <w:rPr>
                <w:lang w:val="en-US"/>
              </w:rPr>
              <w:t>12</w:t>
            </w:r>
            <w:r w:rsidR="00E1542F" w:rsidRPr="00E1542F">
              <w:rPr>
                <w:lang w:val="en-US"/>
              </w:rPr>
              <w:t>,</w:t>
            </w:r>
            <w:r w:rsidRPr="00E1542F">
              <w:rPr>
                <w:lang w:val="en-US"/>
              </w:rPr>
              <w:t>251</w:t>
            </w:r>
            <w:r w:rsidR="00E1542F" w:rsidRPr="00E1542F">
              <w:rPr>
                <w:lang w:val="en-US"/>
              </w:rPr>
              <w:t>,</w:t>
            </w:r>
            <w:r w:rsidRPr="00E1542F">
              <w:rPr>
                <w:lang w:val="en-US"/>
              </w:rPr>
              <w:t>996</w:t>
            </w:r>
          </w:p>
        </w:tc>
      </w:tr>
      <w:tr w:rsidR="00E35B5F" w:rsidRPr="00E1542F" w14:paraId="7569CEE5" w14:textId="77777777" w:rsidTr="00E1542F">
        <w:trPr>
          <w:trHeight w:val="255"/>
        </w:trPr>
        <w:tc>
          <w:tcPr>
            <w:tcW w:w="1127" w:type="dxa"/>
            <w:noWrap/>
            <w:hideMark/>
          </w:tcPr>
          <w:p w14:paraId="7B9D3179" w14:textId="7A1281F2" w:rsidR="00E35B5F" w:rsidRPr="00E1542F" w:rsidRDefault="00E35B5F" w:rsidP="00E35B5F">
            <w:pPr>
              <w:rPr>
                <w:lang w:val="en-US"/>
              </w:rPr>
            </w:pPr>
            <w:r w:rsidRPr="00E1542F">
              <w:rPr>
                <w:lang w:val="en-US"/>
              </w:rPr>
              <w:t>Follow</w:t>
            </w:r>
            <w:r w:rsidR="00E1542F" w:rsidRPr="00E1542F">
              <w:rPr>
                <w:lang w:val="en-US"/>
              </w:rPr>
              <w:t xml:space="preserve"> </w:t>
            </w:r>
            <w:r w:rsidRPr="00E1542F">
              <w:rPr>
                <w:lang w:val="en-US"/>
              </w:rPr>
              <w:t>Up</w:t>
            </w:r>
          </w:p>
        </w:tc>
        <w:tc>
          <w:tcPr>
            <w:tcW w:w="1267" w:type="dxa"/>
            <w:noWrap/>
            <w:hideMark/>
          </w:tcPr>
          <w:p w14:paraId="587FF05B" w14:textId="77777777" w:rsidR="00E35B5F" w:rsidRPr="00E1542F" w:rsidRDefault="00E35B5F" w:rsidP="00E35B5F">
            <w:pPr>
              <w:rPr>
                <w:lang w:val="en-US"/>
              </w:rPr>
            </w:pPr>
            <w:r w:rsidRPr="00E1542F">
              <w:rPr>
                <w:lang w:val="en-US"/>
              </w:rPr>
              <w:t>Measles</w:t>
            </w:r>
          </w:p>
        </w:tc>
        <w:tc>
          <w:tcPr>
            <w:tcW w:w="756" w:type="dxa"/>
            <w:noWrap/>
            <w:hideMark/>
          </w:tcPr>
          <w:p w14:paraId="3F34C793" w14:textId="77777777" w:rsidR="00E35B5F" w:rsidRPr="00E1542F" w:rsidRDefault="00E35B5F" w:rsidP="00E35B5F">
            <w:pPr>
              <w:rPr>
                <w:lang w:val="en-US"/>
              </w:rPr>
            </w:pPr>
            <w:r w:rsidRPr="00E1542F">
              <w:rPr>
                <w:lang w:val="en-US"/>
              </w:rPr>
              <w:t>2016</w:t>
            </w:r>
          </w:p>
        </w:tc>
        <w:tc>
          <w:tcPr>
            <w:tcW w:w="1220" w:type="dxa"/>
            <w:noWrap/>
            <w:hideMark/>
          </w:tcPr>
          <w:p w14:paraId="66D9172F" w14:textId="77777777" w:rsidR="00E35B5F" w:rsidRPr="00E1542F" w:rsidRDefault="00E35B5F" w:rsidP="00E35B5F">
            <w:pPr>
              <w:rPr>
                <w:lang w:val="en-US"/>
              </w:rPr>
            </w:pPr>
            <w:r w:rsidRPr="00E1542F">
              <w:rPr>
                <w:lang w:val="en-US"/>
              </w:rPr>
              <w:t>01/10/2016</w:t>
            </w:r>
          </w:p>
        </w:tc>
        <w:tc>
          <w:tcPr>
            <w:tcW w:w="1220" w:type="dxa"/>
            <w:noWrap/>
            <w:hideMark/>
          </w:tcPr>
          <w:p w14:paraId="315B5C89" w14:textId="77777777" w:rsidR="00E35B5F" w:rsidRPr="00E1542F" w:rsidRDefault="00E35B5F" w:rsidP="00E35B5F">
            <w:pPr>
              <w:rPr>
                <w:lang w:val="en-US"/>
              </w:rPr>
            </w:pPr>
            <w:r w:rsidRPr="00E1542F">
              <w:rPr>
                <w:lang w:val="en-US"/>
              </w:rPr>
              <w:t>31/10/2016</w:t>
            </w:r>
          </w:p>
        </w:tc>
        <w:tc>
          <w:tcPr>
            <w:tcW w:w="1070" w:type="dxa"/>
            <w:noWrap/>
            <w:hideMark/>
          </w:tcPr>
          <w:p w14:paraId="18F9D448" w14:textId="0C0FF2B5" w:rsidR="00E35B5F" w:rsidRPr="00E1542F" w:rsidRDefault="00E35B5F" w:rsidP="00E1542F">
            <w:pPr>
              <w:rPr>
                <w:lang w:val="en-US"/>
              </w:rPr>
            </w:pPr>
            <w:r w:rsidRPr="00E1542F">
              <w:rPr>
                <w:lang w:val="en-US"/>
              </w:rPr>
              <w:t xml:space="preserve">9 </w:t>
            </w:r>
            <w:r w:rsidR="00E1542F">
              <w:rPr>
                <w:lang w:val="en-US"/>
              </w:rPr>
              <w:t>months to 14 years</w:t>
            </w:r>
          </w:p>
        </w:tc>
        <w:tc>
          <w:tcPr>
            <w:tcW w:w="960" w:type="dxa"/>
            <w:noWrap/>
            <w:hideMark/>
          </w:tcPr>
          <w:p w14:paraId="43517FD5" w14:textId="77777777" w:rsidR="00E35B5F" w:rsidRPr="00E1542F" w:rsidRDefault="00E35B5F" w:rsidP="00E35B5F">
            <w:pPr>
              <w:rPr>
                <w:lang w:val="en-US"/>
              </w:rPr>
            </w:pPr>
            <w:r w:rsidRPr="00E1542F">
              <w:rPr>
                <w:lang w:val="en-US"/>
              </w:rPr>
              <w:t>Sub-national</w:t>
            </w:r>
          </w:p>
        </w:tc>
        <w:tc>
          <w:tcPr>
            <w:tcW w:w="904" w:type="dxa"/>
            <w:noWrap/>
            <w:hideMark/>
          </w:tcPr>
          <w:p w14:paraId="28A1F8A1" w14:textId="77777777" w:rsidR="00E35B5F" w:rsidRPr="00E1542F" w:rsidRDefault="00E35B5F" w:rsidP="00E35B5F">
            <w:pPr>
              <w:rPr>
                <w:lang w:val="en-US"/>
              </w:rPr>
            </w:pPr>
            <w:r w:rsidRPr="00E1542F">
              <w:rPr>
                <w:lang w:val="en-US"/>
              </w:rPr>
              <w:t>planned</w:t>
            </w:r>
          </w:p>
        </w:tc>
        <w:tc>
          <w:tcPr>
            <w:tcW w:w="1196" w:type="dxa"/>
            <w:noWrap/>
            <w:hideMark/>
          </w:tcPr>
          <w:p w14:paraId="68CC01B1" w14:textId="3EBEEE8D" w:rsidR="00E35B5F" w:rsidRPr="00E1542F" w:rsidRDefault="00E35B5F" w:rsidP="00E35B5F">
            <w:pPr>
              <w:rPr>
                <w:lang w:val="en-US"/>
              </w:rPr>
            </w:pPr>
            <w:r w:rsidRPr="00E1542F">
              <w:rPr>
                <w:lang w:val="en-US"/>
              </w:rPr>
              <w:t>11</w:t>
            </w:r>
            <w:r w:rsidR="00E1542F" w:rsidRPr="00E1542F">
              <w:rPr>
                <w:lang w:val="en-US"/>
              </w:rPr>
              <w:t>,</w:t>
            </w:r>
            <w:r w:rsidRPr="00E1542F">
              <w:rPr>
                <w:lang w:val="en-US"/>
              </w:rPr>
              <w:t>777</w:t>
            </w:r>
            <w:r w:rsidR="00E1542F" w:rsidRPr="00E1542F">
              <w:rPr>
                <w:lang w:val="en-US"/>
              </w:rPr>
              <w:t>,</w:t>
            </w:r>
            <w:r w:rsidRPr="00E1542F">
              <w:rPr>
                <w:lang w:val="en-US"/>
              </w:rPr>
              <w:t>083</w:t>
            </w:r>
          </w:p>
        </w:tc>
      </w:tr>
      <w:tr w:rsidR="00E35B5F" w:rsidRPr="00E1542F" w14:paraId="15F5C3F0" w14:textId="77777777" w:rsidTr="00E1542F">
        <w:trPr>
          <w:trHeight w:val="255"/>
        </w:trPr>
        <w:tc>
          <w:tcPr>
            <w:tcW w:w="1127" w:type="dxa"/>
            <w:noWrap/>
            <w:hideMark/>
          </w:tcPr>
          <w:p w14:paraId="77332119" w14:textId="77777777" w:rsidR="00E35B5F" w:rsidRPr="00E1542F" w:rsidRDefault="00E35B5F" w:rsidP="00E35B5F">
            <w:pPr>
              <w:rPr>
                <w:lang w:val="en-US"/>
              </w:rPr>
            </w:pPr>
            <w:r w:rsidRPr="00E1542F">
              <w:rPr>
                <w:lang w:val="en-US"/>
              </w:rPr>
              <w:t>SNID</w:t>
            </w:r>
          </w:p>
        </w:tc>
        <w:tc>
          <w:tcPr>
            <w:tcW w:w="1267" w:type="dxa"/>
            <w:noWrap/>
            <w:hideMark/>
          </w:tcPr>
          <w:p w14:paraId="7F89AA4C" w14:textId="77777777" w:rsidR="00E35B5F" w:rsidRPr="00E1542F" w:rsidRDefault="00E35B5F" w:rsidP="00E35B5F">
            <w:pPr>
              <w:rPr>
                <w:lang w:val="en-US"/>
              </w:rPr>
            </w:pPr>
            <w:proofErr w:type="spellStart"/>
            <w:r w:rsidRPr="00E1542F">
              <w:rPr>
                <w:lang w:val="en-US"/>
              </w:rPr>
              <w:t>bOPV</w:t>
            </w:r>
            <w:proofErr w:type="spellEnd"/>
          </w:p>
        </w:tc>
        <w:tc>
          <w:tcPr>
            <w:tcW w:w="756" w:type="dxa"/>
            <w:noWrap/>
            <w:hideMark/>
          </w:tcPr>
          <w:p w14:paraId="5F572D4E" w14:textId="77777777" w:rsidR="00E35B5F" w:rsidRPr="00E1542F" w:rsidRDefault="00E35B5F" w:rsidP="00E35B5F">
            <w:pPr>
              <w:rPr>
                <w:lang w:val="en-US"/>
              </w:rPr>
            </w:pPr>
            <w:r w:rsidRPr="00E1542F">
              <w:rPr>
                <w:lang w:val="en-US"/>
              </w:rPr>
              <w:t>2016</w:t>
            </w:r>
          </w:p>
        </w:tc>
        <w:tc>
          <w:tcPr>
            <w:tcW w:w="1220" w:type="dxa"/>
            <w:noWrap/>
            <w:hideMark/>
          </w:tcPr>
          <w:p w14:paraId="2E71E161" w14:textId="77777777" w:rsidR="00E35B5F" w:rsidRPr="00E1542F" w:rsidRDefault="00E35B5F" w:rsidP="00E35B5F">
            <w:pPr>
              <w:rPr>
                <w:lang w:val="en-US"/>
              </w:rPr>
            </w:pPr>
            <w:r w:rsidRPr="00E1542F">
              <w:rPr>
                <w:lang w:val="en-US"/>
              </w:rPr>
              <w:t>01/05/2016</w:t>
            </w:r>
          </w:p>
        </w:tc>
        <w:tc>
          <w:tcPr>
            <w:tcW w:w="1220" w:type="dxa"/>
            <w:noWrap/>
            <w:hideMark/>
          </w:tcPr>
          <w:p w14:paraId="61E00A1F" w14:textId="77777777" w:rsidR="00E35B5F" w:rsidRPr="00E1542F" w:rsidRDefault="00E35B5F" w:rsidP="00E35B5F">
            <w:pPr>
              <w:rPr>
                <w:lang w:val="en-US"/>
              </w:rPr>
            </w:pPr>
            <w:r w:rsidRPr="00E1542F">
              <w:rPr>
                <w:lang w:val="en-US"/>
              </w:rPr>
              <w:t>01/05/2016</w:t>
            </w:r>
          </w:p>
        </w:tc>
        <w:tc>
          <w:tcPr>
            <w:tcW w:w="1070" w:type="dxa"/>
            <w:noWrap/>
            <w:hideMark/>
          </w:tcPr>
          <w:p w14:paraId="6AF136D4" w14:textId="77777777" w:rsidR="00E35B5F" w:rsidRPr="00E1542F" w:rsidRDefault="00E35B5F" w:rsidP="00E35B5F">
            <w:pPr>
              <w:rPr>
                <w:lang w:val="en-US"/>
              </w:rPr>
            </w:pPr>
            <w:r w:rsidRPr="00E1542F">
              <w:rPr>
                <w:lang w:val="en-US"/>
              </w:rPr>
              <w:t>0 to 5 years</w:t>
            </w:r>
          </w:p>
        </w:tc>
        <w:tc>
          <w:tcPr>
            <w:tcW w:w="960" w:type="dxa"/>
            <w:noWrap/>
            <w:hideMark/>
          </w:tcPr>
          <w:p w14:paraId="42D14E9D" w14:textId="77777777" w:rsidR="00E35B5F" w:rsidRPr="00E1542F" w:rsidRDefault="00E35B5F" w:rsidP="00E35B5F">
            <w:pPr>
              <w:rPr>
                <w:lang w:val="en-US"/>
              </w:rPr>
            </w:pPr>
            <w:r w:rsidRPr="00E1542F">
              <w:rPr>
                <w:lang w:val="en-US"/>
              </w:rPr>
              <w:t xml:space="preserve"> Sub-National</w:t>
            </w:r>
          </w:p>
        </w:tc>
        <w:tc>
          <w:tcPr>
            <w:tcW w:w="904" w:type="dxa"/>
            <w:noWrap/>
            <w:hideMark/>
          </w:tcPr>
          <w:p w14:paraId="72C1B094" w14:textId="77777777" w:rsidR="00E35B5F" w:rsidRPr="00E1542F" w:rsidRDefault="00E35B5F" w:rsidP="00E35B5F">
            <w:pPr>
              <w:rPr>
                <w:lang w:val="en-US"/>
              </w:rPr>
            </w:pPr>
            <w:r w:rsidRPr="00E1542F">
              <w:rPr>
                <w:lang w:val="en-US"/>
              </w:rPr>
              <w:t>Planned</w:t>
            </w:r>
          </w:p>
        </w:tc>
        <w:tc>
          <w:tcPr>
            <w:tcW w:w="1196" w:type="dxa"/>
            <w:noWrap/>
            <w:hideMark/>
          </w:tcPr>
          <w:p w14:paraId="0BA00BEA" w14:textId="4DDDBDC2" w:rsidR="00E35B5F" w:rsidRPr="00E1542F" w:rsidRDefault="00E35B5F" w:rsidP="00E35B5F">
            <w:pPr>
              <w:rPr>
                <w:lang w:val="en-US"/>
              </w:rPr>
            </w:pPr>
            <w:r w:rsidRPr="00E1542F">
              <w:rPr>
                <w:lang w:val="en-US"/>
              </w:rPr>
              <w:t>3</w:t>
            </w:r>
            <w:r w:rsidR="00E1542F" w:rsidRPr="00E1542F">
              <w:rPr>
                <w:lang w:val="en-US"/>
              </w:rPr>
              <w:t>,</w:t>
            </w:r>
            <w:r w:rsidRPr="00E1542F">
              <w:rPr>
                <w:lang w:val="en-US"/>
              </w:rPr>
              <w:t>732</w:t>
            </w:r>
            <w:r w:rsidR="00E1542F" w:rsidRPr="00E1542F">
              <w:rPr>
                <w:lang w:val="en-US"/>
              </w:rPr>
              <w:t>,</w:t>
            </w:r>
            <w:r w:rsidRPr="00E1542F">
              <w:rPr>
                <w:lang w:val="en-US"/>
              </w:rPr>
              <w:t>146</w:t>
            </w:r>
          </w:p>
        </w:tc>
      </w:tr>
      <w:tr w:rsidR="00E35B5F" w:rsidRPr="00E1542F" w14:paraId="47D342BC" w14:textId="77777777" w:rsidTr="00E1542F">
        <w:trPr>
          <w:trHeight w:val="255"/>
        </w:trPr>
        <w:tc>
          <w:tcPr>
            <w:tcW w:w="1127" w:type="dxa"/>
            <w:noWrap/>
            <w:hideMark/>
          </w:tcPr>
          <w:p w14:paraId="106A7CF2" w14:textId="77777777" w:rsidR="00E35B5F" w:rsidRPr="00E1542F" w:rsidRDefault="00E35B5F" w:rsidP="00E35B5F">
            <w:pPr>
              <w:rPr>
                <w:lang w:val="en-US"/>
              </w:rPr>
            </w:pPr>
            <w:r w:rsidRPr="00E1542F">
              <w:rPr>
                <w:lang w:val="en-US"/>
              </w:rPr>
              <w:t>SNID</w:t>
            </w:r>
          </w:p>
        </w:tc>
        <w:tc>
          <w:tcPr>
            <w:tcW w:w="1267" w:type="dxa"/>
            <w:noWrap/>
            <w:hideMark/>
          </w:tcPr>
          <w:p w14:paraId="60481093" w14:textId="77777777" w:rsidR="00E35B5F" w:rsidRPr="00E1542F" w:rsidRDefault="00E35B5F" w:rsidP="00E35B5F">
            <w:pPr>
              <w:rPr>
                <w:lang w:val="en-US"/>
              </w:rPr>
            </w:pPr>
            <w:proofErr w:type="spellStart"/>
            <w:r w:rsidRPr="00E1542F">
              <w:rPr>
                <w:lang w:val="en-US"/>
              </w:rPr>
              <w:t>bOPV</w:t>
            </w:r>
            <w:proofErr w:type="spellEnd"/>
          </w:p>
        </w:tc>
        <w:tc>
          <w:tcPr>
            <w:tcW w:w="756" w:type="dxa"/>
            <w:noWrap/>
            <w:hideMark/>
          </w:tcPr>
          <w:p w14:paraId="47B0CE3D" w14:textId="77777777" w:rsidR="00E35B5F" w:rsidRPr="00E1542F" w:rsidRDefault="00E35B5F" w:rsidP="00E35B5F">
            <w:pPr>
              <w:rPr>
                <w:lang w:val="en-US"/>
              </w:rPr>
            </w:pPr>
            <w:r w:rsidRPr="00E1542F">
              <w:rPr>
                <w:lang w:val="en-US"/>
              </w:rPr>
              <w:t>2016</w:t>
            </w:r>
          </w:p>
        </w:tc>
        <w:tc>
          <w:tcPr>
            <w:tcW w:w="1220" w:type="dxa"/>
            <w:noWrap/>
            <w:hideMark/>
          </w:tcPr>
          <w:p w14:paraId="64E4D725" w14:textId="77777777" w:rsidR="00E35B5F" w:rsidRPr="00E1542F" w:rsidRDefault="00E35B5F" w:rsidP="00E35B5F">
            <w:pPr>
              <w:rPr>
                <w:lang w:val="en-US"/>
              </w:rPr>
            </w:pPr>
            <w:r w:rsidRPr="00E1542F">
              <w:rPr>
                <w:lang w:val="en-US"/>
              </w:rPr>
              <w:t>01/09/2016</w:t>
            </w:r>
          </w:p>
        </w:tc>
        <w:tc>
          <w:tcPr>
            <w:tcW w:w="1220" w:type="dxa"/>
            <w:noWrap/>
            <w:hideMark/>
          </w:tcPr>
          <w:p w14:paraId="3A1E903E" w14:textId="77777777" w:rsidR="00E35B5F" w:rsidRPr="00E1542F" w:rsidRDefault="00E35B5F" w:rsidP="00E35B5F">
            <w:pPr>
              <w:rPr>
                <w:lang w:val="en-US"/>
              </w:rPr>
            </w:pPr>
            <w:r w:rsidRPr="00E1542F">
              <w:rPr>
                <w:lang w:val="en-US"/>
              </w:rPr>
              <w:t>01/09/2016</w:t>
            </w:r>
          </w:p>
        </w:tc>
        <w:tc>
          <w:tcPr>
            <w:tcW w:w="1070" w:type="dxa"/>
            <w:noWrap/>
            <w:hideMark/>
          </w:tcPr>
          <w:p w14:paraId="41906048" w14:textId="77777777" w:rsidR="00E35B5F" w:rsidRPr="00E1542F" w:rsidRDefault="00E35B5F" w:rsidP="00E35B5F">
            <w:pPr>
              <w:rPr>
                <w:lang w:val="en-US"/>
              </w:rPr>
            </w:pPr>
            <w:r w:rsidRPr="00E1542F">
              <w:rPr>
                <w:lang w:val="en-US"/>
              </w:rPr>
              <w:t>0 to 5 years</w:t>
            </w:r>
          </w:p>
        </w:tc>
        <w:tc>
          <w:tcPr>
            <w:tcW w:w="960" w:type="dxa"/>
            <w:noWrap/>
            <w:hideMark/>
          </w:tcPr>
          <w:p w14:paraId="5ACA881D" w14:textId="77777777" w:rsidR="00E35B5F" w:rsidRPr="00E1542F" w:rsidRDefault="00E35B5F" w:rsidP="00E35B5F">
            <w:pPr>
              <w:rPr>
                <w:lang w:val="en-US"/>
              </w:rPr>
            </w:pPr>
            <w:r w:rsidRPr="00E1542F">
              <w:rPr>
                <w:lang w:val="en-US"/>
              </w:rPr>
              <w:t xml:space="preserve"> Sub-National</w:t>
            </w:r>
          </w:p>
        </w:tc>
        <w:tc>
          <w:tcPr>
            <w:tcW w:w="904" w:type="dxa"/>
            <w:noWrap/>
            <w:hideMark/>
          </w:tcPr>
          <w:p w14:paraId="26D4B833" w14:textId="77777777" w:rsidR="00E35B5F" w:rsidRPr="00E1542F" w:rsidRDefault="00E35B5F" w:rsidP="00E35B5F">
            <w:pPr>
              <w:rPr>
                <w:lang w:val="en-US"/>
              </w:rPr>
            </w:pPr>
            <w:r w:rsidRPr="00E1542F">
              <w:rPr>
                <w:lang w:val="en-US"/>
              </w:rPr>
              <w:t>Planned</w:t>
            </w:r>
          </w:p>
        </w:tc>
        <w:tc>
          <w:tcPr>
            <w:tcW w:w="1196" w:type="dxa"/>
            <w:noWrap/>
            <w:hideMark/>
          </w:tcPr>
          <w:p w14:paraId="49AB3313" w14:textId="0F4E3B76" w:rsidR="00E35B5F" w:rsidRPr="00E1542F" w:rsidRDefault="00E35B5F" w:rsidP="00E35B5F">
            <w:pPr>
              <w:rPr>
                <w:lang w:val="en-US"/>
              </w:rPr>
            </w:pPr>
            <w:r w:rsidRPr="00E1542F">
              <w:rPr>
                <w:lang w:val="en-US"/>
              </w:rPr>
              <w:t>4</w:t>
            </w:r>
            <w:r w:rsidR="00E1542F" w:rsidRPr="00E1542F">
              <w:rPr>
                <w:lang w:val="en-US"/>
              </w:rPr>
              <w:t>,</w:t>
            </w:r>
            <w:r w:rsidRPr="00E1542F">
              <w:rPr>
                <w:lang w:val="en-US"/>
              </w:rPr>
              <w:t>043</w:t>
            </w:r>
            <w:r w:rsidR="00E1542F" w:rsidRPr="00E1542F">
              <w:rPr>
                <w:lang w:val="en-US"/>
              </w:rPr>
              <w:t>,</w:t>
            </w:r>
            <w:r w:rsidRPr="00E1542F">
              <w:rPr>
                <w:lang w:val="en-US"/>
              </w:rPr>
              <w:t>159</w:t>
            </w:r>
          </w:p>
        </w:tc>
      </w:tr>
    </w:tbl>
    <w:p w14:paraId="602C0050" w14:textId="11F1F179" w:rsidR="00D27284" w:rsidRPr="006140E6" w:rsidRDefault="00D27284" w:rsidP="00E35B5F">
      <w:pPr>
        <w:rPr>
          <w:lang w:val="en-US"/>
        </w:rPr>
      </w:pPr>
      <w:r w:rsidRPr="006140E6">
        <w:rPr>
          <w:lang w:val="en-US"/>
        </w:rPr>
        <w:t>Source: WHO/IVB Database as at 12/4/2016</w:t>
      </w:r>
    </w:p>
    <w:p w14:paraId="7756F8BA" w14:textId="77777777" w:rsidR="00646BBE" w:rsidRDefault="00646BBE" w:rsidP="001A55DB">
      <w:pPr>
        <w:pStyle w:val="Caption"/>
        <w:rPr>
          <w:rFonts w:ascii="Arial" w:hAnsi="Arial" w:cs="Arial"/>
          <w:color w:val="auto"/>
          <w:sz w:val="22"/>
          <w:szCs w:val="22"/>
        </w:rPr>
      </w:pPr>
    </w:p>
    <w:p w14:paraId="5E90E065" w14:textId="77777777" w:rsidR="00646BBE" w:rsidRDefault="00646BBE" w:rsidP="001A55DB">
      <w:pPr>
        <w:pStyle w:val="Caption"/>
        <w:rPr>
          <w:rFonts w:ascii="Arial" w:hAnsi="Arial" w:cs="Arial"/>
          <w:color w:val="auto"/>
          <w:sz w:val="22"/>
          <w:szCs w:val="22"/>
        </w:rPr>
      </w:pPr>
    </w:p>
    <w:p w14:paraId="76FD6106" w14:textId="77777777" w:rsidR="00646BBE" w:rsidRDefault="00646BBE" w:rsidP="001A55DB">
      <w:pPr>
        <w:pStyle w:val="Caption"/>
        <w:rPr>
          <w:rFonts w:ascii="Arial" w:hAnsi="Arial" w:cs="Arial"/>
          <w:color w:val="auto"/>
          <w:sz w:val="22"/>
          <w:szCs w:val="22"/>
        </w:rPr>
      </w:pPr>
    </w:p>
    <w:p w14:paraId="71801751" w14:textId="77777777" w:rsidR="00646BBE" w:rsidRDefault="00646BBE" w:rsidP="001A55DB">
      <w:pPr>
        <w:pStyle w:val="Caption"/>
        <w:rPr>
          <w:rFonts w:ascii="Arial" w:hAnsi="Arial" w:cs="Arial"/>
          <w:color w:val="auto"/>
          <w:sz w:val="22"/>
          <w:szCs w:val="22"/>
        </w:rPr>
      </w:pPr>
    </w:p>
    <w:p w14:paraId="3AA230C6" w14:textId="18CD855D" w:rsidR="001A55DB" w:rsidRPr="001A55DB" w:rsidRDefault="001A55DB" w:rsidP="001A55DB">
      <w:pPr>
        <w:pStyle w:val="Caption"/>
        <w:rPr>
          <w:rFonts w:ascii="Arial" w:hAnsi="Arial" w:cs="Arial"/>
          <w:color w:val="auto"/>
          <w:sz w:val="22"/>
          <w:szCs w:val="22"/>
        </w:rPr>
      </w:pPr>
      <w:r w:rsidRPr="001A55DB">
        <w:rPr>
          <w:rFonts w:ascii="Arial" w:hAnsi="Arial" w:cs="Arial"/>
          <w:color w:val="auto"/>
          <w:sz w:val="22"/>
          <w:szCs w:val="22"/>
        </w:rPr>
        <w:lastRenderedPageBreak/>
        <w:t xml:space="preserve">Figure </w:t>
      </w:r>
      <w:r w:rsidRPr="001A55DB">
        <w:rPr>
          <w:rFonts w:ascii="Arial" w:hAnsi="Arial" w:cs="Arial"/>
          <w:color w:val="auto"/>
          <w:sz w:val="22"/>
          <w:szCs w:val="22"/>
        </w:rPr>
        <w:fldChar w:fldCharType="begin"/>
      </w:r>
      <w:r w:rsidRPr="001A55DB">
        <w:rPr>
          <w:rFonts w:ascii="Arial" w:hAnsi="Arial" w:cs="Arial"/>
          <w:color w:val="auto"/>
          <w:sz w:val="22"/>
          <w:szCs w:val="22"/>
        </w:rPr>
        <w:instrText xml:space="preserve"> SEQ Figure \* ARABIC </w:instrText>
      </w:r>
      <w:r w:rsidRPr="001A55DB">
        <w:rPr>
          <w:rFonts w:ascii="Arial" w:hAnsi="Arial" w:cs="Arial"/>
          <w:color w:val="auto"/>
          <w:sz w:val="22"/>
          <w:szCs w:val="22"/>
        </w:rPr>
        <w:fldChar w:fldCharType="separate"/>
      </w:r>
      <w:r w:rsidR="00651A7C">
        <w:rPr>
          <w:rFonts w:ascii="Arial" w:hAnsi="Arial" w:cs="Arial"/>
          <w:noProof/>
          <w:color w:val="auto"/>
          <w:sz w:val="22"/>
          <w:szCs w:val="22"/>
        </w:rPr>
        <w:t>4</w:t>
      </w:r>
      <w:r w:rsidRPr="001A55DB">
        <w:rPr>
          <w:rFonts w:ascii="Arial" w:hAnsi="Arial" w:cs="Arial"/>
          <w:color w:val="auto"/>
          <w:sz w:val="22"/>
          <w:szCs w:val="22"/>
        </w:rPr>
        <w:fldChar w:fldCharType="end"/>
      </w:r>
      <w:r w:rsidRPr="001A55DB">
        <w:rPr>
          <w:rFonts w:ascii="Arial" w:hAnsi="Arial" w:cs="Arial"/>
          <w:color w:val="auto"/>
          <w:sz w:val="22"/>
          <w:szCs w:val="22"/>
        </w:rPr>
        <w:t xml:space="preserve">: </w:t>
      </w:r>
      <w:r w:rsidRPr="00C36384">
        <w:rPr>
          <w:rFonts w:ascii="Arial" w:hAnsi="Arial" w:cs="Arial"/>
          <w:color w:val="auto"/>
          <w:sz w:val="22"/>
          <w:szCs w:val="22"/>
        </w:rPr>
        <w:t xml:space="preserve">All vaccines national coverage, </w:t>
      </w:r>
      <w:r>
        <w:rPr>
          <w:rFonts w:ascii="Arial" w:hAnsi="Arial" w:cs="Arial"/>
          <w:color w:val="auto"/>
          <w:sz w:val="22"/>
          <w:szCs w:val="22"/>
        </w:rPr>
        <w:t>Ethiopia</w:t>
      </w:r>
      <w:r w:rsidRPr="00C36384">
        <w:rPr>
          <w:rFonts w:ascii="Arial" w:hAnsi="Arial" w:cs="Arial"/>
          <w:color w:val="auto"/>
          <w:sz w:val="22"/>
          <w:szCs w:val="22"/>
        </w:rPr>
        <w:t>, 2000-2015</w:t>
      </w:r>
    </w:p>
    <w:p w14:paraId="7B35E342" w14:textId="57B4347D" w:rsidR="001A55DB" w:rsidRDefault="001A55DB" w:rsidP="001A55DB">
      <w:pPr>
        <w:pStyle w:val="Caption"/>
      </w:pPr>
      <w:r>
        <w:rPr>
          <w:noProof/>
          <w:lang w:eastAsia="zh-CN"/>
        </w:rPr>
        <w:drawing>
          <wp:inline distT="0" distB="0" distL="0" distR="0" wp14:anchorId="31CFA240" wp14:editId="4CFD4559">
            <wp:extent cx="4354662" cy="3238500"/>
            <wp:effectExtent l="0" t="0" r="8255" b="0"/>
            <wp:docPr id="5" name="Picture 5" descr="D:\data\GVAP Reports\2016\3. Scrore Cards 2016\jan visualizations DTP3 per country\Punch cards per country\ethi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GVAP Reports\2016\3. Scrore Cards 2016\jan visualizations DTP3 per country\Punch cards per country\ethiopi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54662" cy="3238500"/>
                    </a:xfrm>
                    <a:prstGeom prst="rect">
                      <a:avLst/>
                    </a:prstGeom>
                    <a:noFill/>
                    <a:ln>
                      <a:noFill/>
                    </a:ln>
                  </pic:spPr>
                </pic:pic>
              </a:graphicData>
            </a:graphic>
          </wp:inline>
        </w:drawing>
      </w:r>
    </w:p>
    <w:p w14:paraId="41658C04" w14:textId="7C4A19EB" w:rsidR="001A55DB" w:rsidRDefault="00FF5786" w:rsidP="001A55DB">
      <w:pPr>
        <w:pStyle w:val="Caption"/>
        <w:rPr>
          <w:rFonts w:ascii="Arial" w:hAnsi="Arial" w:cs="Arial"/>
          <w:color w:val="auto"/>
          <w:sz w:val="22"/>
          <w:szCs w:val="22"/>
        </w:rPr>
      </w:pPr>
      <w:r>
        <w:rPr>
          <w:rFonts w:ascii="Arial" w:hAnsi="Arial" w:cs="Arial"/>
          <w:noProof/>
          <w:color w:val="auto"/>
          <w:sz w:val="22"/>
          <w:szCs w:val="22"/>
          <w:lang w:eastAsia="zh-CN"/>
        </w:rPr>
        <w:drawing>
          <wp:inline distT="0" distB="0" distL="0" distR="0" wp14:anchorId="66522B92" wp14:editId="341E9DD1">
            <wp:extent cx="4181475" cy="963900"/>
            <wp:effectExtent l="0" t="0" r="0" b="8255"/>
            <wp:docPr id="6" name="Picture 6" descr="D:\data\GVAP Reports\2016\3. Scrore Cards 2016\jan visualizations DTP3 per country\Punch cards per country\_legend-punch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GVAP Reports\2016\3. Scrore Cards 2016\jan visualizations DTP3 per country\Punch cards per country\_legend-punchcard.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81475" cy="963900"/>
                    </a:xfrm>
                    <a:prstGeom prst="rect">
                      <a:avLst/>
                    </a:prstGeom>
                    <a:noFill/>
                    <a:ln>
                      <a:noFill/>
                    </a:ln>
                  </pic:spPr>
                </pic:pic>
              </a:graphicData>
            </a:graphic>
          </wp:inline>
        </w:drawing>
      </w:r>
      <w:bookmarkStart w:id="0" w:name="_GoBack"/>
      <w:bookmarkEnd w:id="0"/>
    </w:p>
    <w:sectPr w:rsidR="001A55DB" w:rsidSect="00646BBE">
      <w:pgSz w:w="11906" w:h="16838"/>
      <w:pgMar w:top="1440" w:right="1440" w:bottom="1440" w:left="1440" w:header="709" w:footer="709"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BFD711" w15:done="0"/>
  <w15:commentEx w15:paraId="688936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FEA67B" w14:textId="77777777" w:rsidR="00907693" w:rsidRDefault="00907693">
      <w:pPr>
        <w:spacing w:after="0" w:line="240" w:lineRule="auto"/>
      </w:pPr>
      <w:r>
        <w:separator/>
      </w:r>
    </w:p>
  </w:endnote>
  <w:endnote w:type="continuationSeparator" w:id="0">
    <w:p w14:paraId="697E0F66" w14:textId="77777777" w:rsidR="00907693" w:rsidRDefault="00907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990851"/>
      <w:docPartObj>
        <w:docPartGallery w:val="Page Numbers (Bottom of Page)"/>
        <w:docPartUnique/>
      </w:docPartObj>
    </w:sdtPr>
    <w:sdtEndPr>
      <w:rPr>
        <w:noProof/>
      </w:rPr>
    </w:sdtEndPr>
    <w:sdtContent>
      <w:p w14:paraId="0675CB33" w14:textId="72C2CB37" w:rsidR="0074708B" w:rsidRDefault="0074708B">
        <w:pPr>
          <w:pStyle w:val="Footer"/>
          <w:jc w:val="center"/>
        </w:pPr>
        <w:r>
          <w:fldChar w:fldCharType="begin"/>
        </w:r>
        <w:r>
          <w:instrText xml:space="preserve"> PAGE   \* MERGEFORMAT </w:instrText>
        </w:r>
        <w:r>
          <w:fldChar w:fldCharType="separate"/>
        </w:r>
        <w:r w:rsidR="00646BBE">
          <w:rPr>
            <w:noProof/>
          </w:rPr>
          <w:t>1</w:t>
        </w:r>
        <w:r>
          <w:rPr>
            <w:noProof/>
          </w:rPr>
          <w:fldChar w:fldCharType="end"/>
        </w:r>
      </w:p>
    </w:sdtContent>
  </w:sdt>
  <w:p w14:paraId="780E7B36" w14:textId="4EFE2247" w:rsidR="0074708B" w:rsidRDefault="0074708B" w:rsidP="00EE7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E8D4CF" w14:textId="77777777" w:rsidR="00907693" w:rsidRDefault="00907693">
      <w:pPr>
        <w:spacing w:after="0" w:line="240" w:lineRule="auto"/>
      </w:pPr>
      <w:r>
        <w:separator/>
      </w:r>
    </w:p>
  </w:footnote>
  <w:footnote w:type="continuationSeparator" w:id="0">
    <w:p w14:paraId="3B8529AC" w14:textId="77777777" w:rsidR="00907693" w:rsidRDefault="00907693">
      <w:pPr>
        <w:spacing w:after="0" w:line="240" w:lineRule="auto"/>
      </w:pPr>
      <w:r>
        <w:continuationSeparator/>
      </w:r>
    </w:p>
  </w:footnote>
  <w:footnote w:id="1">
    <w:p w14:paraId="15071572" w14:textId="58974970" w:rsidR="00CF1FC7" w:rsidRPr="00CF1FC7" w:rsidRDefault="00CF1FC7">
      <w:pPr>
        <w:pStyle w:val="FootnoteText"/>
        <w:rPr>
          <w:lang w:val="en-US"/>
        </w:rPr>
      </w:pPr>
      <w:r>
        <w:rPr>
          <w:rStyle w:val="FootnoteReference"/>
        </w:rPr>
        <w:footnoteRef/>
      </w:r>
      <w:proofErr w:type="spellStart"/>
      <w:proofErr w:type="gramStart"/>
      <w:r>
        <w:rPr>
          <w:lang w:val="en-US"/>
        </w:rPr>
        <w:t>cMYP</w:t>
      </w:r>
      <w:proofErr w:type="spellEnd"/>
      <w:proofErr w:type="gramEnd"/>
      <w:r>
        <w:rPr>
          <w:lang w:val="en-US"/>
        </w:rPr>
        <w:t xml:space="preserve"> 2016-2020.</w:t>
      </w:r>
      <w:r>
        <w:t xml:space="preserve"> </w:t>
      </w:r>
    </w:p>
  </w:footnote>
  <w:footnote w:id="2">
    <w:p w14:paraId="02095C41" w14:textId="32F9F1D8" w:rsidR="00CF1FC7" w:rsidRPr="00CF1FC7" w:rsidRDefault="00CF1FC7">
      <w:pPr>
        <w:pStyle w:val="FootnoteText"/>
        <w:rPr>
          <w:lang w:val="en-US"/>
        </w:rPr>
      </w:pPr>
      <w:r>
        <w:rPr>
          <w:rStyle w:val="FootnoteReference"/>
        </w:rPr>
        <w:footnoteRef/>
      </w:r>
      <w:r>
        <w:t xml:space="preserve"> </w:t>
      </w:r>
      <w:proofErr w:type="gramStart"/>
      <w:r w:rsidR="001A42D9">
        <w:rPr>
          <w:lang w:val="en-US"/>
        </w:rPr>
        <w:t>WHO presentation on Desk analysis of measles surveillance data, July 2016.</w:t>
      </w:r>
      <w:proofErr w:type="gramEnd"/>
    </w:p>
  </w:footnote>
  <w:footnote w:id="3">
    <w:p w14:paraId="2B539154" w14:textId="767CCA8F" w:rsidR="001A42D9" w:rsidRPr="001A42D9" w:rsidRDefault="001A42D9">
      <w:pPr>
        <w:pStyle w:val="FootnoteText"/>
        <w:rPr>
          <w:lang w:val="en-US"/>
        </w:rPr>
      </w:pPr>
      <w:r>
        <w:rPr>
          <w:rStyle w:val="FootnoteReference"/>
        </w:rPr>
        <w:footnoteRef/>
      </w:r>
      <w:r>
        <w:t xml:space="preserve"> </w:t>
      </w:r>
      <w:r>
        <w:rPr>
          <w:lang w:val="en-US"/>
        </w:rPr>
        <w:t xml:space="preserve">WHO/ESA IST. </w:t>
      </w:r>
      <w:proofErr w:type="gramStart"/>
      <w:r>
        <w:rPr>
          <w:lang w:val="en-US"/>
        </w:rPr>
        <w:t>Summary report on the investigation of recurrent measles outbreaks in SNNPR, Ethiopia, March-April 2014.</w:t>
      </w:r>
      <w:proofErr w:type="gramEnd"/>
    </w:p>
  </w:footnote>
  <w:footnote w:id="4">
    <w:p w14:paraId="25B06095" w14:textId="4555C3F7" w:rsidR="001A42D9" w:rsidRPr="001A42D9" w:rsidRDefault="001A42D9">
      <w:pPr>
        <w:pStyle w:val="FootnoteText"/>
        <w:rPr>
          <w:lang w:val="en-US"/>
        </w:rPr>
      </w:pPr>
      <w:r>
        <w:rPr>
          <w:rStyle w:val="FootnoteReference"/>
        </w:rPr>
        <w:footnoteRef/>
      </w:r>
      <w:r>
        <w:t xml:space="preserve"> </w:t>
      </w:r>
      <w:proofErr w:type="gramStart"/>
      <w:r>
        <w:rPr>
          <w:lang w:val="en-US"/>
        </w:rPr>
        <w:t>Ministry of Health, Federal Democratic Republic of Ethiopia</w:t>
      </w:r>
      <w:r w:rsidR="00420940">
        <w:rPr>
          <w:lang w:val="en-US"/>
        </w:rPr>
        <w:t>.</w:t>
      </w:r>
      <w:proofErr w:type="gramEnd"/>
      <w:r w:rsidR="00420940">
        <w:rPr>
          <w:lang w:val="en-US"/>
        </w:rPr>
        <w:t xml:space="preserve"> </w:t>
      </w:r>
      <w:proofErr w:type="gramStart"/>
      <w:r w:rsidR="00420940">
        <w:rPr>
          <w:lang w:val="en-US"/>
        </w:rPr>
        <w:t>Ethiopian Immunization Coverage Survey, 2012.</w:t>
      </w:r>
      <w:proofErr w:type="gramEnd"/>
    </w:p>
  </w:footnote>
  <w:footnote w:id="5">
    <w:p w14:paraId="1FC2E914" w14:textId="2E489471" w:rsidR="00420940" w:rsidRPr="00420940" w:rsidRDefault="00420940">
      <w:pPr>
        <w:pStyle w:val="FootnoteText"/>
      </w:pPr>
      <w:r>
        <w:rPr>
          <w:rStyle w:val="FootnoteReference"/>
        </w:rPr>
        <w:footnoteRef/>
      </w:r>
      <w:r>
        <w:t xml:space="preserve"> </w:t>
      </w:r>
      <w:r>
        <w:rPr>
          <w:lang w:val="en-US"/>
        </w:rPr>
        <w:t xml:space="preserve">WHO/ESA IST. </w:t>
      </w:r>
      <w:proofErr w:type="gramStart"/>
      <w:r>
        <w:rPr>
          <w:lang w:val="en-US"/>
        </w:rPr>
        <w:t>Summary report on the investigation of recurrent measles outbreaks in SNNPR, Ethiopia, March-April 2014.</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42DB7"/>
    <w:multiLevelType w:val="hybridMultilevel"/>
    <w:tmpl w:val="F6D055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60A2FFB"/>
    <w:multiLevelType w:val="hybridMultilevel"/>
    <w:tmpl w:val="2DA8FD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9382162"/>
    <w:multiLevelType w:val="hybridMultilevel"/>
    <w:tmpl w:val="E83CCC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32495C14"/>
    <w:multiLevelType w:val="multilevel"/>
    <w:tmpl w:val="4860E03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nsid w:val="3BB66AD1"/>
    <w:multiLevelType w:val="hybridMultilevel"/>
    <w:tmpl w:val="A38E1D58"/>
    <w:lvl w:ilvl="0" w:tplc="04090005">
      <w:start w:val="1"/>
      <w:numFmt w:val="bullet"/>
      <w:lvlText w:val=""/>
      <w:lvlJc w:val="left"/>
      <w:pPr>
        <w:ind w:left="-56" w:hanging="360"/>
      </w:pPr>
      <w:rPr>
        <w:rFonts w:ascii="Wingdings" w:hAnsi="Wingdings" w:hint="default"/>
      </w:rPr>
    </w:lvl>
    <w:lvl w:ilvl="1" w:tplc="04090003" w:tentative="1">
      <w:start w:val="1"/>
      <w:numFmt w:val="bullet"/>
      <w:lvlText w:val="o"/>
      <w:lvlJc w:val="left"/>
      <w:pPr>
        <w:ind w:left="664" w:hanging="360"/>
      </w:pPr>
      <w:rPr>
        <w:rFonts w:ascii="Courier New" w:hAnsi="Courier New" w:cs="Courier New" w:hint="default"/>
      </w:rPr>
    </w:lvl>
    <w:lvl w:ilvl="2" w:tplc="04090005" w:tentative="1">
      <w:start w:val="1"/>
      <w:numFmt w:val="bullet"/>
      <w:lvlText w:val=""/>
      <w:lvlJc w:val="left"/>
      <w:pPr>
        <w:ind w:left="1384" w:hanging="360"/>
      </w:pPr>
      <w:rPr>
        <w:rFonts w:ascii="Wingdings" w:hAnsi="Wingdings" w:hint="default"/>
      </w:rPr>
    </w:lvl>
    <w:lvl w:ilvl="3" w:tplc="04090001" w:tentative="1">
      <w:start w:val="1"/>
      <w:numFmt w:val="bullet"/>
      <w:lvlText w:val=""/>
      <w:lvlJc w:val="left"/>
      <w:pPr>
        <w:ind w:left="2104" w:hanging="360"/>
      </w:pPr>
      <w:rPr>
        <w:rFonts w:ascii="Symbol" w:hAnsi="Symbol" w:hint="default"/>
      </w:rPr>
    </w:lvl>
    <w:lvl w:ilvl="4" w:tplc="04090003" w:tentative="1">
      <w:start w:val="1"/>
      <w:numFmt w:val="bullet"/>
      <w:lvlText w:val="o"/>
      <w:lvlJc w:val="left"/>
      <w:pPr>
        <w:ind w:left="2824" w:hanging="360"/>
      </w:pPr>
      <w:rPr>
        <w:rFonts w:ascii="Courier New" w:hAnsi="Courier New" w:cs="Courier New" w:hint="default"/>
      </w:rPr>
    </w:lvl>
    <w:lvl w:ilvl="5" w:tplc="04090005" w:tentative="1">
      <w:start w:val="1"/>
      <w:numFmt w:val="bullet"/>
      <w:lvlText w:val=""/>
      <w:lvlJc w:val="left"/>
      <w:pPr>
        <w:ind w:left="3544" w:hanging="360"/>
      </w:pPr>
      <w:rPr>
        <w:rFonts w:ascii="Wingdings" w:hAnsi="Wingdings" w:hint="default"/>
      </w:rPr>
    </w:lvl>
    <w:lvl w:ilvl="6" w:tplc="04090001" w:tentative="1">
      <w:start w:val="1"/>
      <w:numFmt w:val="bullet"/>
      <w:lvlText w:val=""/>
      <w:lvlJc w:val="left"/>
      <w:pPr>
        <w:ind w:left="4264" w:hanging="360"/>
      </w:pPr>
      <w:rPr>
        <w:rFonts w:ascii="Symbol" w:hAnsi="Symbol" w:hint="default"/>
      </w:rPr>
    </w:lvl>
    <w:lvl w:ilvl="7" w:tplc="04090003" w:tentative="1">
      <w:start w:val="1"/>
      <w:numFmt w:val="bullet"/>
      <w:lvlText w:val="o"/>
      <w:lvlJc w:val="left"/>
      <w:pPr>
        <w:ind w:left="4984" w:hanging="360"/>
      </w:pPr>
      <w:rPr>
        <w:rFonts w:ascii="Courier New" w:hAnsi="Courier New" w:cs="Courier New" w:hint="default"/>
      </w:rPr>
    </w:lvl>
    <w:lvl w:ilvl="8" w:tplc="04090005" w:tentative="1">
      <w:start w:val="1"/>
      <w:numFmt w:val="bullet"/>
      <w:lvlText w:val=""/>
      <w:lvlJc w:val="left"/>
      <w:pPr>
        <w:ind w:left="5704" w:hanging="360"/>
      </w:pPr>
      <w:rPr>
        <w:rFonts w:ascii="Wingdings" w:hAnsi="Wingdings" w:hint="default"/>
      </w:rPr>
    </w:lvl>
  </w:abstractNum>
  <w:abstractNum w:abstractNumId="16">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7">
    <w:nsid w:val="487E4406"/>
    <w:multiLevelType w:val="hybridMultilevel"/>
    <w:tmpl w:val="B30692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19">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5D6F47CE"/>
    <w:multiLevelType w:val="multilevel"/>
    <w:tmpl w:val="D6FE4D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4B95021"/>
    <w:multiLevelType w:val="hybridMultilevel"/>
    <w:tmpl w:val="B1F204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5">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6">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28">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F0036C"/>
    <w:multiLevelType w:val="hybridMultilevel"/>
    <w:tmpl w:val="FCF83C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11"/>
  </w:num>
  <w:num w:numId="5">
    <w:abstractNumId w:val="21"/>
  </w:num>
  <w:num w:numId="6">
    <w:abstractNumId w:val="2"/>
  </w:num>
  <w:num w:numId="7">
    <w:abstractNumId w:val="8"/>
  </w:num>
  <w:num w:numId="8">
    <w:abstractNumId w:val="19"/>
  </w:num>
  <w:num w:numId="9">
    <w:abstractNumId w:val="6"/>
  </w:num>
  <w:num w:numId="10">
    <w:abstractNumId w:val="26"/>
  </w:num>
  <w:num w:numId="11">
    <w:abstractNumId w:val="25"/>
  </w:num>
  <w:num w:numId="12">
    <w:abstractNumId w:val="16"/>
  </w:num>
  <w:num w:numId="13">
    <w:abstractNumId w:val="24"/>
  </w:num>
  <w:num w:numId="14">
    <w:abstractNumId w:val="18"/>
  </w:num>
  <w:num w:numId="15">
    <w:abstractNumId w:val="27"/>
  </w:num>
  <w:num w:numId="16">
    <w:abstractNumId w:val="10"/>
  </w:num>
  <w:num w:numId="17">
    <w:abstractNumId w:val="20"/>
  </w:num>
  <w:num w:numId="18">
    <w:abstractNumId w:val="13"/>
  </w:num>
  <w:num w:numId="19">
    <w:abstractNumId w:val="28"/>
  </w:num>
  <w:num w:numId="20">
    <w:abstractNumId w:val="1"/>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8"/>
  </w:num>
  <w:num w:numId="25">
    <w:abstractNumId w:val="19"/>
  </w:num>
  <w:num w:numId="26">
    <w:abstractNumId w:val="11"/>
  </w:num>
  <w:num w:numId="27">
    <w:abstractNumId w:val="9"/>
  </w:num>
  <w:num w:numId="28">
    <w:abstractNumId w:val="22"/>
  </w:num>
  <w:num w:numId="29">
    <w:abstractNumId w:val="15"/>
  </w:num>
  <w:num w:numId="30">
    <w:abstractNumId w:val="5"/>
  </w:num>
  <w:num w:numId="31">
    <w:abstractNumId w:val="17"/>
  </w:num>
  <w:num w:numId="32">
    <w:abstractNumId w:val="7"/>
  </w:num>
  <w:num w:numId="33">
    <w:abstractNumId w:val="23"/>
  </w:num>
  <w:num w:numId="34">
    <w:abstractNumId w:val="0"/>
  </w:num>
  <w:num w:numId="35">
    <w:abstractNumId w:val="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217B3"/>
    <w:rsid w:val="00025C91"/>
    <w:rsid w:val="00052693"/>
    <w:rsid w:val="00061C69"/>
    <w:rsid w:val="00071321"/>
    <w:rsid w:val="0007442D"/>
    <w:rsid w:val="00075417"/>
    <w:rsid w:val="00096E70"/>
    <w:rsid w:val="000C2C44"/>
    <w:rsid w:val="000C61CE"/>
    <w:rsid w:val="000E3D3E"/>
    <w:rsid w:val="001461BD"/>
    <w:rsid w:val="00153320"/>
    <w:rsid w:val="00163179"/>
    <w:rsid w:val="001634BB"/>
    <w:rsid w:val="00177ED5"/>
    <w:rsid w:val="0019049C"/>
    <w:rsid w:val="001A42D9"/>
    <w:rsid w:val="001A55DB"/>
    <w:rsid w:val="001B0097"/>
    <w:rsid w:val="001C1193"/>
    <w:rsid w:val="001C1E4D"/>
    <w:rsid w:val="001C5026"/>
    <w:rsid w:val="001F2D8D"/>
    <w:rsid w:val="001F4121"/>
    <w:rsid w:val="00211685"/>
    <w:rsid w:val="002258E3"/>
    <w:rsid w:val="002327A5"/>
    <w:rsid w:val="00232D9A"/>
    <w:rsid w:val="002652D3"/>
    <w:rsid w:val="0027046F"/>
    <w:rsid w:val="002818D0"/>
    <w:rsid w:val="00281949"/>
    <w:rsid w:val="00281CEF"/>
    <w:rsid w:val="00292589"/>
    <w:rsid w:val="00297C3C"/>
    <w:rsid w:val="002B73D6"/>
    <w:rsid w:val="002C0BCF"/>
    <w:rsid w:val="002D61F5"/>
    <w:rsid w:val="002D762A"/>
    <w:rsid w:val="002E36C1"/>
    <w:rsid w:val="002F1749"/>
    <w:rsid w:val="002F20C9"/>
    <w:rsid w:val="003333F6"/>
    <w:rsid w:val="00352ED6"/>
    <w:rsid w:val="00370616"/>
    <w:rsid w:val="003707DB"/>
    <w:rsid w:val="00371B50"/>
    <w:rsid w:val="00373BA5"/>
    <w:rsid w:val="003B6F84"/>
    <w:rsid w:val="003D24BB"/>
    <w:rsid w:val="003D6679"/>
    <w:rsid w:val="003E2E31"/>
    <w:rsid w:val="003E30EC"/>
    <w:rsid w:val="003E4FEA"/>
    <w:rsid w:val="003F2AB3"/>
    <w:rsid w:val="003F4825"/>
    <w:rsid w:val="003F5FE8"/>
    <w:rsid w:val="00410919"/>
    <w:rsid w:val="00420940"/>
    <w:rsid w:val="00432B70"/>
    <w:rsid w:val="004331C0"/>
    <w:rsid w:val="00436537"/>
    <w:rsid w:val="00441EDC"/>
    <w:rsid w:val="00442F4B"/>
    <w:rsid w:val="0044441D"/>
    <w:rsid w:val="00451E35"/>
    <w:rsid w:val="00457E0A"/>
    <w:rsid w:val="00460D76"/>
    <w:rsid w:val="00461388"/>
    <w:rsid w:val="00461727"/>
    <w:rsid w:val="004826EF"/>
    <w:rsid w:val="00492F98"/>
    <w:rsid w:val="004A106A"/>
    <w:rsid w:val="004A394A"/>
    <w:rsid w:val="004A4FE5"/>
    <w:rsid w:val="004A78E2"/>
    <w:rsid w:val="004B5B75"/>
    <w:rsid w:val="004D307D"/>
    <w:rsid w:val="004E7450"/>
    <w:rsid w:val="004F6777"/>
    <w:rsid w:val="00500171"/>
    <w:rsid w:val="0050564C"/>
    <w:rsid w:val="005133F8"/>
    <w:rsid w:val="00513BF2"/>
    <w:rsid w:val="00515073"/>
    <w:rsid w:val="00526AA3"/>
    <w:rsid w:val="00530FEA"/>
    <w:rsid w:val="00532476"/>
    <w:rsid w:val="00534013"/>
    <w:rsid w:val="005406A6"/>
    <w:rsid w:val="0058000D"/>
    <w:rsid w:val="00594240"/>
    <w:rsid w:val="005975E4"/>
    <w:rsid w:val="005B00C9"/>
    <w:rsid w:val="005B3DAE"/>
    <w:rsid w:val="005B635F"/>
    <w:rsid w:val="005B6B29"/>
    <w:rsid w:val="005C1966"/>
    <w:rsid w:val="005C6F1C"/>
    <w:rsid w:val="005F0283"/>
    <w:rsid w:val="006019F4"/>
    <w:rsid w:val="006140E6"/>
    <w:rsid w:val="00614B06"/>
    <w:rsid w:val="0063770B"/>
    <w:rsid w:val="006410AE"/>
    <w:rsid w:val="00641572"/>
    <w:rsid w:val="00646BBE"/>
    <w:rsid w:val="00651A7C"/>
    <w:rsid w:val="006842AB"/>
    <w:rsid w:val="00696E6A"/>
    <w:rsid w:val="006A1FAD"/>
    <w:rsid w:val="006A4380"/>
    <w:rsid w:val="006C160F"/>
    <w:rsid w:val="006C334B"/>
    <w:rsid w:val="006C5940"/>
    <w:rsid w:val="006D454B"/>
    <w:rsid w:val="007033F7"/>
    <w:rsid w:val="00706FB3"/>
    <w:rsid w:val="0071529A"/>
    <w:rsid w:val="007368DB"/>
    <w:rsid w:val="0074708B"/>
    <w:rsid w:val="0076408F"/>
    <w:rsid w:val="00767749"/>
    <w:rsid w:val="00770EEA"/>
    <w:rsid w:val="00777C17"/>
    <w:rsid w:val="0079008F"/>
    <w:rsid w:val="007A35F6"/>
    <w:rsid w:val="007B053A"/>
    <w:rsid w:val="007C346A"/>
    <w:rsid w:val="007C5F79"/>
    <w:rsid w:val="007D16A4"/>
    <w:rsid w:val="007D2AA9"/>
    <w:rsid w:val="007E0DEE"/>
    <w:rsid w:val="007F0729"/>
    <w:rsid w:val="008053B7"/>
    <w:rsid w:val="008105B2"/>
    <w:rsid w:val="00824C6B"/>
    <w:rsid w:val="00825812"/>
    <w:rsid w:val="0083568C"/>
    <w:rsid w:val="008462BE"/>
    <w:rsid w:val="00856B69"/>
    <w:rsid w:val="00861920"/>
    <w:rsid w:val="00863F77"/>
    <w:rsid w:val="00865907"/>
    <w:rsid w:val="0087073B"/>
    <w:rsid w:val="00873B54"/>
    <w:rsid w:val="00883C0A"/>
    <w:rsid w:val="008A1C67"/>
    <w:rsid w:val="008B63EF"/>
    <w:rsid w:val="008C1347"/>
    <w:rsid w:val="008C461F"/>
    <w:rsid w:val="008D2A44"/>
    <w:rsid w:val="008D3BDF"/>
    <w:rsid w:val="008E352E"/>
    <w:rsid w:val="008E4926"/>
    <w:rsid w:val="008E7AA0"/>
    <w:rsid w:val="008F0A50"/>
    <w:rsid w:val="008F4F49"/>
    <w:rsid w:val="008F4FAA"/>
    <w:rsid w:val="00907693"/>
    <w:rsid w:val="00907C58"/>
    <w:rsid w:val="00914A96"/>
    <w:rsid w:val="00917F8A"/>
    <w:rsid w:val="009318B8"/>
    <w:rsid w:val="00952C8B"/>
    <w:rsid w:val="009563E8"/>
    <w:rsid w:val="00957EAE"/>
    <w:rsid w:val="00971509"/>
    <w:rsid w:val="009A5026"/>
    <w:rsid w:val="009B091D"/>
    <w:rsid w:val="009C09D8"/>
    <w:rsid w:val="009E1E59"/>
    <w:rsid w:val="009F4681"/>
    <w:rsid w:val="00A11AC1"/>
    <w:rsid w:val="00A1405E"/>
    <w:rsid w:val="00A43899"/>
    <w:rsid w:val="00A441A1"/>
    <w:rsid w:val="00A44D74"/>
    <w:rsid w:val="00A52B11"/>
    <w:rsid w:val="00AA7F9D"/>
    <w:rsid w:val="00AC50A6"/>
    <w:rsid w:val="00AD65EC"/>
    <w:rsid w:val="00AE7557"/>
    <w:rsid w:val="00AF0E45"/>
    <w:rsid w:val="00B13423"/>
    <w:rsid w:val="00B218CC"/>
    <w:rsid w:val="00B46B36"/>
    <w:rsid w:val="00B56AF8"/>
    <w:rsid w:val="00B57B9C"/>
    <w:rsid w:val="00B637A0"/>
    <w:rsid w:val="00B760C4"/>
    <w:rsid w:val="00B77816"/>
    <w:rsid w:val="00BA2589"/>
    <w:rsid w:val="00BD74C8"/>
    <w:rsid w:val="00BE212A"/>
    <w:rsid w:val="00BF14CF"/>
    <w:rsid w:val="00BF4CFA"/>
    <w:rsid w:val="00C0480C"/>
    <w:rsid w:val="00C67C9D"/>
    <w:rsid w:val="00C77721"/>
    <w:rsid w:val="00CA3E94"/>
    <w:rsid w:val="00CA5738"/>
    <w:rsid w:val="00CD3FD9"/>
    <w:rsid w:val="00CE15CF"/>
    <w:rsid w:val="00CF0796"/>
    <w:rsid w:val="00CF0E45"/>
    <w:rsid w:val="00CF1FC7"/>
    <w:rsid w:val="00D00DC6"/>
    <w:rsid w:val="00D126F0"/>
    <w:rsid w:val="00D16753"/>
    <w:rsid w:val="00D17551"/>
    <w:rsid w:val="00D27284"/>
    <w:rsid w:val="00D27E92"/>
    <w:rsid w:val="00D30DD8"/>
    <w:rsid w:val="00D411FC"/>
    <w:rsid w:val="00D6260F"/>
    <w:rsid w:val="00D664AC"/>
    <w:rsid w:val="00D732C7"/>
    <w:rsid w:val="00D80D99"/>
    <w:rsid w:val="00D909E8"/>
    <w:rsid w:val="00D9435D"/>
    <w:rsid w:val="00D9563B"/>
    <w:rsid w:val="00DA2F74"/>
    <w:rsid w:val="00DA6251"/>
    <w:rsid w:val="00DC02D8"/>
    <w:rsid w:val="00DC1CC8"/>
    <w:rsid w:val="00DC5960"/>
    <w:rsid w:val="00E01945"/>
    <w:rsid w:val="00E11B99"/>
    <w:rsid w:val="00E1542F"/>
    <w:rsid w:val="00E1686A"/>
    <w:rsid w:val="00E35B5F"/>
    <w:rsid w:val="00E37109"/>
    <w:rsid w:val="00E4138E"/>
    <w:rsid w:val="00E420C5"/>
    <w:rsid w:val="00E533E0"/>
    <w:rsid w:val="00E65FBD"/>
    <w:rsid w:val="00E748EB"/>
    <w:rsid w:val="00E86411"/>
    <w:rsid w:val="00EC0E0D"/>
    <w:rsid w:val="00EC5704"/>
    <w:rsid w:val="00ED73EE"/>
    <w:rsid w:val="00EE76C4"/>
    <w:rsid w:val="00EF71B6"/>
    <w:rsid w:val="00F045B5"/>
    <w:rsid w:val="00F1079F"/>
    <w:rsid w:val="00F42CC4"/>
    <w:rsid w:val="00F577A7"/>
    <w:rsid w:val="00F63D60"/>
    <w:rsid w:val="00F81B65"/>
    <w:rsid w:val="00F85BA5"/>
    <w:rsid w:val="00FA641C"/>
    <w:rsid w:val="00FC7616"/>
    <w:rsid w:val="00FD688B"/>
    <w:rsid w:val="00FF456D"/>
    <w:rsid w:val="00FF578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777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7C17"/>
    <w:rPr>
      <w:sz w:val="20"/>
      <w:szCs w:val="20"/>
    </w:rPr>
  </w:style>
  <w:style w:type="character" w:styleId="FootnoteReference">
    <w:name w:val="footnote reference"/>
    <w:basedOn w:val="DefaultParagraphFont"/>
    <w:uiPriority w:val="99"/>
    <w:semiHidden/>
    <w:unhideWhenUsed/>
    <w:rsid w:val="00777C17"/>
    <w:rPr>
      <w:vertAlign w:val="superscript"/>
    </w:rPr>
  </w:style>
  <w:style w:type="paragraph" w:styleId="NormalWeb">
    <w:name w:val="Normal (Web)"/>
    <w:basedOn w:val="Normal"/>
    <w:uiPriority w:val="99"/>
    <w:semiHidden/>
    <w:unhideWhenUsed/>
    <w:rsid w:val="00461727"/>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customStyle="1" w:styleId="GridTable4-Accent31">
    <w:name w:val="Grid Table 4 - Accent 31"/>
    <w:basedOn w:val="TableNormal"/>
    <w:uiPriority w:val="49"/>
    <w:rsid w:val="00211685"/>
    <w:pPr>
      <w:spacing w:after="0" w:line="240" w:lineRule="auto"/>
    </w:pPr>
    <w:rPr>
      <w:rFonts w:eastAsiaTheme="minorEastAsia"/>
      <w:lang w:eastAsia="zh-CN"/>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1A55D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777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7C17"/>
    <w:rPr>
      <w:sz w:val="20"/>
      <w:szCs w:val="20"/>
    </w:rPr>
  </w:style>
  <w:style w:type="character" w:styleId="FootnoteReference">
    <w:name w:val="footnote reference"/>
    <w:basedOn w:val="DefaultParagraphFont"/>
    <w:uiPriority w:val="99"/>
    <w:semiHidden/>
    <w:unhideWhenUsed/>
    <w:rsid w:val="00777C17"/>
    <w:rPr>
      <w:vertAlign w:val="superscript"/>
    </w:rPr>
  </w:style>
  <w:style w:type="paragraph" w:styleId="NormalWeb">
    <w:name w:val="Normal (Web)"/>
    <w:basedOn w:val="Normal"/>
    <w:uiPriority w:val="99"/>
    <w:semiHidden/>
    <w:unhideWhenUsed/>
    <w:rsid w:val="00461727"/>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customStyle="1" w:styleId="GridTable4-Accent31">
    <w:name w:val="Grid Table 4 - Accent 31"/>
    <w:basedOn w:val="TableNormal"/>
    <w:uiPriority w:val="49"/>
    <w:rsid w:val="00211685"/>
    <w:pPr>
      <w:spacing w:after="0" w:line="240" w:lineRule="auto"/>
    </w:pPr>
    <w:rPr>
      <w:rFonts w:eastAsiaTheme="minorEastAsia"/>
      <w:lang w:eastAsia="zh-CN"/>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1A55D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31356">
      <w:bodyDiv w:val="1"/>
      <w:marLeft w:val="0"/>
      <w:marRight w:val="0"/>
      <w:marTop w:val="0"/>
      <w:marBottom w:val="0"/>
      <w:divBdr>
        <w:top w:val="none" w:sz="0" w:space="0" w:color="auto"/>
        <w:left w:val="none" w:sz="0" w:space="0" w:color="auto"/>
        <w:bottom w:val="none" w:sz="0" w:space="0" w:color="auto"/>
        <w:right w:val="none" w:sz="0" w:space="0" w:color="auto"/>
      </w:divBdr>
    </w:div>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331370002">
      <w:bodyDiv w:val="1"/>
      <w:marLeft w:val="0"/>
      <w:marRight w:val="0"/>
      <w:marTop w:val="0"/>
      <w:marBottom w:val="0"/>
      <w:divBdr>
        <w:top w:val="none" w:sz="0" w:space="0" w:color="auto"/>
        <w:left w:val="none" w:sz="0" w:space="0" w:color="auto"/>
        <w:bottom w:val="none" w:sz="0" w:space="0" w:color="auto"/>
        <w:right w:val="none" w:sz="0" w:space="0" w:color="auto"/>
      </w:divBdr>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695963073">
      <w:bodyDiv w:val="1"/>
      <w:marLeft w:val="0"/>
      <w:marRight w:val="0"/>
      <w:marTop w:val="0"/>
      <w:marBottom w:val="0"/>
      <w:divBdr>
        <w:top w:val="none" w:sz="0" w:space="0" w:color="auto"/>
        <w:left w:val="none" w:sz="0" w:space="0" w:color="auto"/>
        <w:bottom w:val="none" w:sz="0" w:space="0" w:color="auto"/>
        <w:right w:val="none" w:sz="0" w:space="0" w:color="auto"/>
      </w:divBdr>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2818120">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microsoft.com/office/2011/relationships/commentsExtended" Target="commentsExtended.xml"/><Relationship Id="rId5" Type="http://schemas.openxmlformats.org/officeDocument/2006/relationships/settings" Target="settings.xml"/><Relationship Id="rId23" Type="http://schemas.microsoft.com/office/2011/relationships/people" Target="people.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ECB1502F-9DE0-4817-AB9D-020C81FE0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6757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2016-06-28T06:36:00Z</cp:lastPrinted>
  <dcterms:created xsi:type="dcterms:W3CDTF">2016-08-25T12:50:00Z</dcterms:created>
  <dcterms:modified xsi:type="dcterms:W3CDTF">2016-08-25T12:50:00Z</dcterms:modified>
</cp:coreProperties>
</file>