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61BEB" w14:textId="77777777" w:rsidR="006A1FAD" w:rsidRPr="00C27BB5" w:rsidRDefault="006A1FAD" w:rsidP="006A1FAD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14:paraId="3A69E36F" w14:textId="77777777" w:rsidR="006A1FAD" w:rsidRDefault="006A1FAD" w:rsidP="006A1FAD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14:paraId="0B46E3BB" w14:textId="77777777" w:rsidR="006A1FAD" w:rsidRDefault="006A1FAD" w:rsidP="006A1FA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14:paraId="399B3E92" w14:textId="77777777" w:rsidR="006A1FAD" w:rsidRPr="00C27BB5" w:rsidRDefault="006A1FAD" w:rsidP="006A1FAD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14:paraId="13BC4560" w14:textId="77777777" w:rsidR="006A1FAD" w:rsidRDefault="006A1FAD" w:rsidP="006A1FAD">
      <w:pPr>
        <w:jc w:val="center"/>
        <w:rPr>
          <w:rFonts w:ascii="Arial" w:hAnsi="Arial"/>
          <w:b/>
          <w:sz w:val="32"/>
        </w:rPr>
      </w:pPr>
    </w:p>
    <w:p w14:paraId="38BE41A7" w14:textId="0A7E8711" w:rsidR="006A1FAD" w:rsidRDefault="006A1FAD" w:rsidP="006A1FAD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ETHIOPIA</w:t>
      </w:r>
    </w:p>
    <w:p w14:paraId="14D2E5E9" w14:textId="77777777" w:rsidR="006A1FAD" w:rsidRDefault="006A1FAD" w:rsidP="006A1FAD">
      <w:pPr>
        <w:jc w:val="center"/>
        <w:rPr>
          <w:rFonts w:ascii="Arial" w:hAnsi="Arial"/>
          <w:b/>
          <w:sz w:val="36"/>
        </w:rPr>
      </w:pPr>
    </w:p>
    <w:p w14:paraId="1BA8BDFA" w14:textId="77777777" w:rsidR="00ED73EE" w:rsidRPr="006140E6" w:rsidRDefault="00ED73EE" w:rsidP="00ED73E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szCs w:val="26"/>
          <w:lang w:val="en-US"/>
        </w:rPr>
      </w:pPr>
      <w:r w:rsidRPr="006140E6">
        <w:rPr>
          <w:rFonts w:ascii="Arial" w:hAnsi="Arial" w:cs="Arial"/>
          <w:b/>
          <w:sz w:val="26"/>
          <w:szCs w:val="26"/>
          <w:lang w:val="en-US"/>
        </w:rPr>
        <w:t xml:space="preserve">Progress towards achievement of GVAP goals </w:t>
      </w:r>
    </w:p>
    <w:p w14:paraId="338CD3E6" w14:textId="77777777" w:rsidR="00ED73EE" w:rsidRPr="006140E6" w:rsidRDefault="00ED73EE" w:rsidP="00ED73EE">
      <w:pPr>
        <w:pStyle w:val="ListParagraph"/>
        <w:rPr>
          <w:rFonts w:ascii="Arial" w:hAnsi="Arial" w:cs="Arial"/>
          <w:b/>
          <w:lang w:val="en-US"/>
        </w:rPr>
      </w:pPr>
    </w:p>
    <w:p w14:paraId="3CA9DB3F" w14:textId="77777777" w:rsidR="00ED73EE" w:rsidRPr="006140E6" w:rsidRDefault="00ED73EE" w:rsidP="00ED73E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 w:rsidRPr="006140E6">
        <w:rPr>
          <w:rFonts w:ascii="Arial" w:hAnsi="Arial" w:cs="Arial"/>
          <w:b/>
          <w:sz w:val="24"/>
          <w:szCs w:val="24"/>
          <w:lang w:val="en-US"/>
        </w:rPr>
        <w:t xml:space="preserve">Summary </w:t>
      </w:r>
    </w:p>
    <w:p w14:paraId="2A48FB84" w14:textId="178C6855" w:rsidR="00BA2589" w:rsidRPr="006140E6" w:rsidRDefault="00BA2589" w:rsidP="005B635F">
      <w:pPr>
        <w:rPr>
          <w:rFonts w:ascii="Arial" w:hAnsi="Arial" w:cs="Arial"/>
          <w:lang w:val="en-US"/>
        </w:rPr>
      </w:pPr>
      <w:r w:rsidRPr="006140E6">
        <w:rPr>
          <w:rFonts w:ascii="Arial" w:hAnsi="Arial" w:cs="Arial"/>
          <w:lang w:val="en-US"/>
        </w:rPr>
        <w:t xml:space="preserve">This </w:t>
      </w:r>
      <w:r w:rsidR="006C334B" w:rsidRPr="006140E6">
        <w:rPr>
          <w:rFonts w:ascii="Arial" w:hAnsi="Arial" w:cs="Arial"/>
          <w:lang w:val="en-US"/>
        </w:rPr>
        <w:t xml:space="preserve">summary table describes </w:t>
      </w:r>
      <w:r w:rsidRPr="006140E6">
        <w:rPr>
          <w:rFonts w:ascii="Arial" w:hAnsi="Arial" w:cs="Arial"/>
          <w:lang w:val="en-US"/>
        </w:rPr>
        <w:t xml:space="preserve">the current situation in </w:t>
      </w:r>
      <w:r w:rsidR="005B635F" w:rsidRPr="006140E6">
        <w:rPr>
          <w:rFonts w:ascii="Arial" w:hAnsi="Arial" w:cs="Arial"/>
          <w:lang w:val="en-US"/>
        </w:rPr>
        <w:t xml:space="preserve">Ethiopia </w:t>
      </w:r>
      <w:r w:rsidRPr="006140E6">
        <w:rPr>
          <w:rFonts w:ascii="Arial" w:hAnsi="Arial" w:cs="Arial"/>
          <w:lang w:val="en-US"/>
        </w:rPr>
        <w:t>regarding achieving the GVAP goals.</w:t>
      </w:r>
      <w:r w:rsidR="00492F98" w:rsidRPr="006140E6">
        <w:rPr>
          <w:rFonts w:ascii="Arial" w:hAnsi="Arial" w:cs="Arial"/>
          <w:lang w:val="en-US"/>
        </w:rPr>
        <w:t xml:space="preserve"> </w:t>
      </w:r>
      <w:r w:rsidR="00500171" w:rsidRPr="006140E6">
        <w:rPr>
          <w:rFonts w:ascii="Arial" w:hAnsi="Arial" w:cs="Arial"/>
          <w:lang w:val="en-US"/>
        </w:rPr>
        <w:t>D</w:t>
      </w:r>
      <w:r w:rsidR="00696E6A" w:rsidRPr="006140E6">
        <w:rPr>
          <w:rFonts w:ascii="Arial" w:hAnsi="Arial" w:cs="Arial"/>
          <w:lang w:val="en-US"/>
        </w:rPr>
        <w:t xml:space="preserve">ata </w:t>
      </w:r>
      <w:r w:rsidR="00E11B99" w:rsidRPr="006140E6">
        <w:rPr>
          <w:rFonts w:ascii="Arial" w:hAnsi="Arial" w:cs="Arial"/>
          <w:lang w:val="en-US"/>
        </w:rPr>
        <w:t xml:space="preserve">used to assess progress towards achievement of </w:t>
      </w:r>
      <w:r w:rsidR="00696E6A" w:rsidRPr="006140E6">
        <w:rPr>
          <w:rFonts w:ascii="Arial" w:hAnsi="Arial" w:cs="Arial"/>
          <w:lang w:val="en-US"/>
        </w:rPr>
        <w:t xml:space="preserve">GVAP goals are included in the annex (Country </w:t>
      </w:r>
      <w:r w:rsidR="00D00DC6" w:rsidRPr="006140E6">
        <w:rPr>
          <w:rFonts w:ascii="Arial" w:hAnsi="Arial" w:cs="Arial"/>
          <w:lang w:val="en-US"/>
        </w:rPr>
        <w:t xml:space="preserve">immunization </w:t>
      </w:r>
      <w:r w:rsidR="00696E6A" w:rsidRPr="006140E6">
        <w:rPr>
          <w:rFonts w:ascii="Arial" w:hAnsi="Arial" w:cs="Arial"/>
          <w:lang w:val="en-US"/>
        </w:rPr>
        <w:t>profile).</w:t>
      </w:r>
    </w:p>
    <w:tbl>
      <w:tblPr>
        <w:tblW w:w="9452" w:type="dxa"/>
        <w:jc w:val="center"/>
        <w:tblLook w:val="04A0" w:firstRow="1" w:lastRow="0" w:firstColumn="1" w:lastColumn="0" w:noHBand="0" w:noVBand="1"/>
      </w:tblPr>
      <w:tblGrid>
        <w:gridCol w:w="3220"/>
        <w:gridCol w:w="3767"/>
        <w:gridCol w:w="2465"/>
      </w:tblGrid>
      <w:tr w:rsidR="004331C0" w:rsidRPr="006140E6" w14:paraId="7A0A3041" w14:textId="77777777" w:rsidTr="00AD65EC">
        <w:trPr>
          <w:trHeight w:val="413"/>
          <w:tblHeader/>
          <w:jc w:val="center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61B40" w14:textId="77777777" w:rsidR="004331C0" w:rsidRPr="006140E6" w:rsidRDefault="004331C0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  <w:t>Area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0299C" w14:textId="77777777" w:rsidR="004331C0" w:rsidRPr="006140E6" w:rsidRDefault="004331C0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  <w:t>Indicator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85FA6" w14:textId="77777777" w:rsidR="004331C0" w:rsidRPr="006140E6" w:rsidRDefault="004331C0" w:rsidP="00352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en-GB"/>
              </w:rPr>
              <w:t>Ethiopia</w:t>
            </w:r>
          </w:p>
        </w:tc>
      </w:tr>
      <w:tr w:rsidR="00ED73EE" w:rsidRPr="006140E6" w14:paraId="195C963B" w14:textId="77777777" w:rsidTr="00AD65EC">
        <w:trPr>
          <w:trHeight w:val="300"/>
          <w:jc w:val="center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23333FA7" w14:textId="77777777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2. Neonatal tetanus elimination</w:t>
            </w:r>
          </w:p>
          <w:p w14:paraId="001DC070" w14:textId="77777777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</w:p>
          <w:p w14:paraId="543A9DC8" w14:textId="77777777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67C3DFD7" w14:textId="77C0C936" w:rsidR="00ED73EE" w:rsidRPr="006140E6" w:rsidRDefault="00ED73EE" w:rsidP="00177E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Coverage for TT (</w:t>
            </w:r>
            <w:r w:rsidR="00177ED5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official country estimate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 xml:space="preserve"> 2015)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3C5B65C9" w14:textId="77777777" w:rsidR="00ED73EE" w:rsidRPr="006140E6" w:rsidRDefault="00ED73EE" w:rsidP="00352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92%</w:t>
            </w:r>
          </w:p>
        </w:tc>
      </w:tr>
      <w:tr w:rsidR="00ED73EE" w:rsidRPr="006140E6" w14:paraId="5EEA0699" w14:textId="77777777" w:rsidTr="00AD65EC">
        <w:trPr>
          <w:trHeight w:val="593"/>
          <w:jc w:val="center"/>
        </w:trPr>
        <w:tc>
          <w:tcPr>
            <w:tcW w:w="3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0FFC107B" w14:textId="776BAC1A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5410F741" w14:textId="4039CDB0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Protection at birth against tetanus (WUENIC 2015)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07F1B644" w14:textId="77777777" w:rsidR="00ED73EE" w:rsidRPr="006140E6" w:rsidRDefault="00ED73EE" w:rsidP="00352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80%</w:t>
            </w:r>
          </w:p>
        </w:tc>
      </w:tr>
      <w:tr w:rsidR="00ED73EE" w:rsidRPr="006140E6" w14:paraId="1B6E4797" w14:textId="77777777" w:rsidTr="00AD65EC">
        <w:trPr>
          <w:trHeight w:val="1322"/>
          <w:jc w:val="center"/>
        </w:trPr>
        <w:tc>
          <w:tcPr>
            <w:tcW w:w="32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530C08C0" w14:textId="4D30CF5E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0FB8A08B" w14:textId="77777777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Last SIAs conducted in the country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14:paraId="3A20E7ED" w14:textId="2968DB91" w:rsidR="00ED73EE" w:rsidRPr="006140E6" w:rsidRDefault="00ED73EE" w:rsidP="001904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SIAs in 2015 in 4</w:t>
            </w:r>
            <w:r w:rsidR="0019049C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/103 zones</w:t>
            </w: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 xml:space="preserve"> (3rd round of SIAs in high-risk districts that started in 2012.</w:t>
            </w:r>
          </w:p>
        </w:tc>
      </w:tr>
      <w:tr w:rsidR="00ED73EE" w:rsidRPr="006140E6" w14:paraId="4A04E7D9" w14:textId="77777777" w:rsidTr="00AD65EC">
        <w:trPr>
          <w:trHeight w:val="287"/>
          <w:jc w:val="center"/>
        </w:trPr>
        <w:tc>
          <w:tcPr>
            <w:tcW w:w="3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70BD332F" w14:textId="11F8FFF9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14:paraId="25618F48" w14:textId="77777777" w:rsidR="00ED73EE" w:rsidRPr="006140E6" w:rsidRDefault="00ED73EE" w:rsidP="00352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Elimination validation date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7561F51A" w14:textId="3729116E" w:rsidR="00ED73EE" w:rsidRPr="006140E6" w:rsidRDefault="00ED73EE" w:rsidP="00352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</w:pPr>
            <w:r w:rsidRPr="006140E6">
              <w:rPr>
                <w:rFonts w:ascii="Calibri" w:eastAsia="Times New Roman" w:hAnsi="Calibri" w:cs="Calibri"/>
                <w:b/>
                <w:bCs/>
                <w:color w:val="000000"/>
                <w:lang w:val="en-US" w:eastAsia="en-GB"/>
              </w:rPr>
              <w:t>Partial validation in 2011 (remaining Somali Region likely before the end of 2016 and national validation by 2018)</w:t>
            </w:r>
          </w:p>
        </w:tc>
      </w:tr>
    </w:tbl>
    <w:p w14:paraId="4127115E" w14:textId="77777777" w:rsidR="004E7450" w:rsidRPr="006140E6" w:rsidRDefault="004E7450" w:rsidP="0019049C">
      <w:pPr>
        <w:pStyle w:val="ListParagraph"/>
        <w:numPr>
          <w:ilvl w:val="1"/>
          <w:numId w:val="18"/>
        </w:numPr>
        <w:contextualSpacing w:val="0"/>
        <w:rPr>
          <w:rFonts w:ascii="Arial" w:hAnsi="Arial" w:cs="Arial"/>
          <w:b/>
          <w:lang w:val="en-US"/>
        </w:rPr>
      </w:pPr>
      <w:r w:rsidRPr="006140E6">
        <w:rPr>
          <w:rFonts w:ascii="Arial" w:hAnsi="Arial" w:cs="Arial"/>
          <w:b/>
          <w:lang w:val="en-US"/>
        </w:rPr>
        <w:t xml:space="preserve">  Goal 2 : Meet global and regional elimination targets</w:t>
      </w:r>
    </w:p>
    <w:p w14:paraId="12D21413" w14:textId="5EAEF5F3" w:rsidR="004E7450" w:rsidRPr="004E7450" w:rsidRDefault="004E7450" w:rsidP="0019049C">
      <w:pPr>
        <w:pStyle w:val="ListParagraph"/>
        <w:numPr>
          <w:ilvl w:val="2"/>
          <w:numId w:val="18"/>
        </w:numPr>
        <w:contextualSpacing w:val="0"/>
        <w:rPr>
          <w:rFonts w:ascii="Arial" w:hAnsi="Arial" w:cs="Arial"/>
          <w:b/>
          <w:lang w:val="en-US"/>
        </w:rPr>
      </w:pPr>
      <w:r w:rsidRPr="004E7450">
        <w:rPr>
          <w:rFonts w:ascii="Arial" w:hAnsi="Arial" w:cs="Arial"/>
          <w:b/>
          <w:lang w:val="en-US"/>
        </w:rPr>
        <w:t xml:space="preserve">Achieve maternal and neonatal tetanus elimination </w:t>
      </w:r>
    </w:p>
    <w:p w14:paraId="60991CF4" w14:textId="67259363" w:rsidR="004E7450" w:rsidRDefault="004E7450" w:rsidP="003E2E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Ethiopia has partially achieved this goal – with elimination validated in 2011 in 10 of the country’s </w:t>
      </w:r>
      <w:r w:rsidR="0074708B">
        <w:rPr>
          <w:rFonts w:ascii="Arial" w:hAnsi="Arial" w:cs="Arial"/>
          <w:lang w:val="en-US"/>
        </w:rPr>
        <w:t>nine</w:t>
      </w:r>
      <w:r>
        <w:rPr>
          <w:rFonts w:ascii="Arial" w:hAnsi="Arial" w:cs="Arial"/>
          <w:lang w:val="en-US"/>
        </w:rPr>
        <w:t xml:space="preserve"> regions </w:t>
      </w:r>
      <w:r w:rsidR="0074708B">
        <w:rPr>
          <w:rFonts w:ascii="Arial" w:hAnsi="Arial" w:cs="Arial"/>
          <w:lang w:val="en-US"/>
        </w:rPr>
        <w:t xml:space="preserve">and two city administrations </w:t>
      </w:r>
      <w:r>
        <w:rPr>
          <w:rFonts w:ascii="Arial" w:hAnsi="Arial" w:cs="Arial"/>
          <w:lang w:val="en-US"/>
        </w:rPr>
        <w:t xml:space="preserve">(all but the Somali region). This has been accomplished through TT vaccination campaigns targeting 15-49 year old females </w:t>
      </w:r>
      <w:r w:rsidR="0074708B">
        <w:rPr>
          <w:rFonts w:ascii="Arial" w:hAnsi="Arial" w:cs="Arial"/>
          <w:lang w:val="en-US"/>
        </w:rPr>
        <w:t xml:space="preserve">in 62 high-risk zones </w:t>
      </w:r>
      <w:r>
        <w:rPr>
          <w:rFonts w:ascii="Arial" w:hAnsi="Arial" w:cs="Arial"/>
          <w:lang w:val="en-US"/>
        </w:rPr>
        <w:t>with three vaccine doses, beginning in 1999, when the count</w:t>
      </w:r>
      <w:r w:rsidR="0074708B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 xml:space="preserve">y had an </w:t>
      </w:r>
      <w:r>
        <w:rPr>
          <w:rFonts w:ascii="Arial" w:hAnsi="Arial" w:cs="Arial"/>
          <w:lang w:val="en-US"/>
        </w:rPr>
        <w:lastRenderedPageBreak/>
        <w:t>estimated 13,400 neonatal tetanus deaths.</w:t>
      </w:r>
      <w:r w:rsidR="0074708B">
        <w:rPr>
          <w:rStyle w:val="FootnoteReference"/>
          <w:rFonts w:ascii="Arial" w:hAnsi="Arial" w:cs="Arial"/>
          <w:lang w:val="en-US"/>
        </w:rPr>
        <w:footnoteReference w:id="1"/>
      </w:r>
      <w:r>
        <w:rPr>
          <w:rFonts w:ascii="Arial" w:hAnsi="Arial" w:cs="Arial"/>
          <w:lang w:val="en-US"/>
        </w:rPr>
        <w:t xml:space="preserve"> The campaigns – using nurses, HEWS, nursing and medical students – vaccinated 15 million women from 1999 to 2013, achieving an average coverage rate of 81% for two TT doses and 66% for three doses, according to </w:t>
      </w:r>
      <w:r w:rsidR="0074708B">
        <w:rPr>
          <w:rFonts w:ascii="Arial" w:hAnsi="Arial" w:cs="Arial"/>
          <w:lang w:val="en-US"/>
        </w:rPr>
        <w:t>EPI administrative data</w:t>
      </w:r>
      <w:r>
        <w:rPr>
          <w:rFonts w:ascii="Arial" w:hAnsi="Arial" w:cs="Arial"/>
          <w:lang w:val="en-US"/>
        </w:rPr>
        <w:t>.</w:t>
      </w:r>
      <w:r w:rsidR="0074708B">
        <w:rPr>
          <w:rStyle w:val="FootnoteReference"/>
          <w:rFonts w:ascii="Arial" w:hAnsi="Arial" w:cs="Arial"/>
          <w:lang w:val="en-US"/>
        </w:rPr>
        <w:footnoteReference w:id="2"/>
      </w:r>
      <w:r>
        <w:rPr>
          <w:rFonts w:ascii="Arial" w:hAnsi="Arial" w:cs="Arial"/>
          <w:lang w:val="en-US"/>
        </w:rPr>
        <w:t xml:space="preserve"> The WHO-UNICEF </w:t>
      </w:r>
      <w:r w:rsidR="00281949">
        <w:rPr>
          <w:rFonts w:ascii="Arial" w:hAnsi="Arial" w:cs="Arial"/>
          <w:lang w:val="en-US"/>
        </w:rPr>
        <w:t xml:space="preserve">(WUENIC) </w:t>
      </w:r>
      <w:r>
        <w:rPr>
          <w:rFonts w:ascii="Arial" w:hAnsi="Arial" w:cs="Arial"/>
          <w:lang w:val="en-US"/>
        </w:rPr>
        <w:t xml:space="preserve">estimated coverage rate for protection at birth was 80% in 2015. The AFP/polio surveillance network is used for case-based MNT surveillance. </w:t>
      </w:r>
    </w:p>
    <w:p w14:paraId="465FA7A3" w14:textId="1592FB82" w:rsidR="004E7450" w:rsidRDefault="004E7450" w:rsidP="004E745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According to informants, the country is on track to achieve M</w:t>
      </w:r>
      <w:r w:rsidR="003E4FEA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T elimination nation-wide</w:t>
      </w:r>
      <w:r w:rsidR="0019049C">
        <w:rPr>
          <w:rFonts w:ascii="Arial" w:hAnsi="Arial" w:cs="Arial"/>
          <w:lang w:val="en-US"/>
        </w:rPr>
        <w:t xml:space="preserve"> by the end of 2016, after </w:t>
      </w:r>
      <w:r w:rsidR="00971509">
        <w:rPr>
          <w:rFonts w:ascii="Arial" w:hAnsi="Arial" w:cs="Arial"/>
          <w:lang w:val="en-US"/>
        </w:rPr>
        <w:t xml:space="preserve">it completes TT SIAs recommended by the validation committee </w:t>
      </w:r>
      <w:r w:rsidR="0019049C">
        <w:rPr>
          <w:rFonts w:ascii="Arial" w:hAnsi="Arial" w:cs="Arial"/>
          <w:lang w:val="en-US"/>
        </w:rPr>
        <w:t xml:space="preserve">in </w:t>
      </w:r>
      <w:r w:rsidR="00971509">
        <w:rPr>
          <w:rFonts w:ascii="Arial" w:hAnsi="Arial" w:cs="Arial"/>
          <w:lang w:val="en-US"/>
        </w:rPr>
        <w:t>five</w:t>
      </w:r>
      <w:r w:rsidR="0019049C">
        <w:rPr>
          <w:rFonts w:ascii="Arial" w:hAnsi="Arial" w:cs="Arial"/>
          <w:lang w:val="en-US"/>
        </w:rPr>
        <w:t xml:space="preserve"> zones in the Somali region </w:t>
      </w:r>
      <w:r w:rsidR="00971509">
        <w:rPr>
          <w:rFonts w:ascii="Arial" w:hAnsi="Arial" w:cs="Arial"/>
          <w:lang w:val="en-US"/>
        </w:rPr>
        <w:t>that had achieved less than 80% coverage through the SIAs conducted there in 2012</w:t>
      </w:r>
      <w:r w:rsidR="0019049C">
        <w:rPr>
          <w:rFonts w:ascii="Arial" w:hAnsi="Arial" w:cs="Arial"/>
          <w:lang w:val="en-US"/>
        </w:rPr>
        <w:t>.</w:t>
      </w:r>
    </w:p>
    <w:p w14:paraId="2401FDCE" w14:textId="4189807D" w:rsidR="00914A96" w:rsidRPr="006140E6" w:rsidRDefault="00914A96" w:rsidP="00914A96">
      <w:pPr>
        <w:rPr>
          <w:rFonts w:ascii="Arial" w:hAnsi="Arial" w:cs="Arial"/>
          <w:lang w:val="en-US"/>
        </w:rPr>
      </w:pPr>
    </w:p>
    <w:p w14:paraId="58D91CC2" w14:textId="77777777" w:rsidR="00914A96" w:rsidRPr="006140E6" w:rsidRDefault="00914A96">
      <w:pPr>
        <w:rPr>
          <w:rFonts w:ascii="Arial" w:hAnsi="Arial" w:cs="Arial"/>
          <w:lang w:val="en-US"/>
        </w:rPr>
        <w:sectPr w:rsidR="00914A96" w:rsidRPr="006140E6" w:rsidSect="00914A96"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C334335" w14:textId="77777777" w:rsidR="00D27284" w:rsidRPr="006140E6" w:rsidRDefault="00D27284" w:rsidP="00D27284">
      <w:pPr>
        <w:rPr>
          <w:rFonts w:ascii="Arial" w:hAnsi="Arial" w:cs="Arial"/>
          <w:b/>
          <w:sz w:val="24"/>
          <w:lang w:val="en-US"/>
        </w:rPr>
      </w:pPr>
      <w:r w:rsidRPr="006140E6">
        <w:rPr>
          <w:rFonts w:ascii="Arial" w:hAnsi="Arial" w:cs="Arial"/>
          <w:b/>
          <w:sz w:val="24"/>
          <w:lang w:val="en-US"/>
        </w:rPr>
        <w:lastRenderedPageBreak/>
        <w:t>ANNEXES</w:t>
      </w:r>
    </w:p>
    <w:p w14:paraId="3AA230C6" w14:textId="18CD855D" w:rsidR="001A55DB" w:rsidRPr="001A55DB" w:rsidRDefault="001A55DB" w:rsidP="001A55DB">
      <w:pPr>
        <w:pStyle w:val="Caption"/>
        <w:rPr>
          <w:rFonts w:ascii="Arial" w:hAnsi="Arial" w:cs="Arial"/>
          <w:color w:val="auto"/>
          <w:sz w:val="22"/>
          <w:szCs w:val="22"/>
        </w:rPr>
      </w:pPr>
      <w:r w:rsidRPr="001A55DB">
        <w:rPr>
          <w:rFonts w:ascii="Arial" w:hAnsi="Arial" w:cs="Arial"/>
          <w:color w:val="auto"/>
          <w:sz w:val="22"/>
          <w:szCs w:val="22"/>
        </w:rPr>
        <w:t xml:space="preserve">Figure </w:t>
      </w:r>
      <w:r w:rsidRPr="001A55DB">
        <w:rPr>
          <w:rFonts w:ascii="Arial" w:hAnsi="Arial" w:cs="Arial"/>
          <w:color w:val="auto"/>
          <w:sz w:val="22"/>
          <w:szCs w:val="22"/>
        </w:rPr>
        <w:fldChar w:fldCharType="begin"/>
      </w:r>
      <w:r w:rsidRPr="001A55DB">
        <w:rPr>
          <w:rFonts w:ascii="Arial" w:hAnsi="Arial" w:cs="Arial"/>
          <w:color w:val="auto"/>
          <w:sz w:val="22"/>
          <w:szCs w:val="22"/>
        </w:rPr>
        <w:instrText xml:space="preserve"> SEQ Figure \* ARABIC </w:instrText>
      </w:r>
      <w:r w:rsidRPr="001A55DB">
        <w:rPr>
          <w:rFonts w:ascii="Arial" w:hAnsi="Arial" w:cs="Arial"/>
          <w:color w:val="auto"/>
          <w:sz w:val="22"/>
          <w:szCs w:val="22"/>
        </w:rPr>
        <w:fldChar w:fldCharType="separate"/>
      </w:r>
      <w:r w:rsidR="00651A7C">
        <w:rPr>
          <w:rFonts w:ascii="Arial" w:hAnsi="Arial" w:cs="Arial"/>
          <w:noProof/>
          <w:color w:val="auto"/>
          <w:sz w:val="22"/>
          <w:szCs w:val="22"/>
        </w:rPr>
        <w:t>4</w:t>
      </w:r>
      <w:r w:rsidRPr="001A55DB">
        <w:rPr>
          <w:rFonts w:ascii="Arial" w:hAnsi="Arial" w:cs="Arial"/>
          <w:color w:val="auto"/>
          <w:sz w:val="22"/>
          <w:szCs w:val="22"/>
        </w:rPr>
        <w:fldChar w:fldCharType="end"/>
      </w:r>
      <w:r w:rsidRPr="001A55DB">
        <w:rPr>
          <w:rFonts w:ascii="Arial" w:hAnsi="Arial" w:cs="Arial"/>
          <w:color w:val="auto"/>
          <w:sz w:val="22"/>
          <w:szCs w:val="22"/>
        </w:rPr>
        <w:t xml:space="preserve">: </w:t>
      </w:r>
      <w:r w:rsidRPr="00C36384">
        <w:rPr>
          <w:rFonts w:ascii="Arial" w:hAnsi="Arial" w:cs="Arial"/>
          <w:color w:val="auto"/>
          <w:sz w:val="22"/>
          <w:szCs w:val="22"/>
        </w:rPr>
        <w:t xml:space="preserve">All vaccines national coverage, </w:t>
      </w:r>
      <w:r>
        <w:rPr>
          <w:rFonts w:ascii="Arial" w:hAnsi="Arial" w:cs="Arial"/>
          <w:color w:val="auto"/>
          <w:sz w:val="22"/>
          <w:szCs w:val="22"/>
        </w:rPr>
        <w:t>Ethiopia</w:t>
      </w:r>
      <w:r w:rsidRPr="00C36384">
        <w:rPr>
          <w:rFonts w:ascii="Arial" w:hAnsi="Arial" w:cs="Arial"/>
          <w:color w:val="auto"/>
          <w:sz w:val="22"/>
          <w:szCs w:val="22"/>
        </w:rPr>
        <w:t>, 2000-2015</w:t>
      </w:r>
    </w:p>
    <w:p w14:paraId="7B35E342" w14:textId="57B4347D" w:rsidR="001A55DB" w:rsidRDefault="001A55DB" w:rsidP="001A55DB">
      <w:pPr>
        <w:pStyle w:val="Caption"/>
      </w:pPr>
      <w:r>
        <w:rPr>
          <w:noProof/>
          <w:lang w:eastAsia="zh-CN"/>
        </w:rPr>
        <w:drawing>
          <wp:inline distT="0" distB="0" distL="0" distR="0" wp14:anchorId="31CFA240" wp14:editId="4CFD4559">
            <wp:extent cx="4354662" cy="3238500"/>
            <wp:effectExtent l="0" t="0" r="8255" b="0"/>
            <wp:docPr id="5" name="Picture 5" descr="D:\data\GVAP Reports\2016\3. Scrore Cards 2016\jan visualizations DTP3 per country\Punch cards per country\ethi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GVAP Reports\2016\3. Scrore Cards 2016\jan visualizations DTP3 per country\Punch cards per country\ethiop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62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8C04" w14:textId="7C4A19EB" w:rsidR="001A55DB" w:rsidRDefault="00FF5786" w:rsidP="001A55DB">
      <w:pPr>
        <w:pStyle w:val="Caption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noProof/>
          <w:color w:val="auto"/>
          <w:sz w:val="22"/>
          <w:szCs w:val="22"/>
          <w:lang w:eastAsia="zh-CN"/>
        </w:rPr>
        <w:drawing>
          <wp:inline distT="0" distB="0" distL="0" distR="0" wp14:anchorId="66522B92" wp14:editId="341E9DD1">
            <wp:extent cx="4181475" cy="963900"/>
            <wp:effectExtent l="0" t="0" r="0" b="8255"/>
            <wp:docPr id="6" name="Picture 6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5DB" w:rsidSect="00917F8A">
      <w:pgSz w:w="11906" w:h="16838"/>
      <w:pgMar w:top="1440" w:right="1440" w:bottom="1440" w:left="1440" w:header="709" w:footer="709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FD711" w15:done="0"/>
  <w15:commentEx w15:paraId="688936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85C9D" w14:textId="77777777" w:rsidR="005362DA" w:rsidRDefault="005362DA">
      <w:pPr>
        <w:spacing w:after="0" w:line="240" w:lineRule="auto"/>
      </w:pPr>
      <w:r>
        <w:separator/>
      </w:r>
    </w:p>
  </w:endnote>
  <w:endnote w:type="continuationSeparator" w:id="0">
    <w:p w14:paraId="24B02B05" w14:textId="77777777" w:rsidR="005362DA" w:rsidRDefault="0053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990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5CB33" w14:textId="72C2CB37" w:rsidR="0074708B" w:rsidRDefault="007470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F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80E7B36" w14:textId="4EFE2247" w:rsidR="0074708B" w:rsidRDefault="0074708B" w:rsidP="00EE7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B8B67" w14:textId="77777777" w:rsidR="005362DA" w:rsidRDefault="005362DA">
      <w:pPr>
        <w:spacing w:after="0" w:line="240" w:lineRule="auto"/>
      </w:pPr>
      <w:r>
        <w:separator/>
      </w:r>
    </w:p>
  </w:footnote>
  <w:footnote w:type="continuationSeparator" w:id="0">
    <w:p w14:paraId="3C8F330F" w14:textId="77777777" w:rsidR="005362DA" w:rsidRDefault="005362DA">
      <w:pPr>
        <w:spacing w:after="0" w:line="240" w:lineRule="auto"/>
      </w:pPr>
      <w:r>
        <w:continuationSeparator/>
      </w:r>
    </w:p>
  </w:footnote>
  <w:footnote w:id="1">
    <w:p w14:paraId="63374BDA" w14:textId="0CFA13C3" w:rsidR="0074708B" w:rsidRPr="0074708B" w:rsidRDefault="007470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cMYP 2016-2020.</w:t>
      </w:r>
    </w:p>
  </w:footnote>
  <w:footnote w:id="2">
    <w:p w14:paraId="279428DD" w14:textId="3C10EEAE" w:rsidR="0074708B" w:rsidRPr="0074708B" w:rsidRDefault="0074708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971509">
        <w:rPr>
          <w:lang w:val="en-US"/>
        </w:rPr>
        <w:t>cMYP 2016-2020.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2DB7"/>
    <w:multiLevelType w:val="hybridMultilevel"/>
    <w:tmpl w:val="F6D055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0A2FFB"/>
    <w:multiLevelType w:val="hybridMultilevel"/>
    <w:tmpl w:val="2DA8FD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382162"/>
    <w:multiLevelType w:val="hybridMultilevel"/>
    <w:tmpl w:val="E83CC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495C14"/>
    <w:multiLevelType w:val="multilevel"/>
    <w:tmpl w:val="4860E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66AD1"/>
    <w:multiLevelType w:val="hybridMultilevel"/>
    <w:tmpl w:val="A38E1D58"/>
    <w:lvl w:ilvl="0" w:tplc="04090005">
      <w:start w:val="1"/>
      <w:numFmt w:val="bullet"/>
      <w:lvlText w:val=""/>
      <w:lvlJc w:val="left"/>
      <w:pPr>
        <w:ind w:left="-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</w:abstractNum>
  <w:abstractNum w:abstractNumId="16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E4406"/>
    <w:multiLevelType w:val="hybridMultilevel"/>
    <w:tmpl w:val="B30692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D6F47CE"/>
    <w:multiLevelType w:val="multilevel"/>
    <w:tmpl w:val="D6FE4D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4B95021"/>
    <w:multiLevelType w:val="hybridMultilevel"/>
    <w:tmpl w:val="B1F204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0036C"/>
    <w:multiLevelType w:val="hybridMultilevel"/>
    <w:tmpl w:val="FCF83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1"/>
  </w:num>
  <w:num w:numId="5">
    <w:abstractNumId w:val="21"/>
  </w:num>
  <w:num w:numId="6">
    <w:abstractNumId w:val="2"/>
  </w:num>
  <w:num w:numId="7">
    <w:abstractNumId w:val="8"/>
  </w:num>
  <w:num w:numId="8">
    <w:abstractNumId w:val="19"/>
  </w:num>
  <w:num w:numId="9">
    <w:abstractNumId w:val="6"/>
  </w:num>
  <w:num w:numId="10">
    <w:abstractNumId w:val="26"/>
  </w:num>
  <w:num w:numId="11">
    <w:abstractNumId w:val="25"/>
  </w:num>
  <w:num w:numId="12">
    <w:abstractNumId w:val="16"/>
  </w:num>
  <w:num w:numId="13">
    <w:abstractNumId w:val="24"/>
  </w:num>
  <w:num w:numId="14">
    <w:abstractNumId w:val="18"/>
  </w:num>
  <w:num w:numId="15">
    <w:abstractNumId w:val="27"/>
  </w:num>
  <w:num w:numId="16">
    <w:abstractNumId w:val="10"/>
  </w:num>
  <w:num w:numId="17">
    <w:abstractNumId w:val="20"/>
  </w:num>
  <w:num w:numId="18">
    <w:abstractNumId w:val="13"/>
  </w:num>
  <w:num w:numId="19">
    <w:abstractNumId w:val="28"/>
  </w:num>
  <w:num w:numId="20">
    <w:abstractNumId w:val="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8"/>
  </w:num>
  <w:num w:numId="25">
    <w:abstractNumId w:val="19"/>
  </w:num>
  <w:num w:numId="26">
    <w:abstractNumId w:val="11"/>
  </w:num>
  <w:num w:numId="27">
    <w:abstractNumId w:val="9"/>
  </w:num>
  <w:num w:numId="28">
    <w:abstractNumId w:val="22"/>
  </w:num>
  <w:num w:numId="29">
    <w:abstractNumId w:val="15"/>
  </w:num>
  <w:num w:numId="30">
    <w:abstractNumId w:val="5"/>
  </w:num>
  <w:num w:numId="31">
    <w:abstractNumId w:val="17"/>
  </w:num>
  <w:num w:numId="32">
    <w:abstractNumId w:val="7"/>
  </w:num>
  <w:num w:numId="33">
    <w:abstractNumId w:val="23"/>
  </w:num>
  <w:num w:numId="34">
    <w:abstractNumId w:val="0"/>
  </w:num>
  <w:num w:numId="3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217B3"/>
    <w:rsid w:val="00025C91"/>
    <w:rsid w:val="00052693"/>
    <w:rsid w:val="00061C69"/>
    <w:rsid w:val="00071321"/>
    <w:rsid w:val="0007442D"/>
    <w:rsid w:val="00075417"/>
    <w:rsid w:val="00096E70"/>
    <w:rsid w:val="000C2C44"/>
    <w:rsid w:val="000C61CE"/>
    <w:rsid w:val="000E3D3E"/>
    <w:rsid w:val="001461BD"/>
    <w:rsid w:val="00153320"/>
    <w:rsid w:val="00163179"/>
    <w:rsid w:val="001634BB"/>
    <w:rsid w:val="00177ED5"/>
    <w:rsid w:val="0019049C"/>
    <w:rsid w:val="001A42D9"/>
    <w:rsid w:val="001A55DB"/>
    <w:rsid w:val="001B0097"/>
    <w:rsid w:val="001C1193"/>
    <w:rsid w:val="001C1E4D"/>
    <w:rsid w:val="001C5026"/>
    <w:rsid w:val="001F2D8D"/>
    <w:rsid w:val="001F4121"/>
    <w:rsid w:val="00211685"/>
    <w:rsid w:val="002258E3"/>
    <w:rsid w:val="002327A5"/>
    <w:rsid w:val="00232D9A"/>
    <w:rsid w:val="002652D3"/>
    <w:rsid w:val="0027046F"/>
    <w:rsid w:val="002818D0"/>
    <w:rsid w:val="00281949"/>
    <w:rsid w:val="00281CEF"/>
    <w:rsid w:val="00292589"/>
    <w:rsid w:val="00297C3C"/>
    <w:rsid w:val="002B73D6"/>
    <w:rsid w:val="002C0BCF"/>
    <w:rsid w:val="002D61F5"/>
    <w:rsid w:val="002D762A"/>
    <w:rsid w:val="002E36C1"/>
    <w:rsid w:val="002F1749"/>
    <w:rsid w:val="002F20C9"/>
    <w:rsid w:val="003333F6"/>
    <w:rsid w:val="00352ED6"/>
    <w:rsid w:val="00370616"/>
    <w:rsid w:val="003707DB"/>
    <w:rsid w:val="00371B50"/>
    <w:rsid w:val="00373BA5"/>
    <w:rsid w:val="003B6F84"/>
    <w:rsid w:val="003D24BB"/>
    <w:rsid w:val="003D6679"/>
    <w:rsid w:val="003E2E31"/>
    <w:rsid w:val="003E30EC"/>
    <w:rsid w:val="003E4FEA"/>
    <w:rsid w:val="003F2AB3"/>
    <w:rsid w:val="003F4825"/>
    <w:rsid w:val="003F5FE8"/>
    <w:rsid w:val="00410919"/>
    <w:rsid w:val="00420940"/>
    <w:rsid w:val="00432B70"/>
    <w:rsid w:val="004331C0"/>
    <w:rsid w:val="00436537"/>
    <w:rsid w:val="00441EDC"/>
    <w:rsid w:val="00442F4B"/>
    <w:rsid w:val="0044441D"/>
    <w:rsid w:val="00451E35"/>
    <w:rsid w:val="00457E0A"/>
    <w:rsid w:val="00460D76"/>
    <w:rsid w:val="00461388"/>
    <w:rsid w:val="00461727"/>
    <w:rsid w:val="004826EF"/>
    <w:rsid w:val="00492F98"/>
    <w:rsid w:val="004A106A"/>
    <w:rsid w:val="004A394A"/>
    <w:rsid w:val="004A4FE5"/>
    <w:rsid w:val="004A78E2"/>
    <w:rsid w:val="004B5B75"/>
    <w:rsid w:val="004D307D"/>
    <w:rsid w:val="004E7450"/>
    <w:rsid w:val="004F6777"/>
    <w:rsid w:val="00500171"/>
    <w:rsid w:val="0050564C"/>
    <w:rsid w:val="005133F8"/>
    <w:rsid w:val="00513BF2"/>
    <w:rsid w:val="00515073"/>
    <w:rsid w:val="00526AA3"/>
    <w:rsid w:val="00530FEA"/>
    <w:rsid w:val="00532476"/>
    <w:rsid w:val="00534013"/>
    <w:rsid w:val="005362DA"/>
    <w:rsid w:val="005406A6"/>
    <w:rsid w:val="0058000D"/>
    <w:rsid w:val="00594240"/>
    <w:rsid w:val="005975E4"/>
    <w:rsid w:val="005B00C9"/>
    <w:rsid w:val="005B3DAE"/>
    <w:rsid w:val="005B635F"/>
    <w:rsid w:val="005B6B29"/>
    <w:rsid w:val="005C1966"/>
    <w:rsid w:val="005C6F1C"/>
    <w:rsid w:val="005F0283"/>
    <w:rsid w:val="006019F4"/>
    <w:rsid w:val="006140E6"/>
    <w:rsid w:val="00614B06"/>
    <w:rsid w:val="0063770B"/>
    <w:rsid w:val="006410AE"/>
    <w:rsid w:val="00641572"/>
    <w:rsid w:val="00651A7C"/>
    <w:rsid w:val="006842AB"/>
    <w:rsid w:val="00696E6A"/>
    <w:rsid w:val="006A1FAD"/>
    <w:rsid w:val="006A4380"/>
    <w:rsid w:val="006C160F"/>
    <w:rsid w:val="006C334B"/>
    <w:rsid w:val="006C5940"/>
    <w:rsid w:val="006D454B"/>
    <w:rsid w:val="007033F7"/>
    <w:rsid w:val="00706FB3"/>
    <w:rsid w:val="0071529A"/>
    <w:rsid w:val="007368DB"/>
    <w:rsid w:val="0074708B"/>
    <w:rsid w:val="0076408F"/>
    <w:rsid w:val="00767749"/>
    <w:rsid w:val="00770EEA"/>
    <w:rsid w:val="00777C17"/>
    <w:rsid w:val="0079008F"/>
    <w:rsid w:val="007A35F6"/>
    <w:rsid w:val="007B053A"/>
    <w:rsid w:val="007C346A"/>
    <w:rsid w:val="007C5F79"/>
    <w:rsid w:val="007D16A4"/>
    <w:rsid w:val="007D2AA9"/>
    <w:rsid w:val="007E0DEE"/>
    <w:rsid w:val="007F0729"/>
    <w:rsid w:val="008053B7"/>
    <w:rsid w:val="008105B2"/>
    <w:rsid w:val="00824C6B"/>
    <w:rsid w:val="00825812"/>
    <w:rsid w:val="0083568C"/>
    <w:rsid w:val="008462BE"/>
    <w:rsid w:val="00856B69"/>
    <w:rsid w:val="00861920"/>
    <w:rsid w:val="00863F77"/>
    <w:rsid w:val="00865907"/>
    <w:rsid w:val="0087073B"/>
    <w:rsid w:val="00873B54"/>
    <w:rsid w:val="00883C0A"/>
    <w:rsid w:val="008A1C67"/>
    <w:rsid w:val="008B63EF"/>
    <w:rsid w:val="008C1347"/>
    <w:rsid w:val="008C461F"/>
    <w:rsid w:val="008D2A44"/>
    <w:rsid w:val="008D3BDF"/>
    <w:rsid w:val="008E352E"/>
    <w:rsid w:val="008E4926"/>
    <w:rsid w:val="008E7AA0"/>
    <w:rsid w:val="008F0A50"/>
    <w:rsid w:val="008F4F49"/>
    <w:rsid w:val="008F4FAA"/>
    <w:rsid w:val="00907C58"/>
    <w:rsid w:val="00914A96"/>
    <w:rsid w:val="00917F8A"/>
    <w:rsid w:val="009318B8"/>
    <w:rsid w:val="00952C8B"/>
    <w:rsid w:val="009563E8"/>
    <w:rsid w:val="00957EAE"/>
    <w:rsid w:val="00971509"/>
    <w:rsid w:val="009A5026"/>
    <w:rsid w:val="009B091D"/>
    <w:rsid w:val="009C09D8"/>
    <w:rsid w:val="009E1E59"/>
    <w:rsid w:val="009F4681"/>
    <w:rsid w:val="00A11AC1"/>
    <w:rsid w:val="00A1405E"/>
    <w:rsid w:val="00A43899"/>
    <w:rsid w:val="00A441A1"/>
    <w:rsid w:val="00A44D74"/>
    <w:rsid w:val="00A52B11"/>
    <w:rsid w:val="00AA7F9D"/>
    <w:rsid w:val="00AC50A6"/>
    <w:rsid w:val="00AD65EC"/>
    <w:rsid w:val="00AE7557"/>
    <w:rsid w:val="00AF0E45"/>
    <w:rsid w:val="00B13423"/>
    <w:rsid w:val="00B218CC"/>
    <w:rsid w:val="00B46B36"/>
    <w:rsid w:val="00B56AF8"/>
    <w:rsid w:val="00B57B9C"/>
    <w:rsid w:val="00B637A0"/>
    <w:rsid w:val="00B760C4"/>
    <w:rsid w:val="00B77816"/>
    <w:rsid w:val="00BA2589"/>
    <w:rsid w:val="00BD74C8"/>
    <w:rsid w:val="00BE212A"/>
    <w:rsid w:val="00BF14CF"/>
    <w:rsid w:val="00BF4CFA"/>
    <w:rsid w:val="00C0480C"/>
    <w:rsid w:val="00C67C9D"/>
    <w:rsid w:val="00C77721"/>
    <w:rsid w:val="00CA3E94"/>
    <w:rsid w:val="00CA5738"/>
    <w:rsid w:val="00CD3FD9"/>
    <w:rsid w:val="00CE15CF"/>
    <w:rsid w:val="00CF0796"/>
    <w:rsid w:val="00CF0E45"/>
    <w:rsid w:val="00CF1FC7"/>
    <w:rsid w:val="00D00DC6"/>
    <w:rsid w:val="00D126F0"/>
    <w:rsid w:val="00D16753"/>
    <w:rsid w:val="00D17551"/>
    <w:rsid w:val="00D27284"/>
    <w:rsid w:val="00D27E92"/>
    <w:rsid w:val="00D30DD8"/>
    <w:rsid w:val="00D411FC"/>
    <w:rsid w:val="00D6260F"/>
    <w:rsid w:val="00D664AC"/>
    <w:rsid w:val="00D732C7"/>
    <w:rsid w:val="00D80D99"/>
    <w:rsid w:val="00D909E8"/>
    <w:rsid w:val="00D9435D"/>
    <w:rsid w:val="00D9563B"/>
    <w:rsid w:val="00DA2F74"/>
    <w:rsid w:val="00DA6251"/>
    <w:rsid w:val="00DC02D8"/>
    <w:rsid w:val="00DC1CC8"/>
    <w:rsid w:val="00DC5960"/>
    <w:rsid w:val="00E01945"/>
    <w:rsid w:val="00E11B99"/>
    <w:rsid w:val="00E1542F"/>
    <w:rsid w:val="00E1686A"/>
    <w:rsid w:val="00E35B5F"/>
    <w:rsid w:val="00E37109"/>
    <w:rsid w:val="00E4138E"/>
    <w:rsid w:val="00E420C5"/>
    <w:rsid w:val="00E533E0"/>
    <w:rsid w:val="00E65FBD"/>
    <w:rsid w:val="00E748EB"/>
    <w:rsid w:val="00E86411"/>
    <w:rsid w:val="00EC0E0D"/>
    <w:rsid w:val="00EC5704"/>
    <w:rsid w:val="00ED73EE"/>
    <w:rsid w:val="00EE76C4"/>
    <w:rsid w:val="00EF71B6"/>
    <w:rsid w:val="00F045B5"/>
    <w:rsid w:val="00F1079F"/>
    <w:rsid w:val="00F42CC4"/>
    <w:rsid w:val="00F577A7"/>
    <w:rsid w:val="00F63D60"/>
    <w:rsid w:val="00F81B65"/>
    <w:rsid w:val="00F85BA5"/>
    <w:rsid w:val="00FA641C"/>
    <w:rsid w:val="00FC7616"/>
    <w:rsid w:val="00FD688B"/>
    <w:rsid w:val="00FF456D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F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777C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7C1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61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211685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5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777C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7C1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617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customStyle="1" w:styleId="GridTable4-Accent31">
    <w:name w:val="Grid Table 4 - Accent 31"/>
    <w:basedOn w:val="TableNormal"/>
    <w:uiPriority w:val="49"/>
    <w:rsid w:val="00211685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A55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23" Type="http://schemas.microsoft.com/office/2011/relationships/people" Target="peop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20D48EE-FFBA-4335-8707-7A956060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2016-08-25T12:47:00Z</dcterms:created>
  <dcterms:modified xsi:type="dcterms:W3CDTF">2016-08-25T12:47:00Z</dcterms:modified>
</cp:coreProperties>
</file>