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61BEB" w14:textId="77777777" w:rsidR="006A1FAD" w:rsidRPr="00C27BB5" w:rsidRDefault="006A1FAD" w:rsidP="006A1FAD">
      <w:pPr>
        <w:jc w:val="center"/>
        <w:rPr>
          <w:b/>
          <w:sz w:val="40"/>
          <w:szCs w:val="40"/>
        </w:rPr>
      </w:pPr>
      <w:r w:rsidRPr="00C27BB5">
        <w:rPr>
          <w:b/>
          <w:sz w:val="40"/>
          <w:szCs w:val="40"/>
        </w:rPr>
        <w:t>Global Vaccine Action Plan</w:t>
      </w:r>
    </w:p>
    <w:p w14:paraId="3A69E36F" w14:textId="77777777" w:rsidR="006A1FAD" w:rsidRDefault="006A1FAD" w:rsidP="006A1FAD">
      <w:pPr>
        <w:jc w:val="center"/>
        <w:rPr>
          <w:i/>
          <w:sz w:val="40"/>
          <w:szCs w:val="40"/>
        </w:rPr>
      </w:pPr>
      <w:r w:rsidRPr="00C27BB5">
        <w:rPr>
          <w:i/>
          <w:sz w:val="40"/>
          <w:szCs w:val="40"/>
        </w:rPr>
        <w:t>Secretariat Annual Report 2016</w:t>
      </w:r>
    </w:p>
    <w:p w14:paraId="0B46E3BB" w14:textId="77777777" w:rsidR="006A1FAD" w:rsidRDefault="006A1FAD" w:rsidP="006A1FAD">
      <w:pPr>
        <w:jc w:val="center"/>
        <w:rPr>
          <w:i/>
          <w:sz w:val="40"/>
          <w:szCs w:val="40"/>
        </w:rPr>
      </w:pPr>
      <w:r>
        <w:rPr>
          <w:i/>
          <w:sz w:val="40"/>
          <w:szCs w:val="40"/>
        </w:rPr>
        <w:t>Priority C</w:t>
      </w:r>
      <w:r w:rsidRPr="00C27BB5">
        <w:rPr>
          <w:i/>
          <w:sz w:val="40"/>
          <w:szCs w:val="40"/>
        </w:rPr>
        <w:t xml:space="preserve">ountry report on progress towards </w:t>
      </w:r>
    </w:p>
    <w:p w14:paraId="399B3E92" w14:textId="77777777" w:rsidR="006A1FAD" w:rsidRPr="00C27BB5" w:rsidRDefault="006A1FAD" w:rsidP="006A1FAD">
      <w:pPr>
        <w:jc w:val="center"/>
        <w:rPr>
          <w:i/>
          <w:sz w:val="40"/>
          <w:szCs w:val="40"/>
        </w:rPr>
      </w:pPr>
      <w:r>
        <w:rPr>
          <w:i/>
          <w:sz w:val="40"/>
          <w:szCs w:val="40"/>
        </w:rPr>
        <w:t>GVAP-RVAP</w:t>
      </w:r>
      <w:r w:rsidRPr="00C27BB5">
        <w:rPr>
          <w:i/>
          <w:sz w:val="40"/>
          <w:szCs w:val="40"/>
        </w:rPr>
        <w:t xml:space="preserve"> goals </w:t>
      </w:r>
    </w:p>
    <w:p w14:paraId="13BC4560" w14:textId="77777777" w:rsidR="006A1FAD" w:rsidRDefault="006A1FAD" w:rsidP="006A1FAD">
      <w:pPr>
        <w:jc w:val="center"/>
        <w:rPr>
          <w:rFonts w:ascii="Arial" w:hAnsi="Arial"/>
          <w:b/>
          <w:sz w:val="32"/>
        </w:rPr>
      </w:pPr>
    </w:p>
    <w:p w14:paraId="38BE41A7" w14:textId="0A7E8711" w:rsidR="006A1FAD" w:rsidRDefault="006A1FAD" w:rsidP="006A1FAD">
      <w:pPr>
        <w:jc w:val="center"/>
        <w:rPr>
          <w:rFonts w:ascii="Arial" w:hAnsi="Arial"/>
          <w:b/>
          <w:sz w:val="36"/>
        </w:rPr>
      </w:pPr>
      <w:r>
        <w:rPr>
          <w:rFonts w:ascii="Arial" w:hAnsi="Arial"/>
          <w:b/>
          <w:sz w:val="36"/>
        </w:rPr>
        <w:t>ETHIOPIA</w:t>
      </w:r>
    </w:p>
    <w:p w14:paraId="14D2E5E9" w14:textId="77777777" w:rsidR="006A1FAD" w:rsidRDefault="006A1FAD" w:rsidP="006A1FAD">
      <w:pPr>
        <w:jc w:val="center"/>
        <w:rPr>
          <w:rFonts w:ascii="Arial" w:hAnsi="Arial"/>
          <w:b/>
          <w:sz w:val="36"/>
        </w:rPr>
      </w:pPr>
    </w:p>
    <w:p w14:paraId="1BA8BDFA" w14:textId="77777777" w:rsidR="00ED73EE" w:rsidRPr="006140E6" w:rsidRDefault="00ED73EE" w:rsidP="00ED73EE">
      <w:pPr>
        <w:pStyle w:val="ListParagraph"/>
        <w:numPr>
          <w:ilvl w:val="0"/>
          <w:numId w:val="3"/>
        </w:numPr>
        <w:rPr>
          <w:rFonts w:ascii="Arial" w:hAnsi="Arial" w:cs="Arial"/>
          <w:b/>
          <w:sz w:val="26"/>
          <w:szCs w:val="26"/>
          <w:lang w:val="en-US"/>
        </w:rPr>
      </w:pPr>
      <w:r w:rsidRPr="006140E6">
        <w:rPr>
          <w:rFonts w:ascii="Arial" w:hAnsi="Arial" w:cs="Arial"/>
          <w:b/>
          <w:sz w:val="26"/>
          <w:szCs w:val="26"/>
          <w:lang w:val="en-US"/>
        </w:rPr>
        <w:t xml:space="preserve">Progress towards achievement of GVAP goals </w:t>
      </w:r>
    </w:p>
    <w:p w14:paraId="338CD3E6" w14:textId="77777777" w:rsidR="00ED73EE" w:rsidRPr="006140E6" w:rsidRDefault="00ED73EE" w:rsidP="00ED73EE">
      <w:pPr>
        <w:pStyle w:val="ListParagraph"/>
        <w:rPr>
          <w:rFonts w:ascii="Arial" w:hAnsi="Arial" w:cs="Arial"/>
          <w:b/>
          <w:lang w:val="en-US"/>
        </w:rPr>
      </w:pPr>
    </w:p>
    <w:p w14:paraId="3CA9DB3F" w14:textId="77777777" w:rsidR="00ED73EE" w:rsidRPr="006140E6" w:rsidRDefault="00ED73EE" w:rsidP="00ED73EE">
      <w:pPr>
        <w:pStyle w:val="ListParagraph"/>
        <w:numPr>
          <w:ilvl w:val="0"/>
          <w:numId w:val="1"/>
        </w:numPr>
        <w:rPr>
          <w:rFonts w:ascii="Arial" w:hAnsi="Arial" w:cs="Arial"/>
          <w:b/>
          <w:sz w:val="24"/>
          <w:szCs w:val="24"/>
          <w:lang w:val="en-US"/>
        </w:rPr>
      </w:pPr>
      <w:r w:rsidRPr="006140E6">
        <w:rPr>
          <w:rFonts w:ascii="Arial" w:hAnsi="Arial" w:cs="Arial"/>
          <w:b/>
          <w:sz w:val="24"/>
          <w:szCs w:val="24"/>
          <w:lang w:val="en-US"/>
        </w:rPr>
        <w:t xml:space="preserve">Summary </w:t>
      </w:r>
    </w:p>
    <w:p w14:paraId="2A48FB84" w14:textId="178C6855" w:rsidR="00BA2589" w:rsidRPr="006140E6" w:rsidRDefault="00BA2589" w:rsidP="005B635F">
      <w:pPr>
        <w:rPr>
          <w:rFonts w:ascii="Arial" w:hAnsi="Arial" w:cs="Arial"/>
          <w:lang w:val="en-US"/>
        </w:rPr>
      </w:pPr>
      <w:r w:rsidRPr="006140E6">
        <w:rPr>
          <w:rFonts w:ascii="Arial" w:hAnsi="Arial" w:cs="Arial"/>
          <w:lang w:val="en-US"/>
        </w:rPr>
        <w:t xml:space="preserve">This </w:t>
      </w:r>
      <w:r w:rsidR="006C334B" w:rsidRPr="006140E6">
        <w:rPr>
          <w:rFonts w:ascii="Arial" w:hAnsi="Arial" w:cs="Arial"/>
          <w:lang w:val="en-US"/>
        </w:rPr>
        <w:t xml:space="preserve">summary table describes </w:t>
      </w:r>
      <w:r w:rsidRPr="006140E6">
        <w:rPr>
          <w:rFonts w:ascii="Arial" w:hAnsi="Arial" w:cs="Arial"/>
          <w:lang w:val="en-US"/>
        </w:rPr>
        <w:t xml:space="preserve">the current situation in </w:t>
      </w:r>
      <w:r w:rsidR="005B635F" w:rsidRPr="006140E6">
        <w:rPr>
          <w:rFonts w:ascii="Arial" w:hAnsi="Arial" w:cs="Arial"/>
          <w:lang w:val="en-US"/>
        </w:rPr>
        <w:t xml:space="preserve">Ethiopia </w:t>
      </w:r>
      <w:r w:rsidRPr="006140E6">
        <w:rPr>
          <w:rFonts w:ascii="Arial" w:hAnsi="Arial" w:cs="Arial"/>
          <w:lang w:val="en-US"/>
        </w:rPr>
        <w:t xml:space="preserve">regarding achieving the GVAP </w:t>
      </w:r>
      <w:proofErr w:type="gramStart"/>
      <w:r w:rsidRPr="006140E6">
        <w:rPr>
          <w:rFonts w:ascii="Arial" w:hAnsi="Arial" w:cs="Arial"/>
          <w:lang w:val="en-US"/>
        </w:rPr>
        <w:t>goals</w:t>
      </w:r>
      <w:proofErr w:type="gramEnd"/>
      <w:r w:rsidRPr="006140E6">
        <w:rPr>
          <w:rFonts w:ascii="Arial" w:hAnsi="Arial" w:cs="Arial"/>
          <w:lang w:val="en-US"/>
        </w:rPr>
        <w:t>.</w:t>
      </w:r>
      <w:r w:rsidR="00492F98" w:rsidRPr="006140E6">
        <w:rPr>
          <w:rFonts w:ascii="Arial" w:hAnsi="Arial" w:cs="Arial"/>
          <w:lang w:val="en-US"/>
        </w:rPr>
        <w:t xml:space="preserve"> </w:t>
      </w:r>
      <w:r w:rsidR="00500171" w:rsidRPr="006140E6">
        <w:rPr>
          <w:rFonts w:ascii="Arial" w:hAnsi="Arial" w:cs="Arial"/>
          <w:lang w:val="en-US"/>
        </w:rPr>
        <w:t>D</w:t>
      </w:r>
      <w:r w:rsidR="00696E6A" w:rsidRPr="006140E6">
        <w:rPr>
          <w:rFonts w:ascii="Arial" w:hAnsi="Arial" w:cs="Arial"/>
          <w:lang w:val="en-US"/>
        </w:rPr>
        <w:t xml:space="preserve">ata </w:t>
      </w:r>
      <w:r w:rsidR="00E11B99" w:rsidRPr="006140E6">
        <w:rPr>
          <w:rFonts w:ascii="Arial" w:hAnsi="Arial" w:cs="Arial"/>
          <w:lang w:val="en-US"/>
        </w:rPr>
        <w:t xml:space="preserve">used to assess progress towards achievement of </w:t>
      </w:r>
      <w:r w:rsidR="00696E6A" w:rsidRPr="006140E6">
        <w:rPr>
          <w:rFonts w:ascii="Arial" w:hAnsi="Arial" w:cs="Arial"/>
          <w:lang w:val="en-US"/>
        </w:rPr>
        <w:t xml:space="preserve">GVAP goals are included in the annex (Country </w:t>
      </w:r>
      <w:r w:rsidR="00D00DC6" w:rsidRPr="006140E6">
        <w:rPr>
          <w:rFonts w:ascii="Arial" w:hAnsi="Arial" w:cs="Arial"/>
          <w:lang w:val="en-US"/>
        </w:rPr>
        <w:t xml:space="preserve">immunization </w:t>
      </w:r>
      <w:r w:rsidR="00696E6A" w:rsidRPr="006140E6">
        <w:rPr>
          <w:rFonts w:ascii="Arial" w:hAnsi="Arial" w:cs="Arial"/>
          <w:lang w:val="en-US"/>
        </w:rPr>
        <w:t>profile).</w:t>
      </w:r>
    </w:p>
    <w:tbl>
      <w:tblPr>
        <w:tblW w:w="9452" w:type="dxa"/>
        <w:jc w:val="center"/>
        <w:tblLook w:val="04A0" w:firstRow="1" w:lastRow="0" w:firstColumn="1" w:lastColumn="0" w:noHBand="0" w:noVBand="1"/>
      </w:tblPr>
      <w:tblGrid>
        <w:gridCol w:w="3220"/>
        <w:gridCol w:w="3767"/>
        <w:gridCol w:w="2465"/>
      </w:tblGrid>
      <w:tr w:rsidR="004331C0" w:rsidRPr="006140E6" w14:paraId="7A0A3041" w14:textId="77777777" w:rsidTr="00AD65EC">
        <w:trPr>
          <w:trHeight w:val="413"/>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17461B40"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Area</w:t>
            </w:r>
          </w:p>
        </w:tc>
        <w:tc>
          <w:tcPr>
            <w:tcW w:w="3767" w:type="dxa"/>
            <w:tcBorders>
              <w:top w:val="single" w:sz="4" w:space="0" w:color="auto"/>
              <w:left w:val="nil"/>
              <w:bottom w:val="single" w:sz="4" w:space="0" w:color="auto"/>
              <w:right w:val="single" w:sz="4" w:space="0" w:color="auto"/>
            </w:tcBorders>
            <w:shd w:val="clear" w:color="auto" w:fill="auto"/>
            <w:hideMark/>
          </w:tcPr>
          <w:p w14:paraId="7790299C"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Indicator</w:t>
            </w:r>
          </w:p>
        </w:tc>
        <w:tc>
          <w:tcPr>
            <w:tcW w:w="2465" w:type="dxa"/>
            <w:tcBorders>
              <w:top w:val="single" w:sz="4" w:space="0" w:color="auto"/>
              <w:left w:val="nil"/>
              <w:bottom w:val="single" w:sz="4" w:space="0" w:color="auto"/>
              <w:right w:val="single" w:sz="4" w:space="0" w:color="auto"/>
            </w:tcBorders>
            <w:shd w:val="clear" w:color="auto" w:fill="auto"/>
            <w:hideMark/>
          </w:tcPr>
          <w:p w14:paraId="38C85FA6" w14:textId="77777777" w:rsidR="004331C0" w:rsidRPr="006140E6" w:rsidRDefault="004331C0" w:rsidP="00352ED6">
            <w:pPr>
              <w:spacing w:after="0" w:line="240" w:lineRule="auto"/>
              <w:jc w:val="center"/>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Ethiopia</w:t>
            </w:r>
          </w:p>
        </w:tc>
      </w:tr>
      <w:tr w:rsidR="00ED73EE" w:rsidRPr="006140E6" w14:paraId="2AE5F537" w14:textId="77777777" w:rsidTr="00AD65EC">
        <w:trPr>
          <w:trHeight w:val="467"/>
          <w:jc w:val="center"/>
        </w:trPr>
        <w:tc>
          <w:tcPr>
            <w:tcW w:w="3220" w:type="dxa"/>
            <w:vMerge w:val="restart"/>
            <w:tcBorders>
              <w:top w:val="nil"/>
              <w:left w:val="single" w:sz="4" w:space="0" w:color="auto"/>
              <w:right w:val="single" w:sz="4" w:space="0" w:color="auto"/>
            </w:tcBorders>
            <w:shd w:val="clear" w:color="000000" w:fill="DDD9C4"/>
            <w:hideMark/>
          </w:tcPr>
          <w:p w14:paraId="453AE6D8" w14:textId="77777777" w:rsidR="00ED73EE" w:rsidRPr="006140E6" w:rsidRDefault="00ED73EE"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1. Interrupt wild poliovirus transmission</w:t>
            </w:r>
          </w:p>
        </w:tc>
        <w:tc>
          <w:tcPr>
            <w:tcW w:w="3767" w:type="dxa"/>
            <w:tcBorders>
              <w:top w:val="nil"/>
              <w:left w:val="nil"/>
              <w:bottom w:val="single" w:sz="4" w:space="0" w:color="auto"/>
              <w:right w:val="single" w:sz="4" w:space="0" w:color="auto"/>
            </w:tcBorders>
            <w:shd w:val="clear" w:color="000000" w:fill="DDD9C4"/>
            <w:hideMark/>
          </w:tcPr>
          <w:p w14:paraId="7FB6B7FE" w14:textId="02CD8C98" w:rsidR="00ED73EE" w:rsidRPr="006140E6" w:rsidRDefault="00ED73EE"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Transmission interrupted</w:t>
            </w:r>
          </w:p>
        </w:tc>
        <w:tc>
          <w:tcPr>
            <w:tcW w:w="2465" w:type="dxa"/>
            <w:tcBorders>
              <w:top w:val="nil"/>
              <w:left w:val="nil"/>
              <w:bottom w:val="single" w:sz="4" w:space="0" w:color="auto"/>
              <w:right w:val="single" w:sz="4" w:space="0" w:color="auto"/>
            </w:tcBorders>
            <w:shd w:val="clear" w:color="000000" w:fill="00B050"/>
            <w:hideMark/>
          </w:tcPr>
          <w:p w14:paraId="43FBB89B" w14:textId="7F9BE12F" w:rsidR="00ED73EE" w:rsidRPr="006140E6" w:rsidRDefault="00ED73EE" w:rsidP="00AF0E45">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Yes</w:t>
            </w:r>
            <w:r w:rsidR="00AF0E45">
              <w:rPr>
                <w:rFonts w:ascii="Calibri" w:eastAsia="Times New Roman" w:hAnsi="Calibri" w:cs="Calibri"/>
                <w:b/>
                <w:bCs/>
                <w:color w:val="000000"/>
                <w:lang w:val="en-US" w:eastAsia="en-GB"/>
              </w:rPr>
              <w:t xml:space="preserve"> </w:t>
            </w:r>
          </w:p>
        </w:tc>
      </w:tr>
      <w:tr w:rsidR="00ED73EE" w:rsidRPr="006140E6" w14:paraId="7617E216" w14:textId="77777777" w:rsidTr="00AD65EC">
        <w:trPr>
          <w:trHeight w:val="800"/>
          <w:jc w:val="center"/>
        </w:trPr>
        <w:tc>
          <w:tcPr>
            <w:tcW w:w="3220" w:type="dxa"/>
            <w:vMerge/>
            <w:tcBorders>
              <w:left w:val="single" w:sz="4" w:space="0" w:color="auto"/>
              <w:right w:val="single" w:sz="4" w:space="0" w:color="auto"/>
            </w:tcBorders>
            <w:shd w:val="clear" w:color="000000" w:fill="DDD9C4"/>
          </w:tcPr>
          <w:p w14:paraId="52FD0FD4" w14:textId="7DA14000" w:rsidR="00ED73EE" w:rsidRPr="006140E6" w:rsidRDefault="00ED73EE"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DDD9C4"/>
            <w:hideMark/>
          </w:tcPr>
          <w:p w14:paraId="5155117B" w14:textId="169DF53D" w:rsidR="00ED73EE" w:rsidRPr="006140E6" w:rsidRDefault="00ED73EE" w:rsidP="00352ED6">
            <w:pPr>
              <w:spacing w:after="0" w:line="240" w:lineRule="auto"/>
              <w:rPr>
                <w:rFonts w:ascii="Calibri" w:eastAsia="Times New Roman" w:hAnsi="Calibri" w:cs="Calibri"/>
                <w:b/>
                <w:bCs/>
                <w:lang w:val="en-US" w:eastAsia="en-GB"/>
              </w:rPr>
            </w:pPr>
            <w:r w:rsidRPr="006140E6">
              <w:rPr>
                <w:rFonts w:ascii="Calibri" w:eastAsia="Times New Roman" w:hAnsi="Calibri" w:cs="Calibri"/>
                <w:b/>
                <w:bCs/>
                <w:lang w:val="en-US" w:eastAsia="en-GB"/>
              </w:rPr>
              <w:t>Risk of late detection</w:t>
            </w:r>
            <w:proofErr w:type="gramStart"/>
            <w:r w:rsidRPr="006140E6">
              <w:rPr>
                <w:rFonts w:ascii="Calibri" w:eastAsia="Times New Roman" w:hAnsi="Calibri" w:cs="Calibri"/>
                <w:b/>
                <w:bCs/>
                <w:lang w:val="en-US" w:eastAsia="en-GB"/>
              </w:rPr>
              <w:t>:</w:t>
            </w:r>
            <w:proofErr w:type="gramEnd"/>
            <w:r w:rsidRPr="006140E6">
              <w:rPr>
                <w:rFonts w:ascii="Calibri" w:eastAsia="Times New Roman" w:hAnsi="Calibri" w:cs="Calibri"/>
                <w:b/>
                <w:bCs/>
                <w:lang w:val="en-US" w:eastAsia="en-GB"/>
              </w:rPr>
              <w:br/>
              <w:t>Percent of adequate stool specimens (rolling 12 mo.) (2015) Target &gt; 80%</w:t>
            </w:r>
          </w:p>
        </w:tc>
        <w:tc>
          <w:tcPr>
            <w:tcW w:w="2465" w:type="dxa"/>
            <w:tcBorders>
              <w:top w:val="nil"/>
              <w:left w:val="nil"/>
              <w:bottom w:val="single" w:sz="4" w:space="0" w:color="auto"/>
              <w:right w:val="single" w:sz="4" w:space="0" w:color="auto"/>
            </w:tcBorders>
            <w:shd w:val="clear" w:color="000000" w:fill="00B050"/>
            <w:hideMark/>
          </w:tcPr>
          <w:p w14:paraId="50B2CAB8" w14:textId="77777777" w:rsidR="00ED73EE" w:rsidRPr="006140E6" w:rsidRDefault="00ED73EE"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93.1</w:t>
            </w:r>
          </w:p>
        </w:tc>
      </w:tr>
      <w:tr w:rsidR="00ED73EE" w:rsidRPr="006140E6" w14:paraId="7A6E58C0" w14:textId="77777777" w:rsidTr="00AD65EC">
        <w:trPr>
          <w:trHeight w:val="900"/>
          <w:jc w:val="center"/>
        </w:trPr>
        <w:tc>
          <w:tcPr>
            <w:tcW w:w="3220" w:type="dxa"/>
            <w:vMerge/>
            <w:tcBorders>
              <w:left w:val="single" w:sz="4" w:space="0" w:color="auto"/>
              <w:right w:val="single" w:sz="4" w:space="0" w:color="auto"/>
            </w:tcBorders>
            <w:shd w:val="clear" w:color="000000" w:fill="DDD9C4"/>
          </w:tcPr>
          <w:p w14:paraId="0D495FC1" w14:textId="2E2131D1" w:rsidR="00ED73EE" w:rsidRPr="006140E6" w:rsidRDefault="00ED73EE"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DDD9C4"/>
            <w:hideMark/>
          </w:tcPr>
          <w:p w14:paraId="52EB2908" w14:textId="39374131" w:rsidR="00ED73EE" w:rsidRPr="006140E6" w:rsidRDefault="00ED73EE" w:rsidP="00352ED6">
            <w:pPr>
              <w:spacing w:after="0" w:line="240" w:lineRule="auto"/>
              <w:rPr>
                <w:rFonts w:ascii="Calibri" w:eastAsia="Times New Roman" w:hAnsi="Calibri" w:cs="Calibri"/>
                <w:b/>
                <w:bCs/>
                <w:lang w:val="en-US" w:eastAsia="en-GB"/>
              </w:rPr>
            </w:pPr>
            <w:r w:rsidRPr="006140E6">
              <w:rPr>
                <w:rFonts w:ascii="Calibri" w:eastAsia="Times New Roman" w:hAnsi="Calibri" w:cs="Calibri"/>
                <w:b/>
                <w:bCs/>
                <w:lang w:val="en-US" w:eastAsia="en-GB"/>
              </w:rPr>
              <w:t>Risk of late detection</w:t>
            </w:r>
            <w:proofErr w:type="gramStart"/>
            <w:r w:rsidRPr="006140E6">
              <w:rPr>
                <w:rFonts w:ascii="Calibri" w:eastAsia="Times New Roman" w:hAnsi="Calibri" w:cs="Calibri"/>
                <w:b/>
                <w:bCs/>
                <w:lang w:val="en-US" w:eastAsia="en-GB"/>
              </w:rPr>
              <w:t>:</w:t>
            </w:r>
            <w:proofErr w:type="gramEnd"/>
            <w:r w:rsidRPr="006140E6">
              <w:rPr>
                <w:rFonts w:ascii="Calibri" w:eastAsia="Times New Roman" w:hAnsi="Calibri" w:cs="Calibri"/>
                <w:b/>
                <w:bCs/>
                <w:lang w:val="en-US" w:eastAsia="en-GB"/>
              </w:rPr>
              <w:br/>
              <w:t>Non-polio AFP rate per 100,000 (rolling 12 mo.) (2015</w:t>
            </w:r>
            <w:r w:rsidR="00177ED5">
              <w:rPr>
                <w:rFonts w:ascii="Calibri" w:eastAsia="Times New Roman" w:hAnsi="Calibri" w:cs="Calibri"/>
                <w:b/>
                <w:bCs/>
                <w:lang w:val="en-US" w:eastAsia="en-GB"/>
              </w:rPr>
              <w:t>-2016</w:t>
            </w:r>
            <w:r w:rsidRPr="006140E6">
              <w:rPr>
                <w:rFonts w:ascii="Calibri" w:eastAsia="Times New Roman" w:hAnsi="Calibri" w:cs="Calibri"/>
                <w:b/>
                <w:bCs/>
                <w:lang w:val="en-US" w:eastAsia="en-GB"/>
              </w:rPr>
              <w:t>) Target &gt; 2/100,000</w:t>
            </w:r>
          </w:p>
        </w:tc>
        <w:tc>
          <w:tcPr>
            <w:tcW w:w="2465" w:type="dxa"/>
            <w:tcBorders>
              <w:top w:val="nil"/>
              <w:left w:val="nil"/>
              <w:bottom w:val="single" w:sz="4" w:space="0" w:color="auto"/>
              <w:right w:val="single" w:sz="4" w:space="0" w:color="auto"/>
            </w:tcBorders>
            <w:shd w:val="clear" w:color="000000" w:fill="00B050"/>
            <w:hideMark/>
          </w:tcPr>
          <w:p w14:paraId="6D9EA6B5" w14:textId="77777777" w:rsidR="00ED73EE" w:rsidRPr="006140E6" w:rsidRDefault="00ED73EE"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2.5</w:t>
            </w:r>
          </w:p>
        </w:tc>
      </w:tr>
      <w:tr w:rsidR="00ED73EE" w:rsidRPr="006140E6" w14:paraId="0520BE8B" w14:textId="77777777" w:rsidTr="00AD65EC">
        <w:trPr>
          <w:trHeight w:val="1412"/>
          <w:jc w:val="center"/>
        </w:trPr>
        <w:tc>
          <w:tcPr>
            <w:tcW w:w="3220" w:type="dxa"/>
            <w:vMerge/>
            <w:tcBorders>
              <w:left w:val="single" w:sz="4" w:space="0" w:color="auto"/>
              <w:bottom w:val="single" w:sz="4" w:space="0" w:color="auto"/>
              <w:right w:val="single" w:sz="4" w:space="0" w:color="auto"/>
            </w:tcBorders>
            <w:shd w:val="clear" w:color="000000" w:fill="DDD9C4"/>
          </w:tcPr>
          <w:p w14:paraId="764FA646" w14:textId="4A80F578" w:rsidR="00ED73EE" w:rsidRPr="006140E6" w:rsidRDefault="00ED73EE" w:rsidP="00352ED6">
            <w:pPr>
              <w:spacing w:after="0" w:line="240" w:lineRule="auto"/>
              <w:rPr>
                <w:rFonts w:ascii="Calibri" w:eastAsia="Times New Roman" w:hAnsi="Calibri" w:cs="Calibri"/>
                <w:b/>
                <w:bCs/>
                <w:color w:val="000000"/>
                <w:lang w:val="en-US" w:eastAsia="en-GB"/>
              </w:rPr>
            </w:pPr>
          </w:p>
        </w:tc>
        <w:tc>
          <w:tcPr>
            <w:tcW w:w="3767" w:type="dxa"/>
            <w:tcBorders>
              <w:top w:val="nil"/>
              <w:left w:val="nil"/>
              <w:bottom w:val="single" w:sz="4" w:space="0" w:color="auto"/>
              <w:right w:val="single" w:sz="4" w:space="0" w:color="auto"/>
            </w:tcBorders>
            <w:shd w:val="clear" w:color="000000" w:fill="DDD9C4"/>
            <w:hideMark/>
          </w:tcPr>
          <w:p w14:paraId="68AAB441" w14:textId="5500FDB9" w:rsidR="00ED73EE" w:rsidRPr="006140E6" w:rsidRDefault="00ED73EE" w:rsidP="00352ED6">
            <w:pPr>
              <w:spacing w:after="0" w:line="240" w:lineRule="auto"/>
              <w:rPr>
                <w:rFonts w:ascii="Calibri" w:eastAsia="Times New Roman" w:hAnsi="Calibri" w:cs="Calibri"/>
                <w:b/>
                <w:bCs/>
                <w:lang w:val="en-US" w:eastAsia="en-GB"/>
              </w:rPr>
            </w:pPr>
            <w:r w:rsidRPr="006140E6">
              <w:rPr>
                <w:rFonts w:ascii="Calibri" w:eastAsia="Times New Roman" w:hAnsi="Calibri" w:cs="Calibri"/>
                <w:b/>
                <w:bCs/>
                <w:lang w:val="en-US" w:eastAsia="en-GB"/>
              </w:rPr>
              <w:t>Risk of spread after importation:</w:t>
            </w:r>
            <w:r w:rsidRPr="006140E6">
              <w:rPr>
                <w:rFonts w:ascii="Calibri" w:eastAsia="Times New Roman" w:hAnsi="Calibri" w:cs="Calibri"/>
                <w:b/>
                <w:bCs/>
                <w:lang w:val="en-US" w:eastAsia="en-GB"/>
              </w:rPr>
              <w:br/>
              <w:t xml:space="preserve">% of 6-59 month olds having received less than 3 doses in the last year before occurrence </w:t>
            </w:r>
            <w:r w:rsidR="00E65FBD">
              <w:rPr>
                <w:rFonts w:ascii="Calibri" w:eastAsia="Times New Roman" w:hAnsi="Calibri" w:cs="Calibri"/>
                <w:b/>
                <w:bCs/>
                <w:lang w:val="en-US" w:eastAsia="en-GB"/>
              </w:rPr>
              <w:t xml:space="preserve">of last </w:t>
            </w:r>
            <w:r w:rsidRPr="006140E6">
              <w:rPr>
                <w:rFonts w:ascii="Calibri" w:eastAsia="Times New Roman" w:hAnsi="Calibri" w:cs="Calibri"/>
                <w:b/>
                <w:bCs/>
                <w:lang w:val="en-US" w:eastAsia="en-GB"/>
              </w:rPr>
              <w:t>case/environmental positive)</w:t>
            </w:r>
          </w:p>
        </w:tc>
        <w:tc>
          <w:tcPr>
            <w:tcW w:w="2465" w:type="dxa"/>
            <w:tcBorders>
              <w:top w:val="nil"/>
              <w:left w:val="nil"/>
              <w:bottom w:val="single" w:sz="4" w:space="0" w:color="auto"/>
              <w:right w:val="single" w:sz="4" w:space="0" w:color="auto"/>
            </w:tcBorders>
            <w:shd w:val="clear" w:color="000000" w:fill="FF0000"/>
            <w:hideMark/>
          </w:tcPr>
          <w:p w14:paraId="30389108" w14:textId="77777777" w:rsidR="00ED73EE" w:rsidRPr="006140E6" w:rsidRDefault="00ED73EE"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17</w:t>
            </w:r>
          </w:p>
        </w:tc>
      </w:tr>
    </w:tbl>
    <w:p w14:paraId="22226D13" w14:textId="250E403B" w:rsidR="00914A96" w:rsidRPr="00B760C4" w:rsidRDefault="00914A96" w:rsidP="00B760C4">
      <w:pPr>
        <w:pStyle w:val="ListParagraph"/>
        <w:numPr>
          <w:ilvl w:val="0"/>
          <w:numId w:val="1"/>
        </w:numPr>
        <w:rPr>
          <w:rFonts w:ascii="Arial" w:hAnsi="Arial" w:cs="Arial"/>
          <w:b/>
          <w:sz w:val="24"/>
          <w:szCs w:val="24"/>
          <w:lang w:val="en-US"/>
        </w:rPr>
      </w:pPr>
      <w:r w:rsidRPr="00B760C4">
        <w:rPr>
          <w:rFonts w:ascii="Arial" w:hAnsi="Arial" w:cs="Arial"/>
          <w:b/>
          <w:sz w:val="24"/>
          <w:szCs w:val="24"/>
          <w:lang w:val="en-US"/>
        </w:rPr>
        <w:t>Progress towards specific GVAP goals (issues/challenges/successes)</w:t>
      </w:r>
    </w:p>
    <w:p w14:paraId="5C03C000" w14:textId="385FA1A7" w:rsidR="00B760C4" w:rsidRPr="00B760C4" w:rsidRDefault="00B760C4" w:rsidP="00B760C4">
      <w:pPr>
        <w:rPr>
          <w:rFonts w:ascii="Arial" w:hAnsi="Arial" w:cs="Arial"/>
          <w:b/>
          <w:lang w:val="en-US"/>
        </w:rPr>
      </w:pPr>
      <w:r w:rsidRPr="00B760C4">
        <w:rPr>
          <w:rFonts w:ascii="Arial" w:hAnsi="Arial" w:cs="Arial"/>
          <w:b/>
          <w:lang w:val="en-US"/>
        </w:rPr>
        <w:t>3.</w:t>
      </w:r>
      <w:r>
        <w:rPr>
          <w:rFonts w:ascii="Arial" w:hAnsi="Arial" w:cs="Arial"/>
          <w:b/>
          <w:lang w:val="en-US"/>
        </w:rPr>
        <w:t xml:space="preserve">1 </w:t>
      </w:r>
      <w:r w:rsidRPr="00B760C4">
        <w:rPr>
          <w:rFonts w:ascii="Arial" w:hAnsi="Arial" w:cs="Arial"/>
          <w:b/>
          <w:lang w:val="en-US"/>
        </w:rPr>
        <w:t>Go</w:t>
      </w:r>
      <w:r>
        <w:rPr>
          <w:rFonts w:ascii="Arial" w:hAnsi="Arial" w:cs="Arial"/>
          <w:b/>
          <w:lang w:val="en-US"/>
        </w:rPr>
        <w:t>al 1: Achieve a world free of p</w:t>
      </w:r>
      <w:r w:rsidRPr="00B760C4">
        <w:rPr>
          <w:rFonts w:ascii="Arial" w:hAnsi="Arial" w:cs="Arial"/>
          <w:b/>
          <w:lang w:val="en-US"/>
        </w:rPr>
        <w:t>oliomyelitis</w:t>
      </w:r>
    </w:p>
    <w:p w14:paraId="1DBF4107" w14:textId="0BCF80ED" w:rsidR="00914A96" w:rsidRDefault="00B760C4" w:rsidP="00B760C4">
      <w:pPr>
        <w:rPr>
          <w:rFonts w:ascii="Arial" w:hAnsi="Arial" w:cs="Arial"/>
          <w:lang w:val="en-US"/>
        </w:rPr>
      </w:pPr>
      <w:r>
        <w:rPr>
          <w:rFonts w:ascii="Arial" w:hAnsi="Arial" w:cs="Arial"/>
          <w:lang w:val="en-US"/>
        </w:rPr>
        <w:t>Ethiopia has not had an indigenous case of wild polio virus (WPV) reported since 2001. However, due to importations along the Somalian and S. Sudanese borders in 2013</w:t>
      </w:r>
      <w:r w:rsidR="00AF0E45">
        <w:rPr>
          <w:rFonts w:ascii="Arial" w:hAnsi="Arial" w:cs="Arial"/>
          <w:lang w:val="en-US"/>
        </w:rPr>
        <w:t>/</w:t>
      </w:r>
      <w:r>
        <w:rPr>
          <w:rFonts w:ascii="Arial" w:hAnsi="Arial" w:cs="Arial"/>
          <w:lang w:val="en-US"/>
        </w:rPr>
        <w:t>201</w:t>
      </w:r>
      <w:r w:rsidR="00AF0E45">
        <w:rPr>
          <w:rFonts w:ascii="Arial" w:hAnsi="Arial" w:cs="Arial"/>
          <w:lang w:val="en-US"/>
        </w:rPr>
        <w:t>4</w:t>
      </w:r>
      <w:r>
        <w:rPr>
          <w:rFonts w:ascii="Arial" w:hAnsi="Arial" w:cs="Arial"/>
          <w:lang w:val="en-US"/>
        </w:rPr>
        <w:t xml:space="preserve"> – with a total of 10 confirmed cases – the country has not yet been certified polio-free. The last case was in January 2014 and Ethiopia was removed from the polio outbreak list in March </w:t>
      </w:r>
      <w:r>
        <w:rPr>
          <w:rFonts w:ascii="Arial" w:hAnsi="Arial" w:cs="Arial"/>
          <w:lang w:val="en-US"/>
        </w:rPr>
        <w:lastRenderedPageBreak/>
        <w:t>2015.</w:t>
      </w:r>
      <w:r w:rsidR="00153320">
        <w:rPr>
          <w:rStyle w:val="FootnoteReference"/>
          <w:rFonts w:ascii="Arial" w:hAnsi="Arial" w:cs="Arial"/>
          <w:lang w:val="en-US"/>
        </w:rPr>
        <w:footnoteReference w:id="1"/>
      </w:r>
      <w:r>
        <w:rPr>
          <w:rFonts w:ascii="Arial" w:hAnsi="Arial" w:cs="Arial"/>
          <w:lang w:val="en-US"/>
        </w:rPr>
        <w:t xml:space="preserve"> Sporadic cases of vaccine-derived disease have also been detected (seven cases between 2008 and 2012), but none since 2012. </w:t>
      </w:r>
    </w:p>
    <w:p w14:paraId="7FABF65F" w14:textId="79B41CD4" w:rsidR="00B760C4" w:rsidRDefault="00B760C4" w:rsidP="00B760C4">
      <w:pPr>
        <w:rPr>
          <w:rFonts w:ascii="Arial" w:hAnsi="Arial" w:cs="Arial"/>
          <w:lang w:val="en-US"/>
        </w:rPr>
      </w:pPr>
      <w:r>
        <w:rPr>
          <w:rFonts w:ascii="Arial" w:hAnsi="Arial" w:cs="Arial"/>
          <w:lang w:val="en-US"/>
        </w:rPr>
        <w:t>However, because of its location in the “WPV importation belt” in Africa and its proximity to Somalia, which has large numbers of children not immunized against polio, Ethiopia is still classified by WHO as “vulnerable to international spread” of WPV</w:t>
      </w:r>
      <w:r w:rsidR="00153320">
        <w:rPr>
          <w:rFonts w:ascii="Arial" w:hAnsi="Arial" w:cs="Arial"/>
          <w:lang w:val="en-US"/>
        </w:rPr>
        <w:t>.</w:t>
      </w:r>
      <w:r w:rsidR="00153320">
        <w:rPr>
          <w:rStyle w:val="FootnoteReference"/>
          <w:rFonts w:ascii="Arial" w:hAnsi="Arial" w:cs="Arial"/>
          <w:lang w:val="en-US"/>
        </w:rPr>
        <w:footnoteReference w:id="2"/>
      </w:r>
      <w:r>
        <w:rPr>
          <w:rFonts w:ascii="Arial" w:hAnsi="Arial" w:cs="Arial"/>
          <w:lang w:val="en-US"/>
        </w:rPr>
        <w:t xml:space="preserve"> </w:t>
      </w:r>
    </w:p>
    <w:p w14:paraId="09BB41EE" w14:textId="77777777" w:rsidR="0074708B" w:rsidRDefault="00B760C4" w:rsidP="00B760C4">
      <w:pPr>
        <w:rPr>
          <w:rFonts w:ascii="Arial" w:hAnsi="Arial" w:cs="Arial"/>
          <w:lang w:val="en-US"/>
        </w:rPr>
      </w:pPr>
      <w:r>
        <w:rPr>
          <w:rFonts w:ascii="Arial" w:hAnsi="Arial" w:cs="Arial"/>
          <w:lang w:val="en-US"/>
        </w:rPr>
        <w:t>In response to the 2013/14 outbreak, the country has conducted a series of national and sub-national immunization days – with 12 rounds of SNIDs and three NIDs alon</w:t>
      </w:r>
      <w:r w:rsidR="00153320">
        <w:rPr>
          <w:rFonts w:ascii="Arial" w:hAnsi="Arial" w:cs="Arial"/>
          <w:lang w:val="en-US"/>
        </w:rPr>
        <w:t>e</w:t>
      </w:r>
      <w:r>
        <w:rPr>
          <w:rFonts w:ascii="Arial" w:hAnsi="Arial" w:cs="Arial"/>
          <w:lang w:val="en-US"/>
        </w:rPr>
        <w:t xml:space="preserve"> in 2013/14. Another NID took place in 2015 and SNIDs</w:t>
      </w:r>
      <w:r w:rsidR="008E352E">
        <w:rPr>
          <w:rFonts w:ascii="Arial" w:hAnsi="Arial" w:cs="Arial"/>
          <w:lang w:val="en-US"/>
        </w:rPr>
        <w:t xml:space="preserve"> in high-risk areas are continuing into 2016. These campaigns – often combined with measles vaccination – receive substantial financial and technical assistance from international partners, and </w:t>
      </w:r>
      <w:r w:rsidR="0074708B">
        <w:rPr>
          <w:rFonts w:ascii="Arial" w:hAnsi="Arial" w:cs="Arial"/>
          <w:lang w:val="en-US"/>
        </w:rPr>
        <w:t xml:space="preserve">according to independent monitoring data, have achieved high coverage (&gt;90% in most areas). </w:t>
      </w:r>
    </w:p>
    <w:p w14:paraId="5658C698" w14:textId="315A58A0" w:rsidR="00B760C4" w:rsidRDefault="0074708B" w:rsidP="00B760C4">
      <w:pPr>
        <w:rPr>
          <w:rFonts w:ascii="Arial" w:hAnsi="Arial" w:cs="Arial"/>
          <w:lang w:val="en-US"/>
        </w:rPr>
      </w:pPr>
      <w:r>
        <w:rPr>
          <w:rFonts w:ascii="Arial" w:hAnsi="Arial" w:cs="Arial"/>
          <w:lang w:val="en-US"/>
        </w:rPr>
        <w:t>A</w:t>
      </w:r>
      <w:r w:rsidR="008E352E">
        <w:rPr>
          <w:rFonts w:ascii="Arial" w:hAnsi="Arial" w:cs="Arial"/>
          <w:lang w:val="en-US"/>
        </w:rPr>
        <w:t xml:space="preserve">long with improvements to the routine immunization program in recent years, the polio SIAs have led to a jump in coverage of three doses of polio vaccine from 70% in 2011 to 85% in 2015 (WUENIC estimates). The country has also set up 28 permanent vaccination points at border crossing with Somalia and major transit points. </w:t>
      </w:r>
      <w:r w:rsidR="00153320">
        <w:rPr>
          <w:rFonts w:ascii="Arial" w:hAnsi="Arial" w:cs="Arial"/>
          <w:lang w:val="en-US"/>
        </w:rPr>
        <w:t xml:space="preserve">In addition, </w:t>
      </w:r>
      <w:r w:rsidR="008E352E">
        <w:rPr>
          <w:rFonts w:ascii="Arial" w:hAnsi="Arial" w:cs="Arial"/>
          <w:lang w:val="en-US"/>
        </w:rPr>
        <w:t xml:space="preserve">IPV </w:t>
      </w:r>
      <w:r w:rsidR="00153320">
        <w:rPr>
          <w:rFonts w:ascii="Arial" w:hAnsi="Arial" w:cs="Arial"/>
          <w:lang w:val="en-US"/>
        </w:rPr>
        <w:t>was introduced into the routine immunization (</w:t>
      </w:r>
      <w:r w:rsidR="008E352E">
        <w:rPr>
          <w:rFonts w:ascii="Arial" w:hAnsi="Arial" w:cs="Arial"/>
          <w:lang w:val="en-US"/>
        </w:rPr>
        <w:t>for the third polio vaccine dose</w:t>
      </w:r>
      <w:r w:rsidR="00153320">
        <w:rPr>
          <w:rFonts w:ascii="Arial" w:hAnsi="Arial" w:cs="Arial"/>
          <w:lang w:val="en-US"/>
        </w:rPr>
        <w:t>)</w:t>
      </w:r>
      <w:r w:rsidR="008E352E">
        <w:rPr>
          <w:rFonts w:ascii="Arial" w:hAnsi="Arial" w:cs="Arial"/>
          <w:lang w:val="en-US"/>
        </w:rPr>
        <w:t xml:space="preserve"> in 2015. Ethiopia plans to present its dossier for polio eradication in 2017, in anticipation of being declared polio-free in 2018.</w:t>
      </w:r>
    </w:p>
    <w:p w14:paraId="00F7B83C" w14:textId="3E63AD6F" w:rsidR="008E352E" w:rsidRDefault="008E352E" w:rsidP="00B760C4">
      <w:pPr>
        <w:rPr>
          <w:rFonts w:ascii="Arial" w:hAnsi="Arial" w:cs="Arial"/>
          <w:lang w:val="en-US"/>
        </w:rPr>
      </w:pPr>
      <w:r>
        <w:rPr>
          <w:rFonts w:ascii="Arial" w:hAnsi="Arial" w:cs="Arial"/>
          <w:lang w:val="en-US"/>
        </w:rPr>
        <w:t>Besides vaccination, the country’s primary means of preventing polio transmission is through strong AFP and polio surveillance</w:t>
      </w:r>
      <w:r w:rsidR="00153320">
        <w:rPr>
          <w:rFonts w:ascii="Arial" w:hAnsi="Arial" w:cs="Arial"/>
          <w:lang w:val="en-US"/>
        </w:rPr>
        <w:t xml:space="preserve">. </w:t>
      </w:r>
      <w:r>
        <w:rPr>
          <w:rFonts w:ascii="Arial" w:hAnsi="Arial" w:cs="Arial"/>
          <w:lang w:val="en-US"/>
        </w:rPr>
        <w:t xml:space="preserve">Ethiopia is considered to have a good polio surveillance infrastructure in place, due to a high commitment to and ownership of disease surveillance by the Government, led by the Public Health Emergency Management division of the Ethiopian Public Health Institute. Unlike for the immunization program, there </w:t>
      </w:r>
      <w:proofErr w:type="gramStart"/>
      <w:r>
        <w:rPr>
          <w:rFonts w:ascii="Arial" w:hAnsi="Arial" w:cs="Arial"/>
          <w:lang w:val="en-US"/>
        </w:rPr>
        <w:t>are</w:t>
      </w:r>
      <w:proofErr w:type="gramEnd"/>
      <w:r>
        <w:rPr>
          <w:rFonts w:ascii="Arial" w:hAnsi="Arial" w:cs="Arial"/>
          <w:lang w:val="en-US"/>
        </w:rPr>
        <w:t xml:space="preserve"> dedicated disease surveillance focal points in place at all levels (regional, zonal, district)</w:t>
      </w:r>
      <w:r w:rsidR="00153320">
        <w:rPr>
          <w:rFonts w:ascii="Arial" w:hAnsi="Arial" w:cs="Arial"/>
          <w:lang w:val="en-US"/>
        </w:rPr>
        <w:t>. P</w:t>
      </w:r>
      <w:r w:rsidR="007368DB">
        <w:rPr>
          <w:rFonts w:ascii="Arial" w:hAnsi="Arial" w:cs="Arial"/>
          <w:lang w:val="en-US"/>
        </w:rPr>
        <w:t xml:space="preserve">rivate health providers, including some traditional healers, participate in disease </w:t>
      </w:r>
      <w:r w:rsidR="00153320">
        <w:rPr>
          <w:rFonts w:ascii="Arial" w:hAnsi="Arial" w:cs="Arial"/>
          <w:lang w:val="en-US"/>
        </w:rPr>
        <w:t>reporting in most regions</w:t>
      </w:r>
      <w:r w:rsidR="007368DB">
        <w:rPr>
          <w:rFonts w:ascii="Arial" w:hAnsi="Arial" w:cs="Arial"/>
          <w:lang w:val="en-US"/>
        </w:rPr>
        <w:t>.</w:t>
      </w:r>
      <w:r w:rsidR="00153320">
        <w:rPr>
          <w:rStyle w:val="FootnoteReference"/>
          <w:rFonts w:ascii="Arial" w:hAnsi="Arial" w:cs="Arial"/>
          <w:lang w:val="en-US"/>
        </w:rPr>
        <w:footnoteReference w:id="3"/>
      </w:r>
      <w:r w:rsidR="007368DB">
        <w:rPr>
          <w:rFonts w:ascii="Arial" w:hAnsi="Arial" w:cs="Arial"/>
          <w:lang w:val="en-US"/>
        </w:rPr>
        <w:t xml:space="preserve"> Community-based surveillance –</w:t>
      </w:r>
      <w:r w:rsidR="0074708B">
        <w:rPr>
          <w:rFonts w:ascii="Arial" w:hAnsi="Arial" w:cs="Arial"/>
          <w:lang w:val="en-US"/>
        </w:rPr>
        <w:t xml:space="preserve"> </w:t>
      </w:r>
      <w:r w:rsidR="007368DB">
        <w:rPr>
          <w:rFonts w:ascii="Arial" w:hAnsi="Arial" w:cs="Arial"/>
          <w:lang w:val="en-US"/>
        </w:rPr>
        <w:t xml:space="preserve">using HEWS and HDA volunteers – has also been implemented in most regions, most intensively in five regions with the support of 12 local NGOs. In one year (from 2014 to 2015), the percent of AFP cases notified by community volunteers in these five regions </w:t>
      </w:r>
      <w:r w:rsidR="0074708B">
        <w:rPr>
          <w:rFonts w:ascii="Arial" w:hAnsi="Arial" w:cs="Arial"/>
          <w:lang w:val="en-US"/>
        </w:rPr>
        <w:t xml:space="preserve">tripled </w:t>
      </w:r>
      <w:r w:rsidR="007368DB">
        <w:rPr>
          <w:rFonts w:ascii="Arial" w:hAnsi="Arial" w:cs="Arial"/>
          <w:lang w:val="en-US"/>
        </w:rPr>
        <w:t>– from 5% of all noti</w:t>
      </w:r>
      <w:r w:rsidR="00153320">
        <w:rPr>
          <w:rFonts w:ascii="Arial" w:hAnsi="Arial" w:cs="Arial"/>
          <w:lang w:val="en-US"/>
        </w:rPr>
        <w:t>fied cases to 15%</w:t>
      </w:r>
      <w:r w:rsidR="007368DB">
        <w:rPr>
          <w:rFonts w:ascii="Arial" w:hAnsi="Arial" w:cs="Arial"/>
          <w:lang w:val="en-US"/>
        </w:rPr>
        <w:t>.</w:t>
      </w:r>
      <w:r w:rsidR="00153320">
        <w:rPr>
          <w:rStyle w:val="FootnoteReference"/>
          <w:rFonts w:ascii="Arial" w:hAnsi="Arial" w:cs="Arial"/>
          <w:lang w:val="en-US"/>
        </w:rPr>
        <w:footnoteReference w:id="4"/>
      </w:r>
    </w:p>
    <w:p w14:paraId="635113FB" w14:textId="2C4B8F75" w:rsidR="007368DB" w:rsidRDefault="007368DB" w:rsidP="00B760C4">
      <w:pPr>
        <w:rPr>
          <w:rFonts w:ascii="Arial" w:hAnsi="Arial" w:cs="Arial"/>
          <w:lang w:val="en-US"/>
        </w:rPr>
      </w:pPr>
      <w:r>
        <w:rPr>
          <w:rFonts w:ascii="Arial" w:hAnsi="Arial" w:cs="Arial"/>
          <w:lang w:val="en-US"/>
        </w:rPr>
        <w:t>An external review of the surveillance system conducted in 2015 found that more than 80% of AFP cases were validated, surveillance focal points conducted active surveillance of health facilities and submit</w:t>
      </w:r>
      <w:r w:rsidR="0074708B">
        <w:rPr>
          <w:rFonts w:ascii="Arial" w:hAnsi="Arial" w:cs="Arial"/>
          <w:lang w:val="en-US"/>
        </w:rPr>
        <w:t>ted</w:t>
      </w:r>
      <w:r>
        <w:rPr>
          <w:rFonts w:ascii="Arial" w:hAnsi="Arial" w:cs="Arial"/>
          <w:lang w:val="en-US"/>
        </w:rPr>
        <w:t xml:space="preserve"> weekly reports (compiled into a national weekly bulletin shared with stakeholders), and the quality of case investigations was strong. However, there remain a number of gaps in the country’s </w:t>
      </w:r>
      <w:r w:rsidR="0074708B">
        <w:rPr>
          <w:rFonts w:ascii="Arial" w:hAnsi="Arial" w:cs="Arial"/>
          <w:lang w:val="en-US"/>
        </w:rPr>
        <w:t>AFP/</w:t>
      </w:r>
      <w:r>
        <w:rPr>
          <w:rFonts w:ascii="Arial" w:hAnsi="Arial" w:cs="Arial"/>
          <w:lang w:val="en-US"/>
        </w:rPr>
        <w:t xml:space="preserve">polio surveillance system, which need to be addressed to reduce the risk of transmission from imported cases and </w:t>
      </w:r>
      <w:r w:rsidR="0074708B">
        <w:rPr>
          <w:rFonts w:ascii="Arial" w:hAnsi="Arial" w:cs="Arial"/>
          <w:lang w:val="en-US"/>
        </w:rPr>
        <w:t xml:space="preserve">to </w:t>
      </w:r>
      <w:r>
        <w:rPr>
          <w:rFonts w:ascii="Arial" w:hAnsi="Arial" w:cs="Arial"/>
          <w:lang w:val="en-US"/>
        </w:rPr>
        <w:t>achieve polio-free status by 2018. The quality of active surveillance was found in the external review to be inadequate in all regi</w:t>
      </w:r>
      <w:r w:rsidR="004E7450">
        <w:rPr>
          <w:rFonts w:ascii="Arial" w:hAnsi="Arial" w:cs="Arial"/>
          <w:lang w:val="en-US"/>
        </w:rPr>
        <w:t>ons, due to high staff turnover and</w:t>
      </w:r>
      <w:r>
        <w:rPr>
          <w:rFonts w:ascii="Arial" w:hAnsi="Arial" w:cs="Arial"/>
          <w:lang w:val="en-US"/>
        </w:rPr>
        <w:t xml:space="preserve"> limited transportation and resou</w:t>
      </w:r>
      <w:r w:rsidR="004E7450">
        <w:rPr>
          <w:rFonts w:ascii="Arial" w:hAnsi="Arial" w:cs="Arial"/>
          <w:lang w:val="en-US"/>
        </w:rPr>
        <w:t>rces for surveillance</w:t>
      </w:r>
      <w:r>
        <w:rPr>
          <w:rFonts w:ascii="Arial" w:hAnsi="Arial" w:cs="Arial"/>
          <w:lang w:val="en-US"/>
        </w:rPr>
        <w:t xml:space="preserve">. Some AFP cases were consequently unreported in three regions. </w:t>
      </w:r>
      <w:r w:rsidR="004E7450">
        <w:rPr>
          <w:rFonts w:ascii="Arial" w:hAnsi="Arial" w:cs="Arial"/>
          <w:lang w:val="en-US"/>
        </w:rPr>
        <w:t xml:space="preserve">In addition, </w:t>
      </w:r>
      <w:r>
        <w:rPr>
          <w:rFonts w:ascii="Arial" w:hAnsi="Arial" w:cs="Arial"/>
          <w:lang w:val="en-US"/>
        </w:rPr>
        <w:t>community-based surveillance is still being developed in many regions, which is further complicate</w:t>
      </w:r>
      <w:r w:rsidR="004E7450">
        <w:rPr>
          <w:rFonts w:ascii="Arial" w:hAnsi="Arial" w:cs="Arial"/>
          <w:lang w:val="en-US"/>
        </w:rPr>
        <w:t xml:space="preserve">d by the seasonal movement of people in some regions.  </w:t>
      </w:r>
    </w:p>
    <w:p w14:paraId="58D91CC2" w14:textId="0DCB3CDF" w:rsidR="00914A96" w:rsidRPr="006140E6" w:rsidRDefault="00914A96" w:rsidP="008462BE">
      <w:pPr>
        <w:pStyle w:val="ListParagraph"/>
        <w:numPr>
          <w:ilvl w:val="1"/>
          <w:numId w:val="18"/>
        </w:numPr>
        <w:contextualSpacing w:val="0"/>
        <w:rPr>
          <w:rFonts w:ascii="Arial" w:hAnsi="Arial" w:cs="Arial"/>
          <w:lang w:val="en-US"/>
        </w:rPr>
        <w:sectPr w:rsidR="00914A96" w:rsidRPr="006140E6" w:rsidSect="00914A96">
          <w:footerReference w:type="default" r:id="rId9"/>
          <w:pgSz w:w="11906" w:h="16838"/>
          <w:pgMar w:top="1440" w:right="1440" w:bottom="1440" w:left="1440" w:header="709" w:footer="709" w:gutter="0"/>
          <w:cols w:space="708"/>
          <w:docGrid w:linePitch="360"/>
        </w:sectPr>
      </w:pPr>
    </w:p>
    <w:p w14:paraId="5C334335" w14:textId="77777777" w:rsidR="00D27284" w:rsidRPr="006140E6" w:rsidRDefault="00D27284" w:rsidP="00D27284">
      <w:pPr>
        <w:rPr>
          <w:rFonts w:ascii="Arial" w:hAnsi="Arial" w:cs="Arial"/>
          <w:b/>
          <w:sz w:val="24"/>
          <w:lang w:val="en-US"/>
        </w:rPr>
      </w:pPr>
      <w:r w:rsidRPr="006140E6">
        <w:rPr>
          <w:rFonts w:ascii="Arial" w:hAnsi="Arial" w:cs="Arial"/>
          <w:b/>
          <w:sz w:val="24"/>
          <w:lang w:val="en-US"/>
        </w:rPr>
        <w:lastRenderedPageBreak/>
        <w:t>ANNEXES</w:t>
      </w:r>
    </w:p>
    <w:p w14:paraId="7DD63D9C" w14:textId="77777777" w:rsidR="00D27284" w:rsidRPr="006140E6" w:rsidRDefault="00D27284" w:rsidP="00D27284">
      <w:pPr>
        <w:pStyle w:val="ListParagraph"/>
        <w:numPr>
          <w:ilvl w:val="0"/>
          <w:numId w:val="22"/>
        </w:numPr>
        <w:rPr>
          <w:b/>
          <w:bCs/>
          <w:sz w:val="24"/>
          <w:szCs w:val="24"/>
          <w:lang w:val="en-US"/>
        </w:rPr>
      </w:pPr>
      <w:r w:rsidRPr="006140E6">
        <w:rPr>
          <w:b/>
          <w:bCs/>
          <w:sz w:val="24"/>
          <w:szCs w:val="24"/>
          <w:lang w:val="en-US"/>
        </w:rPr>
        <w:t>Polio</w:t>
      </w:r>
    </w:p>
    <w:p w14:paraId="1F069737" w14:textId="72867750" w:rsidR="00D27284" w:rsidRPr="006140E6" w:rsidRDefault="00D27284" w:rsidP="00D27284">
      <w:pPr>
        <w:pStyle w:val="ListParagraph"/>
        <w:numPr>
          <w:ilvl w:val="0"/>
          <w:numId w:val="24"/>
        </w:numPr>
        <w:rPr>
          <w:b/>
          <w:bCs/>
          <w:sz w:val="24"/>
          <w:szCs w:val="24"/>
          <w:lang w:val="en-US"/>
        </w:rPr>
      </w:pPr>
      <w:r w:rsidRPr="006140E6">
        <w:rPr>
          <w:b/>
          <w:bCs/>
          <w:sz w:val="24"/>
          <w:szCs w:val="24"/>
          <w:lang w:val="en-US"/>
        </w:rPr>
        <w:t xml:space="preserve">Transmission stopped in </w:t>
      </w:r>
      <w:r w:rsidRPr="003707DB">
        <w:rPr>
          <w:b/>
          <w:bCs/>
          <w:sz w:val="24"/>
          <w:szCs w:val="24"/>
          <w:lang w:val="en-US"/>
        </w:rPr>
        <w:t xml:space="preserve">year </w:t>
      </w:r>
      <w:r w:rsidR="00CA5738" w:rsidRPr="003707DB">
        <w:rPr>
          <w:b/>
          <w:bCs/>
          <w:sz w:val="24"/>
          <w:szCs w:val="24"/>
          <w:lang w:val="en-US"/>
        </w:rPr>
        <w:t>2001 (imported cases in 2013 and 2015)</w:t>
      </w:r>
      <w:r w:rsidRPr="003707DB">
        <w:rPr>
          <w:b/>
          <w:bCs/>
          <w:sz w:val="24"/>
          <w:szCs w:val="24"/>
          <w:lang w:val="en-US"/>
        </w:rPr>
        <w:t>.</w:t>
      </w:r>
    </w:p>
    <w:p w14:paraId="70D9AE28" w14:textId="678D2E2D" w:rsidR="00D27284" w:rsidRPr="008462BE" w:rsidRDefault="00D27284" w:rsidP="008462BE">
      <w:pPr>
        <w:pStyle w:val="ListParagraph"/>
        <w:numPr>
          <w:ilvl w:val="0"/>
          <w:numId w:val="24"/>
        </w:numPr>
        <w:rPr>
          <w:b/>
          <w:bCs/>
          <w:sz w:val="24"/>
          <w:szCs w:val="24"/>
          <w:lang w:val="en-US"/>
        </w:rPr>
      </w:pPr>
      <w:r w:rsidRPr="006140E6">
        <w:rPr>
          <w:b/>
          <w:bCs/>
          <w:sz w:val="24"/>
          <w:szCs w:val="24"/>
          <w:lang w:val="en-US"/>
        </w:rPr>
        <w:t>Eradication certified</w:t>
      </w:r>
      <w:r w:rsidR="005C1966">
        <w:rPr>
          <w:b/>
          <w:bCs/>
          <w:sz w:val="24"/>
          <w:szCs w:val="24"/>
          <w:lang w:val="en-US"/>
        </w:rPr>
        <w:t>: not yet</w:t>
      </w:r>
      <w:r w:rsidR="00CA5738">
        <w:rPr>
          <w:b/>
          <w:bCs/>
          <w:sz w:val="24"/>
          <w:szCs w:val="24"/>
          <w:lang w:val="en-US"/>
        </w:rPr>
        <w:t xml:space="preserve"> (planned for 2018)</w:t>
      </w:r>
      <w:r w:rsidR="00061C69">
        <w:rPr>
          <w:b/>
          <w:bCs/>
          <w:sz w:val="24"/>
          <w:szCs w:val="24"/>
          <w:lang w:val="en-US"/>
        </w:rPr>
        <w:t>.</w:t>
      </w:r>
    </w:p>
    <w:p w14:paraId="21FD6AAB" w14:textId="582CCA47" w:rsidR="00E35B5F" w:rsidRPr="00651A7C" w:rsidRDefault="001A55DB" w:rsidP="001A55DB">
      <w:pPr>
        <w:pStyle w:val="Caption"/>
        <w:rPr>
          <w:rFonts w:ascii="Arial" w:hAnsi="Arial" w:cs="Arial"/>
          <w:color w:val="auto"/>
          <w:sz w:val="22"/>
        </w:rPr>
      </w:pPr>
      <w:r w:rsidRPr="00651A7C">
        <w:rPr>
          <w:rFonts w:ascii="Arial" w:hAnsi="Arial" w:cs="Arial"/>
          <w:color w:val="auto"/>
          <w:sz w:val="22"/>
        </w:rPr>
        <w:t xml:space="preserve">Table </w:t>
      </w:r>
      <w:r w:rsidRPr="00651A7C">
        <w:rPr>
          <w:rFonts w:ascii="Arial" w:hAnsi="Arial" w:cs="Arial"/>
          <w:color w:val="auto"/>
          <w:sz w:val="22"/>
        </w:rPr>
        <w:fldChar w:fldCharType="begin"/>
      </w:r>
      <w:r w:rsidRPr="00651A7C">
        <w:rPr>
          <w:rFonts w:ascii="Arial" w:hAnsi="Arial" w:cs="Arial"/>
          <w:color w:val="auto"/>
          <w:sz w:val="22"/>
        </w:rPr>
        <w:instrText xml:space="preserve"> SEQ Table \* ARABIC </w:instrText>
      </w:r>
      <w:r w:rsidRPr="00651A7C">
        <w:rPr>
          <w:rFonts w:ascii="Arial" w:hAnsi="Arial" w:cs="Arial"/>
          <w:color w:val="auto"/>
          <w:sz w:val="22"/>
        </w:rPr>
        <w:fldChar w:fldCharType="separate"/>
      </w:r>
      <w:r w:rsidRPr="00651A7C">
        <w:rPr>
          <w:rFonts w:ascii="Arial" w:hAnsi="Arial" w:cs="Arial"/>
          <w:color w:val="auto"/>
          <w:sz w:val="22"/>
        </w:rPr>
        <w:t>1</w:t>
      </w:r>
      <w:r w:rsidRPr="00651A7C">
        <w:rPr>
          <w:rFonts w:ascii="Arial" w:hAnsi="Arial" w:cs="Arial"/>
          <w:color w:val="auto"/>
          <w:sz w:val="22"/>
        </w:rPr>
        <w:fldChar w:fldCharType="end"/>
      </w:r>
      <w:r w:rsidRPr="00651A7C">
        <w:rPr>
          <w:rFonts w:ascii="Arial" w:hAnsi="Arial" w:cs="Arial"/>
          <w:color w:val="auto"/>
          <w:sz w:val="22"/>
        </w:rPr>
        <w:t>:</w:t>
      </w:r>
      <w:r w:rsidR="00D27284" w:rsidRPr="00651A7C">
        <w:rPr>
          <w:rFonts w:ascii="Arial" w:hAnsi="Arial" w:cs="Arial"/>
          <w:color w:val="auto"/>
          <w:sz w:val="22"/>
        </w:rPr>
        <w:t xml:space="preserve"> SIA activities planned in 2016-2017</w:t>
      </w:r>
    </w:p>
    <w:tbl>
      <w:tblPr>
        <w:tblStyle w:val="TableGrid"/>
        <w:tblW w:w="9720" w:type="dxa"/>
        <w:tblInd w:w="-342" w:type="dxa"/>
        <w:tblLook w:val="04A0" w:firstRow="1" w:lastRow="0" w:firstColumn="1" w:lastColumn="0" w:noHBand="0" w:noVBand="1"/>
      </w:tblPr>
      <w:tblGrid>
        <w:gridCol w:w="1127"/>
        <w:gridCol w:w="1358"/>
        <w:gridCol w:w="756"/>
        <w:gridCol w:w="1278"/>
        <w:gridCol w:w="1278"/>
        <w:gridCol w:w="1070"/>
        <w:gridCol w:w="976"/>
        <w:gridCol w:w="944"/>
        <w:gridCol w:w="1218"/>
      </w:tblGrid>
      <w:tr w:rsidR="00E35B5F" w:rsidRPr="00E1542F" w14:paraId="79E26435" w14:textId="77777777" w:rsidTr="00E1542F">
        <w:trPr>
          <w:trHeight w:val="255"/>
        </w:trPr>
        <w:tc>
          <w:tcPr>
            <w:tcW w:w="1127" w:type="dxa"/>
            <w:noWrap/>
            <w:hideMark/>
          </w:tcPr>
          <w:p w14:paraId="7D33C7D9" w14:textId="77777777" w:rsidR="00E35B5F" w:rsidRPr="00E1542F" w:rsidRDefault="00E35B5F" w:rsidP="00E1542F">
            <w:pPr>
              <w:jc w:val="center"/>
              <w:rPr>
                <w:b/>
                <w:lang w:val="en-US"/>
              </w:rPr>
            </w:pPr>
            <w:r w:rsidRPr="00E1542F">
              <w:rPr>
                <w:b/>
                <w:lang w:val="en-US"/>
              </w:rPr>
              <w:t>Activity</w:t>
            </w:r>
          </w:p>
        </w:tc>
        <w:tc>
          <w:tcPr>
            <w:tcW w:w="1267" w:type="dxa"/>
            <w:noWrap/>
            <w:hideMark/>
          </w:tcPr>
          <w:p w14:paraId="4686D295" w14:textId="77777777" w:rsidR="00E35B5F" w:rsidRPr="00E1542F" w:rsidRDefault="00E35B5F" w:rsidP="00E1542F">
            <w:pPr>
              <w:jc w:val="center"/>
              <w:rPr>
                <w:b/>
                <w:lang w:val="en-US"/>
              </w:rPr>
            </w:pPr>
            <w:r w:rsidRPr="00E1542F">
              <w:rPr>
                <w:b/>
                <w:lang w:val="en-US"/>
              </w:rPr>
              <w:t>Intervention</w:t>
            </w:r>
          </w:p>
        </w:tc>
        <w:tc>
          <w:tcPr>
            <w:tcW w:w="756" w:type="dxa"/>
            <w:noWrap/>
            <w:hideMark/>
          </w:tcPr>
          <w:p w14:paraId="3D49769F" w14:textId="77777777" w:rsidR="00E35B5F" w:rsidRPr="00E1542F" w:rsidRDefault="00E35B5F" w:rsidP="00E1542F">
            <w:pPr>
              <w:jc w:val="center"/>
              <w:rPr>
                <w:b/>
                <w:lang w:val="en-US"/>
              </w:rPr>
            </w:pPr>
            <w:r w:rsidRPr="00E1542F">
              <w:rPr>
                <w:b/>
                <w:lang w:val="en-US"/>
              </w:rPr>
              <w:t>Year</w:t>
            </w:r>
          </w:p>
        </w:tc>
        <w:tc>
          <w:tcPr>
            <w:tcW w:w="1220" w:type="dxa"/>
            <w:noWrap/>
            <w:hideMark/>
          </w:tcPr>
          <w:p w14:paraId="46587918" w14:textId="474BCBF3" w:rsidR="00E35B5F" w:rsidRPr="00E1542F" w:rsidRDefault="00E35B5F" w:rsidP="00E1542F">
            <w:pPr>
              <w:jc w:val="center"/>
              <w:rPr>
                <w:b/>
                <w:lang w:val="en-US"/>
              </w:rPr>
            </w:pPr>
            <w:r w:rsidRPr="00E1542F">
              <w:rPr>
                <w:b/>
                <w:lang w:val="en-US"/>
              </w:rPr>
              <w:t>Start</w:t>
            </w:r>
            <w:r w:rsidR="00E1542F" w:rsidRPr="00E1542F">
              <w:rPr>
                <w:b/>
                <w:lang w:val="en-US"/>
              </w:rPr>
              <w:t xml:space="preserve"> </w:t>
            </w:r>
            <w:r w:rsidRPr="00E1542F">
              <w:rPr>
                <w:b/>
                <w:lang w:val="en-US"/>
              </w:rPr>
              <w:t>Date</w:t>
            </w:r>
          </w:p>
        </w:tc>
        <w:tc>
          <w:tcPr>
            <w:tcW w:w="1220" w:type="dxa"/>
            <w:noWrap/>
            <w:hideMark/>
          </w:tcPr>
          <w:p w14:paraId="4B2A648F" w14:textId="41DBF7F4" w:rsidR="00E35B5F" w:rsidRPr="00E1542F" w:rsidRDefault="00E35B5F" w:rsidP="00E1542F">
            <w:pPr>
              <w:jc w:val="center"/>
              <w:rPr>
                <w:b/>
                <w:lang w:val="en-US"/>
              </w:rPr>
            </w:pPr>
            <w:r w:rsidRPr="00E1542F">
              <w:rPr>
                <w:b/>
                <w:lang w:val="en-US"/>
              </w:rPr>
              <w:t>End</w:t>
            </w:r>
            <w:r w:rsidR="00E1542F" w:rsidRPr="00E1542F">
              <w:rPr>
                <w:b/>
                <w:lang w:val="en-US"/>
              </w:rPr>
              <w:t xml:space="preserve"> </w:t>
            </w:r>
            <w:r w:rsidRPr="00E1542F">
              <w:rPr>
                <w:b/>
                <w:lang w:val="en-US"/>
              </w:rPr>
              <w:t>Date</w:t>
            </w:r>
          </w:p>
        </w:tc>
        <w:tc>
          <w:tcPr>
            <w:tcW w:w="1070" w:type="dxa"/>
            <w:noWrap/>
            <w:hideMark/>
          </w:tcPr>
          <w:p w14:paraId="3460AFCC" w14:textId="2EC41AD7" w:rsidR="00E35B5F" w:rsidRPr="00E1542F" w:rsidRDefault="00E35B5F" w:rsidP="00E1542F">
            <w:pPr>
              <w:jc w:val="center"/>
              <w:rPr>
                <w:b/>
                <w:lang w:val="en-US"/>
              </w:rPr>
            </w:pPr>
            <w:r w:rsidRPr="00E1542F">
              <w:rPr>
                <w:b/>
                <w:lang w:val="en-US"/>
              </w:rPr>
              <w:t>Age</w:t>
            </w:r>
            <w:r w:rsidR="00E1542F" w:rsidRPr="00E1542F">
              <w:rPr>
                <w:b/>
                <w:lang w:val="en-US"/>
              </w:rPr>
              <w:t xml:space="preserve"> </w:t>
            </w:r>
            <w:r w:rsidRPr="00E1542F">
              <w:rPr>
                <w:b/>
                <w:lang w:val="en-US"/>
              </w:rPr>
              <w:t>Group</w:t>
            </w:r>
          </w:p>
        </w:tc>
        <w:tc>
          <w:tcPr>
            <w:tcW w:w="960" w:type="dxa"/>
            <w:noWrap/>
            <w:hideMark/>
          </w:tcPr>
          <w:p w14:paraId="7C44E385" w14:textId="77777777" w:rsidR="00E35B5F" w:rsidRPr="00E1542F" w:rsidRDefault="00E35B5F" w:rsidP="00E1542F">
            <w:pPr>
              <w:jc w:val="center"/>
              <w:rPr>
                <w:b/>
                <w:lang w:val="en-US"/>
              </w:rPr>
            </w:pPr>
            <w:r w:rsidRPr="00E1542F">
              <w:rPr>
                <w:b/>
                <w:lang w:val="en-US"/>
              </w:rPr>
              <w:t>Extent</w:t>
            </w:r>
          </w:p>
        </w:tc>
        <w:tc>
          <w:tcPr>
            <w:tcW w:w="904" w:type="dxa"/>
            <w:noWrap/>
            <w:hideMark/>
          </w:tcPr>
          <w:p w14:paraId="79D97147" w14:textId="77777777" w:rsidR="00E35B5F" w:rsidRPr="00E1542F" w:rsidRDefault="00E35B5F" w:rsidP="00E1542F">
            <w:pPr>
              <w:jc w:val="center"/>
              <w:rPr>
                <w:b/>
                <w:lang w:val="en-US"/>
              </w:rPr>
            </w:pPr>
            <w:r w:rsidRPr="00E1542F">
              <w:rPr>
                <w:b/>
                <w:lang w:val="en-US"/>
              </w:rPr>
              <w:t>Status</w:t>
            </w:r>
          </w:p>
        </w:tc>
        <w:tc>
          <w:tcPr>
            <w:tcW w:w="1196" w:type="dxa"/>
            <w:noWrap/>
            <w:hideMark/>
          </w:tcPr>
          <w:p w14:paraId="25DBBCB0" w14:textId="77777777" w:rsidR="00E35B5F" w:rsidRPr="00E1542F" w:rsidRDefault="00E35B5F" w:rsidP="00E1542F">
            <w:pPr>
              <w:jc w:val="center"/>
              <w:rPr>
                <w:b/>
                <w:lang w:val="en-US"/>
              </w:rPr>
            </w:pPr>
            <w:r w:rsidRPr="00E1542F">
              <w:rPr>
                <w:b/>
                <w:lang w:val="en-US"/>
              </w:rPr>
              <w:t>Target</w:t>
            </w:r>
          </w:p>
        </w:tc>
      </w:tr>
      <w:tr w:rsidR="00E35B5F" w:rsidRPr="00E1542F" w14:paraId="37BA479C" w14:textId="77777777" w:rsidTr="00E1542F">
        <w:trPr>
          <w:trHeight w:val="255"/>
        </w:trPr>
        <w:tc>
          <w:tcPr>
            <w:tcW w:w="1127" w:type="dxa"/>
            <w:noWrap/>
            <w:hideMark/>
          </w:tcPr>
          <w:p w14:paraId="7D2B2EE6" w14:textId="77777777" w:rsidR="00E35B5F" w:rsidRPr="00E1542F" w:rsidRDefault="00E35B5F" w:rsidP="00E35B5F">
            <w:pPr>
              <w:rPr>
                <w:lang w:val="en-US"/>
              </w:rPr>
            </w:pPr>
            <w:r w:rsidRPr="00E1542F">
              <w:rPr>
                <w:lang w:val="en-US"/>
              </w:rPr>
              <w:t>ORI</w:t>
            </w:r>
          </w:p>
        </w:tc>
        <w:tc>
          <w:tcPr>
            <w:tcW w:w="1267" w:type="dxa"/>
            <w:noWrap/>
            <w:hideMark/>
          </w:tcPr>
          <w:p w14:paraId="7CB33219" w14:textId="77777777" w:rsidR="00E35B5F" w:rsidRPr="00E1542F" w:rsidRDefault="00E35B5F" w:rsidP="00E35B5F">
            <w:pPr>
              <w:rPr>
                <w:lang w:val="en-US"/>
              </w:rPr>
            </w:pPr>
            <w:r w:rsidRPr="00E1542F">
              <w:rPr>
                <w:lang w:val="en-US"/>
              </w:rPr>
              <w:t>Measles</w:t>
            </w:r>
          </w:p>
        </w:tc>
        <w:tc>
          <w:tcPr>
            <w:tcW w:w="756" w:type="dxa"/>
            <w:noWrap/>
            <w:hideMark/>
          </w:tcPr>
          <w:p w14:paraId="0195F5BA" w14:textId="77777777" w:rsidR="00E35B5F" w:rsidRPr="00E1542F" w:rsidRDefault="00E35B5F" w:rsidP="00E35B5F">
            <w:pPr>
              <w:rPr>
                <w:lang w:val="en-US"/>
              </w:rPr>
            </w:pPr>
            <w:r w:rsidRPr="00E1542F">
              <w:rPr>
                <w:lang w:val="en-US"/>
              </w:rPr>
              <w:t>2016</w:t>
            </w:r>
          </w:p>
        </w:tc>
        <w:tc>
          <w:tcPr>
            <w:tcW w:w="1220" w:type="dxa"/>
            <w:noWrap/>
            <w:hideMark/>
          </w:tcPr>
          <w:p w14:paraId="710091CC" w14:textId="77777777" w:rsidR="00E35B5F" w:rsidRPr="00E1542F" w:rsidRDefault="00E35B5F" w:rsidP="00E35B5F">
            <w:pPr>
              <w:rPr>
                <w:lang w:val="en-US"/>
              </w:rPr>
            </w:pPr>
            <w:r w:rsidRPr="00E1542F">
              <w:rPr>
                <w:lang w:val="en-US"/>
              </w:rPr>
              <w:t>22/04/2016</w:t>
            </w:r>
          </w:p>
        </w:tc>
        <w:tc>
          <w:tcPr>
            <w:tcW w:w="1220" w:type="dxa"/>
            <w:noWrap/>
            <w:hideMark/>
          </w:tcPr>
          <w:p w14:paraId="3DE625EA" w14:textId="77777777" w:rsidR="00E35B5F" w:rsidRPr="00E1542F" w:rsidRDefault="00E35B5F" w:rsidP="00E35B5F">
            <w:pPr>
              <w:rPr>
                <w:lang w:val="en-US"/>
              </w:rPr>
            </w:pPr>
            <w:r w:rsidRPr="00E1542F">
              <w:rPr>
                <w:lang w:val="en-US"/>
              </w:rPr>
              <w:t>28/04/2016</w:t>
            </w:r>
          </w:p>
        </w:tc>
        <w:tc>
          <w:tcPr>
            <w:tcW w:w="1070" w:type="dxa"/>
            <w:noWrap/>
            <w:hideMark/>
          </w:tcPr>
          <w:p w14:paraId="4149491D" w14:textId="1304CB89" w:rsidR="00E35B5F" w:rsidRPr="00E1542F" w:rsidRDefault="00E35B5F" w:rsidP="00E1542F">
            <w:pPr>
              <w:rPr>
                <w:lang w:val="en-US"/>
              </w:rPr>
            </w:pPr>
            <w:r w:rsidRPr="00E1542F">
              <w:rPr>
                <w:lang w:val="en-US"/>
              </w:rPr>
              <w:t xml:space="preserve">6 </w:t>
            </w:r>
            <w:r w:rsidR="00E1542F">
              <w:rPr>
                <w:lang w:val="en-US"/>
              </w:rPr>
              <w:t xml:space="preserve">months to </w:t>
            </w:r>
            <w:r w:rsidRPr="00E1542F">
              <w:rPr>
                <w:lang w:val="en-US"/>
              </w:rPr>
              <w:t xml:space="preserve">&lt;15 </w:t>
            </w:r>
            <w:r w:rsidR="00E1542F">
              <w:rPr>
                <w:lang w:val="en-US"/>
              </w:rPr>
              <w:t>years</w:t>
            </w:r>
          </w:p>
        </w:tc>
        <w:tc>
          <w:tcPr>
            <w:tcW w:w="960" w:type="dxa"/>
            <w:noWrap/>
            <w:hideMark/>
          </w:tcPr>
          <w:p w14:paraId="3386C5D6" w14:textId="77777777" w:rsidR="00E35B5F" w:rsidRPr="00E1542F" w:rsidRDefault="00E35B5F" w:rsidP="00E35B5F">
            <w:pPr>
              <w:rPr>
                <w:lang w:val="en-US"/>
              </w:rPr>
            </w:pPr>
            <w:r w:rsidRPr="00E1542F">
              <w:rPr>
                <w:lang w:val="en-US"/>
              </w:rPr>
              <w:t>Sub-national</w:t>
            </w:r>
          </w:p>
        </w:tc>
        <w:tc>
          <w:tcPr>
            <w:tcW w:w="904" w:type="dxa"/>
            <w:noWrap/>
            <w:hideMark/>
          </w:tcPr>
          <w:p w14:paraId="54607696" w14:textId="77777777" w:rsidR="00E35B5F" w:rsidRPr="00E1542F" w:rsidRDefault="00E35B5F" w:rsidP="00E35B5F">
            <w:pPr>
              <w:rPr>
                <w:lang w:val="en-US"/>
              </w:rPr>
            </w:pPr>
            <w:r w:rsidRPr="00E1542F">
              <w:rPr>
                <w:lang w:val="en-US"/>
              </w:rPr>
              <w:t>done</w:t>
            </w:r>
          </w:p>
        </w:tc>
        <w:tc>
          <w:tcPr>
            <w:tcW w:w="1196" w:type="dxa"/>
            <w:noWrap/>
            <w:hideMark/>
          </w:tcPr>
          <w:p w14:paraId="13B23C26" w14:textId="105D322A" w:rsidR="00E35B5F" w:rsidRPr="00E1542F" w:rsidRDefault="00E35B5F" w:rsidP="00E35B5F">
            <w:pPr>
              <w:rPr>
                <w:lang w:val="en-US"/>
              </w:rPr>
            </w:pPr>
            <w:r w:rsidRPr="00E1542F">
              <w:rPr>
                <w:lang w:val="en-US"/>
              </w:rPr>
              <w:t>25</w:t>
            </w:r>
            <w:r w:rsidR="00E1542F" w:rsidRPr="00E1542F">
              <w:rPr>
                <w:lang w:val="en-US"/>
              </w:rPr>
              <w:t>,</w:t>
            </w:r>
            <w:r w:rsidRPr="00E1542F">
              <w:rPr>
                <w:lang w:val="en-US"/>
              </w:rPr>
              <w:t>894</w:t>
            </w:r>
            <w:r w:rsidR="00E1542F" w:rsidRPr="00E1542F">
              <w:rPr>
                <w:lang w:val="en-US"/>
              </w:rPr>
              <w:t>,</w:t>
            </w:r>
            <w:r w:rsidRPr="00E1542F">
              <w:rPr>
                <w:lang w:val="en-US"/>
              </w:rPr>
              <w:t>518</w:t>
            </w:r>
          </w:p>
        </w:tc>
      </w:tr>
      <w:tr w:rsidR="00E35B5F" w:rsidRPr="00E1542F" w14:paraId="5432F38A" w14:textId="77777777" w:rsidTr="00E1542F">
        <w:trPr>
          <w:trHeight w:val="255"/>
        </w:trPr>
        <w:tc>
          <w:tcPr>
            <w:tcW w:w="1127" w:type="dxa"/>
            <w:noWrap/>
            <w:hideMark/>
          </w:tcPr>
          <w:p w14:paraId="005A024B" w14:textId="77777777" w:rsidR="00E35B5F" w:rsidRPr="00E1542F" w:rsidRDefault="00E35B5F" w:rsidP="00E35B5F">
            <w:pPr>
              <w:rPr>
                <w:lang w:val="en-US"/>
              </w:rPr>
            </w:pPr>
            <w:r w:rsidRPr="00E1542F">
              <w:rPr>
                <w:lang w:val="en-US"/>
              </w:rPr>
              <w:t>SNID</w:t>
            </w:r>
          </w:p>
        </w:tc>
        <w:tc>
          <w:tcPr>
            <w:tcW w:w="1267" w:type="dxa"/>
            <w:noWrap/>
            <w:hideMark/>
          </w:tcPr>
          <w:p w14:paraId="1816A9D3" w14:textId="77777777" w:rsidR="00E35B5F" w:rsidRPr="00E1542F" w:rsidRDefault="00E35B5F" w:rsidP="00E35B5F">
            <w:pPr>
              <w:rPr>
                <w:lang w:val="en-US"/>
              </w:rPr>
            </w:pPr>
            <w:proofErr w:type="spellStart"/>
            <w:r w:rsidRPr="00E1542F">
              <w:rPr>
                <w:lang w:val="en-US"/>
              </w:rPr>
              <w:t>tOPV</w:t>
            </w:r>
            <w:proofErr w:type="spellEnd"/>
          </w:p>
        </w:tc>
        <w:tc>
          <w:tcPr>
            <w:tcW w:w="756" w:type="dxa"/>
            <w:noWrap/>
            <w:hideMark/>
          </w:tcPr>
          <w:p w14:paraId="387DCE6F" w14:textId="77777777" w:rsidR="00E35B5F" w:rsidRPr="00E1542F" w:rsidRDefault="00E35B5F" w:rsidP="00E35B5F">
            <w:pPr>
              <w:rPr>
                <w:lang w:val="en-US"/>
              </w:rPr>
            </w:pPr>
            <w:r w:rsidRPr="00E1542F">
              <w:rPr>
                <w:lang w:val="en-US"/>
              </w:rPr>
              <w:t>2016</w:t>
            </w:r>
          </w:p>
        </w:tc>
        <w:tc>
          <w:tcPr>
            <w:tcW w:w="1220" w:type="dxa"/>
            <w:noWrap/>
            <w:hideMark/>
          </w:tcPr>
          <w:p w14:paraId="4D6544CF" w14:textId="77777777" w:rsidR="00E35B5F" w:rsidRPr="00E1542F" w:rsidRDefault="00E35B5F" w:rsidP="00E35B5F">
            <w:pPr>
              <w:rPr>
                <w:lang w:val="en-US"/>
              </w:rPr>
            </w:pPr>
            <w:r w:rsidRPr="00E1542F">
              <w:rPr>
                <w:lang w:val="en-US"/>
              </w:rPr>
              <w:t>19/02/2016</w:t>
            </w:r>
          </w:p>
        </w:tc>
        <w:tc>
          <w:tcPr>
            <w:tcW w:w="1220" w:type="dxa"/>
            <w:noWrap/>
            <w:hideMark/>
          </w:tcPr>
          <w:p w14:paraId="410D8600" w14:textId="77777777" w:rsidR="00E35B5F" w:rsidRPr="00E1542F" w:rsidRDefault="00E35B5F" w:rsidP="00E35B5F">
            <w:pPr>
              <w:rPr>
                <w:lang w:val="en-US"/>
              </w:rPr>
            </w:pPr>
            <w:r w:rsidRPr="00E1542F">
              <w:rPr>
                <w:lang w:val="en-US"/>
              </w:rPr>
              <w:t>21/02/2016</w:t>
            </w:r>
          </w:p>
        </w:tc>
        <w:tc>
          <w:tcPr>
            <w:tcW w:w="1070" w:type="dxa"/>
            <w:noWrap/>
            <w:hideMark/>
          </w:tcPr>
          <w:p w14:paraId="3EDA8ECF" w14:textId="77777777" w:rsidR="00E35B5F" w:rsidRPr="00E1542F" w:rsidRDefault="00E35B5F" w:rsidP="00E35B5F">
            <w:pPr>
              <w:rPr>
                <w:lang w:val="en-US"/>
              </w:rPr>
            </w:pPr>
            <w:r w:rsidRPr="00E1542F">
              <w:rPr>
                <w:lang w:val="en-US"/>
              </w:rPr>
              <w:t>0 to 5 years</w:t>
            </w:r>
          </w:p>
        </w:tc>
        <w:tc>
          <w:tcPr>
            <w:tcW w:w="960" w:type="dxa"/>
            <w:noWrap/>
            <w:hideMark/>
          </w:tcPr>
          <w:p w14:paraId="61A568C0" w14:textId="77777777" w:rsidR="00E35B5F" w:rsidRPr="00E1542F" w:rsidRDefault="00E35B5F" w:rsidP="00E35B5F">
            <w:pPr>
              <w:rPr>
                <w:lang w:val="en-US"/>
              </w:rPr>
            </w:pPr>
            <w:r w:rsidRPr="00E1542F">
              <w:rPr>
                <w:lang w:val="en-US"/>
              </w:rPr>
              <w:t xml:space="preserve"> Sub-National</w:t>
            </w:r>
          </w:p>
        </w:tc>
        <w:tc>
          <w:tcPr>
            <w:tcW w:w="904" w:type="dxa"/>
            <w:noWrap/>
            <w:hideMark/>
          </w:tcPr>
          <w:p w14:paraId="21B06784" w14:textId="77777777" w:rsidR="00E35B5F" w:rsidRPr="00E1542F" w:rsidRDefault="00E35B5F" w:rsidP="00E35B5F">
            <w:pPr>
              <w:rPr>
                <w:lang w:val="en-US"/>
              </w:rPr>
            </w:pPr>
            <w:r w:rsidRPr="00E1542F">
              <w:rPr>
                <w:lang w:val="en-US"/>
              </w:rPr>
              <w:t>Planned</w:t>
            </w:r>
          </w:p>
        </w:tc>
        <w:tc>
          <w:tcPr>
            <w:tcW w:w="1196" w:type="dxa"/>
            <w:noWrap/>
            <w:hideMark/>
          </w:tcPr>
          <w:p w14:paraId="077FFDA9" w14:textId="3B829BCF" w:rsidR="00E35B5F" w:rsidRPr="00E1542F" w:rsidRDefault="00E35B5F" w:rsidP="00E35B5F">
            <w:pPr>
              <w:rPr>
                <w:lang w:val="en-US"/>
              </w:rPr>
            </w:pPr>
            <w:r w:rsidRPr="00E1542F">
              <w:rPr>
                <w:lang w:val="en-US"/>
              </w:rPr>
              <w:t>4</w:t>
            </w:r>
            <w:r w:rsidR="00E1542F" w:rsidRPr="00E1542F">
              <w:rPr>
                <w:lang w:val="en-US"/>
              </w:rPr>
              <w:t>,</w:t>
            </w:r>
            <w:r w:rsidRPr="00E1542F">
              <w:rPr>
                <w:lang w:val="en-US"/>
              </w:rPr>
              <w:t>043</w:t>
            </w:r>
            <w:r w:rsidR="00E1542F" w:rsidRPr="00E1542F">
              <w:rPr>
                <w:lang w:val="en-US"/>
              </w:rPr>
              <w:t>,</w:t>
            </w:r>
            <w:r w:rsidRPr="00E1542F">
              <w:rPr>
                <w:lang w:val="en-US"/>
              </w:rPr>
              <w:t>159</w:t>
            </w:r>
          </w:p>
        </w:tc>
      </w:tr>
      <w:tr w:rsidR="00E35B5F" w:rsidRPr="00E1542F" w14:paraId="10893AB0" w14:textId="77777777" w:rsidTr="00E1542F">
        <w:trPr>
          <w:trHeight w:val="255"/>
        </w:trPr>
        <w:tc>
          <w:tcPr>
            <w:tcW w:w="1127" w:type="dxa"/>
            <w:noWrap/>
            <w:hideMark/>
          </w:tcPr>
          <w:p w14:paraId="41B5E959" w14:textId="77777777" w:rsidR="00E35B5F" w:rsidRPr="00E1542F" w:rsidRDefault="00E35B5F" w:rsidP="00E35B5F">
            <w:pPr>
              <w:rPr>
                <w:lang w:val="en-US"/>
              </w:rPr>
            </w:pPr>
            <w:r w:rsidRPr="00E1542F">
              <w:rPr>
                <w:lang w:val="en-US"/>
              </w:rPr>
              <w:t>NID</w:t>
            </w:r>
          </w:p>
        </w:tc>
        <w:tc>
          <w:tcPr>
            <w:tcW w:w="1267" w:type="dxa"/>
            <w:noWrap/>
            <w:hideMark/>
          </w:tcPr>
          <w:p w14:paraId="7AC5CA9A" w14:textId="77777777" w:rsidR="00E35B5F" w:rsidRPr="00E1542F" w:rsidRDefault="00E35B5F" w:rsidP="00E35B5F">
            <w:pPr>
              <w:rPr>
                <w:lang w:val="en-US"/>
              </w:rPr>
            </w:pPr>
            <w:proofErr w:type="spellStart"/>
            <w:r w:rsidRPr="00E1542F">
              <w:rPr>
                <w:lang w:val="en-US"/>
              </w:rPr>
              <w:t>tOPV</w:t>
            </w:r>
            <w:proofErr w:type="spellEnd"/>
          </w:p>
        </w:tc>
        <w:tc>
          <w:tcPr>
            <w:tcW w:w="756" w:type="dxa"/>
            <w:noWrap/>
            <w:hideMark/>
          </w:tcPr>
          <w:p w14:paraId="10FA7CE5" w14:textId="77777777" w:rsidR="00E35B5F" w:rsidRPr="00E1542F" w:rsidRDefault="00E35B5F" w:rsidP="00E35B5F">
            <w:pPr>
              <w:rPr>
                <w:lang w:val="en-US"/>
              </w:rPr>
            </w:pPr>
            <w:r w:rsidRPr="00E1542F">
              <w:rPr>
                <w:lang w:val="en-US"/>
              </w:rPr>
              <w:t>2016</w:t>
            </w:r>
          </w:p>
        </w:tc>
        <w:tc>
          <w:tcPr>
            <w:tcW w:w="1220" w:type="dxa"/>
            <w:noWrap/>
            <w:hideMark/>
          </w:tcPr>
          <w:p w14:paraId="749615E9" w14:textId="77777777" w:rsidR="00E35B5F" w:rsidRPr="00E1542F" w:rsidRDefault="00E35B5F" w:rsidP="00E35B5F">
            <w:pPr>
              <w:rPr>
                <w:lang w:val="en-US"/>
              </w:rPr>
            </w:pPr>
            <w:r w:rsidRPr="00E1542F">
              <w:rPr>
                <w:lang w:val="en-US"/>
              </w:rPr>
              <w:t>01/03/2016</w:t>
            </w:r>
          </w:p>
        </w:tc>
        <w:tc>
          <w:tcPr>
            <w:tcW w:w="1220" w:type="dxa"/>
            <w:noWrap/>
            <w:hideMark/>
          </w:tcPr>
          <w:p w14:paraId="3CD378BE" w14:textId="77777777" w:rsidR="00E35B5F" w:rsidRPr="00E1542F" w:rsidRDefault="00E35B5F" w:rsidP="00E35B5F">
            <w:pPr>
              <w:rPr>
                <w:lang w:val="en-US"/>
              </w:rPr>
            </w:pPr>
            <w:r w:rsidRPr="00E1542F">
              <w:rPr>
                <w:lang w:val="en-US"/>
              </w:rPr>
              <w:t>01/03/2016</w:t>
            </w:r>
          </w:p>
        </w:tc>
        <w:tc>
          <w:tcPr>
            <w:tcW w:w="1070" w:type="dxa"/>
            <w:noWrap/>
            <w:hideMark/>
          </w:tcPr>
          <w:p w14:paraId="17CBD67C" w14:textId="77777777" w:rsidR="00E35B5F" w:rsidRPr="00E1542F" w:rsidRDefault="00E35B5F" w:rsidP="00E35B5F">
            <w:pPr>
              <w:rPr>
                <w:lang w:val="en-US"/>
              </w:rPr>
            </w:pPr>
            <w:r w:rsidRPr="00E1542F">
              <w:rPr>
                <w:lang w:val="en-US"/>
              </w:rPr>
              <w:t>0 to 5 years</w:t>
            </w:r>
          </w:p>
        </w:tc>
        <w:tc>
          <w:tcPr>
            <w:tcW w:w="960" w:type="dxa"/>
            <w:noWrap/>
            <w:hideMark/>
          </w:tcPr>
          <w:p w14:paraId="01F01523" w14:textId="77777777" w:rsidR="00E35B5F" w:rsidRPr="00E1542F" w:rsidRDefault="00E35B5F" w:rsidP="00E35B5F">
            <w:pPr>
              <w:rPr>
                <w:lang w:val="en-US"/>
              </w:rPr>
            </w:pPr>
            <w:r w:rsidRPr="00E1542F">
              <w:rPr>
                <w:lang w:val="en-US"/>
              </w:rPr>
              <w:t>National</w:t>
            </w:r>
          </w:p>
        </w:tc>
        <w:tc>
          <w:tcPr>
            <w:tcW w:w="904" w:type="dxa"/>
            <w:noWrap/>
            <w:hideMark/>
          </w:tcPr>
          <w:p w14:paraId="72679B21" w14:textId="77777777" w:rsidR="00E35B5F" w:rsidRPr="00E1542F" w:rsidRDefault="00E35B5F" w:rsidP="00E35B5F">
            <w:pPr>
              <w:rPr>
                <w:lang w:val="en-US"/>
              </w:rPr>
            </w:pPr>
            <w:r w:rsidRPr="00E1542F">
              <w:rPr>
                <w:lang w:val="en-US"/>
              </w:rPr>
              <w:t>Planned</w:t>
            </w:r>
          </w:p>
        </w:tc>
        <w:tc>
          <w:tcPr>
            <w:tcW w:w="1196" w:type="dxa"/>
            <w:noWrap/>
            <w:hideMark/>
          </w:tcPr>
          <w:p w14:paraId="0BB742C5" w14:textId="47E50960" w:rsidR="00E35B5F" w:rsidRPr="00E1542F" w:rsidRDefault="00E35B5F" w:rsidP="00E35B5F">
            <w:pPr>
              <w:rPr>
                <w:lang w:val="en-US"/>
              </w:rPr>
            </w:pPr>
            <w:r w:rsidRPr="00E1542F">
              <w:rPr>
                <w:lang w:val="en-US"/>
              </w:rPr>
              <w:t>12</w:t>
            </w:r>
            <w:r w:rsidR="00E1542F" w:rsidRPr="00E1542F">
              <w:rPr>
                <w:lang w:val="en-US"/>
              </w:rPr>
              <w:t>,</w:t>
            </w:r>
            <w:r w:rsidRPr="00E1542F">
              <w:rPr>
                <w:lang w:val="en-US"/>
              </w:rPr>
              <w:t>251</w:t>
            </w:r>
            <w:r w:rsidR="00E1542F" w:rsidRPr="00E1542F">
              <w:rPr>
                <w:lang w:val="en-US"/>
              </w:rPr>
              <w:t>,</w:t>
            </w:r>
            <w:r w:rsidRPr="00E1542F">
              <w:rPr>
                <w:lang w:val="en-US"/>
              </w:rPr>
              <w:t>996</w:t>
            </w:r>
          </w:p>
        </w:tc>
      </w:tr>
      <w:tr w:rsidR="00E35B5F" w:rsidRPr="00E1542F" w14:paraId="7569CEE5" w14:textId="77777777" w:rsidTr="00E1542F">
        <w:trPr>
          <w:trHeight w:val="255"/>
        </w:trPr>
        <w:tc>
          <w:tcPr>
            <w:tcW w:w="1127" w:type="dxa"/>
            <w:noWrap/>
            <w:hideMark/>
          </w:tcPr>
          <w:p w14:paraId="7B9D3179" w14:textId="7A1281F2" w:rsidR="00E35B5F" w:rsidRPr="00E1542F" w:rsidRDefault="00E35B5F" w:rsidP="00E35B5F">
            <w:pPr>
              <w:rPr>
                <w:lang w:val="en-US"/>
              </w:rPr>
            </w:pPr>
            <w:r w:rsidRPr="00E1542F">
              <w:rPr>
                <w:lang w:val="en-US"/>
              </w:rPr>
              <w:t>Follow</w:t>
            </w:r>
            <w:r w:rsidR="00E1542F" w:rsidRPr="00E1542F">
              <w:rPr>
                <w:lang w:val="en-US"/>
              </w:rPr>
              <w:t xml:space="preserve"> </w:t>
            </w:r>
            <w:r w:rsidRPr="00E1542F">
              <w:rPr>
                <w:lang w:val="en-US"/>
              </w:rPr>
              <w:t>Up</w:t>
            </w:r>
          </w:p>
        </w:tc>
        <w:tc>
          <w:tcPr>
            <w:tcW w:w="1267" w:type="dxa"/>
            <w:noWrap/>
            <w:hideMark/>
          </w:tcPr>
          <w:p w14:paraId="587FF05B" w14:textId="77777777" w:rsidR="00E35B5F" w:rsidRPr="00E1542F" w:rsidRDefault="00E35B5F" w:rsidP="00E35B5F">
            <w:pPr>
              <w:rPr>
                <w:lang w:val="en-US"/>
              </w:rPr>
            </w:pPr>
            <w:r w:rsidRPr="00E1542F">
              <w:rPr>
                <w:lang w:val="en-US"/>
              </w:rPr>
              <w:t>Measles</w:t>
            </w:r>
          </w:p>
        </w:tc>
        <w:tc>
          <w:tcPr>
            <w:tcW w:w="756" w:type="dxa"/>
            <w:noWrap/>
            <w:hideMark/>
          </w:tcPr>
          <w:p w14:paraId="3F34C793" w14:textId="77777777" w:rsidR="00E35B5F" w:rsidRPr="00E1542F" w:rsidRDefault="00E35B5F" w:rsidP="00E35B5F">
            <w:pPr>
              <w:rPr>
                <w:lang w:val="en-US"/>
              </w:rPr>
            </w:pPr>
            <w:r w:rsidRPr="00E1542F">
              <w:rPr>
                <w:lang w:val="en-US"/>
              </w:rPr>
              <w:t>2016</w:t>
            </w:r>
          </w:p>
        </w:tc>
        <w:tc>
          <w:tcPr>
            <w:tcW w:w="1220" w:type="dxa"/>
            <w:noWrap/>
            <w:hideMark/>
          </w:tcPr>
          <w:p w14:paraId="66D9172F" w14:textId="77777777" w:rsidR="00E35B5F" w:rsidRPr="00E1542F" w:rsidRDefault="00E35B5F" w:rsidP="00E35B5F">
            <w:pPr>
              <w:rPr>
                <w:lang w:val="en-US"/>
              </w:rPr>
            </w:pPr>
            <w:r w:rsidRPr="00E1542F">
              <w:rPr>
                <w:lang w:val="en-US"/>
              </w:rPr>
              <w:t>01/10/2016</w:t>
            </w:r>
          </w:p>
        </w:tc>
        <w:tc>
          <w:tcPr>
            <w:tcW w:w="1220" w:type="dxa"/>
            <w:noWrap/>
            <w:hideMark/>
          </w:tcPr>
          <w:p w14:paraId="315B5C89" w14:textId="77777777" w:rsidR="00E35B5F" w:rsidRPr="00E1542F" w:rsidRDefault="00E35B5F" w:rsidP="00E35B5F">
            <w:pPr>
              <w:rPr>
                <w:lang w:val="en-US"/>
              </w:rPr>
            </w:pPr>
            <w:r w:rsidRPr="00E1542F">
              <w:rPr>
                <w:lang w:val="en-US"/>
              </w:rPr>
              <w:t>31/10/2016</w:t>
            </w:r>
          </w:p>
        </w:tc>
        <w:tc>
          <w:tcPr>
            <w:tcW w:w="1070" w:type="dxa"/>
            <w:noWrap/>
            <w:hideMark/>
          </w:tcPr>
          <w:p w14:paraId="18F9D448" w14:textId="0C0FF2B5" w:rsidR="00E35B5F" w:rsidRPr="00E1542F" w:rsidRDefault="00E35B5F" w:rsidP="00E1542F">
            <w:pPr>
              <w:rPr>
                <w:lang w:val="en-US"/>
              </w:rPr>
            </w:pPr>
            <w:r w:rsidRPr="00E1542F">
              <w:rPr>
                <w:lang w:val="en-US"/>
              </w:rPr>
              <w:t xml:space="preserve">9 </w:t>
            </w:r>
            <w:r w:rsidR="00E1542F">
              <w:rPr>
                <w:lang w:val="en-US"/>
              </w:rPr>
              <w:t>months to 14 years</w:t>
            </w:r>
          </w:p>
        </w:tc>
        <w:tc>
          <w:tcPr>
            <w:tcW w:w="960" w:type="dxa"/>
            <w:noWrap/>
            <w:hideMark/>
          </w:tcPr>
          <w:p w14:paraId="43517FD5" w14:textId="77777777" w:rsidR="00E35B5F" w:rsidRPr="00E1542F" w:rsidRDefault="00E35B5F" w:rsidP="00E35B5F">
            <w:pPr>
              <w:rPr>
                <w:lang w:val="en-US"/>
              </w:rPr>
            </w:pPr>
            <w:r w:rsidRPr="00E1542F">
              <w:rPr>
                <w:lang w:val="en-US"/>
              </w:rPr>
              <w:t>Sub-national</w:t>
            </w:r>
          </w:p>
        </w:tc>
        <w:tc>
          <w:tcPr>
            <w:tcW w:w="904" w:type="dxa"/>
            <w:noWrap/>
            <w:hideMark/>
          </w:tcPr>
          <w:p w14:paraId="28A1F8A1" w14:textId="77777777" w:rsidR="00E35B5F" w:rsidRPr="00E1542F" w:rsidRDefault="00E35B5F" w:rsidP="00E35B5F">
            <w:pPr>
              <w:rPr>
                <w:lang w:val="en-US"/>
              </w:rPr>
            </w:pPr>
            <w:r w:rsidRPr="00E1542F">
              <w:rPr>
                <w:lang w:val="en-US"/>
              </w:rPr>
              <w:t>planned</w:t>
            </w:r>
          </w:p>
        </w:tc>
        <w:tc>
          <w:tcPr>
            <w:tcW w:w="1196" w:type="dxa"/>
            <w:noWrap/>
            <w:hideMark/>
          </w:tcPr>
          <w:p w14:paraId="68CC01B1" w14:textId="3EBEEE8D" w:rsidR="00E35B5F" w:rsidRPr="00E1542F" w:rsidRDefault="00E35B5F" w:rsidP="00E35B5F">
            <w:pPr>
              <w:rPr>
                <w:lang w:val="en-US"/>
              </w:rPr>
            </w:pPr>
            <w:r w:rsidRPr="00E1542F">
              <w:rPr>
                <w:lang w:val="en-US"/>
              </w:rPr>
              <w:t>11</w:t>
            </w:r>
            <w:r w:rsidR="00E1542F" w:rsidRPr="00E1542F">
              <w:rPr>
                <w:lang w:val="en-US"/>
              </w:rPr>
              <w:t>,</w:t>
            </w:r>
            <w:r w:rsidRPr="00E1542F">
              <w:rPr>
                <w:lang w:val="en-US"/>
              </w:rPr>
              <w:t>777</w:t>
            </w:r>
            <w:r w:rsidR="00E1542F" w:rsidRPr="00E1542F">
              <w:rPr>
                <w:lang w:val="en-US"/>
              </w:rPr>
              <w:t>,</w:t>
            </w:r>
            <w:r w:rsidRPr="00E1542F">
              <w:rPr>
                <w:lang w:val="en-US"/>
              </w:rPr>
              <w:t>083</w:t>
            </w:r>
          </w:p>
        </w:tc>
      </w:tr>
      <w:tr w:rsidR="00E35B5F" w:rsidRPr="00E1542F" w14:paraId="15F5C3F0" w14:textId="77777777" w:rsidTr="00E1542F">
        <w:trPr>
          <w:trHeight w:val="255"/>
        </w:trPr>
        <w:tc>
          <w:tcPr>
            <w:tcW w:w="1127" w:type="dxa"/>
            <w:noWrap/>
            <w:hideMark/>
          </w:tcPr>
          <w:p w14:paraId="77332119" w14:textId="77777777" w:rsidR="00E35B5F" w:rsidRPr="00E1542F" w:rsidRDefault="00E35B5F" w:rsidP="00E35B5F">
            <w:pPr>
              <w:rPr>
                <w:lang w:val="en-US"/>
              </w:rPr>
            </w:pPr>
            <w:r w:rsidRPr="00E1542F">
              <w:rPr>
                <w:lang w:val="en-US"/>
              </w:rPr>
              <w:t>SNID</w:t>
            </w:r>
          </w:p>
        </w:tc>
        <w:tc>
          <w:tcPr>
            <w:tcW w:w="1267" w:type="dxa"/>
            <w:noWrap/>
            <w:hideMark/>
          </w:tcPr>
          <w:p w14:paraId="7F89AA4C" w14:textId="77777777" w:rsidR="00E35B5F" w:rsidRPr="00E1542F" w:rsidRDefault="00E35B5F" w:rsidP="00E35B5F">
            <w:pPr>
              <w:rPr>
                <w:lang w:val="en-US"/>
              </w:rPr>
            </w:pPr>
            <w:proofErr w:type="spellStart"/>
            <w:r w:rsidRPr="00E1542F">
              <w:rPr>
                <w:lang w:val="en-US"/>
              </w:rPr>
              <w:t>bOPV</w:t>
            </w:r>
            <w:proofErr w:type="spellEnd"/>
          </w:p>
        </w:tc>
        <w:tc>
          <w:tcPr>
            <w:tcW w:w="756" w:type="dxa"/>
            <w:noWrap/>
            <w:hideMark/>
          </w:tcPr>
          <w:p w14:paraId="5F572D4E" w14:textId="77777777" w:rsidR="00E35B5F" w:rsidRPr="00E1542F" w:rsidRDefault="00E35B5F" w:rsidP="00E35B5F">
            <w:pPr>
              <w:rPr>
                <w:lang w:val="en-US"/>
              </w:rPr>
            </w:pPr>
            <w:r w:rsidRPr="00E1542F">
              <w:rPr>
                <w:lang w:val="en-US"/>
              </w:rPr>
              <w:t>2016</w:t>
            </w:r>
          </w:p>
        </w:tc>
        <w:tc>
          <w:tcPr>
            <w:tcW w:w="1220" w:type="dxa"/>
            <w:noWrap/>
            <w:hideMark/>
          </w:tcPr>
          <w:p w14:paraId="2E71E161" w14:textId="77777777" w:rsidR="00E35B5F" w:rsidRPr="00E1542F" w:rsidRDefault="00E35B5F" w:rsidP="00E35B5F">
            <w:pPr>
              <w:rPr>
                <w:lang w:val="en-US"/>
              </w:rPr>
            </w:pPr>
            <w:r w:rsidRPr="00E1542F">
              <w:rPr>
                <w:lang w:val="en-US"/>
              </w:rPr>
              <w:t>01/05/2016</w:t>
            </w:r>
          </w:p>
        </w:tc>
        <w:tc>
          <w:tcPr>
            <w:tcW w:w="1220" w:type="dxa"/>
            <w:noWrap/>
            <w:hideMark/>
          </w:tcPr>
          <w:p w14:paraId="61E00A1F" w14:textId="77777777" w:rsidR="00E35B5F" w:rsidRPr="00E1542F" w:rsidRDefault="00E35B5F" w:rsidP="00E35B5F">
            <w:pPr>
              <w:rPr>
                <w:lang w:val="en-US"/>
              </w:rPr>
            </w:pPr>
            <w:r w:rsidRPr="00E1542F">
              <w:rPr>
                <w:lang w:val="en-US"/>
              </w:rPr>
              <w:t>01/05/2016</w:t>
            </w:r>
          </w:p>
        </w:tc>
        <w:tc>
          <w:tcPr>
            <w:tcW w:w="1070" w:type="dxa"/>
            <w:noWrap/>
            <w:hideMark/>
          </w:tcPr>
          <w:p w14:paraId="6AF136D4" w14:textId="77777777" w:rsidR="00E35B5F" w:rsidRPr="00E1542F" w:rsidRDefault="00E35B5F" w:rsidP="00E35B5F">
            <w:pPr>
              <w:rPr>
                <w:lang w:val="en-US"/>
              </w:rPr>
            </w:pPr>
            <w:r w:rsidRPr="00E1542F">
              <w:rPr>
                <w:lang w:val="en-US"/>
              </w:rPr>
              <w:t>0 to 5 years</w:t>
            </w:r>
          </w:p>
        </w:tc>
        <w:tc>
          <w:tcPr>
            <w:tcW w:w="960" w:type="dxa"/>
            <w:noWrap/>
            <w:hideMark/>
          </w:tcPr>
          <w:p w14:paraId="42D14E9D" w14:textId="77777777" w:rsidR="00E35B5F" w:rsidRPr="00E1542F" w:rsidRDefault="00E35B5F" w:rsidP="00E35B5F">
            <w:pPr>
              <w:rPr>
                <w:lang w:val="en-US"/>
              </w:rPr>
            </w:pPr>
            <w:r w:rsidRPr="00E1542F">
              <w:rPr>
                <w:lang w:val="en-US"/>
              </w:rPr>
              <w:t xml:space="preserve"> Sub-National</w:t>
            </w:r>
          </w:p>
        </w:tc>
        <w:tc>
          <w:tcPr>
            <w:tcW w:w="904" w:type="dxa"/>
            <w:noWrap/>
            <w:hideMark/>
          </w:tcPr>
          <w:p w14:paraId="72C1B094" w14:textId="77777777" w:rsidR="00E35B5F" w:rsidRPr="00E1542F" w:rsidRDefault="00E35B5F" w:rsidP="00E35B5F">
            <w:pPr>
              <w:rPr>
                <w:lang w:val="en-US"/>
              </w:rPr>
            </w:pPr>
            <w:r w:rsidRPr="00E1542F">
              <w:rPr>
                <w:lang w:val="en-US"/>
              </w:rPr>
              <w:t>Planned</w:t>
            </w:r>
          </w:p>
        </w:tc>
        <w:tc>
          <w:tcPr>
            <w:tcW w:w="1196" w:type="dxa"/>
            <w:noWrap/>
            <w:hideMark/>
          </w:tcPr>
          <w:p w14:paraId="0BA00BEA" w14:textId="4DDDBDC2" w:rsidR="00E35B5F" w:rsidRPr="00E1542F" w:rsidRDefault="00E35B5F" w:rsidP="00E35B5F">
            <w:pPr>
              <w:rPr>
                <w:lang w:val="en-US"/>
              </w:rPr>
            </w:pPr>
            <w:r w:rsidRPr="00E1542F">
              <w:rPr>
                <w:lang w:val="en-US"/>
              </w:rPr>
              <w:t>3</w:t>
            </w:r>
            <w:r w:rsidR="00E1542F" w:rsidRPr="00E1542F">
              <w:rPr>
                <w:lang w:val="en-US"/>
              </w:rPr>
              <w:t>,</w:t>
            </w:r>
            <w:r w:rsidRPr="00E1542F">
              <w:rPr>
                <w:lang w:val="en-US"/>
              </w:rPr>
              <w:t>732</w:t>
            </w:r>
            <w:r w:rsidR="00E1542F" w:rsidRPr="00E1542F">
              <w:rPr>
                <w:lang w:val="en-US"/>
              </w:rPr>
              <w:t>,</w:t>
            </w:r>
            <w:r w:rsidRPr="00E1542F">
              <w:rPr>
                <w:lang w:val="en-US"/>
              </w:rPr>
              <w:t>146</w:t>
            </w:r>
          </w:p>
        </w:tc>
      </w:tr>
      <w:tr w:rsidR="00E35B5F" w:rsidRPr="00E1542F" w14:paraId="47D342BC" w14:textId="77777777" w:rsidTr="00E1542F">
        <w:trPr>
          <w:trHeight w:val="255"/>
        </w:trPr>
        <w:tc>
          <w:tcPr>
            <w:tcW w:w="1127" w:type="dxa"/>
            <w:noWrap/>
            <w:hideMark/>
          </w:tcPr>
          <w:p w14:paraId="106A7CF2" w14:textId="77777777" w:rsidR="00E35B5F" w:rsidRPr="00E1542F" w:rsidRDefault="00E35B5F" w:rsidP="00E35B5F">
            <w:pPr>
              <w:rPr>
                <w:lang w:val="en-US"/>
              </w:rPr>
            </w:pPr>
            <w:r w:rsidRPr="00E1542F">
              <w:rPr>
                <w:lang w:val="en-US"/>
              </w:rPr>
              <w:t>SNID</w:t>
            </w:r>
          </w:p>
        </w:tc>
        <w:tc>
          <w:tcPr>
            <w:tcW w:w="1267" w:type="dxa"/>
            <w:noWrap/>
            <w:hideMark/>
          </w:tcPr>
          <w:p w14:paraId="60481093" w14:textId="77777777" w:rsidR="00E35B5F" w:rsidRPr="00E1542F" w:rsidRDefault="00E35B5F" w:rsidP="00E35B5F">
            <w:pPr>
              <w:rPr>
                <w:lang w:val="en-US"/>
              </w:rPr>
            </w:pPr>
            <w:proofErr w:type="spellStart"/>
            <w:r w:rsidRPr="00E1542F">
              <w:rPr>
                <w:lang w:val="en-US"/>
              </w:rPr>
              <w:t>bOPV</w:t>
            </w:r>
            <w:proofErr w:type="spellEnd"/>
          </w:p>
        </w:tc>
        <w:tc>
          <w:tcPr>
            <w:tcW w:w="756" w:type="dxa"/>
            <w:noWrap/>
            <w:hideMark/>
          </w:tcPr>
          <w:p w14:paraId="47B0CE3D" w14:textId="77777777" w:rsidR="00E35B5F" w:rsidRPr="00E1542F" w:rsidRDefault="00E35B5F" w:rsidP="00E35B5F">
            <w:pPr>
              <w:rPr>
                <w:lang w:val="en-US"/>
              </w:rPr>
            </w:pPr>
            <w:r w:rsidRPr="00E1542F">
              <w:rPr>
                <w:lang w:val="en-US"/>
              </w:rPr>
              <w:t>2016</w:t>
            </w:r>
          </w:p>
        </w:tc>
        <w:tc>
          <w:tcPr>
            <w:tcW w:w="1220" w:type="dxa"/>
            <w:noWrap/>
            <w:hideMark/>
          </w:tcPr>
          <w:p w14:paraId="64E4D725" w14:textId="77777777" w:rsidR="00E35B5F" w:rsidRPr="00E1542F" w:rsidRDefault="00E35B5F" w:rsidP="00E35B5F">
            <w:pPr>
              <w:rPr>
                <w:lang w:val="en-US"/>
              </w:rPr>
            </w:pPr>
            <w:r w:rsidRPr="00E1542F">
              <w:rPr>
                <w:lang w:val="en-US"/>
              </w:rPr>
              <w:t>01/09/2016</w:t>
            </w:r>
          </w:p>
        </w:tc>
        <w:tc>
          <w:tcPr>
            <w:tcW w:w="1220" w:type="dxa"/>
            <w:noWrap/>
            <w:hideMark/>
          </w:tcPr>
          <w:p w14:paraId="3A1E903E" w14:textId="77777777" w:rsidR="00E35B5F" w:rsidRPr="00E1542F" w:rsidRDefault="00E35B5F" w:rsidP="00E35B5F">
            <w:pPr>
              <w:rPr>
                <w:lang w:val="en-US"/>
              </w:rPr>
            </w:pPr>
            <w:r w:rsidRPr="00E1542F">
              <w:rPr>
                <w:lang w:val="en-US"/>
              </w:rPr>
              <w:t>01/09/2016</w:t>
            </w:r>
          </w:p>
        </w:tc>
        <w:tc>
          <w:tcPr>
            <w:tcW w:w="1070" w:type="dxa"/>
            <w:noWrap/>
            <w:hideMark/>
          </w:tcPr>
          <w:p w14:paraId="41906048" w14:textId="77777777" w:rsidR="00E35B5F" w:rsidRPr="00E1542F" w:rsidRDefault="00E35B5F" w:rsidP="00E35B5F">
            <w:pPr>
              <w:rPr>
                <w:lang w:val="en-US"/>
              </w:rPr>
            </w:pPr>
            <w:r w:rsidRPr="00E1542F">
              <w:rPr>
                <w:lang w:val="en-US"/>
              </w:rPr>
              <w:t>0 to 5 years</w:t>
            </w:r>
          </w:p>
        </w:tc>
        <w:tc>
          <w:tcPr>
            <w:tcW w:w="960" w:type="dxa"/>
            <w:noWrap/>
            <w:hideMark/>
          </w:tcPr>
          <w:p w14:paraId="5ACA881D" w14:textId="77777777" w:rsidR="00E35B5F" w:rsidRPr="00E1542F" w:rsidRDefault="00E35B5F" w:rsidP="00E35B5F">
            <w:pPr>
              <w:rPr>
                <w:lang w:val="en-US"/>
              </w:rPr>
            </w:pPr>
            <w:r w:rsidRPr="00E1542F">
              <w:rPr>
                <w:lang w:val="en-US"/>
              </w:rPr>
              <w:t xml:space="preserve"> Sub-National</w:t>
            </w:r>
          </w:p>
        </w:tc>
        <w:tc>
          <w:tcPr>
            <w:tcW w:w="904" w:type="dxa"/>
            <w:noWrap/>
            <w:hideMark/>
          </w:tcPr>
          <w:p w14:paraId="26D4B833" w14:textId="77777777" w:rsidR="00E35B5F" w:rsidRPr="00E1542F" w:rsidRDefault="00E35B5F" w:rsidP="00E35B5F">
            <w:pPr>
              <w:rPr>
                <w:lang w:val="en-US"/>
              </w:rPr>
            </w:pPr>
            <w:r w:rsidRPr="00E1542F">
              <w:rPr>
                <w:lang w:val="en-US"/>
              </w:rPr>
              <w:t>Planned</w:t>
            </w:r>
          </w:p>
        </w:tc>
        <w:tc>
          <w:tcPr>
            <w:tcW w:w="1196" w:type="dxa"/>
            <w:noWrap/>
            <w:hideMark/>
          </w:tcPr>
          <w:p w14:paraId="49AB3313" w14:textId="0F4E3B76" w:rsidR="00E35B5F" w:rsidRPr="00E1542F" w:rsidRDefault="00E35B5F" w:rsidP="00E35B5F">
            <w:pPr>
              <w:rPr>
                <w:lang w:val="en-US"/>
              </w:rPr>
            </w:pPr>
            <w:r w:rsidRPr="00E1542F">
              <w:rPr>
                <w:lang w:val="en-US"/>
              </w:rPr>
              <w:t>4</w:t>
            </w:r>
            <w:r w:rsidR="00E1542F" w:rsidRPr="00E1542F">
              <w:rPr>
                <w:lang w:val="en-US"/>
              </w:rPr>
              <w:t>,</w:t>
            </w:r>
            <w:r w:rsidRPr="00E1542F">
              <w:rPr>
                <w:lang w:val="en-US"/>
              </w:rPr>
              <w:t>043</w:t>
            </w:r>
            <w:r w:rsidR="00E1542F" w:rsidRPr="00E1542F">
              <w:rPr>
                <w:lang w:val="en-US"/>
              </w:rPr>
              <w:t>,</w:t>
            </w:r>
            <w:r w:rsidRPr="00E1542F">
              <w:rPr>
                <w:lang w:val="en-US"/>
              </w:rPr>
              <w:t>159</w:t>
            </w:r>
          </w:p>
        </w:tc>
      </w:tr>
    </w:tbl>
    <w:p w14:paraId="602C0050" w14:textId="11F1F179" w:rsidR="00D27284" w:rsidRPr="006140E6" w:rsidRDefault="00D27284" w:rsidP="00E35B5F">
      <w:pPr>
        <w:rPr>
          <w:lang w:val="en-US"/>
        </w:rPr>
      </w:pPr>
      <w:r w:rsidRPr="006140E6">
        <w:rPr>
          <w:lang w:val="en-US"/>
        </w:rPr>
        <w:t>Source: WHO/IVB Database as at 12/4/2016</w:t>
      </w:r>
    </w:p>
    <w:p w14:paraId="3AA230C6" w14:textId="18CD855D" w:rsidR="001A55DB" w:rsidRPr="001A55DB" w:rsidRDefault="001A55DB" w:rsidP="001A55DB">
      <w:pPr>
        <w:pStyle w:val="Caption"/>
        <w:rPr>
          <w:rFonts w:ascii="Arial" w:hAnsi="Arial" w:cs="Arial"/>
          <w:color w:val="auto"/>
          <w:sz w:val="22"/>
          <w:szCs w:val="22"/>
        </w:rPr>
      </w:pPr>
      <w:r w:rsidRPr="001A55DB">
        <w:rPr>
          <w:rFonts w:ascii="Arial" w:hAnsi="Arial" w:cs="Arial"/>
          <w:color w:val="auto"/>
          <w:sz w:val="22"/>
          <w:szCs w:val="22"/>
        </w:rPr>
        <w:t xml:space="preserve">Figure </w:t>
      </w:r>
      <w:r w:rsidRPr="001A55DB">
        <w:rPr>
          <w:rFonts w:ascii="Arial" w:hAnsi="Arial" w:cs="Arial"/>
          <w:color w:val="auto"/>
          <w:sz w:val="22"/>
          <w:szCs w:val="22"/>
        </w:rPr>
        <w:fldChar w:fldCharType="begin"/>
      </w:r>
      <w:r w:rsidRPr="001A55DB">
        <w:rPr>
          <w:rFonts w:ascii="Arial" w:hAnsi="Arial" w:cs="Arial"/>
          <w:color w:val="auto"/>
          <w:sz w:val="22"/>
          <w:szCs w:val="22"/>
        </w:rPr>
        <w:instrText xml:space="preserve"> SEQ Figure \* ARABIC </w:instrText>
      </w:r>
      <w:r w:rsidRPr="001A55DB">
        <w:rPr>
          <w:rFonts w:ascii="Arial" w:hAnsi="Arial" w:cs="Arial"/>
          <w:color w:val="auto"/>
          <w:sz w:val="22"/>
          <w:szCs w:val="22"/>
        </w:rPr>
        <w:fldChar w:fldCharType="separate"/>
      </w:r>
      <w:r w:rsidR="00651A7C">
        <w:rPr>
          <w:rFonts w:ascii="Arial" w:hAnsi="Arial" w:cs="Arial"/>
          <w:noProof/>
          <w:color w:val="auto"/>
          <w:sz w:val="22"/>
          <w:szCs w:val="22"/>
        </w:rPr>
        <w:t>4</w:t>
      </w:r>
      <w:r w:rsidRPr="001A55DB">
        <w:rPr>
          <w:rFonts w:ascii="Arial" w:hAnsi="Arial" w:cs="Arial"/>
          <w:color w:val="auto"/>
          <w:sz w:val="22"/>
          <w:szCs w:val="22"/>
        </w:rPr>
        <w:fldChar w:fldCharType="end"/>
      </w:r>
      <w:r w:rsidRPr="001A55DB">
        <w:rPr>
          <w:rFonts w:ascii="Arial" w:hAnsi="Arial" w:cs="Arial"/>
          <w:color w:val="auto"/>
          <w:sz w:val="22"/>
          <w:szCs w:val="22"/>
        </w:rPr>
        <w:t xml:space="preserve">: </w:t>
      </w:r>
      <w:r w:rsidRPr="00C36384">
        <w:rPr>
          <w:rFonts w:ascii="Arial" w:hAnsi="Arial" w:cs="Arial"/>
          <w:color w:val="auto"/>
          <w:sz w:val="22"/>
          <w:szCs w:val="22"/>
        </w:rPr>
        <w:t xml:space="preserve">All vaccines national coverage, </w:t>
      </w:r>
      <w:r>
        <w:rPr>
          <w:rFonts w:ascii="Arial" w:hAnsi="Arial" w:cs="Arial"/>
          <w:color w:val="auto"/>
          <w:sz w:val="22"/>
          <w:szCs w:val="22"/>
        </w:rPr>
        <w:t>Ethiopia</w:t>
      </w:r>
      <w:r w:rsidRPr="00C36384">
        <w:rPr>
          <w:rFonts w:ascii="Arial" w:hAnsi="Arial" w:cs="Arial"/>
          <w:color w:val="auto"/>
          <w:sz w:val="22"/>
          <w:szCs w:val="22"/>
        </w:rPr>
        <w:t>, 2000-2015</w:t>
      </w:r>
    </w:p>
    <w:p w14:paraId="7B35E342" w14:textId="57B4347D" w:rsidR="001A55DB" w:rsidRDefault="001A55DB" w:rsidP="001A55DB">
      <w:pPr>
        <w:pStyle w:val="Caption"/>
      </w:pPr>
      <w:r>
        <w:rPr>
          <w:noProof/>
          <w:lang w:eastAsia="zh-CN"/>
        </w:rPr>
        <w:drawing>
          <wp:inline distT="0" distB="0" distL="0" distR="0" wp14:anchorId="31CFA240" wp14:editId="19B11A93">
            <wp:extent cx="4352925" cy="3086100"/>
            <wp:effectExtent l="0" t="0" r="9525" b="0"/>
            <wp:docPr id="5" name="Picture 5" descr="D:\data\GVAP Reports\2016\3. Scrore Cards 2016\jan visualizations DTP3 per country\Punch cards per country\ethi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ethiopi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9538" cy="3090788"/>
                    </a:xfrm>
                    <a:prstGeom prst="rect">
                      <a:avLst/>
                    </a:prstGeom>
                    <a:noFill/>
                    <a:ln>
                      <a:noFill/>
                    </a:ln>
                  </pic:spPr>
                </pic:pic>
              </a:graphicData>
            </a:graphic>
          </wp:inline>
        </w:drawing>
      </w:r>
      <w:bookmarkStart w:id="0" w:name="_GoBack"/>
      <w:bookmarkEnd w:id="0"/>
    </w:p>
    <w:p w14:paraId="41658C04" w14:textId="7C4A19EB" w:rsidR="001A55DB" w:rsidRDefault="00FF5786" w:rsidP="001A55DB">
      <w:pPr>
        <w:pStyle w:val="Caption"/>
        <w:rPr>
          <w:rFonts w:ascii="Arial" w:hAnsi="Arial" w:cs="Arial"/>
          <w:color w:val="auto"/>
          <w:sz w:val="22"/>
          <w:szCs w:val="22"/>
        </w:rPr>
      </w:pPr>
      <w:r>
        <w:rPr>
          <w:rFonts w:ascii="Arial" w:hAnsi="Arial" w:cs="Arial"/>
          <w:noProof/>
          <w:color w:val="auto"/>
          <w:sz w:val="22"/>
          <w:szCs w:val="22"/>
          <w:lang w:eastAsia="zh-CN"/>
        </w:rPr>
        <w:drawing>
          <wp:inline distT="0" distB="0" distL="0" distR="0" wp14:anchorId="66522B92" wp14:editId="280EF36B">
            <wp:extent cx="4171950" cy="733148"/>
            <wp:effectExtent l="0" t="0" r="0" b="0"/>
            <wp:docPr id="6" name="Picture 6"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9623" cy="734496"/>
                    </a:xfrm>
                    <a:prstGeom prst="rect">
                      <a:avLst/>
                    </a:prstGeom>
                    <a:noFill/>
                    <a:ln>
                      <a:noFill/>
                    </a:ln>
                  </pic:spPr>
                </pic:pic>
              </a:graphicData>
            </a:graphic>
          </wp:inline>
        </w:drawing>
      </w:r>
    </w:p>
    <w:sectPr w:rsidR="001A55DB" w:rsidSect="008462BE">
      <w:pgSz w:w="11906" w:h="16838"/>
      <w:pgMar w:top="1440" w:right="1440" w:bottom="1440" w:left="1440" w:header="709" w:footer="709"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BFD711" w15:done="0"/>
  <w15:commentEx w15:paraId="68893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8A792" w14:textId="77777777" w:rsidR="00693242" w:rsidRDefault="00693242">
      <w:pPr>
        <w:spacing w:after="0" w:line="240" w:lineRule="auto"/>
      </w:pPr>
      <w:r>
        <w:separator/>
      </w:r>
    </w:p>
  </w:endnote>
  <w:endnote w:type="continuationSeparator" w:id="0">
    <w:p w14:paraId="4170FF53" w14:textId="77777777" w:rsidR="00693242" w:rsidRDefault="0069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990851"/>
      <w:docPartObj>
        <w:docPartGallery w:val="Page Numbers (Bottom of Page)"/>
        <w:docPartUnique/>
      </w:docPartObj>
    </w:sdtPr>
    <w:sdtEndPr>
      <w:rPr>
        <w:noProof/>
      </w:rPr>
    </w:sdtEndPr>
    <w:sdtContent>
      <w:p w14:paraId="0675CB33" w14:textId="72C2CB37" w:rsidR="0074708B" w:rsidRDefault="0074708B">
        <w:pPr>
          <w:pStyle w:val="Footer"/>
          <w:jc w:val="center"/>
        </w:pPr>
        <w:r>
          <w:fldChar w:fldCharType="begin"/>
        </w:r>
        <w:r>
          <w:instrText xml:space="preserve"> PAGE   \* MERGEFORMAT </w:instrText>
        </w:r>
        <w:r>
          <w:fldChar w:fldCharType="separate"/>
        </w:r>
        <w:r w:rsidR="008462BE">
          <w:rPr>
            <w:noProof/>
          </w:rPr>
          <w:t>3</w:t>
        </w:r>
        <w:r>
          <w:rPr>
            <w:noProof/>
          </w:rPr>
          <w:fldChar w:fldCharType="end"/>
        </w:r>
      </w:p>
    </w:sdtContent>
  </w:sdt>
  <w:p w14:paraId="780E7B36" w14:textId="4EFE2247" w:rsidR="0074708B" w:rsidRDefault="0074708B" w:rsidP="00EE7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B057E" w14:textId="77777777" w:rsidR="00693242" w:rsidRDefault="00693242">
      <w:pPr>
        <w:spacing w:after="0" w:line="240" w:lineRule="auto"/>
      </w:pPr>
      <w:r>
        <w:separator/>
      </w:r>
    </w:p>
  </w:footnote>
  <w:footnote w:type="continuationSeparator" w:id="0">
    <w:p w14:paraId="47305D2B" w14:textId="77777777" w:rsidR="00693242" w:rsidRDefault="00693242">
      <w:pPr>
        <w:spacing w:after="0" w:line="240" w:lineRule="auto"/>
      </w:pPr>
      <w:r>
        <w:continuationSeparator/>
      </w:r>
    </w:p>
  </w:footnote>
  <w:footnote w:id="1">
    <w:p w14:paraId="3291CA75" w14:textId="1BB89C92" w:rsidR="0074708B" w:rsidRPr="00153320" w:rsidRDefault="0074708B">
      <w:pPr>
        <w:pStyle w:val="FootnoteText"/>
        <w:rPr>
          <w:lang w:val="en-US"/>
        </w:rPr>
      </w:pPr>
      <w:r>
        <w:rPr>
          <w:rStyle w:val="FootnoteReference"/>
        </w:rPr>
        <w:footnoteRef/>
      </w:r>
      <w:r>
        <w:t xml:space="preserve"> </w:t>
      </w:r>
      <w:proofErr w:type="gramStart"/>
      <w:r>
        <w:rPr>
          <w:lang w:val="en-US"/>
        </w:rPr>
        <w:t>Comprehensive multi-year plan (</w:t>
      </w:r>
      <w:proofErr w:type="spellStart"/>
      <w:r>
        <w:rPr>
          <w:lang w:val="en-US"/>
        </w:rPr>
        <w:t>cMYP</w:t>
      </w:r>
      <w:proofErr w:type="spellEnd"/>
      <w:r>
        <w:rPr>
          <w:lang w:val="en-US"/>
        </w:rPr>
        <w:t>), 2016-2020.</w:t>
      </w:r>
      <w:proofErr w:type="gramEnd"/>
    </w:p>
  </w:footnote>
  <w:footnote w:id="2">
    <w:p w14:paraId="307404D3" w14:textId="3AC95883" w:rsidR="0074708B" w:rsidRPr="00153320" w:rsidRDefault="0074708B">
      <w:pPr>
        <w:pStyle w:val="FootnoteText"/>
        <w:rPr>
          <w:lang w:val="en-US"/>
        </w:rPr>
      </w:pPr>
      <w:r>
        <w:rPr>
          <w:rStyle w:val="FootnoteReference"/>
        </w:rPr>
        <w:footnoteRef/>
      </w:r>
      <w:r>
        <w:t xml:space="preserve"> </w:t>
      </w:r>
      <w:proofErr w:type="gramStart"/>
      <w:r>
        <w:rPr>
          <w:lang w:val="en-US"/>
        </w:rPr>
        <w:t>Global polio eradication initiative website (</w:t>
      </w:r>
      <w:hyperlink r:id="rId1" w:history="1">
        <w:r w:rsidRPr="00916164">
          <w:rPr>
            <w:rStyle w:val="Hyperlink"/>
            <w:lang w:val="en-US"/>
          </w:rPr>
          <w:t>http://www.polioeradication.org/Keycountries.aspx</w:t>
        </w:r>
      </w:hyperlink>
      <w:r>
        <w:rPr>
          <w:lang w:val="en-US"/>
        </w:rPr>
        <w:t>).</w:t>
      </w:r>
      <w:proofErr w:type="gramEnd"/>
      <w:r>
        <w:rPr>
          <w:lang w:val="en-US"/>
        </w:rPr>
        <w:t xml:space="preserve"> </w:t>
      </w:r>
    </w:p>
  </w:footnote>
  <w:footnote w:id="3">
    <w:p w14:paraId="3C113DA8" w14:textId="5F0F36E6" w:rsidR="0074708B" w:rsidRPr="00153320" w:rsidRDefault="0074708B">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2016-2020.</w:t>
      </w:r>
    </w:p>
  </w:footnote>
  <w:footnote w:id="4">
    <w:p w14:paraId="0E43EDFF" w14:textId="73BB1CDB" w:rsidR="0074708B" w:rsidRPr="00153320" w:rsidRDefault="0074708B">
      <w:pPr>
        <w:pStyle w:val="FootnoteText"/>
        <w:rPr>
          <w:lang w:val="en-US"/>
        </w:rPr>
      </w:pPr>
      <w:r>
        <w:rPr>
          <w:rStyle w:val="FootnoteReference"/>
        </w:rPr>
        <w:footnoteRef/>
      </w:r>
      <w:r>
        <w:t xml:space="preserve"> </w:t>
      </w:r>
      <w:proofErr w:type="gramStart"/>
      <w:r>
        <w:rPr>
          <w:lang w:val="en-US"/>
        </w:rPr>
        <w:t>WHO presentation on External Surveillance Review, Ethiopia, 29 Sept – 9 October, 2015.</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DB7"/>
    <w:multiLevelType w:val="hybridMultilevel"/>
    <w:tmpl w:val="F6D05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60A2FFB"/>
    <w:multiLevelType w:val="hybridMultilevel"/>
    <w:tmpl w:val="2DA8F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9382162"/>
    <w:multiLevelType w:val="hybridMultilevel"/>
    <w:tmpl w:val="E83CC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2495C14"/>
    <w:multiLevelType w:val="multilevel"/>
    <w:tmpl w:val="4860E0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BB66AD1"/>
    <w:multiLevelType w:val="hybridMultilevel"/>
    <w:tmpl w:val="A38E1D58"/>
    <w:lvl w:ilvl="0" w:tplc="04090005">
      <w:start w:val="1"/>
      <w:numFmt w:val="bullet"/>
      <w:lvlText w:val=""/>
      <w:lvlJc w:val="left"/>
      <w:pPr>
        <w:ind w:left="-56" w:hanging="360"/>
      </w:pPr>
      <w:rPr>
        <w:rFonts w:ascii="Wingdings" w:hAnsi="Wingdings" w:hint="default"/>
      </w:rPr>
    </w:lvl>
    <w:lvl w:ilvl="1" w:tplc="04090003" w:tentative="1">
      <w:start w:val="1"/>
      <w:numFmt w:val="bullet"/>
      <w:lvlText w:val="o"/>
      <w:lvlJc w:val="left"/>
      <w:pPr>
        <w:ind w:left="664" w:hanging="360"/>
      </w:pPr>
      <w:rPr>
        <w:rFonts w:ascii="Courier New" w:hAnsi="Courier New" w:cs="Courier New" w:hint="default"/>
      </w:rPr>
    </w:lvl>
    <w:lvl w:ilvl="2" w:tplc="04090005" w:tentative="1">
      <w:start w:val="1"/>
      <w:numFmt w:val="bullet"/>
      <w:lvlText w:val=""/>
      <w:lvlJc w:val="left"/>
      <w:pPr>
        <w:ind w:left="1384" w:hanging="360"/>
      </w:pPr>
      <w:rPr>
        <w:rFonts w:ascii="Wingdings" w:hAnsi="Wingdings" w:hint="default"/>
      </w:rPr>
    </w:lvl>
    <w:lvl w:ilvl="3" w:tplc="04090001" w:tentative="1">
      <w:start w:val="1"/>
      <w:numFmt w:val="bullet"/>
      <w:lvlText w:val=""/>
      <w:lvlJc w:val="left"/>
      <w:pPr>
        <w:ind w:left="2104" w:hanging="360"/>
      </w:pPr>
      <w:rPr>
        <w:rFonts w:ascii="Symbol" w:hAnsi="Symbol" w:hint="default"/>
      </w:rPr>
    </w:lvl>
    <w:lvl w:ilvl="4" w:tplc="04090003" w:tentative="1">
      <w:start w:val="1"/>
      <w:numFmt w:val="bullet"/>
      <w:lvlText w:val="o"/>
      <w:lvlJc w:val="left"/>
      <w:pPr>
        <w:ind w:left="2824" w:hanging="360"/>
      </w:pPr>
      <w:rPr>
        <w:rFonts w:ascii="Courier New" w:hAnsi="Courier New" w:cs="Courier New" w:hint="default"/>
      </w:rPr>
    </w:lvl>
    <w:lvl w:ilvl="5" w:tplc="04090005" w:tentative="1">
      <w:start w:val="1"/>
      <w:numFmt w:val="bullet"/>
      <w:lvlText w:val=""/>
      <w:lvlJc w:val="left"/>
      <w:pPr>
        <w:ind w:left="3544" w:hanging="360"/>
      </w:pPr>
      <w:rPr>
        <w:rFonts w:ascii="Wingdings" w:hAnsi="Wingdings" w:hint="default"/>
      </w:rPr>
    </w:lvl>
    <w:lvl w:ilvl="6" w:tplc="04090001" w:tentative="1">
      <w:start w:val="1"/>
      <w:numFmt w:val="bullet"/>
      <w:lvlText w:val=""/>
      <w:lvlJc w:val="left"/>
      <w:pPr>
        <w:ind w:left="4264" w:hanging="360"/>
      </w:pPr>
      <w:rPr>
        <w:rFonts w:ascii="Symbol" w:hAnsi="Symbol" w:hint="default"/>
      </w:rPr>
    </w:lvl>
    <w:lvl w:ilvl="7" w:tplc="04090003" w:tentative="1">
      <w:start w:val="1"/>
      <w:numFmt w:val="bullet"/>
      <w:lvlText w:val="o"/>
      <w:lvlJc w:val="left"/>
      <w:pPr>
        <w:ind w:left="4984" w:hanging="360"/>
      </w:pPr>
      <w:rPr>
        <w:rFonts w:ascii="Courier New" w:hAnsi="Courier New" w:cs="Courier New" w:hint="default"/>
      </w:rPr>
    </w:lvl>
    <w:lvl w:ilvl="8" w:tplc="04090005" w:tentative="1">
      <w:start w:val="1"/>
      <w:numFmt w:val="bullet"/>
      <w:lvlText w:val=""/>
      <w:lvlJc w:val="left"/>
      <w:pPr>
        <w:ind w:left="5704" w:hanging="360"/>
      </w:pPr>
      <w:rPr>
        <w:rFonts w:ascii="Wingdings" w:hAnsi="Wingdings" w:hint="default"/>
      </w:rPr>
    </w:lvl>
  </w:abstractNum>
  <w:abstractNum w:abstractNumId="16">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7">
    <w:nsid w:val="487E4406"/>
    <w:multiLevelType w:val="hybridMultilevel"/>
    <w:tmpl w:val="B30692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9">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4B95021"/>
    <w:multiLevelType w:val="hybridMultilevel"/>
    <w:tmpl w:val="B1F204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6">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8">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F0036C"/>
    <w:multiLevelType w:val="hybridMultilevel"/>
    <w:tmpl w:val="FCF83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1"/>
  </w:num>
  <w:num w:numId="5">
    <w:abstractNumId w:val="21"/>
  </w:num>
  <w:num w:numId="6">
    <w:abstractNumId w:val="2"/>
  </w:num>
  <w:num w:numId="7">
    <w:abstractNumId w:val="8"/>
  </w:num>
  <w:num w:numId="8">
    <w:abstractNumId w:val="19"/>
  </w:num>
  <w:num w:numId="9">
    <w:abstractNumId w:val="6"/>
  </w:num>
  <w:num w:numId="10">
    <w:abstractNumId w:val="26"/>
  </w:num>
  <w:num w:numId="11">
    <w:abstractNumId w:val="25"/>
  </w:num>
  <w:num w:numId="12">
    <w:abstractNumId w:val="16"/>
  </w:num>
  <w:num w:numId="13">
    <w:abstractNumId w:val="24"/>
  </w:num>
  <w:num w:numId="14">
    <w:abstractNumId w:val="18"/>
  </w:num>
  <w:num w:numId="15">
    <w:abstractNumId w:val="27"/>
  </w:num>
  <w:num w:numId="16">
    <w:abstractNumId w:val="10"/>
  </w:num>
  <w:num w:numId="17">
    <w:abstractNumId w:val="20"/>
  </w:num>
  <w:num w:numId="18">
    <w:abstractNumId w:val="13"/>
  </w:num>
  <w:num w:numId="19">
    <w:abstractNumId w:val="28"/>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8"/>
  </w:num>
  <w:num w:numId="25">
    <w:abstractNumId w:val="19"/>
  </w:num>
  <w:num w:numId="26">
    <w:abstractNumId w:val="11"/>
  </w:num>
  <w:num w:numId="27">
    <w:abstractNumId w:val="9"/>
  </w:num>
  <w:num w:numId="28">
    <w:abstractNumId w:val="22"/>
  </w:num>
  <w:num w:numId="29">
    <w:abstractNumId w:val="15"/>
  </w:num>
  <w:num w:numId="30">
    <w:abstractNumId w:val="5"/>
  </w:num>
  <w:num w:numId="31">
    <w:abstractNumId w:val="17"/>
  </w:num>
  <w:num w:numId="32">
    <w:abstractNumId w:val="7"/>
  </w:num>
  <w:num w:numId="33">
    <w:abstractNumId w:val="23"/>
  </w:num>
  <w:num w:numId="34">
    <w:abstractNumId w:val="0"/>
  </w:num>
  <w:num w:numId="35">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217B3"/>
    <w:rsid w:val="00025C91"/>
    <w:rsid w:val="00052693"/>
    <w:rsid w:val="00061C69"/>
    <w:rsid w:val="00071321"/>
    <w:rsid w:val="0007442D"/>
    <w:rsid w:val="00075417"/>
    <w:rsid w:val="00096E70"/>
    <w:rsid w:val="000C2C44"/>
    <w:rsid w:val="000C61CE"/>
    <w:rsid w:val="000E3D3E"/>
    <w:rsid w:val="001461BD"/>
    <w:rsid w:val="00153320"/>
    <w:rsid w:val="00163179"/>
    <w:rsid w:val="001634BB"/>
    <w:rsid w:val="00177ED5"/>
    <w:rsid w:val="0019049C"/>
    <w:rsid w:val="001A42D9"/>
    <w:rsid w:val="001A55DB"/>
    <w:rsid w:val="001B0097"/>
    <w:rsid w:val="001C1193"/>
    <w:rsid w:val="001C1E4D"/>
    <w:rsid w:val="001C5026"/>
    <w:rsid w:val="001F2D8D"/>
    <w:rsid w:val="001F4121"/>
    <w:rsid w:val="00211685"/>
    <w:rsid w:val="002258E3"/>
    <w:rsid w:val="002327A5"/>
    <w:rsid w:val="00232D9A"/>
    <w:rsid w:val="002652D3"/>
    <w:rsid w:val="0027046F"/>
    <w:rsid w:val="002818D0"/>
    <w:rsid w:val="00281949"/>
    <w:rsid w:val="00281CEF"/>
    <w:rsid w:val="00292589"/>
    <w:rsid w:val="00297C3C"/>
    <w:rsid w:val="002B73D6"/>
    <w:rsid w:val="002C0BCF"/>
    <w:rsid w:val="002D61F5"/>
    <w:rsid w:val="002D762A"/>
    <w:rsid w:val="002E36C1"/>
    <w:rsid w:val="002F1749"/>
    <w:rsid w:val="002F20C9"/>
    <w:rsid w:val="003333F6"/>
    <w:rsid w:val="00352ED6"/>
    <w:rsid w:val="00370616"/>
    <w:rsid w:val="003707DB"/>
    <w:rsid w:val="00371B50"/>
    <w:rsid w:val="00373BA5"/>
    <w:rsid w:val="003B6F84"/>
    <w:rsid w:val="003D24BB"/>
    <w:rsid w:val="003D6679"/>
    <w:rsid w:val="003E2E31"/>
    <w:rsid w:val="003E30EC"/>
    <w:rsid w:val="003E4FEA"/>
    <w:rsid w:val="003F2AB3"/>
    <w:rsid w:val="003F4825"/>
    <w:rsid w:val="003F5FE8"/>
    <w:rsid w:val="00410919"/>
    <w:rsid w:val="00420940"/>
    <w:rsid w:val="00432B70"/>
    <w:rsid w:val="004331C0"/>
    <w:rsid w:val="00436537"/>
    <w:rsid w:val="00441EDC"/>
    <w:rsid w:val="00442F4B"/>
    <w:rsid w:val="0044441D"/>
    <w:rsid w:val="00451E35"/>
    <w:rsid w:val="00457E0A"/>
    <w:rsid w:val="00460D76"/>
    <w:rsid w:val="00461388"/>
    <w:rsid w:val="00461727"/>
    <w:rsid w:val="004826EF"/>
    <w:rsid w:val="00492F98"/>
    <w:rsid w:val="004A106A"/>
    <w:rsid w:val="004A394A"/>
    <w:rsid w:val="004A4FE5"/>
    <w:rsid w:val="004A78E2"/>
    <w:rsid w:val="004B5B75"/>
    <w:rsid w:val="004D307D"/>
    <w:rsid w:val="004E7450"/>
    <w:rsid w:val="004F6777"/>
    <w:rsid w:val="00500171"/>
    <w:rsid w:val="0050564C"/>
    <w:rsid w:val="005133F8"/>
    <w:rsid w:val="00513BF2"/>
    <w:rsid w:val="00515073"/>
    <w:rsid w:val="00526AA3"/>
    <w:rsid w:val="00530FEA"/>
    <w:rsid w:val="00532476"/>
    <w:rsid w:val="00534013"/>
    <w:rsid w:val="005406A6"/>
    <w:rsid w:val="0058000D"/>
    <w:rsid w:val="005975E4"/>
    <w:rsid w:val="005B00C9"/>
    <w:rsid w:val="005B3DAE"/>
    <w:rsid w:val="005B635F"/>
    <w:rsid w:val="005B6B29"/>
    <w:rsid w:val="005C1966"/>
    <w:rsid w:val="005C6F1C"/>
    <w:rsid w:val="005F0283"/>
    <w:rsid w:val="006019F4"/>
    <w:rsid w:val="006140E6"/>
    <w:rsid w:val="00614B06"/>
    <w:rsid w:val="0063770B"/>
    <w:rsid w:val="006410AE"/>
    <w:rsid w:val="00641572"/>
    <w:rsid w:val="00651A7C"/>
    <w:rsid w:val="006842AB"/>
    <w:rsid w:val="00693242"/>
    <w:rsid w:val="00696E6A"/>
    <w:rsid w:val="006A1FAD"/>
    <w:rsid w:val="006A4380"/>
    <w:rsid w:val="006C160F"/>
    <w:rsid w:val="006C334B"/>
    <w:rsid w:val="006C5940"/>
    <w:rsid w:val="006D454B"/>
    <w:rsid w:val="007033F7"/>
    <w:rsid w:val="00706FB3"/>
    <w:rsid w:val="0071529A"/>
    <w:rsid w:val="007368DB"/>
    <w:rsid w:val="0074708B"/>
    <w:rsid w:val="0076408F"/>
    <w:rsid w:val="00767749"/>
    <w:rsid w:val="00770EEA"/>
    <w:rsid w:val="00777C17"/>
    <w:rsid w:val="0079008F"/>
    <w:rsid w:val="007A35F6"/>
    <w:rsid w:val="007B053A"/>
    <w:rsid w:val="007C346A"/>
    <w:rsid w:val="007C5F79"/>
    <w:rsid w:val="007D16A4"/>
    <w:rsid w:val="007D2AA9"/>
    <w:rsid w:val="007E0DEE"/>
    <w:rsid w:val="007F0729"/>
    <w:rsid w:val="008053B7"/>
    <w:rsid w:val="008105B2"/>
    <w:rsid w:val="00824C6B"/>
    <w:rsid w:val="00825812"/>
    <w:rsid w:val="0083568C"/>
    <w:rsid w:val="008462BE"/>
    <w:rsid w:val="00856B69"/>
    <w:rsid w:val="00861920"/>
    <w:rsid w:val="00863F77"/>
    <w:rsid w:val="00865907"/>
    <w:rsid w:val="0087073B"/>
    <w:rsid w:val="00873B54"/>
    <w:rsid w:val="00883C0A"/>
    <w:rsid w:val="008A1C67"/>
    <w:rsid w:val="008B63EF"/>
    <w:rsid w:val="008C1347"/>
    <w:rsid w:val="008C461F"/>
    <w:rsid w:val="008D2A44"/>
    <w:rsid w:val="008D3BDF"/>
    <w:rsid w:val="008E352E"/>
    <w:rsid w:val="008E4926"/>
    <w:rsid w:val="008E7AA0"/>
    <w:rsid w:val="008F0A50"/>
    <w:rsid w:val="008F4F49"/>
    <w:rsid w:val="008F4FAA"/>
    <w:rsid w:val="00907C58"/>
    <w:rsid w:val="00914A96"/>
    <w:rsid w:val="009318B8"/>
    <w:rsid w:val="00952C8B"/>
    <w:rsid w:val="009563E8"/>
    <w:rsid w:val="00957EAE"/>
    <w:rsid w:val="00971509"/>
    <w:rsid w:val="009A5026"/>
    <w:rsid w:val="009B091D"/>
    <w:rsid w:val="009C09D8"/>
    <w:rsid w:val="009E1E59"/>
    <w:rsid w:val="009F4681"/>
    <w:rsid w:val="00A11AC1"/>
    <w:rsid w:val="00A1405E"/>
    <w:rsid w:val="00A43899"/>
    <w:rsid w:val="00A441A1"/>
    <w:rsid w:val="00A44D74"/>
    <w:rsid w:val="00A52B11"/>
    <w:rsid w:val="00AA7F9D"/>
    <w:rsid w:val="00AC50A6"/>
    <w:rsid w:val="00AD65EC"/>
    <w:rsid w:val="00AE7557"/>
    <w:rsid w:val="00AF0E45"/>
    <w:rsid w:val="00B13423"/>
    <w:rsid w:val="00B218CC"/>
    <w:rsid w:val="00B46B36"/>
    <w:rsid w:val="00B56AF8"/>
    <w:rsid w:val="00B57B9C"/>
    <w:rsid w:val="00B637A0"/>
    <w:rsid w:val="00B760C4"/>
    <w:rsid w:val="00B77816"/>
    <w:rsid w:val="00BA2589"/>
    <w:rsid w:val="00BD74C8"/>
    <w:rsid w:val="00BE212A"/>
    <w:rsid w:val="00BF14CF"/>
    <w:rsid w:val="00BF4CFA"/>
    <w:rsid w:val="00C0480C"/>
    <w:rsid w:val="00C67C9D"/>
    <w:rsid w:val="00C77721"/>
    <w:rsid w:val="00CA3E94"/>
    <w:rsid w:val="00CA5738"/>
    <w:rsid w:val="00CD3FD9"/>
    <w:rsid w:val="00CE15CF"/>
    <w:rsid w:val="00CF0796"/>
    <w:rsid w:val="00CF0E45"/>
    <w:rsid w:val="00CF1FC7"/>
    <w:rsid w:val="00D00DC6"/>
    <w:rsid w:val="00D126F0"/>
    <w:rsid w:val="00D16753"/>
    <w:rsid w:val="00D17551"/>
    <w:rsid w:val="00D27284"/>
    <w:rsid w:val="00D27E92"/>
    <w:rsid w:val="00D30DD8"/>
    <w:rsid w:val="00D411FC"/>
    <w:rsid w:val="00D6260F"/>
    <w:rsid w:val="00D664AC"/>
    <w:rsid w:val="00D732C7"/>
    <w:rsid w:val="00D80D99"/>
    <w:rsid w:val="00D909E8"/>
    <w:rsid w:val="00D9435D"/>
    <w:rsid w:val="00D9563B"/>
    <w:rsid w:val="00DA2F74"/>
    <w:rsid w:val="00DA6251"/>
    <w:rsid w:val="00DC02D8"/>
    <w:rsid w:val="00DC1CC8"/>
    <w:rsid w:val="00DC5960"/>
    <w:rsid w:val="00E01945"/>
    <w:rsid w:val="00E11B99"/>
    <w:rsid w:val="00E1542F"/>
    <w:rsid w:val="00E1686A"/>
    <w:rsid w:val="00E35B5F"/>
    <w:rsid w:val="00E37109"/>
    <w:rsid w:val="00E4138E"/>
    <w:rsid w:val="00E420C5"/>
    <w:rsid w:val="00E533E0"/>
    <w:rsid w:val="00E65FBD"/>
    <w:rsid w:val="00E748EB"/>
    <w:rsid w:val="00E86411"/>
    <w:rsid w:val="00EC0E0D"/>
    <w:rsid w:val="00EC5704"/>
    <w:rsid w:val="00ED73EE"/>
    <w:rsid w:val="00EE76C4"/>
    <w:rsid w:val="00EF71B6"/>
    <w:rsid w:val="00F045B5"/>
    <w:rsid w:val="00F1079F"/>
    <w:rsid w:val="00F42CC4"/>
    <w:rsid w:val="00F577A7"/>
    <w:rsid w:val="00F63D60"/>
    <w:rsid w:val="00F81B65"/>
    <w:rsid w:val="00F85BA5"/>
    <w:rsid w:val="00FA641C"/>
    <w:rsid w:val="00FC7616"/>
    <w:rsid w:val="00FD688B"/>
    <w:rsid w:val="00FF456D"/>
    <w:rsid w:val="00FF57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1356">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3137000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69596307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2818120">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microsoft.com/office/2011/relationships/commentsExtended" Target="commentsExtended.xml"/><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polioeradication.org/Keycountri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027170C-E721-443E-BC14-4AD46A008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2016-08-25T12:42:00Z</dcterms:created>
  <dcterms:modified xsi:type="dcterms:W3CDTF">2016-08-25T12:42:00Z</dcterms:modified>
</cp:coreProperties>
</file>