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4C44D" w14:textId="77777777" w:rsidR="00B93354" w:rsidRPr="00C27BB5" w:rsidRDefault="00B93354" w:rsidP="00B93354">
      <w:pPr>
        <w:jc w:val="center"/>
        <w:rPr>
          <w:b/>
          <w:sz w:val="40"/>
          <w:szCs w:val="40"/>
        </w:rPr>
      </w:pPr>
      <w:r w:rsidRPr="00C27BB5">
        <w:rPr>
          <w:b/>
          <w:sz w:val="40"/>
          <w:szCs w:val="40"/>
        </w:rPr>
        <w:t>Global Vaccine Action Plan</w:t>
      </w:r>
    </w:p>
    <w:p w14:paraId="3AFBAA78" w14:textId="77777777" w:rsidR="00B93354" w:rsidRDefault="00B93354" w:rsidP="00B93354">
      <w:pPr>
        <w:jc w:val="center"/>
        <w:rPr>
          <w:i/>
          <w:sz w:val="40"/>
          <w:szCs w:val="40"/>
        </w:rPr>
      </w:pPr>
      <w:r w:rsidRPr="00C27BB5">
        <w:rPr>
          <w:i/>
          <w:sz w:val="40"/>
          <w:szCs w:val="40"/>
        </w:rPr>
        <w:t>Secretariat Annual Report 2016</w:t>
      </w:r>
    </w:p>
    <w:p w14:paraId="63C79808" w14:textId="77777777" w:rsidR="00B93354" w:rsidRDefault="00B93354" w:rsidP="00B93354">
      <w:pPr>
        <w:jc w:val="center"/>
        <w:rPr>
          <w:i/>
          <w:sz w:val="40"/>
          <w:szCs w:val="40"/>
        </w:rPr>
      </w:pPr>
      <w:r>
        <w:rPr>
          <w:i/>
          <w:sz w:val="40"/>
          <w:szCs w:val="40"/>
        </w:rPr>
        <w:t>Priority C</w:t>
      </w:r>
      <w:r w:rsidRPr="00C27BB5">
        <w:rPr>
          <w:i/>
          <w:sz w:val="40"/>
          <w:szCs w:val="40"/>
        </w:rPr>
        <w:t xml:space="preserve">ountry report on progress towards </w:t>
      </w:r>
    </w:p>
    <w:p w14:paraId="7B204DF5" w14:textId="77777777" w:rsidR="00B93354" w:rsidRPr="00C27BB5" w:rsidRDefault="00B93354" w:rsidP="00B93354">
      <w:pPr>
        <w:jc w:val="center"/>
        <w:rPr>
          <w:i/>
          <w:sz w:val="40"/>
          <w:szCs w:val="40"/>
        </w:rPr>
      </w:pPr>
      <w:r>
        <w:rPr>
          <w:i/>
          <w:sz w:val="40"/>
          <w:szCs w:val="40"/>
        </w:rPr>
        <w:t>GVAP-RVAP</w:t>
      </w:r>
      <w:r w:rsidRPr="00C27BB5">
        <w:rPr>
          <w:i/>
          <w:sz w:val="40"/>
          <w:szCs w:val="40"/>
        </w:rPr>
        <w:t xml:space="preserve"> goals </w:t>
      </w:r>
    </w:p>
    <w:p w14:paraId="215BB527" w14:textId="77777777" w:rsidR="00B93354" w:rsidRDefault="00B93354" w:rsidP="00B93354">
      <w:pPr>
        <w:jc w:val="center"/>
        <w:rPr>
          <w:rFonts w:ascii="Arial" w:hAnsi="Arial"/>
          <w:b/>
          <w:sz w:val="32"/>
        </w:rPr>
      </w:pPr>
    </w:p>
    <w:p w14:paraId="1EDFED1D" w14:textId="383B1A86" w:rsidR="00B93354" w:rsidRDefault="00B93354" w:rsidP="003A6CF9">
      <w:pPr>
        <w:jc w:val="center"/>
        <w:rPr>
          <w:rFonts w:ascii="Arial" w:hAnsi="Arial" w:cs="Arial"/>
          <w:b/>
          <w:sz w:val="32"/>
          <w:lang w:val="en-US"/>
        </w:rPr>
      </w:pPr>
      <w:r>
        <w:rPr>
          <w:rFonts w:ascii="Arial" w:hAnsi="Arial"/>
          <w:b/>
          <w:sz w:val="36"/>
        </w:rPr>
        <w:t>INDONESIA</w:t>
      </w:r>
    </w:p>
    <w:p w14:paraId="0F982F21" w14:textId="77777777" w:rsidR="00B93354" w:rsidRDefault="00B93354" w:rsidP="003A6CF9">
      <w:pPr>
        <w:jc w:val="center"/>
        <w:rPr>
          <w:rFonts w:ascii="Arial" w:hAnsi="Arial" w:cs="Arial"/>
          <w:b/>
          <w:sz w:val="32"/>
          <w:lang w:val="en-US"/>
        </w:rPr>
      </w:pPr>
    </w:p>
    <w:p w14:paraId="1D623B59" w14:textId="77777777" w:rsidR="00457E0A" w:rsidRPr="003A6CF9" w:rsidRDefault="00457E0A" w:rsidP="00457E0A">
      <w:pPr>
        <w:pStyle w:val="ListParagraph"/>
        <w:numPr>
          <w:ilvl w:val="0"/>
          <w:numId w:val="3"/>
        </w:numPr>
        <w:rPr>
          <w:rFonts w:ascii="Arial" w:hAnsi="Arial" w:cs="Arial"/>
          <w:b/>
          <w:sz w:val="26"/>
          <w:szCs w:val="26"/>
        </w:rPr>
      </w:pPr>
      <w:r w:rsidRPr="003A6CF9">
        <w:rPr>
          <w:rFonts w:ascii="Arial" w:hAnsi="Arial" w:cs="Arial"/>
          <w:b/>
          <w:sz w:val="26"/>
          <w:szCs w:val="26"/>
        </w:rPr>
        <w:t xml:space="preserve">Progress towards achievement of GVAP goals </w:t>
      </w:r>
    </w:p>
    <w:p w14:paraId="5C8B88FE" w14:textId="77777777" w:rsidR="00457E0A" w:rsidRPr="00457E0A" w:rsidRDefault="00457E0A" w:rsidP="00457E0A">
      <w:pPr>
        <w:pStyle w:val="ListParagraph"/>
        <w:rPr>
          <w:rFonts w:ascii="Arial" w:hAnsi="Arial" w:cs="Arial"/>
          <w:b/>
        </w:rPr>
      </w:pPr>
    </w:p>
    <w:p w14:paraId="701352EF" w14:textId="77777777" w:rsidR="00163179" w:rsidRDefault="00C67C9D" w:rsidP="00163179">
      <w:pPr>
        <w:pStyle w:val="ListParagraph"/>
        <w:numPr>
          <w:ilvl w:val="0"/>
          <w:numId w:val="1"/>
        </w:numPr>
        <w:rPr>
          <w:rFonts w:ascii="Arial" w:hAnsi="Arial" w:cs="Arial"/>
          <w:b/>
        </w:rPr>
      </w:pPr>
      <w:r>
        <w:rPr>
          <w:rFonts w:ascii="Arial" w:hAnsi="Arial" w:cs="Arial"/>
          <w:b/>
        </w:rPr>
        <w:t xml:space="preserve">Summary </w:t>
      </w:r>
    </w:p>
    <w:p w14:paraId="2A48FB84" w14:textId="0C137287" w:rsidR="00BA2589" w:rsidRDefault="00BA2589" w:rsidP="003D5A80">
      <w:pPr>
        <w:rPr>
          <w:rFonts w:ascii="Arial" w:hAnsi="Arial" w:cs="Arial"/>
        </w:rPr>
      </w:pPr>
      <w:r w:rsidRPr="0000352E">
        <w:rPr>
          <w:rFonts w:ascii="Arial" w:hAnsi="Arial" w:cs="Arial"/>
        </w:rPr>
        <w:t xml:space="preserve">This </w:t>
      </w:r>
      <w:r w:rsidR="006C334B">
        <w:rPr>
          <w:rFonts w:ascii="Arial" w:hAnsi="Arial" w:cs="Arial"/>
        </w:rPr>
        <w:t xml:space="preserve">summary table describes </w:t>
      </w:r>
      <w:r w:rsidRPr="0000352E">
        <w:rPr>
          <w:rFonts w:ascii="Arial" w:hAnsi="Arial" w:cs="Arial"/>
        </w:rPr>
        <w:t xml:space="preserve">the current situation in </w:t>
      </w:r>
      <w:r w:rsidR="003D5A80">
        <w:rPr>
          <w:rFonts w:ascii="Arial" w:hAnsi="Arial" w:cs="Arial"/>
        </w:rPr>
        <w:t xml:space="preserve">Indonesia </w:t>
      </w:r>
      <w:r w:rsidRPr="0000352E">
        <w:rPr>
          <w:rFonts w:ascii="Arial" w:hAnsi="Arial" w:cs="Arial"/>
        </w:rPr>
        <w:t>regarding achieving the GVAP goals.</w:t>
      </w:r>
      <w:r w:rsidR="00492F98">
        <w:rPr>
          <w:rFonts w:ascii="Arial" w:hAnsi="Arial" w:cs="Arial"/>
        </w:rPr>
        <w:t xml:space="preserve"> </w:t>
      </w:r>
      <w:r w:rsidR="00500171">
        <w:rPr>
          <w:rFonts w:ascii="Arial" w:hAnsi="Arial" w:cs="Arial"/>
        </w:rPr>
        <w:t>D</w:t>
      </w:r>
      <w:r w:rsidR="00696E6A">
        <w:rPr>
          <w:rFonts w:ascii="Arial" w:hAnsi="Arial" w:cs="Arial"/>
        </w:rPr>
        <w:t xml:space="preserve">ata </w:t>
      </w:r>
      <w:r w:rsidR="00E11B99">
        <w:rPr>
          <w:rFonts w:ascii="Arial" w:hAnsi="Arial" w:cs="Arial"/>
        </w:rPr>
        <w:t xml:space="preserve">used to assess progress towards achievement of </w:t>
      </w:r>
      <w:r w:rsidR="00696E6A">
        <w:rPr>
          <w:rFonts w:ascii="Arial" w:hAnsi="Arial" w:cs="Arial"/>
        </w:rPr>
        <w:t xml:space="preserve">GVAP goals </w:t>
      </w:r>
      <w:r w:rsidR="003A6CF9">
        <w:rPr>
          <w:rFonts w:ascii="Arial" w:hAnsi="Arial" w:cs="Arial"/>
        </w:rPr>
        <w:t>can be found</w:t>
      </w:r>
      <w:r w:rsidR="00696E6A">
        <w:rPr>
          <w:rFonts w:ascii="Arial" w:hAnsi="Arial" w:cs="Arial"/>
        </w:rPr>
        <w:t xml:space="preserve"> in the annex.</w:t>
      </w:r>
    </w:p>
    <w:tbl>
      <w:tblPr>
        <w:tblW w:w="9291" w:type="dxa"/>
        <w:jc w:val="center"/>
        <w:tblLook w:val="04A0" w:firstRow="1" w:lastRow="0" w:firstColumn="1" w:lastColumn="0" w:noHBand="0" w:noVBand="1"/>
      </w:tblPr>
      <w:tblGrid>
        <w:gridCol w:w="3201"/>
        <w:gridCol w:w="3880"/>
        <w:gridCol w:w="2210"/>
      </w:tblGrid>
      <w:tr w:rsidR="00A44EBD" w:rsidRPr="00A44EBD" w14:paraId="5DA54860" w14:textId="77777777" w:rsidTr="00F246CA">
        <w:trPr>
          <w:trHeight w:val="675"/>
          <w:tblHeader/>
          <w:jc w:val="center"/>
        </w:trPr>
        <w:tc>
          <w:tcPr>
            <w:tcW w:w="32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41D87C" w14:textId="77777777" w:rsidR="00A44EBD" w:rsidRPr="00A44EBD" w:rsidRDefault="00A44EBD" w:rsidP="00A44EBD">
            <w:pPr>
              <w:spacing w:after="0" w:line="240" w:lineRule="auto"/>
              <w:rPr>
                <w:rFonts w:ascii="Calibri" w:eastAsia="Times New Roman" w:hAnsi="Calibri" w:cs="Calibri"/>
                <w:b/>
                <w:bCs/>
                <w:color w:val="000000"/>
                <w:sz w:val="28"/>
                <w:szCs w:val="28"/>
                <w:lang w:eastAsia="en-GB"/>
              </w:rPr>
            </w:pPr>
            <w:r w:rsidRPr="00A44EBD">
              <w:rPr>
                <w:rFonts w:ascii="Calibri" w:eastAsia="Times New Roman" w:hAnsi="Calibri" w:cs="Calibri"/>
                <w:b/>
                <w:bCs/>
                <w:color w:val="000000"/>
                <w:sz w:val="28"/>
                <w:szCs w:val="28"/>
                <w:lang w:eastAsia="en-GB"/>
              </w:rPr>
              <w:t>Area</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701B07DA" w14:textId="77777777" w:rsidR="00A44EBD" w:rsidRPr="00A44EBD" w:rsidRDefault="00A44EBD" w:rsidP="00A44EBD">
            <w:pPr>
              <w:spacing w:after="0" w:line="240" w:lineRule="auto"/>
              <w:rPr>
                <w:rFonts w:ascii="Calibri" w:eastAsia="Times New Roman" w:hAnsi="Calibri" w:cs="Calibri"/>
                <w:b/>
                <w:bCs/>
                <w:color w:val="000000"/>
                <w:sz w:val="28"/>
                <w:szCs w:val="28"/>
                <w:lang w:eastAsia="en-GB"/>
              </w:rPr>
            </w:pPr>
            <w:r w:rsidRPr="00A44EBD">
              <w:rPr>
                <w:rFonts w:ascii="Calibri" w:eastAsia="Times New Roman" w:hAnsi="Calibri" w:cs="Calibri"/>
                <w:b/>
                <w:bCs/>
                <w:color w:val="000000"/>
                <w:sz w:val="28"/>
                <w:szCs w:val="28"/>
                <w:lang w:eastAsia="en-GB"/>
              </w:rPr>
              <w:t>Indicator</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14:paraId="68DF67FD" w14:textId="77777777" w:rsidR="00A44EBD" w:rsidRPr="00A44EBD" w:rsidRDefault="00A44EBD" w:rsidP="00A44EBD">
            <w:pPr>
              <w:spacing w:after="0" w:line="240" w:lineRule="auto"/>
              <w:jc w:val="center"/>
              <w:rPr>
                <w:rFonts w:ascii="Calibri" w:eastAsia="Times New Roman" w:hAnsi="Calibri" w:cs="Calibri"/>
                <w:b/>
                <w:bCs/>
                <w:color w:val="000000"/>
                <w:sz w:val="28"/>
                <w:szCs w:val="28"/>
                <w:lang w:eastAsia="en-GB"/>
              </w:rPr>
            </w:pPr>
            <w:r w:rsidRPr="00A44EBD">
              <w:rPr>
                <w:rFonts w:ascii="Calibri" w:eastAsia="Times New Roman" w:hAnsi="Calibri" w:cs="Calibri"/>
                <w:b/>
                <w:bCs/>
                <w:color w:val="000000"/>
                <w:sz w:val="28"/>
                <w:szCs w:val="28"/>
                <w:lang w:eastAsia="en-GB"/>
              </w:rPr>
              <w:t>Indonesia</w:t>
            </w:r>
          </w:p>
        </w:tc>
      </w:tr>
      <w:tr w:rsidR="00F50BE1" w:rsidRPr="00A44EBD" w14:paraId="42F90C0B" w14:textId="77777777" w:rsidTr="00F246CA">
        <w:trPr>
          <w:trHeight w:val="300"/>
          <w:jc w:val="center"/>
        </w:trPr>
        <w:tc>
          <w:tcPr>
            <w:tcW w:w="3201" w:type="dxa"/>
            <w:vMerge w:val="restart"/>
            <w:tcBorders>
              <w:top w:val="nil"/>
              <w:left w:val="single" w:sz="4" w:space="0" w:color="auto"/>
              <w:right w:val="single" w:sz="4" w:space="0" w:color="auto"/>
            </w:tcBorders>
            <w:shd w:val="clear" w:color="000000" w:fill="F2DCDB"/>
            <w:hideMark/>
          </w:tcPr>
          <w:p w14:paraId="732E707B" w14:textId="77777777" w:rsidR="00F50BE1" w:rsidRPr="00A44EBD" w:rsidRDefault="00F50BE1" w:rsidP="00F246CA">
            <w:pPr>
              <w:spacing w:after="0" w:line="240" w:lineRule="auto"/>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3. Measles Elimination</w:t>
            </w:r>
          </w:p>
        </w:tc>
        <w:tc>
          <w:tcPr>
            <w:tcW w:w="3880" w:type="dxa"/>
            <w:tcBorders>
              <w:top w:val="nil"/>
              <w:left w:val="nil"/>
              <w:bottom w:val="single" w:sz="4" w:space="0" w:color="auto"/>
              <w:right w:val="single" w:sz="4" w:space="0" w:color="auto"/>
            </w:tcBorders>
            <w:shd w:val="clear" w:color="000000" w:fill="F2DCDB"/>
            <w:vAlign w:val="center"/>
            <w:hideMark/>
          </w:tcPr>
          <w:p w14:paraId="579E255D" w14:textId="7A74506B" w:rsidR="00F50BE1" w:rsidRPr="00A44EBD" w:rsidRDefault="00F50BE1" w:rsidP="00F246CA">
            <w:pPr>
              <w:spacing w:after="0" w:line="240" w:lineRule="auto"/>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Coverage MCV1 (WUENIC</w:t>
            </w:r>
            <w:r>
              <w:rPr>
                <w:rFonts w:ascii="Calibri" w:eastAsia="Times New Roman" w:hAnsi="Calibri" w:cs="Calibri"/>
                <w:b/>
                <w:bCs/>
                <w:color w:val="000000"/>
                <w:lang w:eastAsia="en-GB"/>
              </w:rPr>
              <w:t xml:space="preserve"> 2015</w:t>
            </w:r>
            <w:r w:rsidRPr="00A44EBD">
              <w:rPr>
                <w:rFonts w:ascii="Calibri" w:eastAsia="Times New Roman" w:hAnsi="Calibri" w:cs="Calibri"/>
                <w:b/>
                <w:bCs/>
                <w:color w:val="000000"/>
                <w:lang w:eastAsia="en-GB"/>
              </w:rPr>
              <w:t>)</w:t>
            </w:r>
          </w:p>
        </w:tc>
        <w:tc>
          <w:tcPr>
            <w:tcW w:w="2210" w:type="dxa"/>
            <w:tcBorders>
              <w:top w:val="nil"/>
              <w:left w:val="nil"/>
              <w:bottom w:val="single" w:sz="4" w:space="0" w:color="auto"/>
              <w:right w:val="single" w:sz="4" w:space="0" w:color="auto"/>
            </w:tcBorders>
            <w:shd w:val="clear" w:color="000000" w:fill="FF0000"/>
            <w:vAlign w:val="center"/>
            <w:hideMark/>
          </w:tcPr>
          <w:p w14:paraId="3B122A99" w14:textId="188035DB" w:rsidR="00F50BE1" w:rsidRPr="00A44EBD" w:rsidRDefault="00176857" w:rsidP="00A44EBD">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69</w:t>
            </w:r>
            <w:r w:rsidR="00F50BE1" w:rsidRPr="00A44EBD">
              <w:rPr>
                <w:rFonts w:ascii="Calibri" w:eastAsia="Times New Roman" w:hAnsi="Calibri" w:cs="Calibri"/>
                <w:b/>
                <w:bCs/>
                <w:color w:val="000000"/>
                <w:lang w:eastAsia="en-GB"/>
              </w:rPr>
              <w:t>%</w:t>
            </w:r>
          </w:p>
        </w:tc>
      </w:tr>
      <w:tr w:rsidR="00F50BE1" w:rsidRPr="00A44EBD" w14:paraId="5412AD9A" w14:textId="77777777" w:rsidTr="00482432">
        <w:trPr>
          <w:trHeight w:val="300"/>
          <w:jc w:val="center"/>
        </w:trPr>
        <w:tc>
          <w:tcPr>
            <w:tcW w:w="3201" w:type="dxa"/>
            <w:vMerge/>
            <w:tcBorders>
              <w:left w:val="single" w:sz="4" w:space="0" w:color="auto"/>
              <w:right w:val="single" w:sz="4" w:space="0" w:color="auto"/>
            </w:tcBorders>
            <w:shd w:val="clear" w:color="000000" w:fill="F2DCDB"/>
            <w:vAlign w:val="center"/>
          </w:tcPr>
          <w:p w14:paraId="674FE161" w14:textId="49CE9E48" w:rsidR="00F50BE1" w:rsidRPr="00A44EBD" w:rsidRDefault="00F50BE1" w:rsidP="00A44EBD">
            <w:pPr>
              <w:spacing w:after="0" w:line="240" w:lineRule="auto"/>
              <w:rPr>
                <w:rFonts w:ascii="Calibri" w:eastAsia="Times New Roman" w:hAnsi="Calibri" w:cs="Calibri"/>
                <w:b/>
                <w:bCs/>
                <w:color w:val="000000"/>
                <w:lang w:eastAsia="en-GB"/>
              </w:rPr>
            </w:pPr>
          </w:p>
        </w:tc>
        <w:tc>
          <w:tcPr>
            <w:tcW w:w="3880" w:type="dxa"/>
            <w:tcBorders>
              <w:top w:val="nil"/>
              <w:left w:val="nil"/>
              <w:bottom w:val="single" w:sz="4" w:space="0" w:color="auto"/>
              <w:right w:val="single" w:sz="4" w:space="0" w:color="auto"/>
            </w:tcBorders>
            <w:shd w:val="clear" w:color="000000" w:fill="F2DCDB"/>
            <w:vAlign w:val="center"/>
            <w:hideMark/>
          </w:tcPr>
          <w:p w14:paraId="7E8628D7" w14:textId="77777777" w:rsidR="00F50BE1" w:rsidRPr="00A44EBD" w:rsidRDefault="00F50BE1" w:rsidP="00A44EBD">
            <w:pPr>
              <w:spacing w:after="0" w:line="240" w:lineRule="auto"/>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 xml:space="preserve">Coverage MCV2 </w:t>
            </w:r>
          </w:p>
        </w:tc>
        <w:tc>
          <w:tcPr>
            <w:tcW w:w="2210" w:type="dxa"/>
            <w:tcBorders>
              <w:top w:val="nil"/>
              <w:left w:val="nil"/>
              <w:bottom w:val="single" w:sz="4" w:space="0" w:color="auto"/>
              <w:right w:val="single" w:sz="4" w:space="0" w:color="auto"/>
            </w:tcBorders>
            <w:shd w:val="clear" w:color="000000" w:fill="FFC000"/>
            <w:vAlign w:val="center"/>
            <w:hideMark/>
          </w:tcPr>
          <w:p w14:paraId="6900859C" w14:textId="086F96C9" w:rsidR="00F50BE1" w:rsidRPr="00A44EBD" w:rsidRDefault="00F50BE1" w:rsidP="00F246CA">
            <w:pPr>
              <w:spacing w:after="0" w:line="240" w:lineRule="auto"/>
              <w:jc w:val="center"/>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7</w:t>
            </w:r>
            <w:r>
              <w:rPr>
                <w:rFonts w:ascii="Calibri" w:eastAsia="Times New Roman" w:hAnsi="Calibri" w:cs="Calibri"/>
                <w:b/>
                <w:bCs/>
                <w:color w:val="000000"/>
                <w:lang w:eastAsia="en-GB"/>
              </w:rPr>
              <w:t>6</w:t>
            </w:r>
            <w:r w:rsidRPr="00A44EBD">
              <w:rPr>
                <w:rFonts w:ascii="Calibri" w:eastAsia="Times New Roman" w:hAnsi="Calibri" w:cs="Calibri"/>
                <w:b/>
                <w:bCs/>
                <w:color w:val="000000"/>
                <w:lang w:eastAsia="en-GB"/>
              </w:rPr>
              <w:t>%</w:t>
            </w:r>
          </w:p>
        </w:tc>
      </w:tr>
      <w:tr w:rsidR="00F50BE1" w:rsidRPr="00A44EBD" w14:paraId="0C58E1B8" w14:textId="77777777" w:rsidTr="00482432">
        <w:trPr>
          <w:trHeight w:val="600"/>
          <w:jc w:val="center"/>
        </w:trPr>
        <w:tc>
          <w:tcPr>
            <w:tcW w:w="3201" w:type="dxa"/>
            <w:vMerge/>
            <w:tcBorders>
              <w:left w:val="single" w:sz="4" w:space="0" w:color="auto"/>
              <w:right w:val="single" w:sz="4" w:space="0" w:color="auto"/>
            </w:tcBorders>
            <w:shd w:val="clear" w:color="000000" w:fill="F2DCDB"/>
            <w:vAlign w:val="center"/>
          </w:tcPr>
          <w:p w14:paraId="6B9AD76B" w14:textId="169B18AF" w:rsidR="00F50BE1" w:rsidRPr="00A44EBD" w:rsidRDefault="00F50BE1" w:rsidP="00A44EBD">
            <w:pPr>
              <w:spacing w:after="0" w:line="240" w:lineRule="auto"/>
              <w:rPr>
                <w:rFonts w:ascii="Calibri" w:eastAsia="Times New Roman" w:hAnsi="Calibri" w:cs="Calibri"/>
                <w:b/>
                <w:bCs/>
                <w:color w:val="000000"/>
                <w:lang w:eastAsia="en-GB"/>
              </w:rPr>
            </w:pPr>
          </w:p>
        </w:tc>
        <w:tc>
          <w:tcPr>
            <w:tcW w:w="3880" w:type="dxa"/>
            <w:tcBorders>
              <w:top w:val="nil"/>
              <w:left w:val="nil"/>
              <w:bottom w:val="single" w:sz="4" w:space="0" w:color="auto"/>
              <w:right w:val="single" w:sz="4" w:space="0" w:color="auto"/>
            </w:tcBorders>
            <w:shd w:val="clear" w:color="000000" w:fill="F2DCDB"/>
            <w:vAlign w:val="center"/>
            <w:hideMark/>
          </w:tcPr>
          <w:p w14:paraId="2E4701FC" w14:textId="512AE1EC" w:rsidR="00F50BE1" w:rsidRPr="00A44EBD" w:rsidRDefault="00F50BE1" w:rsidP="00F246CA">
            <w:pPr>
              <w:spacing w:after="0" w:line="240" w:lineRule="auto"/>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 xml:space="preserve">Percentage of districts with MCV1 coverage </w:t>
            </w:r>
            <w:r>
              <w:rPr>
                <w:rFonts w:ascii="Calibri" w:eastAsia="Times New Roman" w:hAnsi="Calibri" w:cs="Calibri"/>
                <w:b/>
                <w:bCs/>
                <w:color w:val="000000"/>
                <w:lang w:eastAsia="en-GB"/>
              </w:rPr>
              <w:t>≥</w:t>
            </w:r>
            <w:r w:rsidRPr="00A44EBD">
              <w:rPr>
                <w:rFonts w:ascii="Calibri" w:eastAsia="Times New Roman" w:hAnsi="Calibri" w:cs="Calibri"/>
                <w:b/>
                <w:bCs/>
                <w:color w:val="000000"/>
                <w:lang w:eastAsia="en-GB"/>
              </w:rPr>
              <w:t>95% (2015 JRF)</w:t>
            </w:r>
          </w:p>
        </w:tc>
        <w:tc>
          <w:tcPr>
            <w:tcW w:w="2210" w:type="dxa"/>
            <w:tcBorders>
              <w:top w:val="nil"/>
              <w:left w:val="nil"/>
              <w:bottom w:val="single" w:sz="4" w:space="0" w:color="auto"/>
              <w:right w:val="single" w:sz="4" w:space="0" w:color="auto"/>
            </w:tcBorders>
            <w:shd w:val="clear" w:color="000000" w:fill="FF0000"/>
            <w:vAlign w:val="center"/>
            <w:hideMark/>
          </w:tcPr>
          <w:p w14:paraId="1DE24409" w14:textId="77777777" w:rsidR="00F50BE1" w:rsidRPr="00A44EBD" w:rsidRDefault="00F50BE1" w:rsidP="00A44EBD">
            <w:pPr>
              <w:spacing w:after="0" w:line="240" w:lineRule="auto"/>
              <w:jc w:val="center"/>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39%</w:t>
            </w:r>
          </w:p>
        </w:tc>
      </w:tr>
      <w:tr w:rsidR="00F50BE1" w:rsidRPr="00A44EBD" w14:paraId="178F1B98" w14:textId="77777777" w:rsidTr="00482432">
        <w:trPr>
          <w:trHeight w:val="300"/>
          <w:jc w:val="center"/>
        </w:trPr>
        <w:tc>
          <w:tcPr>
            <w:tcW w:w="3201" w:type="dxa"/>
            <w:vMerge/>
            <w:tcBorders>
              <w:left w:val="single" w:sz="4" w:space="0" w:color="auto"/>
              <w:right w:val="single" w:sz="4" w:space="0" w:color="auto"/>
            </w:tcBorders>
            <w:shd w:val="clear" w:color="000000" w:fill="F2DCDB"/>
            <w:vAlign w:val="center"/>
          </w:tcPr>
          <w:p w14:paraId="48D7F828" w14:textId="7529FB77" w:rsidR="00F50BE1" w:rsidRPr="00A44EBD" w:rsidRDefault="00F50BE1" w:rsidP="00A44EBD">
            <w:pPr>
              <w:spacing w:after="0" w:line="240" w:lineRule="auto"/>
              <w:rPr>
                <w:rFonts w:ascii="Calibri" w:eastAsia="Times New Roman" w:hAnsi="Calibri" w:cs="Calibri"/>
                <w:b/>
                <w:bCs/>
                <w:color w:val="000000"/>
                <w:lang w:eastAsia="en-GB"/>
              </w:rPr>
            </w:pPr>
          </w:p>
        </w:tc>
        <w:tc>
          <w:tcPr>
            <w:tcW w:w="3880" w:type="dxa"/>
            <w:tcBorders>
              <w:top w:val="nil"/>
              <w:left w:val="nil"/>
              <w:bottom w:val="single" w:sz="4" w:space="0" w:color="auto"/>
              <w:right w:val="single" w:sz="4" w:space="0" w:color="auto"/>
            </w:tcBorders>
            <w:shd w:val="clear" w:color="000000" w:fill="F2DCDB"/>
            <w:hideMark/>
          </w:tcPr>
          <w:p w14:paraId="2057E5BC" w14:textId="77777777" w:rsidR="00F50BE1" w:rsidRPr="00A44EBD" w:rsidRDefault="00F50BE1" w:rsidP="00F50BE1">
            <w:pPr>
              <w:spacing w:after="0" w:line="240" w:lineRule="auto"/>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Last national SIA</w:t>
            </w:r>
          </w:p>
        </w:tc>
        <w:tc>
          <w:tcPr>
            <w:tcW w:w="2210" w:type="dxa"/>
            <w:tcBorders>
              <w:top w:val="nil"/>
              <w:left w:val="nil"/>
              <w:bottom w:val="single" w:sz="4" w:space="0" w:color="auto"/>
              <w:right w:val="single" w:sz="4" w:space="0" w:color="auto"/>
            </w:tcBorders>
            <w:shd w:val="clear" w:color="000000" w:fill="FF0000"/>
            <w:vAlign w:val="center"/>
            <w:hideMark/>
          </w:tcPr>
          <w:p w14:paraId="3A24243D" w14:textId="717FDE09" w:rsidR="00F50BE1" w:rsidRPr="00A44EBD" w:rsidRDefault="00F50BE1" w:rsidP="00F246CA">
            <w:pPr>
              <w:spacing w:after="0" w:line="240" w:lineRule="auto"/>
              <w:jc w:val="center"/>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200</w:t>
            </w:r>
            <w:r>
              <w:rPr>
                <w:rFonts w:ascii="Calibri" w:eastAsia="Times New Roman" w:hAnsi="Calibri" w:cs="Calibri"/>
                <w:b/>
                <w:bCs/>
                <w:color w:val="000000"/>
                <w:lang w:eastAsia="en-GB"/>
              </w:rPr>
              <w:t>9-2011. SIAs in 183 high-risk districts planned for August 2016</w:t>
            </w:r>
          </w:p>
        </w:tc>
      </w:tr>
      <w:tr w:rsidR="00F50BE1" w:rsidRPr="00A44EBD" w14:paraId="66A7FC8B" w14:textId="77777777" w:rsidTr="00482432">
        <w:trPr>
          <w:trHeight w:val="300"/>
          <w:jc w:val="center"/>
        </w:trPr>
        <w:tc>
          <w:tcPr>
            <w:tcW w:w="3201" w:type="dxa"/>
            <w:vMerge/>
            <w:tcBorders>
              <w:left w:val="single" w:sz="4" w:space="0" w:color="auto"/>
              <w:bottom w:val="single" w:sz="4" w:space="0" w:color="auto"/>
              <w:right w:val="single" w:sz="4" w:space="0" w:color="auto"/>
            </w:tcBorders>
            <w:shd w:val="clear" w:color="000000" w:fill="F2DCDB"/>
            <w:vAlign w:val="center"/>
          </w:tcPr>
          <w:p w14:paraId="68224B1E" w14:textId="66A0F12D" w:rsidR="00F50BE1" w:rsidRPr="00A44EBD" w:rsidRDefault="00F50BE1" w:rsidP="00A44EBD">
            <w:pPr>
              <w:spacing w:after="0" w:line="240" w:lineRule="auto"/>
              <w:rPr>
                <w:rFonts w:ascii="Calibri" w:eastAsia="Times New Roman" w:hAnsi="Calibri" w:cs="Calibri"/>
                <w:b/>
                <w:bCs/>
                <w:color w:val="000000"/>
                <w:lang w:eastAsia="en-GB"/>
              </w:rPr>
            </w:pPr>
          </w:p>
        </w:tc>
        <w:tc>
          <w:tcPr>
            <w:tcW w:w="3880" w:type="dxa"/>
            <w:tcBorders>
              <w:top w:val="nil"/>
              <w:left w:val="nil"/>
              <w:bottom w:val="single" w:sz="4" w:space="0" w:color="auto"/>
              <w:right w:val="single" w:sz="4" w:space="0" w:color="auto"/>
            </w:tcBorders>
            <w:shd w:val="clear" w:color="000000" w:fill="F2DCDB"/>
            <w:vAlign w:val="center"/>
            <w:hideMark/>
          </w:tcPr>
          <w:p w14:paraId="06A8A0E2" w14:textId="77777777" w:rsidR="00F50BE1" w:rsidRPr="00A44EBD" w:rsidRDefault="00F50BE1" w:rsidP="00A44EBD">
            <w:pPr>
              <w:spacing w:after="0" w:line="240" w:lineRule="auto"/>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Post SIA coverage survey conducted</w:t>
            </w:r>
          </w:p>
        </w:tc>
        <w:tc>
          <w:tcPr>
            <w:tcW w:w="2210" w:type="dxa"/>
            <w:tcBorders>
              <w:top w:val="nil"/>
              <w:left w:val="nil"/>
              <w:bottom w:val="single" w:sz="4" w:space="0" w:color="auto"/>
              <w:right w:val="single" w:sz="4" w:space="0" w:color="auto"/>
            </w:tcBorders>
            <w:shd w:val="clear" w:color="000000" w:fill="FF0000"/>
            <w:vAlign w:val="center"/>
            <w:hideMark/>
          </w:tcPr>
          <w:p w14:paraId="77111D8F" w14:textId="77777777" w:rsidR="00F50BE1" w:rsidRPr="00A44EBD" w:rsidRDefault="00F50BE1" w:rsidP="00A44EBD">
            <w:pPr>
              <w:spacing w:after="0" w:line="240" w:lineRule="auto"/>
              <w:jc w:val="center"/>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No</w:t>
            </w:r>
          </w:p>
        </w:tc>
      </w:tr>
    </w:tbl>
    <w:p w14:paraId="27143977" w14:textId="62E66320" w:rsidR="00F96307" w:rsidRDefault="00A96DBE" w:rsidP="00F96307">
      <w:pPr>
        <w:rPr>
          <w:rFonts w:ascii="Arial" w:hAnsi="Arial" w:cs="Arial"/>
          <w:b/>
        </w:rPr>
      </w:pPr>
      <w:r w:rsidRPr="00A96DBE">
        <w:rPr>
          <w:rFonts w:ascii="Arial" w:hAnsi="Arial" w:cs="Arial"/>
          <w:b/>
        </w:rPr>
        <w:t>3.2.2</w:t>
      </w:r>
      <w:r>
        <w:rPr>
          <w:rFonts w:ascii="Arial" w:hAnsi="Arial" w:cs="Arial"/>
          <w:b/>
        </w:rPr>
        <w:t xml:space="preserve"> </w:t>
      </w:r>
      <w:r w:rsidRPr="00A96DBE">
        <w:rPr>
          <w:rFonts w:ascii="Arial" w:hAnsi="Arial" w:cs="Arial"/>
          <w:b/>
        </w:rPr>
        <w:t>Achieve measles elimination and rubella &amp; CRS elimination</w:t>
      </w:r>
    </w:p>
    <w:p w14:paraId="3B75A348" w14:textId="1C80E55C" w:rsidR="00A96DBE" w:rsidRPr="00A96DBE" w:rsidRDefault="00A96DBE" w:rsidP="00F96307">
      <w:pPr>
        <w:rPr>
          <w:rFonts w:ascii="Arial" w:hAnsi="Arial" w:cs="Arial"/>
          <w:b/>
        </w:rPr>
      </w:pPr>
      <w:r w:rsidRPr="00A96DBE">
        <w:rPr>
          <w:rFonts w:ascii="Arial" w:hAnsi="Arial" w:cs="Arial"/>
          <w:b/>
        </w:rPr>
        <w:t>Measles</w:t>
      </w:r>
    </w:p>
    <w:p w14:paraId="1C5A5A9F" w14:textId="2E7ACB25" w:rsidR="00511B8A" w:rsidRPr="00A96DBE" w:rsidRDefault="00A96DBE" w:rsidP="00F96307">
      <w:pPr>
        <w:rPr>
          <w:rFonts w:ascii="Arial" w:hAnsi="Arial" w:cs="Arial"/>
          <w:u w:val="single"/>
        </w:rPr>
      </w:pPr>
      <w:r w:rsidRPr="00A96DBE">
        <w:rPr>
          <w:rFonts w:ascii="Arial" w:hAnsi="Arial" w:cs="Arial"/>
          <w:u w:val="single"/>
        </w:rPr>
        <w:t>Is the GVAP target achieved?</w:t>
      </w:r>
    </w:p>
    <w:p w14:paraId="2B05E723" w14:textId="6FC1D5BB" w:rsidR="00A96DBE" w:rsidRDefault="00A96DBE" w:rsidP="00F96307">
      <w:pPr>
        <w:rPr>
          <w:rFonts w:ascii="Arial" w:hAnsi="Arial" w:cs="Arial"/>
        </w:rPr>
      </w:pPr>
      <w:r>
        <w:rPr>
          <w:rFonts w:ascii="Arial" w:hAnsi="Arial" w:cs="Arial"/>
        </w:rPr>
        <w:t>While measles incidence has declined significantly since the 1990s and early 2000s, Indonesia continues to experience measles transmission, with between 8,400 and around 22,000 cases reported each year on the Joint Report Format from 2010 to 2014</w:t>
      </w:r>
      <w:r>
        <w:rPr>
          <w:rStyle w:val="FootnoteReference"/>
          <w:rFonts w:ascii="Arial" w:hAnsi="Arial" w:cs="Arial"/>
        </w:rPr>
        <w:footnoteReference w:id="1"/>
      </w:r>
      <w:r>
        <w:rPr>
          <w:rFonts w:ascii="Arial" w:hAnsi="Arial" w:cs="Arial"/>
        </w:rPr>
        <w:t xml:space="preserve"> and 65 to </w:t>
      </w:r>
      <w:r>
        <w:rPr>
          <w:rFonts w:ascii="Arial" w:hAnsi="Arial" w:cs="Arial"/>
        </w:rPr>
        <w:lastRenderedPageBreak/>
        <w:t>251 lab-confirmed outbreaks.</w:t>
      </w:r>
      <w:r>
        <w:rPr>
          <w:rStyle w:val="FootnoteReference"/>
          <w:rFonts w:ascii="Arial" w:hAnsi="Arial" w:cs="Arial"/>
        </w:rPr>
        <w:footnoteReference w:id="2"/>
      </w:r>
      <w:r w:rsidR="00490107">
        <w:rPr>
          <w:rFonts w:ascii="Arial" w:hAnsi="Arial" w:cs="Arial"/>
        </w:rPr>
        <w:t xml:space="preserve"> Measles incidence seems to have declined in 2015, with only 26 lab-confirmed outbreaks and 818 reported cases – by far the lowest in many years.</w:t>
      </w:r>
    </w:p>
    <w:p w14:paraId="17E60E5D" w14:textId="5B41E942" w:rsidR="00490107" w:rsidRDefault="00490107" w:rsidP="00F96307">
      <w:pPr>
        <w:rPr>
          <w:rFonts w:ascii="Arial" w:hAnsi="Arial" w:cs="Arial"/>
        </w:rPr>
      </w:pPr>
      <w:r>
        <w:rPr>
          <w:rFonts w:ascii="Arial" w:hAnsi="Arial" w:cs="Arial"/>
        </w:rPr>
        <w:t>To control the disease, the NIP conducted a national measles catch-up vaccination campaign for children 9 months to 15 years in phases between 2005 and 2007. Follow-up campaigns for children under five – combined with polio vaccination – took place from 2009 to 2011 in three phases. Once the country shifted its goal from measles control to measles elimination, it introduced case-based surveillance in a phase manner (starting in 2008), added measles vaccination to the schedule for first graders through the school-based BIAS program, and in 2013 added a second measles dose at 24 months to the routine immunization schedule (the third dose for school children will be phased out).</w:t>
      </w:r>
    </w:p>
    <w:p w14:paraId="0A9E806A" w14:textId="22558075" w:rsidR="00490107" w:rsidRDefault="00490107" w:rsidP="00F96307">
      <w:pPr>
        <w:rPr>
          <w:rFonts w:ascii="Arial" w:hAnsi="Arial" w:cs="Arial"/>
        </w:rPr>
      </w:pPr>
      <w:r>
        <w:rPr>
          <w:rFonts w:ascii="Arial" w:hAnsi="Arial" w:cs="Arial"/>
        </w:rPr>
        <w:t>To meet the 2020 target date for measles elimination, the NIP will be conducting “crash” vaccination campaigns in August 2016 in 183 high-risk districts identified through the surveillance system for four million children 9-59 months old. This will be followed by GAVI-supported national measles-rubella (MR) campaigns for children nine months to 15 years in 2017 and 2018</w:t>
      </w:r>
      <w:r w:rsidR="0074468E">
        <w:rPr>
          <w:rFonts w:ascii="Arial" w:hAnsi="Arial" w:cs="Arial"/>
        </w:rPr>
        <w:t xml:space="preserve"> targeting over 70 million children.</w:t>
      </w:r>
    </w:p>
    <w:p w14:paraId="1737A574" w14:textId="58697948" w:rsidR="00490107" w:rsidRPr="00490107" w:rsidRDefault="00490107" w:rsidP="00F96307">
      <w:pPr>
        <w:rPr>
          <w:rFonts w:ascii="Arial" w:hAnsi="Arial" w:cs="Arial"/>
          <w:u w:val="single"/>
        </w:rPr>
      </w:pPr>
      <w:r w:rsidRPr="00490107">
        <w:rPr>
          <w:rFonts w:ascii="Arial" w:hAnsi="Arial" w:cs="Arial"/>
          <w:u w:val="single"/>
        </w:rPr>
        <w:t>Key issues affecting progress towards measles elimination</w:t>
      </w:r>
    </w:p>
    <w:p w14:paraId="4CD31214" w14:textId="084DBBB7" w:rsidR="00490107" w:rsidRDefault="00490107" w:rsidP="00F96307">
      <w:pPr>
        <w:rPr>
          <w:rFonts w:ascii="Arial" w:hAnsi="Arial" w:cs="Arial"/>
        </w:rPr>
      </w:pPr>
      <w:r>
        <w:rPr>
          <w:rFonts w:ascii="Arial" w:hAnsi="Arial" w:cs="Arial"/>
        </w:rPr>
        <w:t>There are two main challenges to achieving measles elimination by 2020 in Indonesia:</w:t>
      </w:r>
    </w:p>
    <w:p w14:paraId="615EAE33" w14:textId="54FA01F9" w:rsidR="00490107" w:rsidRDefault="00490107" w:rsidP="00C611F3">
      <w:pPr>
        <w:pStyle w:val="ListParagraph"/>
        <w:numPr>
          <w:ilvl w:val="0"/>
          <w:numId w:val="30"/>
        </w:numPr>
        <w:contextualSpacing w:val="0"/>
        <w:rPr>
          <w:rFonts w:ascii="Arial" w:hAnsi="Arial" w:cs="Arial"/>
        </w:rPr>
      </w:pPr>
      <w:r w:rsidRPr="003D2D68">
        <w:rPr>
          <w:rFonts w:ascii="Arial" w:hAnsi="Arial" w:cs="Arial"/>
          <w:b/>
        </w:rPr>
        <w:t>Insufficient case-based measles surveillance</w:t>
      </w:r>
      <w:r>
        <w:rPr>
          <w:rFonts w:ascii="Arial" w:hAnsi="Arial" w:cs="Arial"/>
        </w:rPr>
        <w:t>. The joint EPI/surveillance review conducted in 2013 found that</w:t>
      </w:r>
      <w:r w:rsidR="00D92C16">
        <w:rPr>
          <w:rFonts w:ascii="Arial" w:hAnsi="Arial" w:cs="Arial"/>
        </w:rPr>
        <w:t xml:space="preserve"> the implementation of case-based measles surveillance has been uneven. The review found evidence of unreported measles outbreaks, as well as suspected outbreaks that were not investigated (accounting for 12% of all suspected outbreaks in 2013).</w:t>
      </w:r>
      <w:r w:rsidR="00D92C16">
        <w:rPr>
          <w:rStyle w:val="FootnoteReference"/>
          <w:rFonts w:ascii="Arial" w:hAnsi="Arial" w:cs="Arial"/>
        </w:rPr>
        <w:footnoteReference w:id="3"/>
      </w:r>
      <w:r w:rsidR="00D92C16">
        <w:rPr>
          <w:rFonts w:ascii="Arial" w:hAnsi="Arial" w:cs="Arial"/>
        </w:rPr>
        <w:t xml:space="preserve"> Only around 16-26% of suspected cases each year between 2010 and 2013 were lab-tested,</w:t>
      </w:r>
      <w:r w:rsidR="00D92C16">
        <w:rPr>
          <w:rStyle w:val="FootnoteReference"/>
          <w:rFonts w:ascii="Arial" w:hAnsi="Arial" w:cs="Arial"/>
        </w:rPr>
        <w:footnoteReference w:id="4"/>
      </w:r>
      <w:r w:rsidR="00D92C16">
        <w:rPr>
          <w:rFonts w:ascii="Arial" w:hAnsi="Arial" w:cs="Arial"/>
        </w:rPr>
        <w:t xml:space="preserve"> due in part to insufficient funding to test all individual cases (the NIHRD lab continues to rely on WHO funds for testing specimens).</w:t>
      </w:r>
    </w:p>
    <w:p w14:paraId="6969C106" w14:textId="423E672E" w:rsidR="00D92C16" w:rsidRDefault="00D92C16" w:rsidP="00C611F3">
      <w:pPr>
        <w:pStyle w:val="ListParagraph"/>
        <w:numPr>
          <w:ilvl w:val="0"/>
          <w:numId w:val="30"/>
        </w:numPr>
        <w:contextualSpacing w:val="0"/>
        <w:rPr>
          <w:rFonts w:ascii="Arial" w:hAnsi="Arial" w:cs="Arial"/>
        </w:rPr>
      </w:pPr>
      <w:r w:rsidRPr="003D2D68">
        <w:rPr>
          <w:rFonts w:ascii="Arial" w:hAnsi="Arial" w:cs="Arial"/>
          <w:b/>
          <w:lang w:val="en-US"/>
        </w:rPr>
        <w:t>Lackluster</w:t>
      </w:r>
      <w:r w:rsidRPr="003D2D68">
        <w:rPr>
          <w:rFonts w:ascii="Arial" w:hAnsi="Arial" w:cs="Arial"/>
          <w:b/>
        </w:rPr>
        <w:t xml:space="preserve"> measles coverage rates</w:t>
      </w:r>
      <w:r w:rsidR="003576C4">
        <w:rPr>
          <w:rFonts w:ascii="Arial" w:hAnsi="Arial" w:cs="Arial"/>
          <w:b/>
        </w:rPr>
        <w:t xml:space="preserve"> and pockets of low coverage</w:t>
      </w:r>
      <w:r>
        <w:rPr>
          <w:rFonts w:ascii="Arial" w:hAnsi="Arial" w:cs="Arial"/>
        </w:rPr>
        <w:t>. According to the WUENIC estimates, coverage rates for a single measles vaccine dose have not improved significantly in the past ten years and have declined somewhat in the past four years (from 82% in 2012 to 72% in 2015)</w:t>
      </w:r>
      <w:r>
        <w:rPr>
          <w:rStyle w:val="FootnoteReference"/>
          <w:rFonts w:ascii="Arial" w:hAnsi="Arial" w:cs="Arial"/>
        </w:rPr>
        <w:footnoteReference w:id="5"/>
      </w:r>
      <w:r>
        <w:rPr>
          <w:rFonts w:ascii="Arial" w:hAnsi="Arial" w:cs="Arial"/>
        </w:rPr>
        <w:t xml:space="preserve"> (see Figure 2). </w:t>
      </w:r>
      <w:r w:rsidR="003D2D68">
        <w:rPr>
          <w:rFonts w:ascii="Arial" w:hAnsi="Arial" w:cs="Arial"/>
        </w:rPr>
        <w:t xml:space="preserve">(Coverage with the dose given to six year olds in school (referred to as MCV2 in the figure) appears to be greater than that of the infant dose.) </w:t>
      </w:r>
      <w:r>
        <w:rPr>
          <w:rFonts w:ascii="Arial" w:hAnsi="Arial" w:cs="Arial"/>
        </w:rPr>
        <w:t xml:space="preserve">Measles coverage rates also vary widely by province; the 2013 </w:t>
      </w:r>
      <w:proofErr w:type="spellStart"/>
      <w:r>
        <w:rPr>
          <w:rFonts w:ascii="Arial" w:hAnsi="Arial" w:cs="Arial"/>
        </w:rPr>
        <w:t>Riskesdas</w:t>
      </w:r>
      <w:proofErr w:type="spellEnd"/>
      <w:r>
        <w:rPr>
          <w:rFonts w:ascii="Arial" w:hAnsi="Arial" w:cs="Arial"/>
        </w:rPr>
        <w:t xml:space="preserve"> survey found that provincial coverage rates among 12-23 month olds ranged from 57% to 94%.</w:t>
      </w:r>
      <w:r w:rsidR="003D2D68">
        <w:rPr>
          <w:rFonts w:ascii="Arial" w:hAnsi="Arial" w:cs="Arial"/>
        </w:rPr>
        <w:t xml:space="preserve"> </w:t>
      </w:r>
      <w:proofErr w:type="gramStart"/>
      <w:r w:rsidR="003D2D68">
        <w:rPr>
          <w:rFonts w:ascii="Arial" w:hAnsi="Arial" w:cs="Arial"/>
        </w:rPr>
        <w:t>This points</w:t>
      </w:r>
      <w:proofErr w:type="gramEnd"/>
      <w:r w:rsidR="003D2D68">
        <w:rPr>
          <w:rFonts w:ascii="Arial" w:hAnsi="Arial" w:cs="Arial"/>
        </w:rPr>
        <w:t xml:space="preserve"> to a need to improve the delivery of vaccination to infants through the routine immunization program. Issues concerning the routine program are discussed in the next section.</w:t>
      </w:r>
      <w:r w:rsidR="0074468E">
        <w:rPr>
          <w:rFonts w:ascii="Arial" w:hAnsi="Arial" w:cs="Arial"/>
        </w:rPr>
        <w:t xml:space="preserve"> </w:t>
      </w:r>
    </w:p>
    <w:p w14:paraId="7CC47B1A" w14:textId="77777777" w:rsidR="00B156D0" w:rsidRPr="00F91610" w:rsidRDefault="00B156D0" w:rsidP="00B156D0">
      <w:pPr>
        <w:pStyle w:val="Caption"/>
        <w:rPr>
          <w:rFonts w:ascii="Arial" w:hAnsi="Arial" w:cs="Arial"/>
          <w:b w:val="0"/>
          <w:color w:val="auto"/>
          <w:sz w:val="22"/>
        </w:rPr>
      </w:pPr>
      <w:bookmarkStart w:id="0" w:name="_GoBack"/>
      <w:bookmarkEnd w:id="0"/>
      <w:r w:rsidRPr="00F91610">
        <w:rPr>
          <w:rFonts w:ascii="Arial" w:hAnsi="Arial" w:cs="Arial"/>
          <w:color w:val="auto"/>
          <w:sz w:val="22"/>
        </w:rPr>
        <w:lastRenderedPageBreak/>
        <w:t xml:space="preserve">Figure </w:t>
      </w:r>
      <w:r w:rsidRPr="00F91610">
        <w:rPr>
          <w:rFonts w:ascii="Arial" w:hAnsi="Arial" w:cs="Arial"/>
          <w:color w:val="auto"/>
          <w:sz w:val="22"/>
        </w:rPr>
        <w:fldChar w:fldCharType="begin"/>
      </w:r>
      <w:r w:rsidRPr="00F91610">
        <w:rPr>
          <w:rFonts w:ascii="Arial" w:hAnsi="Arial" w:cs="Arial"/>
          <w:color w:val="auto"/>
          <w:sz w:val="22"/>
        </w:rPr>
        <w:instrText xml:space="preserve"> SEQ Figure \* ARABIC </w:instrText>
      </w:r>
      <w:r w:rsidRPr="00F91610">
        <w:rPr>
          <w:rFonts w:ascii="Arial" w:hAnsi="Arial" w:cs="Arial"/>
          <w:color w:val="auto"/>
          <w:sz w:val="22"/>
        </w:rPr>
        <w:fldChar w:fldCharType="separate"/>
      </w:r>
      <w:r>
        <w:rPr>
          <w:rFonts w:ascii="Arial" w:hAnsi="Arial" w:cs="Arial"/>
          <w:noProof/>
          <w:color w:val="auto"/>
          <w:sz w:val="22"/>
        </w:rPr>
        <w:t>2</w:t>
      </w:r>
      <w:r w:rsidRPr="00F91610">
        <w:rPr>
          <w:rFonts w:ascii="Arial" w:hAnsi="Arial" w:cs="Arial"/>
          <w:color w:val="auto"/>
          <w:sz w:val="22"/>
        </w:rPr>
        <w:fldChar w:fldCharType="end"/>
      </w:r>
      <w:r w:rsidRPr="00F91610">
        <w:rPr>
          <w:rFonts w:ascii="Arial" w:hAnsi="Arial" w:cs="Arial"/>
          <w:color w:val="auto"/>
          <w:sz w:val="22"/>
        </w:rPr>
        <w:t>: Measles vaccination coverage rates and measles cases, 1980 to 2015, WUENIC estimates</w:t>
      </w:r>
      <w:r w:rsidRPr="00F91610">
        <w:rPr>
          <w:rStyle w:val="FootnoteReference"/>
          <w:rFonts w:ascii="Arial" w:hAnsi="Arial" w:cs="Arial"/>
          <w:color w:val="auto"/>
          <w:sz w:val="22"/>
        </w:rPr>
        <w:footnoteReference w:id="6"/>
      </w:r>
    </w:p>
    <w:p w14:paraId="4321C69A" w14:textId="18B38524" w:rsidR="003E4E4C" w:rsidRPr="00B156D0" w:rsidRDefault="00B156D0" w:rsidP="00B156D0">
      <w:pPr>
        <w:pStyle w:val="ListParagraph"/>
        <w:numPr>
          <w:ilvl w:val="0"/>
          <w:numId w:val="30"/>
        </w:numPr>
        <w:rPr>
          <w:rFonts w:ascii="Arial" w:hAnsi="Arial" w:cs="Arial"/>
          <w:b/>
        </w:rPr>
      </w:pPr>
      <w:r w:rsidRPr="003D2D68">
        <w:rPr>
          <w:noProof/>
          <w:lang w:eastAsia="zh-CN"/>
        </w:rPr>
        <w:drawing>
          <wp:inline distT="0" distB="0" distL="0" distR="0" wp14:anchorId="3A0770BF" wp14:editId="4A7D31D8">
            <wp:extent cx="4337926" cy="3086100"/>
            <wp:effectExtent l="19050" t="19050" r="2476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2584" cy="3089414"/>
                    </a:xfrm>
                    <a:prstGeom prst="rect">
                      <a:avLst/>
                    </a:prstGeom>
                    <a:noFill/>
                    <a:ln>
                      <a:solidFill>
                        <a:schemeClr val="tx1"/>
                      </a:solidFill>
                    </a:ln>
                  </pic:spPr>
                </pic:pic>
              </a:graphicData>
            </a:graphic>
          </wp:inline>
        </w:drawing>
      </w:r>
      <w:r w:rsidR="003E4E4C" w:rsidRPr="00B156D0">
        <w:rPr>
          <w:rFonts w:ascii="Arial" w:hAnsi="Arial" w:cs="Arial"/>
          <w:b/>
        </w:rPr>
        <w:br w:type="page"/>
      </w:r>
    </w:p>
    <w:p w14:paraId="2DF56EBA" w14:textId="0B72833F" w:rsidR="006E0769" w:rsidRDefault="006E0769" w:rsidP="006E0769">
      <w:pPr>
        <w:rPr>
          <w:rFonts w:ascii="Arial" w:hAnsi="Arial" w:cs="Arial"/>
          <w:b/>
          <w:sz w:val="24"/>
        </w:rPr>
      </w:pPr>
      <w:r>
        <w:rPr>
          <w:rFonts w:ascii="Arial" w:hAnsi="Arial" w:cs="Arial"/>
          <w:b/>
          <w:sz w:val="24"/>
        </w:rPr>
        <w:lastRenderedPageBreak/>
        <w:t>ANNEXES</w:t>
      </w:r>
    </w:p>
    <w:p w14:paraId="73F2A4F3" w14:textId="77777777" w:rsidR="006E0769" w:rsidRDefault="006E0769" w:rsidP="006E0769">
      <w:pPr>
        <w:pStyle w:val="ListParagraph"/>
        <w:numPr>
          <w:ilvl w:val="0"/>
          <w:numId w:val="22"/>
        </w:numPr>
        <w:rPr>
          <w:b/>
          <w:bCs/>
          <w:sz w:val="24"/>
          <w:szCs w:val="24"/>
        </w:rPr>
      </w:pPr>
      <w:r>
        <w:rPr>
          <w:b/>
          <w:bCs/>
          <w:sz w:val="24"/>
          <w:szCs w:val="24"/>
        </w:rPr>
        <w:t>Measles and rubella</w:t>
      </w:r>
    </w:p>
    <w:p w14:paraId="270643E9" w14:textId="7206449F" w:rsidR="0009631A" w:rsidRPr="0009631A" w:rsidRDefault="0009631A" w:rsidP="0009631A">
      <w:pPr>
        <w:pStyle w:val="Caption"/>
        <w:rPr>
          <w:rFonts w:ascii="Arial" w:hAnsi="Arial" w:cs="Arial"/>
          <w:color w:val="auto"/>
          <w:sz w:val="22"/>
          <w:szCs w:val="22"/>
        </w:rPr>
      </w:pPr>
      <w:r w:rsidRPr="0009631A">
        <w:rPr>
          <w:rFonts w:ascii="Arial" w:hAnsi="Arial" w:cs="Arial"/>
          <w:color w:val="auto"/>
          <w:sz w:val="22"/>
          <w:szCs w:val="22"/>
        </w:rPr>
        <w:t xml:space="preserve">Figure </w:t>
      </w:r>
      <w:r w:rsidRPr="0009631A">
        <w:rPr>
          <w:rFonts w:ascii="Arial" w:hAnsi="Arial" w:cs="Arial"/>
          <w:color w:val="auto"/>
          <w:sz w:val="22"/>
          <w:szCs w:val="22"/>
        </w:rPr>
        <w:fldChar w:fldCharType="begin"/>
      </w:r>
      <w:r w:rsidRPr="0009631A">
        <w:rPr>
          <w:rFonts w:ascii="Arial" w:hAnsi="Arial" w:cs="Arial"/>
          <w:color w:val="auto"/>
          <w:sz w:val="22"/>
          <w:szCs w:val="22"/>
        </w:rPr>
        <w:instrText xml:space="preserve"> SEQ Figure \* ARABIC </w:instrText>
      </w:r>
      <w:r w:rsidRPr="0009631A">
        <w:rPr>
          <w:rFonts w:ascii="Arial" w:hAnsi="Arial" w:cs="Arial"/>
          <w:color w:val="auto"/>
          <w:sz w:val="22"/>
          <w:szCs w:val="22"/>
        </w:rPr>
        <w:fldChar w:fldCharType="separate"/>
      </w:r>
      <w:r w:rsidR="00841F8B">
        <w:rPr>
          <w:rFonts w:ascii="Arial" w:hAnsi="Arial" w:cs="Arial"/>
          <w:noProof/>
          <w:color w:val="auto"/>
          <w:sz w:val="22"/>
          <w:szCs w:val="22"/>
        </w:rPr>
        <w:t>4</w:t>
      </w:r>
      <w:r w:rsidRPr="0009631A">
        <w:rPr>
          <w:rFonts w:ascii="Arial" w:hAnsi="Arial" w:cs="Arial"/>
          <w:color w:val="auto"/>
          <w:sz w:val="22"/>
          <w:szCs w:val="22"/>
        </w:rPr>
        <w:fldChar w:fldCharType="end"/>
      </w:r>
      <w:r w:rsidRPr="0009631A">
        <w:rPr>
          <w:rFonts w:ascii="Arial" w:hAnsi="Arial" w:cs="Arial"/>
          <w:color w:val="auto"/>
          <w:sz w:val="22"/>
          <w:szCs w:val="22"/>
        </w:rPr>
        <w:t>: Reported Measles cases and MCV coverage WHO-UNICEF estimates, Indonesia, 1990-2015</w:t>
      </w:r>
    </w:p>
    <w:p w14:paraId="3EAF0274" w14:textId="1B662A3F" w:rsidR="006E0769" w:rsidRDefault="00E00963" w:rsidP="006E0769">
      <w:pPr>
        <w:rPr>
          <w:b/>
          <w:bCs/>
          <w:sz w:val="32"/>
          <w:szCs w:val="32"/>
        </w:rPr>
      </w:pPr>
      <w:r>
        <w:rPr>
          <w:b/>
          <w:bCs/>
          <w:noProof/>
          <w:sz w:val="32"/>
          <w:szCs w:val="32"/>
          <w:lang w:eastAsia="zh-CN"/>
        </w:rPr>
        <w:drawing>
          <wp:inline distT="0" distB="0" distL="0" distR="0" wp14:anchorId="7392A7AE" wp14:editId="0C2AECDC">
            <wp:extent cx="5731510" cy="3223974"/>
            <wp:effectExtent l="0" t="0" r="2540" b="0"/>
            <wp:docPr id="8" name="Picture 8" descr="\\sauer\data\AdHoc\Coverage\Laure\IDNMCV1_MCV2_MEAS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auer\data\AdHoc\Coverage\Laure\IDNMCV1_MCV2_MEASL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3017A07B" w14:textId="77777777" w:rsidR="00767C0F" w:rsidRDefault="00767C0F" w:rsidP="00E00963">
      <w:pPr>
        <w:rPr>
          <w:b/>
        </w:rPr>
      </w:pPr>
    </w:p>
    <w:p w14:paraId="6C1E2302" w14:textId="75AAB9FD" w:rsidR="00E00963" w:rsidRPr="00767C0F" w:rsidRDefault="00767C0F" w:rsidP="00767C0F">
      <w:pPr>
        <w:pStyle w:val="Caption"/>
        <w:rPr>
          <w:rFonts w:ascii="Arial" w:hAnsi="Arial" w:cs="Arial"/>
          <w:color w:val="auto"/>
          <w:sz w:val="22"/>
          <w:szCs w:val="22"/>
        </w:rPr>
      </w:pPr>
      <w:r w:rsidRPr="00767C0F">
        <w:rPr>
          <w:rFonts w:ascii="Arial" w:hAnsi="Arial" w:cs="Arial"/>
          <w:color w:val="auto"/>
          <w:sz w:val="22"/>
          <w:szCs w:val="22"/>
        </w:rPr>
        <w:t xml:space="preserve">Table </w:t>
      </w:r>
      <w:r w:rsidRPr="00767C0F">
        <w:rPr>
          <w:rFonts w:ascii="Arial" w:hAnsi="Arial" w:cs="Arial"/>
          <w:color w:val="auto"/>
          <w:sz w:val="22"/>
          <w:szCs w:val="22"/>
        </w:rPr>
        <w:fldChar w:fldCharType="begin"/>
      </w:r>
      <w:r w:rsidRPr="00767C0F">
        <w:rPr>
          <w:rFonts w:ascii="Arial" w:hAnsi="Arial" w:cs="Arial"/>
          <w:color w:val="auto"/>
          <w:sz w:val="22"/>
          <w:szCs w:val="22"/>
        </w:rPr>
        <w:instrText xml:space="preserve"> SEQ Table \* ARABIC </w:instrText>
      </w:r>
      <w:r w:rsidRPr="00767C0F">
        <w:rPr>
          <w:rFonts w:ascii="Arial" w:hAnsi="Arial" w:cs="Arial"/>
          <w:color w:val="auto"/>
          <w:sz w:val="22"/>
          <w:szCs w:val="22"/>
        </w:rPr>
        <w:fldChar w:fldCharType="separate"/>
      </w:r>
      <w:r>
        <w:rPr>
          <w:rFonts w:ascii="Arial" w:hAnsi="Arial" w:cs="Arial"/>
          <w:noProof/>
          <w:color w:val="auto"/>
          <w:sz w:val="22"/>
          <w:szCs w:val="22"/>
        </w:rPr>
        <w:t>1</w:t>
      </w:r>
      <w:r w:rsidRPr="00767C0F">
        <w:rPr>
          <w:rFonts w:ascii="Arial" w:hAnsi="Arial" w:cs="Arial"/>
          <w:color w:val="auto"/>
          <w:sz w:val="22"/>
          <w:szCs w:val="22"/>
        </w:rPr>
        <w:fldChar w:fldCharType="end"/>
      </w:r>
      <w:r w:rsidRPr="00767C0F">
        <w:rPr>
          <w:rFonts w:ascii="Arial" w:hAnsi="Arial" w:cs="Arial"/>
          <w:color w:val="auto"/>
          <w:sz w:val="22"/>
          <w:szCs w:val="22"/>
        </w:rPr>
        <w:t xml:space="preserve">: </w:t>
      </w:r>
      <w:r w:rsidR="006E0769" w:rsidRPr="00767C0F">
        <w:rPr>
          <w:rFonts w:ascii="Arial" w:hAnsi="Arial" w:cs="Arial"/>
          <w:color w:val="auto"/>
          <w:sz w:val="22"/>
          <w:szCs w:val="22"/>
        </w:rPr>
        <w:t>SIA activities planned in 2016-2017</w:t>
      </w:r>
    </w:p>
    <w:tbl>
      <w:tblPr>
        <w:tblStyle w:val="TableGrid"/>
        <w:tblW w:w="9810" w:type="dxa"/>
        <w:tblInd w:w="-252" w:type="dxa"/>
        <w:tblLook w:val="04A0" w:firstRow="1" w:lastRow="0" w:firstColumn="1" w:lastColumn="0" w:noHBand="0" w:noVBand="1"/>
      </w:tblPr>
      <w:tblGrid>
        <w:gridCol w:w="1193"/>
        <w:gridCol w:w="1358"/>
        <w:gridCol w:w="804"/>
        <w:gridCol w:w="1298"/>
        <w:gridCol w:w="942"/>
        <w:gridCol w:w="1076"/>
        <w:gridCol w:w="999"/>
        <w:gridCol w:w="962"/>
        <w:gridCol w:w="1365"/>
      </w:tblGrid>
      <w:tr w:rsidR="00E00963" w:rsidRPr="00E00963" w14:paraId="7512700A" w14:textId="77777777" w:rsidTr="003D6DEA">
        <w:trPr>
          <w:trHeight w:val="255"/>
        </w:trPr>
        <w:tc>
          <w:tcPr>
            <w:tcW w:w="1193" w:type="dxa"/>
            <w:noWrap/>
            <w:hideMark/>
          </w:tcPr>
          <w:p w14:paraId="243E3528" w14:textId="77777777" w:rsidR="00E00963" w:rsidRPr="00E00963" w:rsidRDefault="00E00963" w:rsidP="00E00963">
            <w:pPr>
              <w:rPr>
                <w:b/>
              </w:rPr>
            </w:pPr>
            <w:r w:rsidRPr="00E00963">
              <w:rPr>
                <w:b/>
              </w:rPr>
              <w:t>Activity</w:t>
            </w:r>
          </w:p>
        </w:tc>
        <w:tc>
          <w:tcPr>
            <w:tcW w:w="1281" w:type="dxa"/>
            <w:noWrap/>
            <w:hideMark/>
          </w:tcPr>
          <w:p w14:paraId="0189FC14" w14:textId="77777777" w:rsidR="00E00963" w:rsidRPr="00E00963" w:rsidRDefault="00E00963" w:rsidP="00E00963">
            <w:pPr>
              <w:rPr>
                <w:b/>
              </w:rPr>
            </w:pPr>
            <w:r w:rsidRPr="00E00963">
              <w:rPr>
                <w:b/>
              </w:rPr>
              <w:t>Intervention</w:t>
            </w:r>
          </w:p>
        </w:tc>
        <w:tc>
          <w:tcPr>
            <w:tcW w:w="804" w:type="dxa"/>
            <w:noWrap/>
            <w:hideMark/>
          </w:tcPr>
          <w:p w14:paraId="259835C0" w14:textId="77777777" w:rsidR="00E00963" w:rsidRPr="00E00963" w:rsidRDefault="00E00963" w:rsidP="00E00963">
            <w:pPr>
              <w:rPr>
                <w:b/>
              </w:rPr>
            </w:pPr>
            <w:r w:rsidRPr="00E00963">
              <w:rPr>
                <w:b/>
              </w:rPr>
              <w:t>Year</w:t>
            </w:r>
          </w:p>
        </w:tc>
        <w:tc>
          <w:tcPr>
            <w:tcW w:w="1280" w:type="dxa"/>
            <w:noWrap/>
            <w:hideMark/>
          </w:tcPr>
          <w:p w14:paraId="5B52E037" w14:textId="32A162F4" w:rsidR="00E00963" w:rsidRPr="00E00963" w:rsidRDefault="00E00963" w:rsidP="00E00963">
            <w:pPr>
              <w:rPr>
                <w:b/>
              </w:rPr>
            </w:pPr>
            <w:r w:rsidRPr="00E00963">
              <w:rPr>
                <w:b/>
              </w:rPr>
              <w:t>Start</w:t>
            </w:r>
            <w:r w:rsidR="003D6DEA">
              <w:rPr>
                <w:b/>
              </w:rPr>
              <w:t xml:space="preserve"> </w:t>
            </w:r>
            <w:r w:rsidRPr="00E00963">
              <w:rPr>
                <w:b/>
              </w:rPr>
              <w:t>Date</w:t>
            </w:r>
          </w:p>
        </w:tc>
        <w:tc>
          <w:tcPr>
            <w:tcW w:w="942" w:type="dxa"/>
            <w:noWrap/>
            <w:hideMark/>
          </w:tcPr>
          <w:p w14:paraId="15707EAE" w14:textId="745DF4BE" w:rsidR="00E00963" w:rsidRPr="00E00963" w:rsidRDefault="00E00963" w:rsidP="00E00963">
            <w:pPr>
              <w:rPr>
                <w:b/>
              </w:rPr>
            </w:pPr>
            <w:r w:rsidRPr="00E00963">
              <w:rPr>
                <w:b/>
              </w:rPr>
              <w:t>End</w:t>
            </w:r>
            <w:r w:rsidR="003D6DEA">
              <w:rPr>
                <w:b/>
              </w:rPr>
              <w:t xml:space="preserve"> </w:t>
            </w:r>
            <w:r w:rsidRPr="00E00963">
              <w:rPr>
                <w:b/>
              </w:rPr>
              <w:t>Date</w:t>
            </w:r>
          </w:p>
        </w:tc>
        <w:tc>
          <w:tcPr>
            <w:tcW w:w="1076" w:type="dxa"/>
            <w:noWrap/>
            <w:hideMark/>
          </w:tcPr>
          <w:p w14:paraId="17B8892B" w14:textId="53830F83" w:rsidR="00E00963" w:rsidRPr="00E00963" w:rsidRDefault="00E00963" w:rsidP="00E00963">
            <w:pPr>
              <w:rPr>
                <w:b/>
              </w:rPr>
            </w:pPr>
            <w:r w:rsidRPr="00E00963">
              <w:rPr>
                <w:b/>
              </w:rPr>
              <w:t>Age</w:t>
            </w:r>
            <w:r w:rsidR="003D6DEA">
              <w:rPr>
                <w:b/>
              </w:rPr>
              <w:t xml:space="preserve"> </w:t>
            </w:r>
            <w:r w:rsidRPr="00E00963">
              <w:rPr>
                <w:b/>
              </w:rPr>
              <w:t>Group</w:t>
            </w:r>
          </w:p>
        </w:tc>
        <w:tc>
          <w:tcPr>
            <w:tcW w:w="957" w:type="dxa"/>
            <w:noWrap/>
            <w:hideMark/>
          </w:tcPr>
          <w:p w14:paraId="1D72F3B1" w14:textId="77777777" w:rsidR="00E00963" w:rsidRPr="00E00963" w:rsidRDefault="00E00963" w:rsidP="00E00963">
            <w:pPr>
              <w:rPr>
                <w:b/>
              </w:rPr>
            </w:pPr>
            <w:r w:rsidRPr="00E00963">
              <w:rPr>
                <w:b/>
              </w:rPr>
              <w:t>Extent</w:t>
            </w:r>
          </w:p>
        </w:tc>
        <w:tc>
          <w:tcPr>
            <w:tcW w:w="912" w:type="dxa"/>
            <w:noWrap/>
            <w:hideMark/>
          </w:tcPr>
          <w:p w14:paraId="5DFB8233" w14:textId="77777777" w:rsidR="00E00963" w:rsidRPr="00E00963" w:rsidRDefault="00E00963" w:rsidP="00E00963">
            <w:pPr>
              <w:rPr>
                <w:b/>
              </w:rPr>
            </w:pPr>
            <w:r w:rsidRPr="00E00963">
              <w:rPr>
                <w:b/>
              </w:rPr>
              <w:t>Status</w:t>
            </w:r>
          </w:p>
        </w:tc>
        <w:tc>
          <w:tcPr>
            <w:tcW w:w="1365" w:type="dxa"/>
            <w:noWrap/>
            <w:hideMark/>
          </w:tcPr>
          <w:p w14:paraId="14BEC183" w14:textId="77777777" w:rsidR="00E00963" w:rsidRPr="00E00963" w:rsidRDefault="00E00963" w:rsidP="00E00963">
            <w:pPr>
              <w:rPr>
                <w:b/>
              </w:rPr>
            </w:pPr>
            <w:r w:rsidRPr="00E00963">
              <w:rPr>
                <w:b/>
              </w:rPr>
              <w:t>Target</w:t>
            </w:r>
          </w:p>
        </w:tc>
      </w:tr>
      <w:tr w:rsidR="00E00963" w:rsidRPr="00E00963" w14:paraId="7131663C" w14:textId="77777777" w:rsidTr="003D6DEA">
        <w:trPr>
          <w:trHeight w:val="255"/>
        </w:trPr>
        <w:tc>
          <w:tcPr>
            <w:tcW w:w="1193" w:type="dxa"/>
            <w:noWrap/>
            <w:hideMark/>
          </w:tcPr>
          <w:p w14:paraId="5F612B56" w14:textId="4CDAFBAA" w:rsidR="00E00963" w:rsidRPr="00E00963" w:rsidRDefault="00E00963" w:rsidP="00E00963">
            <w:pPr>
              <w:rPr>
                <w:b/>
              </w:rPr>
            </w:pPr>
            <w:r w:rsidRPr="00E00963">
              <w:rPr>
                <w:b/>
              </w:rPr>
              <w:t>Follow</w:t>
            </w:r>
            <w:r w:rsidR="003D6DEA">
              <w:rPr>
                <w:b/>
              </w:rPr>
              <w:t xml:space="preserve"> </w:t>
            </w:r>
            <w:r w:rsidRPr="00E00963">
              <w:rPr>
                <w:b/>
              </w:rPr>
              <w:t>Up</w:t>
            </w:r>
          </w:p>
        </w:tc>
        <w:tc>
          <w:tcPr>
            <w:tcW w:w="1281" w:type="dxa"/>
            <w:noWrap/>
            <w:hideMark/>
          </w:tcPr>
          <w:p w14:paraId="2DC87E40" w14:textId="77777777" w:rsidR="00E00963" w:rsidRPr="00E00963" w:rsidRDefault="00E00963" w:rsidP="00E00963">
            <w:pPr>
              <w:rPr>
                <w:b/>
              </w:rPr>
            </w:pPr>
            <w:r w:rsidRPr="00E00963">
              <w:rPr>
                <w:b/>
              </w:rPr>
              <w:t>Measles</w:t>
            </w:r>
          </w:p>
        </w:tc>
        <w:tc>
          <w:tcPr>
            <w:tcW w:w="804" w:type="dxa"/>
            <w:noWrap/>
            <w:hideMark/>
          </w:tcPr>
          <w:p w14:paraId="7FA02853" w14:textId="77777777" w:rsidR="00E00963" w:rsidRPr="00E00963" w:rsidRDefault="00E00963" w:rsidP="00E00963">
            <w:pPr>
              <w:rPr>
                <w:b/>
              </w:rPr>
            </w:pPr>
            <w:r w:rsidRPr="00E00963">
              <w:rPr>
                <w:b/>
              </w:rPr>
              <w:t>2016</w:t>
            </w:r>
          </w:p>
        </w:tc>
        <w:tc>
          <w:tcPr>
            <w:tcW w:w="1280" w:type="dxa"/>
            <w:noWrap/>
            <w:hideMark/>
          </w:tcPr>
          <w:p w14:paraId="3E37F881" w14:textId="77777777" w:rsidR="00E00963" w:rsidRPr="00E00963" w:rsidRDefault="00E00963" w:rsidP="00E00963">
            <w:pPr>
              <w:rPr>
                <w:b/>
              </w:rPr>
            </w:pPr>
            <w:r w:rsidRPr="00E00963">
              <w:rPr>
                <w:b/>
              </w:rPr>
              <w:t>01/10/2016</w:t>
            </w:r>
          </w:p>
        </w:tc>
        <w:tc>
          <w:tcPr>
            <w:tcW w:w="942" w:type="dxa"/>
            <w:noWrap/>
            <w:hideMark/>
          </w:tcPr>
          <w:p w14:paraId="04454C8D" w14:textId="77777777" w:rsidR="00E00963" w:rsidRPr="00E00963" w:rsidRDefault="00E00963" w:rsidP="00E00963">
            <w:pPr>
              <w:rPr>
                <w:b/>
              </w:rPr>
            </w:pPr>
          </w:p>
        </w:tc>
        <w:tc>
          <w:tcPr>
            <w:tcW w:w="1076" w:type="dxa"/>
            <w:noWrap/>
            <w:hideMark/>
          </w:tcPr>
          <w:p w14:paraId="71966EF9" w14:textId="77777777" w:rsidR="00E00963" w:rsidRPr="00E00963" w:rsidRDefault="00E00963" w:rsidP="00E00963">
            <w:pPr>
              <w:rPr>
                <w:b/>
              </w:rPr>
            </w:pPr>
            <w:r w:rsidRPr="00E00963">
              <w:rPr>
                <w:b/>
              </w:rPr>
              <w:t>9-59 M</w:t>
            </w:r>
          </w:p>
        </w:tc>
        <w:tc>
          <w:tcPr>
            <w:tcW w:w="957" w:type="dxa"/>
            <w:noWrap/>
            <w:hideMark/>
          </w:tcPr>
          <w:p w14:paraId="332C37AD" w14:textId="77777777" w:rsidR="00E00963" w:rsidRPr="00E00963" w:rsidRDefault="00E00963" w:rsidP="00E00963">
            <w:pPr>
              <w:rPr>
                <w:b/>
              </w:rPr>
            </w:pPr>
            <w:r w:rsidRPr="00E00963">
              <w:rPr>
                <w:b/>
              </w:rPr>
              <w:t>Sub-national</w:t>
            </w:r>
          </w:p>
        </w:tc>
        <w:tc>
          <w:tcPr>
            <w:tcW w:w="912" w:type="dxa"/>
            <w:noWrap/>
            <w:hideMark/>
          </w:tcPr>
          <w:p w14:paraId="4260AD02" w14:textId="77777777" w:rsidR="00E00963" w:rsidRPr="00E00963" w:rsidRDefault="00E00963" w:rsidP="00E00963">
            <w:pPr>
              <w:rPr>
                <w:b/>
              </w:rPr>
            </w:pPr>
            <w:r w:rsidRPr="00E00963">
              <w:rPr>
                <w:b/>
              </w:rPr>
              <w:t>planned</w:t>
            </w:r>
          </w:p>
        </w:tc>
        <w:tc>
          <w:tcPr>
            <w:tcW w:w="1365" w:type="dxa"/>
            <w:noWrap/>
            <w:hideMark/>
          </w:tcPr>
          <w:p w14:paraId="11D9F24E" w14:textId="504A9F6C" w:rsidR="00E00963" w:rsidRPr="00E00963" w:rsidRDefault="00E00963" w:rsidP="00E00963">
            <w:pPr>
              <w:rPr>
                <w:b/>
              </w:rPr>
            </w:pPr>
            <w:r w:rsidRPr="00E00963">
              <w:rPr>
                <w:b/>
              </w:rPr>
              <w:t>3</w:t>
            </w:r>
            <w:r w:rsidR="003D6DEA">
              <w:rPr>
                <w:b/>
              </w:rPr>
              <w:t>,</w:t>
            </w:r>
            <w:r w:rsidRPr="00E00963">
              <w:rPr>
                <w:b/>
              </w:rPr>
              <w:t>900</w:t>
            </w:r>
            <w:r w:rsidR="003D6DEA">
              <w:rPr>
                <w:b/>
              </w:rPr>
              <w:t>,</w:t>
            </w:r>
            <w:r w:rsidRPr="00E00963">
              <w:rPr>
                <w:b/>
              </w:rPr>
              <w:t>554</w:t>
            </w:r>
          </w:p>
        </w:tc>
      </w:tr>
      <w:tr w:rsidR="00E00963" w:rsidRPr="00E00963" w14:paraId="659BFD26" w14:textId="77777777" w:rsidTr="003D6DEA">
        <w:trPr>
          <w:trHeight w:val="255"/>
        </w:trPr>
        <w:tc>
          <w:tcPr>
            <w:tcW w:w="1193" w:type="dxa"/>
            <w:noWrap/>
            <w:hideMark/>
          </w:tcPr>
          <w:p w14:paraId="0F2C0C14" w14:textId="77777777" w:rsidR="00E00963" w:rsidRPr="00E00963" w:rsidRDefault="00E00963" w:rsidP="00E00963">
            <w:pPr>
              <w:rPr>
                <w:b/>
              </w:rPr>
            </w:pPr>
            <w:r w:rsidRPr="00E00963">
              <w:rPr>
                <w:b/>
              </w:rPr>
              <w:t>Campaign</w:t>
            </w:r>
          </w:p>
        </w:tc>
        <w:tc>
          <w:tcPr>
            <w:tcW w:w="1281" w:type="dxa"/>
            <w:noWrap/>
            <w:hideMark/>
          </w:tcPr>
          <w:p w14:paraId="27D80D8B" w14:textId="77777777" w:rsidR="00E00963" w:rsidRPr="00E00963" w:rsidRDefault="00E00963" w:rsidP="00E00963">
            <w:pPr>
              <w:rPr>
                <w:b/>
              </w:rPr>
            </w:pPr>
            <w:r w:rsidRPr="00E00963">
              <w:rPr>
                <w:b/>
              </w:rPr>
              <w:t>MR</w:t>
            </w:r>
          </w:p>
        </w:tc>
        <w:tc>
          <w:tcPr>
            <w:tcW w:w="804" w:type="dxa"/>
            <w:noWrap/>
            <w:hideMark/>
          </w:tcPr>
          <w:p w14:paraId="268C62C4" w14:textId="77777777" w:rsidR="00E00963" w:rsidRPr="00E00963" w:rsidRDefault="00E00963" w:rsidP="00E00963">
            <w:pPr>
              <w:rPr>
                <w:b/>
              </w:rPr>
            </w:pPr>
            <w:r w:rsidRPr="00E00963">
              <w:rPr>
                <w:b/>
              </w:rPr>
              <w:t>2017</w:t>
            </w:r>
          </w:p>
        </w:tc>
        <w:tc>
          <w:tcPr>
            <w:tcW w:w="1280" w:type="dxa"/>
            <w:noWrap/>
            <w:hideMark/>
          </w:tcPr>
          <w:p w14:paraId="72B5C7CD" w14:textId="77777777" w:rsidR="00E00963" w:rsidRPr="00E00963" w:rsidRDefault="00E00963" w:rsidP="00E00963">
            <w:pPr>
              <w:rPr>
                <w:b/>
              </w:rPr>
            </w:pPr>
            <w:r w:rsidRPr="00E00963">
              <w:rPr>
                <w:b/>
              </w:rPr>
              <w:t>01/08/2017</w:t>
            </w:r>
          </w:p>
        </w:tc>
        <w:tc>
          <w:tcPr>
            <w:tcW w:w="942" w:type="dxa"/>
            <w:noWrap/>
            <w:hideMark/>
          </w:tcPr>
          <w:p w14:paraId="42BEF211" w14:textId="77777777" w:rsidR="00E00963" w:rsidRPr="00E00963" w:rsidRDefault="00E00963" w:rsidP="00E00963">
            <w:pPr>
              <w:rPr>
                <w:b/>
              </w:rPr>
            </w:pPr>
          </w:p>
        </w:tc>
        <w:tc>
          <w:tcPr>
            <w:tcW w:w="1076" w:type="dxa"/>
            <w:noWrap/>
            <w:hideMark/>
          </w:tcPr>
          <w:p w14:paraId="325953EA" w14:textId="77777777" w:rsidR="00E00963" w:rsidRPr="00E00963" w:rsidRDefault="00E00963" w:rsidP="00E00963">
            <w:pPr>
              <w:rPr>
                <w:b/>
              </w:rPr>
            </w:pPr>
            <w:r w:rsidRPr="00E00963">
              <w:rPr>
                <w:b/>
              </w:rPr>
              <w:t>9 M-15 Y</w:t>
            </w:r>
          </w:p>
        </w:tc>
        <w:tc>
          <w:tcPr>
            <w:tcW w:w="957" w:type="dxa"/>
            <w:noWrap/>
            <w:hideMark/>
          </w:tcPr>
          <w:p w14:paraId="27F4F467" w14:textId="77777777" w:rsidR="00E00963" w:rsidRPr="00E00963" w:rsidRDefault="00E00963" w:rsidP="00E00963">
            <w:pPr>
              <w:rPr>
                <w:b/>
              </w:rPr>
            </w:pPr>
            <w:r w:rsidRPr="00E00963">
              <w:rPr>
                <w:b/>
              </w:rPr>
              <w:t>National</w:t>
            </w:r>
          </w:p>
        </w:tc>
        <w:tc>
          <w:tcPr>
            <w:tcW w:w="912" w:type="dxa"/>
            <w:noWrap/>
            <w:hideMark/>
          </w:tcPr>
          <w:p w14:paraId="7B50D653" w14:textId="77777777" w:rsidR="00E00963" w:rsidRPr="00E00963" w:rsidRDefault="00E00963" w:rsidP="00E00963">
            <w:pPr>
              <w:rPr>
                <w:b/>
              </w:rPr>
            </w:pPr>
            <w:r w:rsidRPr="00E00963">
              <w:rPr>
                <w:b/>
              </w:rPr>
              <w:t>planned</w:t>
            </w:r>
          </w:p>
        </w:tc>
        <w:tc>
          <w:tcPr>
            <w:tcW w:w="1365" w:type="dxa"/>
            <w:noWrap/>
            <w:hideMark/>
          </w:tcPr>
          <w:p w14:paraId="673B3638" w14:textId="06678C87" w:rsidR="00E00963" w:rsidRPr="00E00963" w:rsidRDefault="00E00963" w:rsidP="00E00963">
            <w:pPr>
              <w:rPr>
                <w:b/>
              </w:rPr>
            </w:pPr>
            <w:r w:rsidRPr="00E00963">
              <w:rPr>
                <w:b/>
              </w:rPr>
              <w:t>70</w:t>
            </w:r>
            <w:r w:rsidR="003D6DEA">
              <w:rPr>
                <w:b/>
              </w:rPr>
              <w:t>,</w:t>
            </w:r>
            <w:r w:rsidRPr="00E00963">
              <w:rPr>
                <w:b/>
              </w:rPr>
              <w:t>000</w:t>
            </w:r>
            <w:r w:rsidR="003D6DEA">
              <w:rPr>
                <w:b/>
              </w:rPr>
              <w:t>,</w:t>
            </w:r>
            <w:r w:rsidRPr="00E00963">
              <w:rPr>
                <w:b/>
              </w:rPr>
              <w:t>000</w:t>
            </w:r>
          </w:p>
        </w:tc>
      </w:tr>
      <w:tr w:rsidR="00E00963" w:rsidRPr="00E00963" w14:paraId="792074CB" w14:textId="77777777" w:rsidTr="003D6DEA">
        <w:trPr>
          <w:trHeight w:val="255"/>
        </w:trPr>
        <w:tc>
          <w:tcPr>
            <w:tcW w:w="1193" w:type="dxa"/>
            <w:noWrap/>
            <w:hideMark/>
          </w:tcPr>
          <w:p w14:paraId="2C4B8FD8" w14:textId="77777777" w:rsidR="00E00963" w:rsidRPr="00E00963" w:rsidRDefault="00E00963" w:rsidP="00E00963">
            <w:pPr>
              <w:rPr>
                <w:b/>
              </w:rPr>
            </w:pPr>
            <w:r w:rsidRPr="00E00963">
              <w:rPr>
                <w:b/>
              </w:rPr>
              <w:t>NID</w:t>
            </w:r>
          </w:p>
        </w:tc>
        <w:tc>
          <w:tcPr>
            <w:tcW w:w="1281" w:type="dxa"/>
            <w:noWrap/>
            <w:hideMark/>
          </w:tcPr>
          <w:p w14:paraId="69DA20AA" w14:textId="77777777" w:rsidR="00E00963" w:rsidRPr="00E00963" w:rsidRDefault="00E00963" w:rsidP="00E00963">
            <w:pPr>
              <w:rPr>
                <w:b/>
              </w:rPr>
            </w:pPr>
            <w:proofErr w:type="spellStart"/>
            <w:r w:rsidRPr="00E00963">
              <w:rPr>
                <w:b/>
              </w:rPr>
              <w:t>tOPV</w:t>
            </w:r>
            <w:proofErr w:type="spellEnd"/>
          </w:p>
        </w:tc>
        <w:tc>
          <w:tcPr>
            <w:tcW w:w="804" w:type="dxa"/>
            <w:noWrap/>
            <w:hideMark/>
          </w:tcPr>
          <w:p w14:paraId="702419BC" w14:textId="77777777" w:rsidR="00E00963" w:rsidRPr="00E00963" w:rsidRDefault="00E00963" w:rsidP="00E00963">
            <w:pPr>
              <w:rPr>
                <w:b/>
              </w:rPr>
            </w:pPr>
            <w:r w:rsidRPr="00E00963">
              <w:rPr>
                <w:b/>
              </w:rPr>
              <w:t>2016</w:t>
            </w:r>
          </w:p>
        </w:tc>
        <w:tc>
          <w:tcPr>
            <w:tcW w:w="1280" w:type="dxa"/>
            <w:noWrap/>
            <w:hideMark/>
          </w:tcPr>
          <w:p w14:paraId="33FC246E" w14:textId="77777777" w:rsidR="00E00963" w:rsidRPr="00E00963" w:rsidRDefault="00E00963" w:rsidP="00E00963">
            <w:pPr>
              <w:rPr>
                <w:b/>
              </w:rPr>
            </w:pPr>
            <w:r w:rsidRPr="00E00963">
              <w:rPr>
                <w:b/>
              </w:rPr>
              <w:t>01/03/2016</w:t>
            </w:r>
          </w:p>
        </w:tc>
        <w:tc>
          <w:tcPr>
            <w:tcW w:w="942" w:type="dxa"/>
            <w:noWrap/>
            <w:hideMark/>
          </w:tcPr>
          <w:p w14:paraId="6B0E4F6C" w14:textId="77777777" w:rsidR="00E00963" w:rsidRPr="00E00963" w:rsidRDefault="00E00963" w:rsidP="00E00963">
            <w:pPr>
              <w:rPr>
                <w:b/>
              </w:rPr>
            </w:pPr>
          </w:p>
        </w:tc>
        <w:tc>
          <w:tcPr>
            <w:tcW w:w="1076" w:type="dxa"/>
            <w:noWrap/>
            <w:hideMark/>
          </w:tcPr>
          <w:p w14:paraId="1F09DCAB" w14:textId="77777777" w:rsidR="00E00963" w:rsidRPr="00E00963" w:rsidRDefault="00E00963" w:rsidP="00E00963">
            <w:pPr>
              <w:rPr>
                <w:b/>
              </w:rPr>
            </w:pPr>
            <w:r w:rsidRPr="00E00963">
              <w:rPr>
                <w:b/>
              </w:rPr>
              <w:t>0 to 5 years</w:t>
            </w:r>
          </w:p>
        </w:tc>
        <w:tc>
          <w:tcPr>
            <w:tcW w:w="957" w:type="dxa"/>
            <w:noWrap/>
            <w:hideMark/>
          </w:tcPr>
          <w:p w14:paraId="58635E51" w14:textId="77777777" w:rsidR="00E00963" w:rsidRPr="00E00963" w:rsidRDefault="00E00963" w:rsidP="00E00963">
            <w:pPr>
              <w:rPr>
                <w:b/>
              </w:rPr>
            </w:pPr>
            <w:r w:rsidRPr="00E00963">
              <w:rPr>
                <w:b/>
              </w:rPr>
              <w:t>National</w:t>
            </w:r>
          </w:p>
        </w:tc>
        <w:tc>
          <w:tcPr>
            <w:tcW w:w="912" w:type="dxa"/>
            <w:noWrap/>
            <w:hideMark/>
          </w:tcPr>
          <w:p w14:paraId="77262D3A" w14:textId="77777777" w:rsidR="00E00963" w:rsidRPr="00E00963" w:rsidRDefault="00E00963" w:rsidP="00E00963">
            <w:pPr>
              <w:rPr>
                <w:b/>
              </w:rPr>
            </w:pPr>
            <w:r w:rsidRPr="00E00963">
              <w:rPr>
                <w:b/>
              </w:rPr>
              <w:t>Planned</w:t>
            </w:r>
          </w:p>
        </w:tc>
        <w:tc>
          <w:tcPr>
            <w:tcW w:w="1365" w:type="dxa"/>
            <w:noWrap/>
            <w:hideMark/>
          </w:tcPr>
          <w:p w14:paraId="0EA2082E" w14:textId="46ACA6A5" w:rsidR="00E00963" w:rsidRPr="00E00963" w:rsidRDefault="00E00963" w:rsidP="00E00963">
            <w:pPr>
              <w:rPr>
                <w:b/>
              </w:rPr>
            </w:pPr>
            <w:r w:rsidRPr="00E00963">
              <w:rPr>
                <w:b/>
              </w:rPr>
              <w:t>23</w:t>
            </w:r>
            <w:r w:rsidR="003D6DEA">
              <w:rPr>
                <w:b/>
              </w:rPr>
              <w:t>,</w:t>
            </w:r>
            <w:r w:rsidRPr="00E00963">
              <w:rPr>
                <w:b/>
              </w:rPr>
              <w:t>093</w:t>
            </w:r>
            <w:r w:rsidR="003D6DEA">
              <w:rPr>
                <w:b/>
              </w:rPr>
              <w:t>,</w:t>
            </w:r>
            <w:r w:rsidRPr="00E00963">
              <w:rPr>
                <w:b/>
              </w:rPr>
              <w:t>592</w:t>
            </w:r>
          </w:p>
        </w:tc>
      </w:tr>
    </w:tbl>
    <w:p w14:paraId="65541E3F" w14:textId="42353CF1" w:rsidR="006E0769" w:rsidRDefault="006E0769" w:rsidP="00E00963">
      <w:r>
        <w:t xml:space="preserve">Source: WHO/IVB Database as at </w:t>
      </w:r>
      <w:r w:rsidR="00E00963">
        <w:t>01 July 2016</w:t>
      </w:r>
    </w:p>
    <w:p w14:paraId="0B74B388" w14:textId="20F9E002" w:rsidR="00767C0F" w:rsidRDefault="00767C0F">
      <w:r>
        <w:br w:type="page"/>
      </w:r>
    </w:p>
    <w:p w14:paraId="12CD6D45" w14:textId="77777777" w:rsidR="006E0769" w:rsidRDefault="006E0769" w:rsidP="006E0769">
      <w:pPr>
        <w:pStyle w:val="ListParagraph"/>
        <w:numPr>
          <w:ilvl w:val="0"/>
          <w:numId w:val="22"/>
        </w:numPr>
        <w:rPr>
          <w:b/>
          <w:bCs/>
        </w:rPr>
      </w:pPr>
      <w:r>
        <w:rPr>
          <w:b/>
          <w:bCs/>
        </w:rPr>
        <w:lastRenderedPageBreak/>
        <w:t>Coverage and Equity</w:t>
      </w:r>
    </w:p>
    <w:p w14:paraId="19E88580" w14:textId="1BDDB659" w:rsidR="00841F8B" w:rsidRDefault="00841F8B" w:rsidP="00841F8B">
      <w:pPr>
        <w:jc w:val="center"/>
        <w:rPr>
          <w:b/>
        </w:rPr>
      </w:pPr>
      <w:r>
        <w:rPr>
          <w:b/>
          <w:noProof/>
          <w:lang w:eastAsia="zh-CN"/>
        </w:rPr>
        <w:drawing>
          <wp:inline distT="0" distB="0" distL="0" distR="0" wp14:anchorId="1DEA4F10" wp14:editId="01E2F9CA">
            <wp:extent cx="3820609" cy="2847975"/>
            <wp:effectExtent l="0" t="0" r="8890" b="0"/>
            <wp:docPr id="6" name="Picture 6" descr="D:\data\GVAP Reports\2016\3. Scrore Cards 2016\jan visualizations DTP3 per country\Punch cards per country\indone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3. Scrore Cards 2016\jan visualizations DTP3 per country\Punch cards per country\indonesi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0609" cy="2847975"/>
                    </a:xfrm>
                    <a:prstGeom prst="rect">
                      <a:avLst/>
                    </a:prstGeom>
                    <a:noFill/>
                    <a:ln>
                      <a:noFill/>
                    </a:ln>
                  </pic:spPr>
                </pic:pic>
              </a:graphicData>
            </a:graphic>
          </wp:inline>
        </w:drawing>
      </w:r>
    </w:p>
    <w:p w14:paraId="4B587F4D" w14:textId="5E22D3FA" w:rsidR="00E86411" w:rsidRPr="003E4E4C" w:rsidRDefault="005651E6" w:rsidP="003E4E4C">
      <w:pPr>
        <w:jc w:val="center"/>
        <w:rPr>
          <w:b/>
        </w:rPr>
      </w:pPr>
      <w:r>
        <w:rPr>
          <w:b/>
          <w:noProof/>
          <w:lang w:eastAsia="zh-CN"/>
        </w:rPr>
        <w:drawing>
          <wp:inline distT="0" distB="0" distL="0" distR="0" wp14:anchorId="30E16FBC" wp14:editId="469B3F65">
            <wp:extent cx="3552825" cy="818986"/>
            <wp:effectExtent l="0" t="0" r="0" b="635"/>
            <wp:docPr id="7" name="Picture 7" descr="D:\data\GVAP Reports\2016\3. Scrore Cards 2016\jan visualizations DTP3 per country\Punch cards per country\_legend-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3. Scrore Cards 2016\jan visualizations DTP3 per country\Punch cards per country\_legend-punchcar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5733" cy="821962"/>
                    </a:xfrm>
                    <a:prstGeom prst="rect">
                      <a:avLst/>
                    </a:prstGeom>
                    <a:noFill/>
                    <a:ln>
                      <a:noFill/>
                    </a:ln>
                  </pic:spPr>
                </pic:pic>
              </a:graphicData>
            </a:graphic>
          </wp:inline>
        </w:drawing>
      </w:r>
    </w:p>
    <w:sectPr w:rsidR="00E86411" w:rsidRPr="003E4E4C" w:rsidSect="003269B4">
      <w:footerReference w:type="default" r:id="rId13"/>
      <w:pgSz w:w="11906" w:h="16838"/>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1CE818" w15:done="0"/>
  <w15:commentEx w15:paraId="3BF84435" w15:done="0"/>
  <w15:commentEx w15:paraId="67E88E1B" w15:done="0"/>
  <w15:commentEx w15:paraId="1198E4C0" w15:done="0"/>
  <w15:commentEx w15:paraId="5D7C06AB" w15:done="0"/>
  <w15:commentEx w15:paraId="0896BD56" w15:done="0"/>
  <w15:commentEx w15:paraId="7B2C63C2" w15:done="0"/>
  <w15:commentEx w15:paraId="27F723FA" w15:done="0"/>
  <w15:commentEx w15:paraId="13413A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D7ADCD" w14:textId="77777777" w:rsidR="005E16B6" w:rsidRDefault="005E16B6">
      <w:pPr>
        <w:spacing w:after="0" w:line="240" w:lineRule="auto"/>
      </w:pPr>
      <w:r>
        <w:separator/>
      </w:r>
    </w:p>
  </w:endnote>
  <w:endnote w:type="continuationSeparator" w:id="0">
    <w:p w14:paraId="6F12B1ED" w14:textId="77777777" w:rsidR="005E16B6" w:rsidRDefault="005E1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8827129"/>
      <w:docPartObj>
        <w:docPartGallery w:val="Page Numbers (Bottom of Page)"/>
        <w:docPartUnique/>
      </w:docPartObj>
    </w:sdtPr>
    <w:sdtEndPr>
      <w:rPr>
        <w:noProof/>
      </w:rPr>
    </w:sdtEndPr>
    <w:sdtContent>
      <w:p w14:paraId="34C7D1CA" w14:textId="44676571" w:rsidR="008D3873" w:rsidRDefault="008D3873">
        <w:pPr>
          <w:pStyle w:val="Footer"/>
          <w:jc w:val="center"/>
        </w:pPr>
        <w:r>
          <w:fldChar w:fldCharType="begin"/>
        </w:r>
        <w:r>
          <w:instrText xml:space="preserve"> PAGE   \* MERGEFORMAT </w:instrText>
        </w:r>
        <w:r>
          <w:fldChar w:fldCharType="separate"/>
        </w:r>
        <w:r w:rsidR="00B156D0">
          <w:rPr>
            <w:noProof/>
          </w:rPr>
          <w:t>4</w:t>
        </w:r>
        <w:r>
          <w:rPr>
            <w:noProof/>
          </w:rPr>
          <w:fldChar w:fldCharType="end"/>
        </w:r>
      </w:p>
    </w:sdtContent>
  </w:sdt>
  <w:p w14:paraId="780E7B36" w14:textId="56DE9A07" w:rsidR="008D3873" w:rsidRDefault="008D3873" w:rsidP="004824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550567" w14:textId="77777777" w:rsidR="005E16B6" w:rsidRDefault="005E16B6">
      <w:pPr>
        <w:spacing w:after="0" w:line="240" w:lineRule="auto"/>
      </w:pPr>
      <w:r>
        <w:separator/>
      </w:r>
    </w:p>
  </w:footnote>
  <w:footnote w:type="continuationSeparator" w:id="0">
    <w:p w14:paraId="4DC980E8" w14:textId="77777777" w:rsidR="005E16B6" w:rsidRDefault="005E16B6">
      <w:pPr>
        <w:spacing w:after="0" w:line="240" w:lineRule="auto"/>
      </w:pPr>
      <w:r>
        <w:continuationSeparator/>
      </w:r>
    </w:p>
  </w:footnote>
  <w:footnote w:id="1">
    <w:p w14:paraId="1581C1C8" w14:textId="3F236520" w:rsidR="008D3873" w:rsidRPr="00A96DBE" w:rsidRDefault="008D3873">
      <w:pPr>
        <w:pStyle w:val="FootnoteText"/>
        <w:rPr>
          <w:lang w:val="en-US"/>
        </w:rPr>
      </w:pPr>
      <w:r>
        <w:rPr>
          <w:rStyle w:val="FootnoteReference"/>
        </w:rPr>
        <w:footnoteRef/>
      </w:r>
      <w:r>
        <w:t xml:space="preserve"> </w:t>
      </w:r>
      <w:proofErr w:type="gramStart"/>
      <w:r>
        <w:rPr>
          <w:lang w:val="en-US"/>
        </w:rPr>
        <w:t>SEARO.</w:t>
      </w:r>
      <w:proofErr w:type="gramEnd"/>
      <w:r>
        <w:rPr>
          <w:lang w:val="en-US"/>
        </w:rPr>
        <w:t xml:space="preserve"> EPI Fact Sheet, Indonesia, 2016.</w:t>
      </w:r>
    </w:p>
  </w:footnote>
  <w:footnote w:id="2">
    <w:p w14:paraId="4321BAFF" w14:textId="0071FF0D" w:rsidR="008D3873" w:rsidRPr="00A96DBE" w:rsidRDefault="008D3873">
      <w:pPr>
        <w:pStyle w:val="FootnoteText"/>
        <w:rPr>
          <w:lang w:val="en-US"/>
        </w:rPr>
      </w:pPr>
      <w:r>
        <w:rPr>
          <w:rStyle w:val="FootnoteReference"/>
        </w:rPr>
        <w:footnoteRef/>
      </w:r>
      <w:r>
        <w:t xml:space="preserve"> </w:t>
      </w:r>
      <w:proofErr w:type="gramStart"/>
      <w:r>
        <w:rPr>
          <w:lang w:val="en-US"/>
        </w:rPr>
        <w:t>Presentation by the Sub-Directorate, Surveillance &amp; Outbreak Response, Indonesia on Vaccine preventable disease surveillance and immunization analysis, May 2016.</w:t>
      </w:r>
      <w:proofErr w:type="gramEnd"/>
    </w:p>
  </w:footnote>
  <w:footnote w:id="3">
    <w:p w14:paraId="189D1BF7" w14:textId="176FA4A3" w:rsidR="008D3873" w:rsidRPr="00D92C16" w:rsidRDefault="008D3873">
      <w:pPr>
        <w:pStyle w:val="FootnoteText"/>
        <w:rPr>
          <w:lang w:val="en-US"/>
        </w:rPr>
      </w:pPr>
      <w:r>
        <w:rPr>
          <w:rStyle w:val="FootnoteReference"/>
        </w:rPr>
        <w:footnoteRef/>
      </w:r>
      <w:r>
        <w:t xml:space="preserve"> </w:t>
      </w:r>
      <w:proofErr w:type="gramStart"/>
      <w:r>
        <w:rPr>
          <w:lang w:val="en-US"/>
        </w:rPr>
        <w:t>World Health Organization.</w:t>
      </w:r>
      <w:proofErr w:type="gramEnd"/>
      <w:r>
        <w:rPr>
          <w:lang w:val="en-US"/>
        </w:rPr>
        <w:t xml:space="preserve"> Joint national and international EPI and VPD surveillance review, Indonesia, 2014.</w:t>
      </w:r>
    </w:p>
  </w:footnote>
  <w:footnote w:id="4">
    <w:p w14:paraId="162A8906" w14:textId="5E3474BF" w:rsidR="008D3873" w:rsidRPr="00D92C16" w:rsidRDefault="008D3873">
      <w:pPr>
        <w:pStyle w:val="FootnoteText"/>
        <w:rPr>
          <w:lang w:val="en-US"/>
        </w:rPr>
      </w:pPr>
      <w:r>
        <w:rPr>
          <w:rStyle w:val="FootnoteReference"/>
        </w:rPr>
        <w:footnoteRef/>
      </w:r>
      <w:r>
        <w:t xml:space="preserve"> </w:t>
      </w:r>
      <w:proofErr w:type="spellStart"/>
      <w:proofErr w:type="gramStart"/>
      <w:r>
        <w:rPr>
          <w:lang w:val="en-US"/>
        </w:rPr>
        <w:t>cMYP</w:t>
      </w:r>
      <w:proofErr w:type="spellEnd"/>
      <w:proofErr w:type="gramEnd"/>
      <w:r>
        <w:rPr>
          <w:lang w:val="en-US"/>
        </w:rPr>
        <w:t>.</w:t>
      </w:r>
    </w:p>
  </w:footnote>
  <w:footnote w:id="5">
    <w:p w14:paraId="3FA98355" w14:textId="59333B75" w:rsidR="008D3873" w:rsidRPr="00D92C16" w:rsidRDefault="008D3873">
      <w:pPr>
        <w:pStyle w:val="FootnoteText"/>
        <w:rPr>
          <w:lang w:val="en-US"/>
        </w:rPr>
      </w:pPr>
      <w:r>
        <w:rPr>
          <w:rStyle w:val="FootnoteReference"/>
        </w:rPr>
        <w:footnoteRef/>
      </w:r>
      <w:r>
        <w:t xml:space="preserve"> </w:t>
      </w:r>
      <w:proofErr w:type="gramStart"/>
      <w:r>
        <w:t>SEARO.</w:t>
      </w:r>
      <w:proofErr w:type="gramEnd"/>
      <w:r>
        <w:t xml:space="preserve"> </w:t>
      </w:r>
      <w:proofErr w:type="gramStart"/>
      <w:r>
        <w:rPr>
          <w:lang w:val="en-US"/>
        </w:rPr>
        <w:t>EPI Factsheet for Indonesia, 2016.</w:t>
      </w:r>
      <w:proofErr w:type="gramEnd"/>
    </w:p>
  </w:footnote>
  <w:footnote w:id="6">
    <w:p w14:paraId="3FEDF8DF" w14:textId="77777777" w:rsidR="00B156D0" w:rsidRPr="007B1CBA" w:rsidRDefault="00B156D0" w:rsidP="00B156D0">
      <w:pPr>
        <w:pStyle w:val="FootnoteText"/>
        <w:rPr>
          <w:lang w:val="en-US"/>
        </w:rPr>
      </w:pPr>
      <w:r>
        <w:rPr>
          <w:rStyle w:val="FootnoteReference"/>
        </w:rPr>
        <w:footnoteRef/>
      </w:r>
      <w:r>
        <w:t xml:space="preserve"> </w:t>
      </w:r>
      <w:proofErr w:type="gramStart"/>
      <w:r>
        <w:t>SEARO.</w:t>
      </w:r>
      <w:proofErr w:type="gramEnd"/>
      <w:r>
        <w:t xml:space="preserve"> </w:t>
      </w:r>
      <w:r>
        <w:rPr>
          <w:lang w:val="en-US"/>
        </w:rPr>
        <w:t>EPI Factsheet, Indonesia,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FB3064E"/>
    <w:multiLevelType w:val="hybridMultilevel"/>
    <w:tmpl w:val="3FF627A6"/>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4C74659"/>
    <w:multiLevelType w:val="hybridMultilevel"/>
    <w:tmpl w:val="16E0DEB4"/>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FEA52BA"/>
    <w:multiLevelType w:val="hybridMultilevel"/>
    <w:tmpl w:val="E8FCBA4A"/>
    <w:lvl w:ilvl="0" w:tplc="27F8AA00">
      <w:start w:val="1"/>
      <w:numFmt w:val="bullet"/>
      <w:lvlText w:val="–"/>
      <w:lvlJc w:val="left"/>
      <w:pPr>
        <w:tabs>
          <w:tab w:val="num" w:pos="720"/>
        </w:tabs>
        <w:ind w:left="720" w:hanging="360"/>
      </w:pPr>
      <w:rPr>
        <w:rFonts w:ascii="Arial" w:hAnsi="Arial" w:hint="default"/>
      </w:rPr>
    </w:lvl>
    <w:lvl w:ilvl="1" w:tplc="65282D5E">
      <w:start w:val="1"/>
      <w:numFmt w:val="bullet"/>
      <w:lvlText w:val="–"/>
      <w:lvlJc w:val="left"/>
      <w:pPr>
        <w:tabs>
          <w:tab w:val="num" w:pos="1440"/>
        </w:tabs>
        <w:ind w:left="1440" w:hanging="360"/>
      </w:pPr>
      <w:rPr>
        <w:rFonts w:ascii="Arial" w:hAnsi="Arial" w:hint="default"/>
      </w:rPr>
    </w:lvl>
    <w:lvl w:ilvl="2" w:tplc="BE9AA2C8" w:tentative="1">
      <w:start w:val="1"/>
      <w:numFmt w:val="bullet"/>
      <w:lvlText w:val="–"/>
      <w:lvlJc w:val="left"/>
      <w:pPr>
        <w:tabs>
          <w:tab w:val="num" w:pos="2160"/>
        </w:tabs>
        <w:ind w:left="2160" w:hanging="360"/>
      </w:pPr>
      <w:rPr>
        <w:rFonts w:ascii="Arial" w:hAnsi="Arial" w:hint="default"/>
      </w:rPr>
    </w:lvl>
    <w:lvl w:ilvl="3" w:tplc="60BC9FDC" w:tentative="1">
      <w:start w:val="1"/>
      <w:numFmt w:val="bullet"/>
      <w:lvlText w:val="–"/>
      <w:lvlJc w:val="left"/>
      <w:pPr>
        <w:tabs>
          <w:tab w:val="num" w:pos="2880"/>
        </w:tabs>
        <w:ind w:left="2880" w:hanging="360"/>
      </w:pPr>
      <w:rPr>
        <w:rFonts w:ascii="Arial" w:hAnsi="Arial" w:hint="default"/>
      </w:rPr>
    </w:lvl>
    <w:lvl w:ilvl="4" w:tplc="43A8D0EA" w:tentative="1">
      <w:start w:val="1"/>
      <w:numFmt w:val="bullet"/>
      <w:lvlText w:val="–"/>
      <w:lvlJc w:val="left"/>
      <w:pPr>
        <w:tabs>
          <w:tab w:val="num" w:pos="3600"/>
        </w:tabs>
        <w:ind w:left="3600" w:hanging="360"/>
      </w:pPr>
      <w:rPr>
        <w:rFonts w:ascii="Arial" w:hAnsi="Arial" w:hint="default"/>
      </w:rPr>
    </w:lvl>
    <w:lvl w:ilvl="5" w:tplc="23AA7B10" w:tentative="1">
      <w:start w:val="1"/>
      <w:numFmt w:val="bullet"/>
      <w:lvlText w:val="–"/>
      <w:lvlJc w:val="left"/>
      <w:pPr>
        <w:tabs>
          <w:tab w:val="num" w:pos="4320"/>
        </w:tabs>
        <w:ind w:left="4320" w:hanging="360"/>
      </w:pPr>
      <w:rPr>
        <w:rFonts w:ascii="Arial" w:hAnsi="Arial" w:hint="default"/>
      </w:rPr>
    </w:lvl>
    <w:lvl w:ilvl="6" w:tplc="7B42272A" w:tentative="1">
      <w:start w:val="1"/>
      <w:numFmt w:val="bullet"/>
      <w:lvlText w:val="–"/>
      <w:lvlJc w:val="left"/>
      <w:pPr>
        <w:tabs>
          <w:tab w:val="num" w:pos="5040"/>
        </w:tabs>
        <w:ind w:left="5040" w:hanging="360"/>
      </w:pPr>
      <w:rPr>
        <w:rFonts w:ascii="Arial" w:hAnsi="Arial" w:hint="default"/>
      </w:rPr>
    </w:lvl>
    <w:lvl w:ilvl="7" w:tplc="C26638DC" w:tentative="1">
      <w:start w:val="1"/>
      <w:numFmt w:val="bullet"/>
      <w:lvlText w:val="–"/>
      <w:lvlJc w:val="left"/>
      <w:pPr>
        <w:tabs>
          <w:tab w:val="num" w:pos="5760"/>
        </w:tabs>
        <w:ind w:left="5760" w:hanging="360"/>
      </w:pPr>
      <w:rPr>
        <w:rFonts w:ascii="Arial" w:hAnsi="Arial" w:hint="default"/>
      </w:rPr>
    </w:lvl>
    <w:lvl w:ilvl="8" w:tplc="DE029B58" w:tentative="1">
      <w:start w:val="1"/>
      <w:numFmt w:val="bullet"/>
      <w:lvlText w:val="–"/>
      <w:lvlJc w:val="left"/>
      <w:pPr>
        <w:tabs>
          <w:tab w:val="num" w:pos="6480"/>
        </w:tabs>
        <w:ind w:left="6480" w:hanging="360"/>
      </w:pPr>
      <w:rPr>
        <w:rFonts w:ascii="Arial" w:hAnsi="Arial" w:hint="default"/>
      </w:rPr>
    </w:lvl>
  </w:abstractNum>
  <w:abstractNum w:abstractNumId="9">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5">
    <w:nsid w:val="46F74300"/>
    <w:multiLevelType w:val="hybridMultilevel"/>
    <w:tmpl w:val="40EE57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FB2011"/>
    <w:multiLevelType w:val="hybridMultilevel"/>
    <w:tmpl w:val="AFF86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18">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82970CC"/>
    <w:multiLevelType w:val="hybridMultilevel"/>
    <w:tmpl w:val="334C477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1512250"/>
    <w:multiLevelType w:val="hybridMultilevel"/>
    <w:tmpl w:val="18EEBB9A"/>
    <w:lvl w:ilvl="0" w:tplc="04090005">
      <w:start w:val="1"/>
      <w:numFmt w:val="bullet"/>
      <w:lvlText w:val=""/>
      <w:lvlJc w:val="left"/>
      <w:pPr>
        <w:ind w:left="3660" w:hanging="360"/>
      </w:pPr>
      <w:rPr>
        <w:rFonts w:ascii="Wingdings" w:hAnsi="Wingdings"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22">
    <w:nsid w:val="617B05B4"/>
    <w:multiLevelType w:val="hybridMultilevel"/>
    <w:tmpl w:val="428084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3E1A37"/>
    <w:multiLevelType w:val="multilevel"/>
    <w:tmpl w:val="A7A4D5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45314DA"/>
    <w:multiLevelType w:val="hybridMultilevel"/>
    <w:tmpl w:val="4814B4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6">
    <w:nsid w:val="68FE2563"/>
    <w:multiLevelType w:val="hybridMultilevel"/>
    <w:tmpl w:val="979837CA"/>
    <w:lvl w:ilvl="0" w:tplc="DD3618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8">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0">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651FD5"/>
    <w:multiLevelType w:val="hybridMultilevel"/>
    <w:tmpl w:val="C3981E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
  </w:num>
  <w:num w:numId="4">
    <w:abstractNumId w:val="10"/>
  </w:num>
  <w:num w:numId="5">
    <w:abstractNumId w:val="20"/>
  </w:num>
  <w:num w:numId="6">
    <w:abstractNumId w:val="1"/>
  </w:num>
  <w:num w:numId="7">
    <w:abstractNumId w:val="7"/>
  </w:num>
  <w:num w:numId="8">
    <w:abstractNumId w:val="18"/>
  </w:num>
  <w:num w:numId="9">
    <w:abstractNumId w:val="6"/>
  </w:num>
  <w:num w:numId="10">
    <w:abstractNumId w:val="28"/>
  </w:num>
  <w:num w:numId="11">
    <w:abstractNumId w:val="27"/>
  </w:num>
  <w:num w:numId="12">
    <w:abstractNumId w:val="14"/>
  </w:num>
  <w:num w:numId="13">
    <w:abstractNumId w:val="25"/>
  </w:num>
  <w:num w:numId="14">
    <w:abstractNumId w:val="17"/>
  </w:num>
  <w:num w:numId="15">
    <w:abstractNumId w:val="29"/>
  </w:num>
  <w:num w:numId="16">
    <w:abstractNumId w:val="9"/>
  </w:num>
  <w:num w:numId="17">
    <w:abstractNumId w:val="19"/>
  </w:num>
  <w:num w:numId="18">
    <w:abstractNumId w:val="12"/>
  </w:num>
  <w:num w:numId="19">
    <w:abstractNumId w:val="30"/>
  </w:num>
  <w:num w:numId="20">
    <w:abstractNumId w:val="0"/>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7"/>
  </w:num>
  <w:num w:numId="25">
    <w:abstractNumId w:val="18"/>
  </w:num>
  <w:num w:numId="26">
    <w:abstractNumId w:val="10"/>
  </w:num>
  <w:num w:numId="27">
    <w:abstractNumId w:val="23"/>
  </w:num>
  <w:num w:numId="28">
    <w:abstractNumId w:val="31"/>
  </w:num>
  <w:num w:numId="29">
    <w:abstractNumId w:val="15"/>
  </w:num>
  <w:num w:numId="30">
    <w:abstractNumId w:val="24"/>
  </w:num>
  <w:num w:numId="31">
    <w:abstractNumId w:val="4"/>
  </w:num>
  <w:num w:numId="32">
    <w:abstractNumId w:val="22"/>
  </w:num>
  <w:num w:numId="33">
    <w:abstractNumId w:val="3"/>
  </w:num>
  <w:num w:numId="34">
    <w:abstractNumId w:val="21"/>
  </w:num>
  <w:num w:numId="35">
    <w:abstractNumId w:val="16"/>
  </w:num>
  <w:num w:numId="36">
    <w:abstractNumId w:val="8"/>
  </w:num>
  <w:num w:numId="37">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01A1"/>
    <w:rsid w:val="0000352E"/>
    <w:rsid w:val="00052693"/>
    <w:rsid w:val="00053455"/>
    <w:rsid w:val="0005693C"/>
    <w:rsid w:val="00067FFA"/>
    <w:rsid w:val="0007442D"/>
    <w:rsid w:val="00083152"/>
    <w:rsid w:val="000832D0"/>
    <w:rsid w:val="0009631A"/>
    <w:rsid w:val="000968AE"/>
    <w:rsid w:val="00096E70"/>
    <w:rsid w:val="000A459F"/>
    <w:rsid w:val="000C2C44"/>
    <w:rsid w:val="000E3D3E"/>
    <w:rsid w:val="000F5223"/>
    <w:rsid w:val="0011406E"/>
    <w:rsid w:val="00116F50"/>
    <w:rsid w:val="001174B4"/>
    <w:rsid w:val="00163179"/>
    <w:rsid w:val="00164F3D"/>
    <w:rsid w:val="00176857"/>
    <w:rsid w:val="0019182B"/>
    <w:rsid w:val="001B0097"/>
    <w:rsid w:val="001C1193"/>
    <w:rsid w:val="001C1E4D"/>
    <w:rsid w:val="001C5026"/>
    <w:rsid w:val="001F2D8D"/>
    <w:rsid w:val="001F6A05"/>
    <w:rsid w:val="002258E3"/>
    <w:rsid w:val="002327A5"/>
    <w:rsid w:val="00232D9A"/>
    <w:rsid w:val="00255998"/>
    <w:rsid w:val="00256665"/>
    <w:rsid w:val="002818D0"/>
    <w:rsid w:val="00281CEF"/>
    <w:rsid w:val="00292589"/>
    <w:rsid w:val="00293D5E"/>
    <w:rsid w:val="002B495D"/>
    <w:rsid w:val="002B73D6"/>
    <w:rsid w:val="002C0BCF"/>
    <w:rsid w:val="002C3246"/>
    <w:rsid w:val="002D61F5"/>
    <w:rsid w:val="002D762A"/>
    <w:rsid w:val="002F1749"/>
    <w:rsid w:val="002F20C9"/>
    <w:rsid w:val="003269B4"/>
    <w:rsid w:val="00345466"/>
    <w:rsid w:val="003576C4"/>
    <w:rsid w:val="00370616"/>
    <w:rsid w:val="00371B50"/>
    <w:rsid w:val="00373BA5"/>
    <w:rsid w:val="00374400"/>
    <w:rsid w:val="00397382"/>
    <w:rsid w:val="003A6CF9"/>
    <w:rsid w:val="003B02D3"/>
    <w:rsid w:val="003B282A"/>
    <w:rsid w:val="003B6F84"/>
    <w:rsid w:val="003D24BB"/>
    <w:rsid w:val="003D2D68"/>
    <w:rsid w:val="003D57A8"/>
    <w:rsid w:val="003D5A80"/>
    <w:rsid w:val="003D6679"/>
    <w:rsid w:val="003D6DEA"/>
    <w:rsid w:val="003E30EC"/>
    <w:rsid w:val="003E4E4C"/>
    <w:rsid w:val="003F42B9"/>
    <w:rsid w:val="003F4825"/>
    <w:rsid w:val="00432B70"/>
    <w:rsid w:val="00436537"/>
    <w:rsid w:val="00437FDF"/>
    <w:rsid w:val="00441EDC"/>
    <w:rsid w:val="00457E0A"/>
    <w:rsid w:val="00460B3E"/>
    <w:rsid w:val="00460FC0"/>
    <w:rsid w:val="00482432"/>
    <w:rsid w:val="004826EF"/>
    <w:rsid w:val="00484219"/>
    <w:rsid w:val="0048489B"/>
    <w:rsid w:val="00490107"/>
    <w:rsid w:val="00491CC6"/>
    <w:rsid w:val="00492F98"/>
    <w:rsid w:val="004A394A"/>
    <w:rsid w:val="004B5B75"/>
    <w:rsid w:val="004D307D"/>
    <w:rsid w:val="004D4194"/>
    <w:rsid w:val="004F6777"/>
    <w:rsid w:val="00500171"/>
    <w:rsid w:val="0050564C"/>
    <w:rsid w:val="00511B8A"/>
    <w:rsid w:val="005133F8"/>
    <w:rsid w:val="00513BF2"/>
    <w:rsid w:val="00530FEA"/>
    <w:rsid w:val="00532476"/>
    <w:rsid w:val="00534013"/>
    <w:rsid w:val="0053501D"/>
    <w:rsid w:val="00540367"/>
    <w:rsid w:val="00557E08"/>
    <w:rsid w:val="005651E6"/>
    <w:rsid w:val="00565C1E"/>
    <w:rsid w:val="00566382"/>
    <w:rsid w:val="0058000D"/>
    <w:rsid w:val="005A0269"/>
    <w:rsid w:val="005B25D5"/>
    <w:rsid w:val="005B6B29"/>
    <w:rsid w:val="005C6F1C"/>
    <w:rsid w:val="005E16B6"/>
    <w:rsid w:val="005E62AF"/>
    <w:rsid w:val="005F0283"/>
    <w:rsid w:val="005F1D5B"/>
    <w:rsid w:val="00602A5E"/>
    <w:rsid w:val="0063770B"/>
    <w:rsid w:val="006410AE"/>
    <w:rsid w:val="00641572"/>
    <w:rsid w:val="006842AB"/>
    <w:rsid w:val="00696E6A"/>
    <w:rsid w:val="00697CFB"/>
    <w:rsid w:val="006A36F3"/>
    <w:rsid w:val="006A4380"/>
    <w:rsid w:val="006C334B"/>
    <w:rsid w:val="006E0769"/>
    <w:rsid w:val="006E4E48"/>
    <w:rsid w:val="007033F7"/>
    <w:rsid w:val="0074468E"/>
    <w:rsid w:val="0076408F"/>
    <w:rsid w:val="00767749"/>
    <w:rsid w:val="00767C0F"/>
    <w:rsid w:val="00770EEA"/>
    <w:rsid w:val="00784019"/>
    <w:rsid w:val="0079008F"/>
    <w:rsid w:val="00797196"/>
    <w:rsid w:val="007A0353"/>
    <w:rsid w:val="007A35F6"/>
    <w:rsid w:val="007B053A"/>
    <w:rsid w:val="007B1CBA"/>
    <w:rsid w:val="007C5031"/>
    <w:rsid w:val="007C5F79"/>
    <w:rsid w:val="007D16A4"/>
    <w:rsid w:val="007D2AA9"/>
    <w:rsid w:val="007E0DEE"/>
    <w:rsid w:val="007E3602"/>
    <w:rsid w:val="007F0729"/>
    <w:rsid w:val="008053B7"/>
    <w:rsid w:val="008105B2"/>
    <w:rsid w:val="00824C6B"/>
    <w:rsid w:val="00825812"/>
    <w:rsid w:val="0083568C"/>
    <w:rsid w:val="00841F8B"/>
    <w:rsid w:val="00856B69"/>
    <w:rsid w:val="00863F77"/>
    <w:rsid w:val="00865907"/>
    <w:rsid w:val="008707E1"/>
    <w:rsid w:val="00872BC2"/>
    <w:rsid w:val="00883C0A"/>
    <w:rsid w:val="008A1C67"/>
    <w:rsid w:val="008B61E2"/>
    <w:rsid w:val="008C1347"/>
    <w:rsid w:val="008D3873"/>
    <w:rsid w:val="008E40AB"/>
    <w:rsid w:val="008E4926"/>
    <w:rsid w:val="008E7AA0"/>
    <w:rsid w:val="008F4F49"/>
    <w:rsid w:val="0090535F"/>
    <w:rsid w:val="009318B8"/>
    <w:rsid w:val="009563E8"/>
    <w:rsid w:val="00963C78"/>
    <w:rsid w:val="009649B4"/>
    <w:rsid w:val="00985561"/>
    <w:rsid w:val="009A5026"/>
    <w:rsid w:val="009B091D"/>
    <w:rsid w:val="009C0565"/>
    <w:rsid w:val="009C09D8"/>
    <w:rsid w:val="009E1E59"/>
    <w:rsid w:val="00A11AC1"/>
    <w:rsid w:val="00A44D74"/>
    <w:rsid w:val="00A44EBD"/>
    <w:rsid w:val="00A6740F"/>
    <w:rsid w:val="00A96DBE"/>
    <w:rsid w:val="00AA3176"/>
    <w:rsid w:val="00AA6DBA"/>
    <w:rsid w:val="00AB6A12"/>
    <w:rsid w:val="00AE7557"/>
    <w:rsid w:val="00B13423"/>
    <w:rsid w:val="00B156D0"/>
    <w:rsid w:val="00B218CC"/>
    <w:rsid w:val="00B54A99"/>
    <w:rsid w:val="00B56836"/>
    <w:rsid w:val="00B758F5"/>
    <w:rsid w:val="00B8676D"/>
    <w:rsid w:val="00B93354"/>
    <w:rsid w:val="00BA2589"/>
    <w:rsid w:val="00BA45D4"/>
    <w:rsid w:val="00BB0026"/>
    <w:rsid w:val="00BC4D8E"/>
    <w:rsid w:val="00BD73CD"/>
    <w:rsid w:val="00BE624F"/>
    <w:rsid w:val="00BF14CF"/>
    <w:rsid w:val="00BF27E4"/>
    <w:rsid w:val="00BF4CFA"/>
    <w:rsid w:val="00C00233"/>
    <w:rsid w:val="00C43E27"/>
    <w:rsid w:val="00C611F3"/>
    <w:rsid w:val="00C67C9D"/>
    <w:rsid w:val="00CD3FD9"/>
    <w:rsid w:val="00CF0E45"/>
    <w:rsid w:val="00D00DC6"/>
    <w:rsid w:val="00D07C9C"/>
    <w:rsid w:val="00D17551"/>
    <w:rsid w:val="00D27E92"/>
    <w:rsid w:val="00D30DD8"/>
    <w:rsid w:val="00D732C7"/>
    <w:rsid w:val="00D92C16"/>
    <w:rsid w:val="00D9435D"/>
    <w:rsid w:val="00D9563B"/>
    <w:rsid w:val="00DC5960"/>
    <w:rsid w:val="00DF3277"/>
    <w:rsid w:val="00E00963"/>
    <w:rsid w:val="00E11B99"/>
    <w:rsid w:val="00E14857"/>
    <w:rsid w:val="00E1686A"/>
    <w:rsid w:val="00E27973"/>
    <w:rsid w:val="00E37109"/>
    <w:rsid w:val="00E52441"/>
    <w:rsid w:val="00E86411"/>
    <w:rsid w:val="00E903E0"/>
    <w:rsid w:val="00EA4E6A"/>
    <w:rsid w:val="00EB059A"/>
    <w:rsid w:val="00EC5704"/>
    <w:rsid w:val="00F246CA"/>
    <w:rsid w:val="00F32759"/>
    <w:rsid w:val="00F50BE1"/>
    <w:rsid w:val="00F577A7"/>
    <w:rsid w:val="00F577EC"/>
    <w:rsid w:val="00F63AFC"/>
    <w:rsid w:val="00F63D60"/>
    <w:rsid w:val="00F81B65"/>
    <w:rsid w:val="00F82402"/>
    <w:rsid w:val="00F84BA2"/>
    <w:rsid w:val="00F85BA5"/>
    <w:rsid w:val="00F871C3"/>
    <w:rsid w:val="00F91610"/>
    <w:rsid w:val="00F9290B"/>
    <w:rsid w:val="00F96307"/>
    <w:rsid w:val="00FA16B4"/>
    <w:rsid w:val="00FD1020"/>
    <w:rsid w:val="00FD688B"/>
    <w:rsid w:val="00FF0E7F"/>
    <w:rsid w:val="00FF4AD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0968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68AE"/>
    <w:rPr>
      <w:sz w:val="20"/>
      <w:szCs w:val="20"/>
    </w:rPr>
  </w:style>
  <w:style w:type="character" w:styleId="FootnoteReference">
    <w:name w:val="footnote reference"/>
    <w:basedOn w:val="DefaultParagraphFont"/>
    <w:uiPriority w:val="99"/>
    <w:semiHidden/>
    <w:unhideWhenUsed/>
    <w:rsid w:val="000968AE"/>
    <w:rPr>
      <w:vertAlign w:val="superscript"/>
    </w:rPr>
  </w:style>
  <w:style w:type="paragraph" w:styleId="Caption">
    <w:name w:val="caption"/>
    <w:basedOn w:val="Normal"/>
    <w:next w:val="Normal"/>
    <w:uiPriority w:val="35"/>
    <w:unhideWhenUsed/>
    <w:qFormat/>
    <w:rsid w:val="00E1485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0968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68AE"/>
    <w:rPr>
      <w:sz w:val="20"/>
      <w:szCs w:val="20"/>
    </w:rPr>
  </w:style>
  <w:style w:type="character" w:styleId="FootnoteReference">
    <w:name w:val="footnote reference"/>
    <w:basedOn w:val="DefaultParagraphFont"/>
    <w:uiPriority w:val="99"/>
    <w:semiHidden/>
    <w:unhideWhenUsed/>
    <w:rsid w:val="000968AE"/>
    <w:rPr>
      <w:vertAlign w:val="superscript"/>
    </w:rPr>
  </w:style>
  <w:style w:type="paragraph" w:styleId="Caption">
    <w:name w:val="caption"/>
    <w:basedOn w:val="Normal"/>
    <w:next w:val="Normal"/>
    <w:uiPriority w:val="35"/>
    <w:unhideWhenUsed/>
    <w:qFormat/>
    <w:rsid w:val="00E1485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891617913">
      <w:bodyDiv w:val="1"/>
      <w:marLeft w:val="0"/>
      <w:marRight w:val="0"/>
      <w:marTop w:val="0"/>
      <w:marBottom w:val="0"/>
      <w:divBdr>
        <w:top w:val="none" w:sz="0" w:space="0" w:color="auto"/>
        <w:left w:val="none" w:sz="0" w:space="0" w:color="auto"/>
        <w:bottom w:val="none" w:sz="0" w:space="0" w:color="auto"/>
        <w:right w:val="none" w:sz="0" w:space="0" w:color="auto"/>
      </w:divBdr>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284461735">
      <w:bodyDiv w:val="1"/>
      <w:marLeft w:val="0"/>
      <w:marRight w:val="0"/>
      <w:marTop w:val="0"/>
      <w:marBottom w:val="0"/>
      <w:divBdr>
        <w:top w:val="none" w:sz="0" w:space="0" w:color="auto"/>
        <w:left w:val="none" w:sz="0" w:space="0" w:color="auto"/>
        <w:bottom w:val="none" w:sz="0" w:space="0" w:color="auto"/>
        <w:right w:val="none" w:sz="0" w:space="0" w:color="auto"/>
      </w:divBdr>
    </w:div>
    <w:div w:id="1544707668">
      <w:bodyDiv w:val="1"/>
      <w:marLeft w:val="0"/>
      <w:marRight w:val="0"/>
      <w:marTop w:val="0"/>
      <w:marBottom w:val="0"/>
      <w:divBdr>
        <w:top w:val="none" w:sz="0" w:space="0" w:color="auto"/>
        <w:left w:val="none" w:sz="0" w:space="0" w:color="auto"/>
        <w:bottom w:val="none" w:sz="0" w:space="0" w:color="auto"/>
        <w:right w:val="none" w:sz="0" w:space="0" w:color="auto"/>
      </w:divBdr>
      <w:divsChild>
        <w:div w:id="214314733">
          <w:marLeft w:val="1166"/>
          <w:marRight w:val="0"/>
          <w:marTop w:val="125"/>
          <w:marBottom w:val="0"/>
          <w:divBdr>
            <w:top w:val="none" w:sz="0" w:space="0" w:color="auto"/>
            <w:left w:val="none" w:sz="0" w:space="0" w:color="auto"/>
            <w:bottom w:val="none" w:sz="0" w:space="0" w:color="auto"/>
            <w:right w:val="none" w:sz="0" w:space="0" w:color="auto"/>
          </w:divBdr>
        </w:div>
      </w:divsChild>
    </w:div>
    <w:div w:id="1585871422">
      <w:bodyDiv w:val="1"/>
      <w:marLeft w:val="0"/>
      <w:marRight w:val="0"/>
      <w:marTop w:val="0"/>
      <w:marBottom w:val="0"/>
      <w:divBdr>
        <w:top w:val="none" w:sz="0" w:space="0" w:color="auto"/>
        <w:left w:val="none" w:sz="0" w:space="0" w:color="auto"/>
        <w:bottom w:val="none" w:sz="0" w:space="0" w:color="auto"/>
        <w:right w:val="none" w:sz="0" w:space="0" w:color="auto"/>
      </w:divBdr>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721708213">
      <w:bodyDiv w:val="1"/>
      <w:marLeft w:val="0"/>
      <w:marRight w:val="0"/>
      <w:marTop w:val="0"/>
      <w:marBottom w:val="0"/>
      <w:divBdr>
        <w:top w:val="none" w:sz="0" w:space="0" w:color="auto"/>
        <w:left w:val="none" w:sz="0" w:space="0" w:color="auto"/>
        <w:bottom w:val="none" w:sz="0" w:space="0" w:color="auto"/>
        <w:right w:val="none" w:sz="0" w:space="0" w:color="auto"/>
      </w:divBdr>
    </w:div>
    <w:div w:id="1726299893">
      <w:bodyDiv w:val="1"/>
      <w:marLeft w:val="0"/>
      <w:marRight w:val="0"/>
      <w:marTop w:val="0"/>
      <w:marBottom w:val="0"/>
      <w:divBdr>
        <w:top w:val="none" w:sz="0" w:space="0" w:color="auto"/>
        <w:left w:val="none" w:sz="0" w:space="0" w:color="auto"/>
        <w:bottom w:val="none" w:sz="0" w:space="0" w:color="auto"/>
        <w:right w:val="none" w:sz="0" w:space="0" w:color="auto"/>
      </w:divBdr>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00220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5"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4B73F886-517D-48AB-9797-B0220BEAA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3</cp:revision>
  <cp:lastPrinted>2016-06-28T06:36:00Z</cp:lastPrinted>
  <dcterms:created xsi:type="dcterms:W3CDTF">2016-08-25T13:31:00Z</dcterms:created>
  <dcterms:modified xsi:type="dcterms:W3CDTF">2016-08-25T13:34:00Z</dcterms:modified>
</cp:coreProperties>
</file>