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23E" w:rsidRPr="00C27BB5" w:rsidRDefault="007A623E" w:rsidP="007A623E">
      <w:pPr>
        <w:jc w:val="center"/>
        <w:rPr>
          <w:b/>
          <w:sz w:val="40"/>
          <w:szCs w:val="40"/>
        </w:rPr>
      </w:pPr>
      <w:r w:rsidRPr="00C27BB5">
        <w:rPr>
          <w:b/>
          <w:sz w:val="40"/>
          <w:szCs w:val="40"/>
        </w:rPr>
        <w:t>Global Vaccine Action Plan</w:t>
      </w:r>
    </w:p>
    <w:p w:rsidR="007A623E" w:rsidRDefault="007A623E" w:rsidP="007A623E">
      <w:pPr>
        <w:jc w:val="center"/>
        <w:rPr>
          <w:i/>
          <w:sz w:val="40"/>
          <w:szCs w:val="40"/>
        </w:rPr>
      </w:pPr>
      <w:r w:rsidRPr="00C27BB5">
        <w:rPr>
          <w:i/>
          <w:sz w:val="40"/>
          <w:szCs w:val="40"/>
        </w:rPr>
        <w:t>Secretariat Annual Report 2016</w:t>
      </w:r>
    </w:p>
    <w:p w:rsidR="007A623E" w:rsidRDefault="007A623E" w:rsidP="007A623E">
      <w:pPr>
        <w:jc w:val="center"/>
        <w:rPr>
          <w:i/>
          <w:sz w:val="40"/>
          <w:szCs w:val="40"/>
        </w:rPr>
      </w:pPr>
      <w:r>
        <w:rPr>
          <w:i/>
          <w:sz w:val="40"/>
          <w:szCs w:val="40"/>
        </w:rPr>
        <w:t>Priority C</w:t>
      </w:r>
      <w:r w:rsidRPr="00C27BB5">
        <w:rPr>
          <w:i/>
          <w:sz w:val="40"/>
          <w:szCs w:val="40"/>
        </w:rPr>
        <w:t xml:space="preserve">ountry report on progress towards </w:t>
      </w:r>
    </w:p>
    <w:p w:rsidR="007A623E" w:rsidRPr="00C27BB5" w:rsidRDefault="007A623E" w:rsidP="007A623E">
      <w:pPr>
        <w:jc w:val="center"/>
        <w:rPr>
          <w:i/>
          <w:sz w:val="40"/>
          <w:szCs w:val="40"/>
        </w:rPr>
      </w:pPr>
      <w:r>
        <w:rPr>
          <w:i/>
          <w:sz w:val="40"/>
          <w:szCs w:val="40"/>
        </w:rPr>
        <w:t>GVAP-RVAP</w:t>
      </w:r>
      <w:r w:rsidRPr="00C27BB5">
        <w:rPr>
          <w:i/>
          <w:sz w:val="40"/>
          <w:szCs w:val="40"/>
        </w:rPr>
        <w:t xml:space="preserve"> goals </w:t>
      </w:r>
    </w:p>
    <w:p w:rsidR="007A623E" w:rsidRDefault="007A623E" w:rsidP="007A623E">
      <w:pPr>
        <w:jc w:val="center"/>
        <w:rPr>
          <w:rFonts w:ascii="Arial" w:hAnsi="Arial"/>
          <w:b/>
          <w:sz w:val="32"/>
        </w:rPr>
      </w:pPr>
    </w:p>
    <w:p w:rsidR="007A623E" w:rsidRDefault="007A623E" w:rsidP="007A623E">
      <w:pPr>
        <w:jc w:val="center"/>
        <w:rPr>
          <w:rFonts w:ascii="Arial" w:hAnsi="Arial"/>
          <w:b/>
          <w:sz w:val="36"/>
        </w:rPr>
      </w:pPr>
      <w:r>
        <w:rPr>
          <w:rFonts w:ascii="Arial" w:hAnsi="Arial"/>
          <w:b/>
          <w:sz w:val="36"/>
        </w:rPr>
        <w:t>NIGERIA</w:t>
      </w:r>
    </w:p>
    <w:p w:rsidR="007A623E" w:rsidRDefault="007A623E" w:rsidP="007A623E">
      <w:pPr>
        <w:jc w:val="center"/>
        <w:rPr>
          <w:rFonts w:ascii="Arial" w:hAnsi="Arial"/>
          <w:b/>
          <w:sz w:val="36"/>
        </w:rPr>
      </w:pPr>
    </w:p>
    <w:p w:rsidR="00457E0A" w:rsidRPr="00EA6F8C" w:rsidRDefault="00457E0A" w:rsidP="00457E0A">
      <w:pPr>
        <w:pStyle w:val="ListParagraph"/>
        <w:numPr>
          <w:ilvl w:val="0"/>
          <w:numId w:val="3"/>
        </w:numPr>
        <w:rPr>
          <w:rFonts w:ascii="Arial" w:hAnsi="Arial" w:cs="Arial"/>
          <w:b/>
          <w:sz w:val="26"/>
          <w:szCs w:val="26"/>
          <w:lang w:val="en-US"/>
        </w:rPr>
      </w:pPr>
      <w:r w:rsidRPr="00EA6F8C">
        <w:rPr>
          <w:rFonts w:ascii="Arial" w:hAnsi="Arial" w:cs="Arial"/>
          <w:b/>
          <w:sz w:val="26"/>
          <w:szCs w:val="26"/>
          <w:lang w:val="en-US"/>
        </w:rPr>
        <w:t xml:space="preserve">Progress towards achievement of GVAP goals </w:t>
      </w:r>
    </w:p>
    <w:p w:rsidR="00457E0A" w:rsidRPr="00EA6F8C" w:rsidRDefault="00457E0A" w:rsidP="00457E0A">
      <w:pPr>
        <w:pStyle w:val="ListParagraph"/>
        <w:rPr>
          <w:rFonts w:ascii="Arial" w:hAnsi="Arial" w:cs="Arial"/>
          <w:b/>
          <w:lang w:val="en-US"/>
        </w:rPr>
      </w:pPr>
    </w:p>
    <w:p w:rsidR="00163179" w:rsidRPr="00FE7220" w:rsidRDefault="00C67C9D" w:rsidP="00163179">
      <w:pPr>
        <w:pStyle w:val="ListParagraph"/>
        <w:numPr>
          <w:ilvl w:val="0"/>
          <w:numId w:val="1"/>
        </w:numPr>
        <w:rPr>
          <w:rFonts w:ascii="Arial" w:hAnsi="Arial" w:cs="Arial"/>
          <w:b/>
          <w:sz w:val="24"/>
          <w:szCs w:val="24"/>
          <w:lang w:val="en-US"/>
        </w:rPr>
      </w:pPr>
      <w:r w:rsidRPr="00FE7220">
        <w:rPr>
          <w:rFonts w:ascii="Arial" w:hAnsi="Arial" w:cs="Arial"/>
          <w:b/>
          <w:sz w:val="24"/>
          <w:szCs w:val="24"/>
          <w:lang w:val="en-US"/>
        </w:rPr>
        <w:t xml:space="preserve">Summary </w:t>
      </w:r>
    </w:p>
    <w:p w:rsidR="00BA2589" w:rsidRPr="00EA6F8C" w:rsidRDefault="00BA2589" w:rsidP="00B033CD">
      <w:pPr>
        <w:rPr>
          <w:rFonts w:ascii="Arial" w:hAnsi="Arial" w:cs="Arial"/>
          <w:lang w:val="en-US"/>
        </w:rPr>
      </w:pPr>
      <w:r w:rsidRPr="00EA6F8C">
        <w:rPr>
          <w:rFonts w:ascii="Arial" w:hAnsi="Arial" w:cs="Arial"/>
          <w:lang w:val="en-US"/>
        </w:rPr>
        <w:t>Th</w:t>
      </w:r>
      <w:r w:rsidR="00EA6F8C" w:rsidRPr="00EA6F8C">
        <w:rPr>
          <w:rFonts w:ascii="Arial" w:hAnsi="Arial" w:cs="Arial"/>
          <w:lang w:val="en-US"/>
        </w:rPr>
        <w:t>e</w:t>
      </w:r>
      <w:r w:rsidRPr="00EA6F8C">
        <w:rPr>
          <w:rFonts w:ascii="Arial" w:hAnsi="Arial" w:cs="Arial"/>
          <w:lang w:val="en-US"/>
        </w:rPr>
        <w:t xml:space="preserve"> </w:t>
      </w:r>
      <w:r w:rsidR="006C334B" w:rsidRPr="00EA6F8C">
        <w:rPr>
          <w:rFonts w:ascii="Arial" w:hAnsi="Arial" w:cs="Arial"/>
          <w:lang w:val="en-US"/>
        </w:rPr>
        <w:t xml:space="preserve">summary table </w:t>
      </w:r>
      <w:r w:rsidR="00EA6F8C" w:rsidRPr="00EA6F8C">
        <w:rPr>
          <w:rFonts w:ascii="Arial" w:hAnsi="Arial" w:cs="Arial"/>
          <w:lang w:val="en-US"/>
        </w:rPr>
        <w:t xml:space="preserve">below </w:t>
      </w:r>
      <w:r w:rsidR="006C334B" w:rsidRPr="00EA6F8C">
        <w:rPr>
          <w:rFonts w:ascii="Arial" w:hAnsi="Arial" w:cs="Arial"/>
          <w:lang w:val="en-US"/>
        </w:rPr>
        <w:t xml:space="preserve">describes </w:t>
      </w:r>
      <w:r w:rsidRPr="00EA6F8C">
        <w:rPr>
          <w:rFonts w:ascii="Arial" w:hAnsi="Arial" w:cs="Arial"/>
          <w:lang w:val="en-US"/>
        </w:rPr>
        <w:t xml:space="preserve">the current situation in </w:t>
      </w:r>
      <w:r w:rsidR="00B033CD" w:rsidRPr="00EA6F8C">
        <w:rPr>
          <w:rFonts w:ascii="Arial" w:hAnsi="Arial" w:cs="Arial"/>
          <w:lang w:val="en-US"/>
        </w:rPr>
        <w:t>Nigeria</w:t>
      </w:r>
      <w:r w:rsidRPr="00EA6F8C">
        <w:rPr>
          <w:rFonts w:ascii="Arial" w:hAnsi="Arial" w:cs="Arial"/>
          <w:lang w:val="en-US"/>
        </w:rPr>
        <w:t xml:space="preserve"> regarding achieving the GVAP goals.</w:t>
      </w:r>
      <w:r w:rsidR="00492F98" w:rsidRPr="00EA6F8C">
        <w:rPr>
          <w:rFonts w:ascii="Arial" w:hAnsi="Arial" w:cs="Arial"/>
          <w:lang w:val="en-US"/>
        </w:rPr>
        <w:t xml:space="preserve"> </w:t>
      </w:r>
      <w:r w:rsidR="00500171" w:rsidRPr="00EA6F8C">
        <w:rPr>
          <w:rFonts w:ascii="Arial" w:hAnsi="Arial" w:cs="Arial"/>
          <w:lang w:val="en-US"/>
        </w:rPr>
        <w:t>D</w:t>
      </w:r>
      <w:r w:rsidR="00696E6A" w:rsidRPr="00EA6F8C">
        <w:rPr>
          <w:rFonts w:ascii="Arial" w:hAnsi="Arial" w:cs="Arial"/>
          <w:lang w:val="en-US"/>
        </w:rPr>
        <w:t xml:space="preserve">ata </w:t>
      </w:r>
      <w:r w:rsidR="00E11B99" w:rsidRPr="00EA6F8C">
        <w:rPr>
          <w:rFonts w:ascii="Arial" w:hAnsi="Arial" w:cs="Arial"/>
          <w:lang w:val="en-US"/>
        </w:rPr>
        <w:t xml:space="preserve">used to assess progress towards achievement of </w:t>
      </w:r>
      <w:r w:rsidR="00696E6A" w:rsidRPr="00EA6F8C">
        <w:rPr>
          <w:rFonts w:ascii="Arial" w:hAnsi="Arial" w:cs="Arial"/>
          <w:lang w:val="en-US"/>
        </w:rPr>
        <w:t>GVAP goals are included in the annex.</w:t>
      </w:r>
    </w:p>
    <w:tbl>
      <w:tblPr>
        <w:tblW w:w="9517" w:type="dxa"/>
        <w:jc w:val="center"/>
        <w:tblLook w:val="04A0" w:firstRow="1" w:lastRow="0" w:firstColumn="1" w:lastColumn="0" w:noHBand="0" w:noVBand="1"/>
      </w:tblPr>
      <w:tblGrid>
        <w:gridCol w:w="3220"/>
        <w:gridCol w:w="3777"/>
        <w:gridCol w:w="2520"/>
      </w:tblGrid>
      <w:tr w:rsidR="00C35316" w:rsidRPr="00EA6F8C" w:rsidTr="00A03C34">
        <w:trPr>
          <w:trHeight w:val="675"/>
          <w:tblHeader/>
          <w:jc w:val="center"/>
        </w:trPr>
        <w:tc>
          <w:tcPr>
            <w:tcW w:w="32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35316" w:rsidRPr="00EA6F8C" w:rsidRDefault="00C35316" w:rsidP="00EA6F8C">
            <w:pPr>
              <w:spacing w:after="0" w:line="240" w:lineRule="auto"/>
              <w:jc w:val="center"/>
              <w:rPr>
                <w:rFonts w:ascii="Calibri" w:eastAsia="Times New Roman" w:hAnsi="Calibri" w:cs="Calibri"/>
                <w:b/>
                <w:bCs/>
                <w:color w:val="000000"/>
                <w:sz w:val="28"/>
                <w:szCs w:val="28"/>
                <w:lang w:val="en-US" w:eastAsia="en-GB"/>
              </w:rPr>
            </w:pPr>
            <w:r w:rsidRPr="00EA6F8C">
              <w:rPr>
                <w:rFonts w:ascii="Calibri" w:eastAsia="Times New Roman" w:hAnsi="Calibri" w:cs="Calibri"/>
                <w:b/>
                <w:bCs/>
                <w:color w:val="000000"/>
                <w:sz w:val="28"/>
                <w:szCs w:val="28"/>
                <w:lang w:val="en-US" w:eastAsia="en-GB"/>
              </w:rPr>
              <w:t>Area</w:t>
            </w:r>
          </w:p>
        </w:tc>
        <w:tc>
          <w:tcPr>
            <w:tcW w:w="3777" w:type="dxa"/>
            <w:tcBorders>
              <w:top w:val="single" w:sz="4" w:space="0" w:color="auto"/>
              <w:left w:val="nil"/>
              <w:bottom w:val="single" w:sz="4" w:space="0" w:color="auto"/>
              <w:right w:val="single" w:sz="4" w:space="0" w:color="auto"/>
            </w:tcBorders>
            <w:shd w:val="clear" w:color="auto" w:fill="auto"/>
            <w:vAlign w:val="center"/>
            <w:hideMark/>
          </w:tcPr>
          <w:p w:rsidR="00C35316" w:rsidRPr="00EA6F8C" w:rsidRDefault="00C35316" w:rsidP="00EA6F8C">
            <w:pPr>
              <w:spacing w:after="0" w:line="240" w:lineRule="auto"/>
              <w:jc w:val="center"/>
              <w:rPr>
                <w:rFonts w:ascii="Calibri" w:eastAsia="Times New Roman" w:hAnsi="Calibri" w:cs="Calibri"/>
                <w:b/>
                <w:bCs/>
                <w:color w:val="000000"/>
                <w:sz w:val="28"/>
                <w:szCs w:val="28"/>
                <w:lang w:val="en-US" w:eastAsia="en-GB"/>
              </w:rPr>
            </w:pPr>
            <w:r w:rsidRPr="00EA6F8C">
              <w:rPr>
                <w:rFonts w:ascii="Calibri" w:eastAsia="Times New Roman" w:hAnsi="Calibri" w:cs="Calibri"/>
                <w:b/>
                <w:bCs/>
                <w:color w:val="000000"/>
                <w:sz w:val="28"/>
                <w:szCs w:val="28"/>
                <w:lang w:val="en-US" w:eastAsia="en-GB"/>
              </w:rPr>
              <w:t>Indicator</w:t>
            </w:r>
          </w:p>
        </w:tc>
        <w:tc>
          <w:tcPr>
            <w:tcW w:w="2520" w:type="dxa"/>
            <w:tcBorders>
              <w:top w:val="single" w:sz="4" w:space="0" w:color="auto"/>
              <w:left w:val="nil"/>
              <w:bottom w:val="single" w:sz="4" w:space="0" w:color="auto"/>
              <w:right w:val="single" w:sz="4" w:space="0" w:color="auto"/>
            </w:tcBorders>
            <w:shd w:val="clear" w:color="auto" w:fill="auto"/>
            <w:vAlign w:val="center"/>
            <w:hideMark/>
          </w:tcPr>
          <w:p w:rsidR="00C35316" w:rsidRPr="00EA6F8C" w:rsidRDefault="00C35316" w:rsidP="00EA6F8C">
            <w:pPr>
              <w:spacing w:after="0" w:line="240" w:lineRule="auto"/>
              <w:jc w:val="center"/>
              <w:rPr>
                <w:rFonts w:ascii="Calibri" w:eastAsia="Times New Roman" w:hAnsi="Calibri" w:cs="Calibri"/>
                <w:b/>
                <w:bCs/>
                <w:color w:val="000000"/>
                <w:sz w:val="28"/>
                <w:szCs w:val="28"/>
                <w:lang w:val="en-US" w:eastAsia="en-GB"/>
              </w:rPr>
            </w:pPr>
            <w:r w:rsidRPr="00EA6F8C">
              <w:rPr>
                <w:rFonts w:ascii="Calibri" w:eastAsia="Times New Roman" w:hAnsi="Calibri" w:cs="Calibri"/>
                <w:b/>
                <w:bCs/>
                <w:color w:val="000000"/>
                <w:sz w:val="28"/>
                <w:szCs w:val="28"/>
                <w:lang w:val="en-US" w:eastAsia="en-GB"/>
              </w:rPr>
              <w:t>Nigeria</w:t>
            </w:r>
          </w:p>
        </w:tc>
      </w:tr>
      <w:tr w:rsidR="009C5DC1" w:rsidRPr="00EA6F8C" w:rsidTr="00A03C34">
        <w:trPr>
          <w:trHeight w:val="395"/>
          <w:jc w:val="center"/>
        </w:trPr>
        <w:tc>
          <w:tcPr>
            <w:tcW w:w="3220" w:type="dxa"/>
            <w:vMerge w:val="restart"/>
            <w:tcBorders>
              <w:top w:val="nil"/>
              <w:left w:val="single" w:sz="4" w:space="0" w:color="auto"/>
              <w:right w:val="single" w:sz="4" w:space="0" w:color="auto"/>
            </w:tcBorders>
            <w:shd w:val="clear" w:color="000000" w:fill="EBF1DE"/>
            <w:hideMark/>
          </w:tcPr>
          <w:p w:rsidR="009C5DC1" w:rsidRPr="00EA6F8C" w:rsidRDefault="009C5DC1" w:rsidP="009C5DC1">
            <w:pPr>
              <w:spacing w:after="0" w:line="240" w:lineRule="auto"/>
              <w:rPr>
                <w:rFonts w:ascii="Calibri" w:eastAsia="Times New Roman" w:hAnsi="Calibri" w:cs="Calibri"/>
                <w:b/>
                <w:bCs/>
                <w:color w:val="000000"/>
                <w:lang w:val="en-US" w:eastAsia="en-GB"/>
              </w:rPr>
            </w:pPr>
            <w:r w:rsidRPr="00EA6F8C">
              <w:rPr>
                <w:rFonts w:ascii="Calibri" w:eastAsia="Times New Roman" w:hAnsi="Calibri" w:cs="Calibri"/>
                <w:b/>
                <w:bCs/>
                <w:color w:val="000000"/>
                <w:lang w:val="en-US" w:eastAsia="en-GB"/>
              </w:rPr>
              <w:t xml:space="preserve">5. Reach 90% national coverage and 80% in every district with </w:t>
            </w:r>
            <w:r>
              <w:rPr>
                <w:rFonts w:ascii="Calibri" w:eastAsia="Times New Roman" w:hAnsi="Calibri" w:cs="Calibri"/>
                <w:b/>
                <w:bCs/>
                <w:color w:val="000000"/>
                <w:lang w:val="en-US" w:eastAsia="en-GB"/>
              </w:rPr>
              <w:t xml:space="preserve">3 doses of </w:t>
            </w:r>
            <w:r w:rsidRPr="00EA6F8C">
              <w:rPr>
                <w:rFonts w:ascii="Calibri" w:eastAsia="Times New Roman" w:hAnsi="Calibri" w:cs="Calibri"/>
                <w:b/>
                <w:bCs/>
                <w:color w:val="000000"/>
                <w:lang w:val="en-US" w:eastAsia="en-GB"/>
              </w:rPr>
              <w:t>DTP</w:t>
            </w:r>
            <w:r>
              <w:rPr>
                <w:rFonts w:ascii="Calibri" w:eastAsia="Times New Roman" w:hAnsi="Calibri" w:cs="Calibri"/>
                <w:b/>
                <w:bCs/>
                <w:color w:val="000000"/>
                <w:lang w:val="en-US" w:eastAsia="en-GB"/>
              </w:rPr>
              <w:t>-containing vaccine</w:t>
            </w:r>
          </w:p>
        </w:tc>
        <w:tc>
          <w:tcPr>
            <w:tcW w:w="3777" w:type="dxa"/>
            <w:tcBorders>
              <w:top w:val="nil"/>
              <w:left w:val="nil"/>
              <w:bottom w:val="single" w:sz="4" w:space="0" w:color="auto"/>
              <w:right w:val="single" w:sz="4" w:space="0" w:color="auto"/>
            </w:tcBorders>
            <w:shd w:val="clear" w:color="000000" w:fill="EBF1DE"/>
            <w:vAlign w:val="center"/>
            <w:hideMark/>
          </w:tcPr>
          <w:p w:rsidR="009C5DC1" w:rsidRPr="00EA6F8C" w:rsidRDefault="009C5DC1" w:rsidP="009C5DC1">
            <w:pPr>
              <w:spacing w:after="0" w:line="240" w:lineRule="auto"/>
              <w:rPr>
                <w:rFonts w:ascii="Calibri" w:eastAsia="Times New Roman" w:hAnsi="Calibri" w:cs="Calibri"/>
                <w:b/>
                <w:bCs/>
                <w:color w:val="000000"/>
                <w:lang w:val="en-US" w:eastAsia="en-GB"/>
              </w:rPr>
            </w:pPr>
            <w:r w:rsidRPr="00EA6F8C">
              <w:rPr>
                <w:rFonts w:ascii="Calibri" w:eastAsia="Times New Roman" w:hAnsi="Calibri" w:cs="Calibri"/>
                <w:b/>
                <w:bCs/>
                <w:color w:val="000000"/>
                <w:lang w:val="en-US" w:eastAsia="en-GB"/>
              </w:rPr>
              <w:t>National coverage (</w:t>
            </w:r>
            <w:r>
              <w:rPr>
                <w:rFonts w:ascii="Calibri" w:eastAsia="Times New Roman" w:hAnsi="Calibri" w:cs="Calibri"/>
                <w:b/>
                <w:bCs/>
                <w:color w:val="000000"/>
                <w:lang w:val="en-US" w:eastAsia="en-GB"/>
              </w:rPr>
              <w:t xml:space="preserve">2015 </w:t>
            </w:r>
            <w:r w:rsidRPr="00EA6F8C">
              <w:rPr>
                <w:rFonts w:ascii="Calibri" w:eastAsia="Times New Roman" w:hAnsi="Calibri" w:cs="Calibri"/>
                <w:b/>
                <w:bCs/>
                <w:color w:val="000000"/>
                <w:lang w:val="en-US" w:eastAsia="en-GB"/>
              </w:rPr>
              <w:t>WUENIC)</w:t>
            </w:r>
          </w:p>
        </w:tc>
        <w:tc>
          <w:tcPr>
            <w:tcW w:w="2520" w:type="dxa"/>
            <w:tcBorders>
              <w:top w:val="nil"/>
              <w:left w:val="nil"/>
              <w:bottom w:val="single" w:sz="4" w:space="0" w:color="auto"/>
              <w:right w:val="single" w:sz="4" w:space="0" w:color="auto"/>
            </w:tcBorders>
            <w:shd w:val="clear" w:color="000000" w:fill="FF0000"/>
            <w:vAlign w:val="center"/>
            <w:hideMark/>
          </w:tcPr>
          <w:p w:rsidR="009C5DC1" w:rsidRPr="00EA6F8C" w:rsidRDefault="009C5DC1" w:rsidP="00C35316">
            <w:pPr>
              <w:spacing w:after="0" w:line="240" w:lineRule="auto"/>
              <w:jc w:val="center"/>
              <w:rPr>
                <w:rFonts w:ascii="Calibri" w:eastAsia="Times New Roman" w:hAnsi="Calibri" w:cs="Calibri"/>
                <w:b/>
                <w:bCs/>
                <w:color w:val="000000"/>
                <w:lang w:val="en-US" w:eastAsia="en-GB"/>
              </w:rPr>
            </w:pPr>
            <w:r>
              <w:rPr>
                <w:rFonts w:ascii="Calibri" w:eastAsia="Times New Roman" w:hAnsi="Calibri" w:cs="Calibri"/>
                <w:b/>
                <w:bCs/>
                <w:color w:val="000000"/>
                <w:lang w:val="en-US" w:eastAsia="en-GB"/>
              </w:rPr>
              <w:t>5</w:t>
            </w:r>
            <w:r w:rsidRPr="00EA6F8C">
              <w:rPr>
                <w:rFonts w:ascii="Calibri" w:eastAsia="Times New Roman" w:hAnsi="Calibri" w:cs="Calibri"/>
                <w:b/>
                <w:bCs/>
                <w:color w:val="000000"/>
                <w:lang w:val="en-US" w:eastAsia="en-GB"/>
              </w:rPr>
              <w:t>6%</w:t>
            </w:r>
          </w:p>
        </w:tc>
      </w:tr>
      <w:tr w:rsidR="009C5DC1" w:rsidRPr="00EA6F8C" w:rsidTr="00A03C34">
        <w:trPr>
          <w:trHeight w:val="620"/>
          <w:jc w:val="center"/>
        </w:trPr>
        <w:tc>
          <w:tcPr>
            <w:tcW w:w="3220" w:type="dxa"/>
            <w:vMerge/>
            <w:tcBorders>
              <w:left w:val="single" w:sz="4" w:space="0" w:color="auto"/>
              <w:right w:val="single" w:sz="4" w:space="0" w:color="auto"/>
            </w:tcBorders>
            <w:shd w:val="clear" w:color="000000" w:fill="EBF1DE"/>
            <w:vAlign w:val="center"/>
          </w:tcPr>
          <w:p w:rsidR="009C5DC1" w:rsidRPr="00EA6F8C" w:rsidRDefault="009C5DC1" w:rsidP="00C35316">
            <w:pPr>
              <w:spacing w:after="0" w:line="240" w:lineRule="auto"/>
              <w:rPr>
                <w:rFonts w:ascii="Calibri" w:eastAsia="Times New Roman" w:hAnsi="Calibri" w:cs="Calibri"/>
                <w:b/>
                <w:bCs/>
                <w:color w:val="000000"/>
                <w:lang w:val="en-US" w:eastAsia="en-GB"/>
              </w:rPr>
            </w:pPr>
          </w:p>
        </w:tc>
        <w:tc>
          <w:tcPr>
            <w:tcW w:w="3777" w:type="dxa"/>
            <w:tcBorders>
              <w:top w:val="nil"/>
              <w:left w:val="nil"/>
              <w:bottom w:val="single" w:sz="4" w:space="0" w:color="auto"/>
              <w:right w:val="single" w:sz="4" w:space="0" w:color="auto"/>
            </w:tcBorders>
            <w:shd w:val="clear" w:color="000000" w:fill="EBF1DE"/>
            <w:vAlign w:val="center"/>
            <w:hideMark/>
          </w:tcPr>
          <w:p w:rsidR="009C5DC1" w:rsidRPr="00EA6F8C" w:rsidRDefault="009C5DC1" w:rsidP="009C5DC1">
            <w:pPr>
              <w:spacing w:after="0" w:line="240" w:lineRule="auto"/>
              <w:rPr>
                <w:rFonts w:ascii="Calibri" w:eastAsia="Times New Roman" w:hAnsi="Calibri" w:cs="Calibri"/>
                <w:b/>
                <w:bCs/>
                <w:color w:val="000000"/>
                <w:lang w:val="en-US" w:eastAsia="en-GB"/>
              </w:rPr>
            </w:pPr>
            <w:r w:rsidRPr="00EA6F8C">
              <w:rPr>
                <w:rFonts w:ascii="Calibri" w:eastAsia="Times New Roman" w:hAnsi="Calibri" w:cs="Calibri"/>
                <w:b/>
                <w:bCs/>
                <w:color w:val="000000"/>
                <w:lang w:val="en-US" w:eastAsia="en-GB"/>
              </w:rPr>
              <w:t xml:space="preserve">Drop-out rate DTP1 </w:t>
            </w:r>
            <w:r>
              <w:rPr>
                <w:rFonts w:ascii="Calibri" w:eastAsia="Times New Roman" w:hAnsi="Calibri" w:cs="Calibri"/>
                <w:b/>
                <w:bCs/>
                <w:color w:val="000000"/>
                <w:lang w:val="en-US" w:eastAsia="en-GB"/>
              </w:rPr>
              <w:t xml:space="preserve">to </w:t>
            </w:r>
            <w:r w:rsidRPr="00EA6F8C">
              <w:rPr>
                <w:rFonts w:ascii="Calibri" w:eastAsia="Times New Roman" w:hAnsi="Calibri" w:cs="Calibri"/>
                <w:b/>
                <w:bCs/>
                <w:color w:val="000000"/>
                <w:lang w:val="en-US" w:eastAsia="en-GB"/>
              </w:rPr>
              <w:t>DTP3 (201</w:t>
            </w:r>
            <w:r>
              <w:rPr>
                <w:rFonts w:ascii="Calibri" w:eastAsia="Times New Roman" w:hAnsi="Calibri" w:cs="Calibri"/>
                <w:b/>
                <w:bCs/>
                <w:color w:val="000000"/>
                <w:lang w:val="en-US" w:eastAsia="en-GB"/>
              </w:rPr>
              <w:t>5 WUENIC)</w:t>
            </w:r>
          </w:p>
        </w:tc>
        <w:tc>
          <w:tcPr>
            <w:tcW w:w="2520" w:type="dxa"/>
            <w:tcBorders>
              <w:top w:val="nil"/>
              <w:left w:val="nil"/>
              <w:bottom w:val="single" w:sz="4" w:space="0" w:color="auto"/>
              <w:right w:val="single" w:sz="4" w:space="0" w:color="auto"/>
            </w:tcBorders>
            <w:shd w:val="clear" w:color="000000" w:fill="FF0000"/>
            <w:vAlign w:val="center"/>
            <w:hideMark/>
          </w:tcPr>
          <w:p w:rsidR="009C5DC1" w:rsidRPr="00EA6F8C" w:rsidRDefault="009C5DC1" w:rsidP="009C5DC1">
            <w:pPr>
              <w:spacing w:after="0" w:line="240" w:lineRule="auto"/>
              <w:jc w:val="center"/>
              <w:rPr>
                <w:rFonts w:ascii="Calibri" w:eastAsia="Times New Roman" w:hAnsi="Calibri" w:cs="Calibri"/>
                <w:b/>
                <w:bCs/>
                <w:color w:val="000000"/>
                <w:lang w:val="en-US" w:eastAsia="en-GB"/>
              </w:rPr>
            </w:pPr>
            <w:r>
              <w:rPr>
                <w:rFonts w:ascii="Calibri" w:eastAsia="Times New Roman" w:hAnsi="Calibri" w:cs="Calibri"/>
                <w:b/>
                <w:bCs/>
                <w:color w:val="000000"/>
                <w:lang w:val="en-US" w:eastAsia="en-GB"/>
              </w:rPr>
              <w:t>20</w:t>
            </w:r>
            <w:r w:rsidRPr="00EA6F8C">
              <w:rPr>
                <w:rFonts w:ascii="Calibri" w:eastAsia="Times New Roman" w:hAnsi="Calibri" w:cs="Calibri"/>
                <w:b/>
                <w:bCs/>
                <w:color w:val="000000"/>
                <w:lang w:val="en-US" w:eastAsia="en-GB"/>
              </w:rPr>
              <w:t>%</w:t>
            </w:r>
          </w:p>
        </w:tc>
      </w:tr>
      <w:tr w:rsidR="009C5DC1" w:rsidRPr="00EA6F8C" w:rsidTr="00A03C34">
        <w:trPr>
          <w:trHeight w:val="620"/>
          <w:jc w:val="center"/>
        </w:trPr>
        <w:tc>
          <w:tcPr>
            <w:tcW w:w="3220" w:type="dxa"/>
            <w:vMerge/>
            <w:tcBorders>
              <w:left w:val="single" w:sz="4" w:space="0" w:color="auto"/>
              <w:right w:val="single" w:sz="4" w:space="0" w:color="auto"/>
            </w:tcBorders>
            <w:shd w:val="clear" w:color="000000" w:fill="EBF1DE"/>
            <w:vAlign w:val="center"/>
          </w:tcPr>
          <w:p w:rsidR="009C5DC1" w:rsidRPr="00EA6F8C" w:rsidRDefault="009C5DC1" w:rsidP="00C35316">
            <w:pPr>
              <w:spacing w:after="0" w:line="240" w:lineRule="auto"/>
              <w:rPr>
                <w:rFonts w:ascii="Calibri" w:eastAsia="Times New Roman" w:hAnsi="Calibri" w:cs="Calibri"/>
                <w:b/>
                <w:bCs/>
                <w:color w:val="000000"/>
                <w:lang w:val="en-US" w:eastAsia="en-GB"/>
              </w:rPr>
            </w:pPr>
          </w:p>
        </w:tc>
        <w:tc>
          <w:tcPr>
            <w:tcW w:w="3777" w:type="dxa"/>
            <w:tcBorders>
              <w:top w:val="nil"/>
              <w:left w:val="nil"/>
              <w:bottom w:val="single" w:sz="4" w:space="0" w:color="auto"/>
              <w:right w:val="single" w:sz="4" w:space="0" w:color="auto"/>
            </w:tcBorders>
            <w:shd w:val="clear" w:color="000000" w:fill="EBF1DE"/>
            <w:vAlign w:val="center"/>
            <w:hideMark/>
          </w:tcPr>
          <w:p w:rsidR="009C5DC1" w:rsidRPr="00EA6F8C" w:rsidRDefault="009C5DC1" w:rsidP="009C5DC1">
            <w:pPr>
              <w:spacing w:after="0" w:line="240" w:lineRule="auto"/>
              <w:rPr>
                <w:rFonts w:ascii="Calibri" w:eastAsia="Times New Roman" w:hAnsi="Calibri" w:cs="Calibri"/>
                <w:b/>
                <w:bCs/>
                <w:color w:val="000000"/>
                <w:lang w:val="en-US" w:eastAsia="en-GB"/>
              </w:rPr>
            </w:pPr>
            <w:r w:rsidRPr="00EA6F8C">
              <w:rPr>
                <w:rFonts w:ascii="Calibri" w:eastAsia="Times New Roman" w:hAnsi="Calibri" w:cs="Calibri"/>
                <w:b/>
                <w:bCs/>
                <w:color w:val="000000"/>
                <w:lang w:val="en-US" w:eastAsia="en-GB"/>
              </w:rPr>
              <w:t>Actual numbers of children that dropped out (201</w:t>
            </w:r>
            <w:r>
              <w:rPr>
                <w:rFonts w:ascii="Calibri" w:eastAsia="Times New Roman" w:hAnsi="Calibri" w:cs="Calibri"/>
                <w:b/>
                <w:bCs/>
                <w:color w:val="000000"/>
                <w:lang w:val="en-US" w:eastAsia="en-GB"/>
              </w:rPr>
              <w:t>5</w:t>
            </w:r>
            <w:r w:rsidRPr="00EA6F8C">
              <w:rPr>
                <w:rFonts w:ascii="Calibri" w:eastAsia="Times New Roman" w:hAnsi="Calibri" w:cs="Calibri"/>
                <w:b/>
                <w:bCs/>
                <w:color w:val="000000"/>
                <w:lang w:val="en-US" w:eastAsia="en-GB"/>
              </w:rPr>
              <w:t xml:space="preserve"> WUENIC)</w:t>
            </w:r>
          </w:p>
        </w:tc>
        <w:tc>
          <w:tcPr>
            <w:tcW w:w="2520" w:type="dxa"/>
            <w:tcBorders>
              <w:top w:val="nil"/>
              <w:left w:val="nil"/>
              <w:bottom w:val="single" w:sz="4" w:space="0" w:color="auto"/>
              <w:right w:val="single" w:sz="4" w:space="0" w:color="auto"/>
            </w:tcBorders>
            <w:shd w:val="clear" w:color="000000" w:fill="FF0000"/>
            <w:vAlign w:val="center"/>
            <w:hideMark/>
          </w:tcPr>
          <w:p w:rsidR="009C5DC1" w:rsidRPr="00EA6F8C" w:rsidRDefault="00FB2BC5" w:rsidP="00C35316">
            <w:pPr>
              <w:spacing w:after="0" w:line="240" w:lineRule="auto"/>
              <w:jc w:val="center"/>
              <w:rPr>
                <w:rFonts w:ascii="Calibri" w:eastAsia="Times New Roman" w:hAnsi="Calibri" w:cs="Calibri"/>
                <w:b/>
                <w:bCs/>
                <w:color w:val="000000"/>
                <w:lang w:val="en-US" w:eastAsia="en-GB"/>
              </w:rPr>
            </w:pPr>
            <w:r>
              <w:rPr>
                <w:rFonts w:ascii="Calibri" w:eastAsia="Times New Roman" w:hAnsi="Calibri" w:cs="Calibri"/>
                <w:b/>
                <w:bCs/>
                <w:color w:val="000000"/>
                <w:lang w:val="en-US" w:eastAsia="en-GB"/>
              </w:rPr>
              <w:t>927,146</w:t>
            </w:r>
          </w:p>
        </w:tc>
      </w:tr>
      <w:tr w:rsidR="009C5DC1" w:rsidRPr="00EA6F8C" w:rsidTr="00A03C34">
        <w:trPr>
          <w:trHeight w:val="620"/>
          <w:jc w:val="center"/>
        </w:trPr>
        <w:tc>
          <w:tcPr>
            <w:tcW w:w="3220" w:type="dxa"/>
            <w:vMerge/>
            <w:tcBorders>
              <w:left w:val="single" w:sz="4" w:space="0" w:color="auto"/>
              <w:right w:val="single" w:sz="4" w:space="0" w:color="auto"/>
            </w:tcBorders>
            <w:shd w:val="clear" w:color="000000" w:fill="EBF1DE"/>
            <w:vAlign w:val="center"/>
          </w:tcPr>
          <w:p w:rsidR="009C5DC1" w:rsidRPr="00EA6F8C" w:rsidRDefault="009C5DC1" w:rsidP="00C35316">
            <w:pPr>
              <w:spacing w:after="0" w:line="240" w:lineRule="auto"/>
              <w:rPr>
                <w:rFonts w:ascii="Calibri" w:eastAsia="Times New Roman" w:hAnsi="Calibri" w:cs="Calibri"/>
                <w:b/>
                <w:bCs/>
                <w:color w:val="000000"/>
                <w:lang w:val="en-US" w:eastAsia="en-GB"/>
              </w:rPr>
            </w:pPr>
          </w:p>
        </w:tc>
        <w:tc>
          <w:tcPr>
            <w:tcW w:w="3777" w:type="dxa"/>
            <w:tcBorders>
              <w:top w:val="nil"/>
              <w:left w:val="nil"/>
              <w:bottom w:val="single" w:sz="4" w:space="0" w:color="auto"/>
              <w:right w:val="single" w:sz="4" w:space="0" w:color="auto"/>
            </w:tcBorders>
            <w:shd w:val="clear" w:color="000000" w:fill="EBF1DE"/>
            <w:vAlign w:val="center"/>
            <w:hideMark/>
          </w:tcPr>
          <w:p w:rsidR="009C5DC1" w:rsidRPr="00EA6F8C" w:rsidRDefault="009C5DC1" w:rsidP="009C5DC1">
            <w:pPr>
              <w:spacing w:after="0" w:line="240" w:lineRule="auto"/>
              <w:rPr>
                <w:rFonts w:ascii="Calibri" w:eastAsia="Times New Roman" w:hAnsi="Calibri" w:cs="Calibri"/>
                <w:b/>
                <w:bCs/>
                <w:color w:val="000000"/>
                <w:lang w:val="en-US" w:eastAsia="en-GB"/>
              </w:rPr>
            </w:pPr>
            <w:r w:rsidRPr="00EA6F8C">
              <w:rPr>
                <w:rFonts w:ascii="Calibri" w:eastAsia="Times New Roman" w:hAnsi="Calibri" w:cs="Calibri"/>
                <w:b/>
                <w:bCs/>
                <w:color w:val="000000"/>
                <w:lang w:val="en-US" w:eastAsia="en-GB"/>
              </w:rPr>
              <w:t xml:space="preserve">Difference between poorest and richest quintile DTP3 coverage (2013 </w:t>
            </w:r>
            <w:r>
              <w:rPr>
                <w:rFonts w:ascii="Calibri" w:eastAsia="Times New Roman" w:hAnsi="Calibri" w:cs="Calibri"/>
                <w:b/>
                <w:bCs/>
                <w:color w:val="000000"/>
                <w:lang w:val="en-US" w:eastAsia="en-GB"/>
              </w:rPr>
              <w:t>DHS</w:t>
            </w:r>
            <w:r w:rsidRPr="00EA6F8C">
              <w:rPr>
                <w:rFonts w:ascii="Calibri" w:eastAsia="Times New Roman" w:hAnsi="Calibri" w:cs="Calibri"/>
                <w:b/>
                <w:bCs/>
                <w:color w:val="000000"/>
                <w:lang w:val="en-US" w:eastAsia="en-GB"/>
              </w:rPr>
              <w:t>)</w:t>
            </w:r>
          </w:p>
        </w:tc>
        <w:tc>
          <w:tcPr>
            <w:tcW w:w="2520" w:type="dxa"/>
            <w:tcBorders>
              <w:top w:val="nil"/>
              <w:left w:val="nil"/>
              <w:bottom w:val="single" w:sz="4" w:space="0" w:color="auto"/>
              <w:right w:val="single" w:sz="4" w:space="0" w:color="auto"/>
            </w:tcBorders>
            <w:shd w:val="clear" w:color="000000" w:fill="FF0000"/>
            <w:vAlign w:val="center"/>
            <w:hideMark/>
          </w:tcPr>
          <w:p w:rsidR="009C5DC1" w:rsidRPr="00EA6F8C" w:rsidRDefault="009C5DC1" w:rsidP="00C35316">
            <w:pPr>
              <w:spacing w:after="0" w:line="240" w:lineRule="auto"/>
              <w:jc w:val="center"/>
              <w:rPr>
                <w:rFonts w:ascii="Calibri" w:eastAsia="Times New Roman" w:hAnsi="Calibri" w:cs="Calibri"/>
                <w:b/>
                <w:bCs/>
                <w:color w:val="000000"/>
                <w:lang w:val="en-US" w:eastAsia="en-GB"/>
              </w:rPr>
            </w:pPr>
            <w:r>
              <w:rPr>
                <w:rFonts w:ascii="Calibri" w:eastAsia="Times New Roman" w:hAnsi="Calibri" w:cs="Calibri"/>
                <w:b/>
                <w:bCs/>
                <w:color w:val="000000"/>
                <w:lang w:val="en-US" w:eastAsia="en-GB"/>
              </w:rPr>
              <w:t>64.7 percentage point</w:t>
            </w:r>
          </w:p>
        </w:tc>
      </w:tr>
      <w:tr w:rsidR="009C5DC1" w:rsidRPr="00EA6F8C" w:rsidTr="00A03C34">
        <w:trPr>
          <w:trHeight w:val="710"/>
          <w:jc w:val="center"/>
        </w:trPr>
        <w:tc>
          <w:tcPr>
            <w:tcW w:w="3220" w:type="dxa"/>
            <w:vMerge/>
            <w:tcBorders>
              <w:left w:val="single" w:sz="4" w:space="0" w:color="auto"/>
              <w:bottom w:val="single" w:sz="4" w:space="0" w:color="auto"/>
              <w:right w:val="single" w:sz="4" w:space="0" w:color="auto"/>
            </w:tcBorders>
            <w:shd w:val="clear" w:color="000000" w:fill="EBF1DE"/>
            <w:vAlign w:val="center"/>
          </w:tcPr>
          <w:p w:rsidR="009C5DC1" w:rsidRPr="00EA6F8C" w:rsidRDefault="009C5DC1" w:rsidP="00C35316">
            <w:pPr>
              <w:spacing w:after="0" w:line="240" w:lineRule="auto"/>
              <w:rPr>
                <w:rFonts w:ascii="Calibri" w:eastAsia="Times New Roman" w:hAnsi="Calibri" w:cs="Calibri"/>
                <w:b/>
                <w:bCs/>
                <w:color w:val="000000"/>
                <w:lang w:val="en-US" w:eastAsia="en-GB"/>
              </w:rPr>
            </w:pPr>
          </w:p>
        </w:tc>
        <w:tc>
          <w:tcPr>
            <w:tcW w:w="3777" w:type="dxa"/>
            <w:tcBorders>
              <w:top w:val="nil"/>
              <w:left w:val="nil"/>
              <w:bottom w:val="single" w:sz="4" w:space="0" w:color="auto"/>
              <w:right w:val="single" w:sz="4" w:space="0" w:color="auto"/>
            </w:tcBorders>
            <w:shd w:val="clear" w:color="000000" w:fill="EBF1DE"/>
            <w:vAlign w:val="center"/>
            <w:hideMark/>
          </w:tcPr>
          <w:p w:rsidR="009C5DC1" w:rsidRPr="00EA6F8C" w:rsidRDefault="000B2412" w:rsidP="000B2412">
            <w:pPr>
              <w:spacing w:after="0" w:line="240" w:lineRule="auto"/>
              <w:rPr>
                <w:rFonts w:ascii="Calibri" w:eastAsia="Times New Roman" w:hAnsi="Calibri" w:cs="Calibri"/>
                <w:b/>
                <w:bCs/>
                <w:color w:val="000000"/>
                <w:lang w:val="en-US" w:eastAsia="en-GB"/>
              </w:rPr>
            </w:pPr>
            <w:r>
              <w:rPr>
                <w:rFonts w:ascii="Calibri" w:eastAsia="Times New Roman" w:hAnsi="Calibri" w:cs="Calibri"/>
                <w:b/>
                <w:bCs/>
                <w:color w:val="000000"/>
                <w:lang w:val="en-US" w:eastAsia="en-GB"/>
              </w:rPr>
              <w:t>Reported p</w:t>
            </w:r>
            <w:r w:rsidR="009C5DC1">
              <w:rPr>
                <w:rFonts w:ascii="Calibri" w:eastAsia="Times New Roman" w:hAnsi="Calibri" w:cs="Calibri"/>
                <w:b/>
                <w:bCs/>
                <w:color w:val="000000"/>
                <w:lang w:val="en-US" w:eastAsia="en-GB"/>
              </w:rPr>
              <w:t>ercent of d</w:t>
            </w:r>
            <w:r w:rsidR="009C5DC1" w:rsidRPr="00EA6F8C">
              <w:rPr>
                <w:rFonts w:ascii="Calibri" w:eastAsia="Times New Roman" w:hAnsi="Calibri" w:cs="Calibri"/>
                <w:b/>
                <w:bCs/>
                <w:color w:val="000000"/>
                <w:lang w:val="en-US" w:eastAsia="en-GB"/>
              </w:rPr>
              <w:t>istrict</w:t>
            </w:r>
            <w:r w:rsidR="009C5DC1">
              <w:rPr>
                <w:rFonts w:ascii="Calibri" w:eastAsia="Times New Roman" w:hAnsi="Calibri" w:cs="Calibri"/>
                <w:b/>
                <w:bCs/>
                <w:color w:val="000000"/>
                <w:lang w:val="en-US" w:eastAsia="en-GB"/>
              </w:rPr>
              <w:t>s</w:t>
            </w:r>
            <w:r w:rsidR="009C5DC1" w:rsidRPr="00EA6F8C">
              <w:rPr>
                <w:rFonts w:ascii="Calibri" w:eastAsia="Times New Roman" w:hAnsi="Calibri" w:cs="Calibri"/>
                <w:b/>
                <w:bCs/>
                <w:color w:val="000000"/>
                <w:lang w:val="en-US" w:eastAsia="en-GB"/>
              </w:rPr>
              <w:t xml:space="preserve"> </w:t>
            </w:r>
            <w:r w:rsidR="009C5DC1">
              <w:rPr>
                <w:rFonts w:ascii="Calibri" w:eastAsia="Times New Roman" w:hAnsi="Calibri" w:cs="Calibri"/>
                <w:b/>
                <w:bCs/>
                <w:color w:val="000000"/>
                <w:lang w:val="en-US" w:eastAsia="en-GB"/>
              </w:rPr>
              <w:t>with ≥</w:t>
            </w:r>
            <w:r w:rsidR="009C5DC1" w:rsidRPr="00EA6F8C">
              <w:rPr>
                <w:rFonts w:ascii="Calibri" w:eastAsia="Times New Roman" w:hAnsi="Calibri" w:cs="Calibri"/>
                <w:b/>
                <w:bCs/>
                <w:color w:val="000000"/>
                <w:lang w:val="en-US" w:eastAsia="en-GB"/>
              </w:rPr>
              <w:t xml:space="preserve">80% coverage </w:t>
            </w:r>
            <w:r w:rsidR="009C5DC1">
              <w:rPr>
                <w:rFonts w:ascii="Calibri" w:eastAsia="Times New Roman" w:hAnsi="Calibri" w:cs="Calibri"/>
                <w:b/>
                <w:bCs/>
                <w:color w:val="000000"/>
                <w:lang w:val="en-US" w:eastAsia="en-GB"/>
              </w:rPr>
              <w:t>(</w:t>
            </w:r>
            <w:r w:rsidR="009C5DC1" w:rsidRPr="00EA6F8C">
              <w:rPr>
                <w:rFonts w:ascii="Calibri" w:eastAsia="Times New Roman" w:hAnsi="Calibri" w:cs="Calibri"/>
                <w:b/>
                <w:bCs/>
                <w:color w:val="000000"/>
                <w:lang w:val="en-US" w:eastAsia="en-GB"/>
              </w:rPr>
              <w:t xml:space="preserve">from 2015 </w:t>
            </w:r>
            <w:r>
              <w:rPr>
                <w:rFonts w:ascii="Calibri" w:eastAsia="Times New Roman" w:hAnsi="Calibri" w:cs="Calibri"/>
                <w:b/>
                <w:bCs/>
                <w:color w:val="000000"/>
                <w:lang w:val="en-US" w:eastAsia="en-GB"/>
              </w:rPr>
              <w:t>JRF</w:t>
            </w:r>
            <w:r w:rsidR="009C5DC1">
              <w:rPr>
                <w:rFonts w:ascii="Calibri" w:eastAsia="Times New Roman" w:hAnsi="Calibri" w:cs="Calibri"/>
                <w:b/>
                <w:bCs/>
                <w:color w:val="000000"/>
                <w:lang w:val="en-US" w:eastAsia="en-GB"/>
              </w:rPr>
              <w:t>)</w:t>
            </w:r>
          </w:p>
        </w:tc>
        <w:tc>
          <w:tcPr>
            <w:tcW w:w="2520" w:type="dxa"/>
            <w:tcBorders>
              <w:top w:val="nil"/>
              <w:left w:val="nil"/>
              <w:bottom w:val="single" w:sz="4" w:space="0" w:color="auto"/>
              <w:right w:val="single" w:sz="4" w:space="0" w:color="auto"/>
            </w:tcBorders>
            <w:shd w:val="clear" w:color="000000" w:fill="FFC000"/>
            <w:vAlign w:val="center"/>
            <w:hideMark/>
          </w:tcPr>
          <w:p w:rsidR="009C5DC1" w:rsidRPr="00EA6F8C" w:rsidRDefault="009C5DC1" w:rsidP="00C35316">
            <w:pPr>
              <w:spacing w:after="0" w:line="240" w:lineRule="auto"/>
              <w:jc w:val="center"/>
              <w:rPr>
                <w:rFonts w:ascii="Calibri" w:eastAsia="Times New Roman" w:hAnsi="Calibri" w:cs="Calibri"/>
                <w:b/>
                <w:bCs/>
                <w:color w:val="000000"/>
                <w:lang w:val="en-US" w:eastAsia="en-GB"/>
              </w:rPr>
            </w:pPr>
            <w:r w:rsidRPr="00EA6F8C">
              <w:rPr>
                <w:rFonts w:ascii="Calibri" w:eastAsia="Times New Roman" w:hAnsi="Calibri" w:cs="Calibri"/>
                <w:b/>
                <w:bCs/>
                <w:color w:val="000000"/>
                <w:lang w:val="en-US" w:eastAsia="en-GB"/>
              </w:rPr>
              <w:t>80%</w:t>
            </w:r>
          </w:p>
        </w:tc>
      </w:tr>
    </w:tbl>
    <w:p w:rsidR="00CA663B" w:rsidRPr="00EA6F8C" w:rsidRDefault="00CA663B" w:rsidP="00236906">
      <w:pPr>
        <w:rPr>
          <w:rFonts w:ascii="Arial" w:hAnsi="Arial" w:cs="Arial"/>
          <w:b/>
          <w:lang w:val="en-US"/>
        </w:rPr>
      </w:pPr>
      <w:r w:rsidRPr="00EA6F8C">
        <w:rPr>
          <w:rFonts w:ascii="Arial" w:hAnsi="Arial" w:cs="Arial"/>
          <w:b/>
          <w:lang w:val="en-US"/>
        </w:rPr>
        <w:t>3</w:t>
      </w:r>
      <w:r w:rsidR="000D4A84">
        <w:rPr>
          <w:rFonts w:ascii="Arial" w:hAnsi="Arial" w:cs="Arial"/>
          <w:b/>
          <w:lang w:val="en-US"/>
        </w:rPr>
        <w:t>.3. Goal 3</w:t>
      </w:r>
      <w:r w:rsidRPr="00EA6F8C">
        <w:rPr>
          <w:rFonts w:ascii="Arial" w:hAnsi="Arial" w:cs="Arial"/>
          <w:b/>
          <w:lang w:val="en-US"/>
        </w:rPr>
        <w:t>: Meet vaccination coverage targets</w:t>
      </w:r>
    </w:p>
    <w:p w:rsidR="00CA663B" w:rsidRPr="000D4A84" w:rsidRDefault="000D4A84" w:rsidP="000D4A84">
      <w:pPr>
        <w:pStyle w:val="ListParagraph"/>
        <w:numPr>
          <w:ilvl w:val="0"/>
          <w:numId w:val="33"/>
        </w:numPr>
        <w:contextualSpacing w:val="0"/>
        <w:rPr>
          <w:rFonts w:ascii="Arial" w:hAnsi="Arial" w:cs="Arial"/>
          <w:b/>
          <w:lang w:val="en-US"/>
        </w:rPr>
      </w:pPr>
      <w:r>
        <w:rPr>
          <w:rFonts w:ascii="Arial" w:hAnsi="Arial" w:cs="Arial"/>
          <w:b/>
          <w:lang w:val="en-US"/>
        </w:rPr>
        <w:t>Achieve 90% n</w:t>
      </w:r>
      <w:r w:rsidR="00CA663B" w:rsidRPr="000D4A84">
        <w:rPr>
          <w:rFonts w:ascii="Arial" w:hAnsi="Arial" w:cs="Arial"/>
          <w:b/>
          <w:lang w:val="en-US"/>
        </w:rPr>
        <w:t xml:space="preserve">ational coverage and 80% </w:t>
      </w:r>
      <w:r>
        <w:rPr>
          <w:rFonts w:ascii="Arial" w:hAnsi="Arial" w:cs="Arial"/>
          <w:b/>
          <w:lang w:val="en-US"/>
        </w:rPr>
        <w:t xml:space="preserve">coverage </w:t>
      </w:r>
      <w:r w:rsidR="00CA663B" w:rsidRPr="000D4A84">
        <w:rPr>
          <w:rFonts w:ascii="Arial" w:hAnsi="Arial" w:cs="Arial"/>
          <w:b/>
          <w:lang w:val="en-US"/>
        </w:rPr>
        <w:t xml:space="preserve">in every district with </w:t>
      </w:r>
      <w:r>
        <w:rPr>
          <w:rFonts w:ascii="Arial" w:hAnsi="Arial" w:cs="Arial"/>
          <w:b/>
          <w:lang w:val="en-US"/>
        </w:rPr>
        <w:t>three</w:t>
      </w:r>
      <w:r w:rsidR="00CA663B" w:rsidRPr="000D4A84">
        <w:rPr>
          <w:rFonts w:ascii="Arial" w:hAnsi="Arial" w:cs="Arial"/>
          <w:b/>
          <w:lang w:val="en-US"/>
        </w:rPr>
        <w:t xml:space="preserve"> doses of </w:t>
      </w:r>
      <w:r w:rsidRPr="000D4A84">
        <w:rPr>
          <w:rFonts w:ascii="Arial" w:hAnsi="Arial" w:cs="Arial"/>
          <w:b/>
          <w:lang w:val="en-US"/>
        </w:rPr>
        <w:t>diphtheria</w:t>
      </w:r>
      <w:r w:rsidR="00CA663B" w:rsidRPr="000D4A84">
        <w:rPr>
          <w:rFonts w:ascii="Arial" w:hAnsi="Arial" w:cs="Arial"/>
          <w:b/>
          <w:lang w:val="en-US"/>
        </w:rPr>
        <w:t>-tetanus-pertussis containing vaccines</w:t>
      </w:r>
    </w:p>
    <w:p w:rsidR="00CA663B" w:rsidRDefault="000D4A84" w:rsidP="00CA663B">
      <w:pPr>
        <w:rPr>
          <w:rFonts w:ascii="Arial" w:hAnsi="Arial" w:cs="Arial"/>
          <w:lang w:val="en-US"/>
        </w:rPr>
      </w:pPr>
      <w:r>
        <w:rPr>
          <w:rFonts w:ascii="Arial" w:hAnsi="Arial" w:cs="Arial"/>
          <w:lang w:val="en-US"/>
        </w:rPr>
        <w:t>The WHO-UNICEF estimated coverage rate for the third dose of DPT-containing vaccine</w:t>
      </w:r>
      <w:r w:rsidR="00027E10">
        <w:rPr>
          <w:rFonts w:ascii="Arial" w:hAnsi="Arial" w:cs="Arial"/>
          <w:lang w:val="en-US"/>
        </w:rPr>
        <w:t xml:space="preserve"> (pentavalent) in 2015, which was recently revised downward following the 2015 NNHS, was 56% among children 12-23 months of age, with a dropout rate between the first and third doses of 20% (from 70% to 56%). According to the 2015 NHHS, five of the country’s 37 states (14%) reached the target of at least 80% coverage for DPT3, 15 states (40%) </w:t>
      </w:r>
      <w:r w:rsidR="00805A3A">
        <w:rPr>
          <w:rFonts w:ascii="Arial" w:hAnsi="Arial" w:cs="Arial"/>
          <w:lang w:val="en-US"/>
        </w:rPr>
        <w:lastRenderedPageBreak/>
        <w:t>achieved coverage</w:t>
      </w:r>
      <w:r w:rsidR="00027E10">
        <w:rPr>
          <w:rFonts w:ascii="Arial" w:hAnsi="Arial" w:cs="Arial"/>
          <w:lang w:val="en-US"/>
        </w:rPr>
        <w:t xml:space="preserve"> rates of between 50% and 75%, and 16 states (43%) had coverage of less than 50%</w:t>
      </w:r>
      <w:r w:rsidR="00805A3A">
        <w:rPr>
          <w:rFonts w:ascii="Arial" w:hAnsi="Arial" w:cs="Arial"/>
          <w:lang w:val="en-US"/>
        </w:rPr>
        <w:t>. As with measles vaccination, the range of DPT3 coverage by state</w:t>
      </w:r>
      <w:r w:rsidR="00CA663B" w:rsidRPr="00EA6F8C">
        <w:rPr>
          <w:rFonts w:ascii="Arial" w:hAnsi="Arial" w:cs="Arial"/>
          <w:lang w:val="en-US"/>
        </w:rPr>
        <w:t xml:space="preserve"> </w:t>
      </w:r>
      <w:r w:rsidR="00805A3A">
        <w:rPr>
          <w:rFonts w:ascii="Arial" w:hAnsi="Arial" w:cs="Arial"/>
          <w:lang w:val="en-US"/>
        </w:rPr>
        <w:t xml:space="preserve">is enormous – from 4.4% in </w:t>
      </w:r>
      <w:proofErr w:type="spellStart"/>
      <w:r w:rsidR="00805A3A">
        <w:rPr>
          <w:rFonts w:ascii="Arial" w:hAnsi="Arial" w:cs="Arial"/>
          <w:lang w:val="en-US"/>
        </w:rPr>
        <w:t>Sokoto</w:t>
      </w:r>
      <w:proofErr w:type="spellEnd"/>
      <w:r w:rsidR="00805A3A">
        <w:rPr>
          <w:rFonts w:ascii="Arial" w:hAnsi="Arial" w:cs="Arial"/>
          <w:lang w:val="en-US"/>
        </w:rPr>
        <w:t xml:space="preserve"> state to 91% in the Southeastern state of Imo (see Figure 2 above). There are also vast inequities in rates by rural vs. urban location and by household wealth. According to the 2013 DHS, DPT3 coverage in rural areas was only 40% of that of urban areas (25% vs. 62%) and thee was an eleven-fold increase in rates from the lowest wealth quintile (7%) to the highest (79.5%).</w:t>
      </w:r>
      <w:r w:rsidR="00805A3A">
        <w:rPr>
          <w:rStyle w:val="FootnoteReference"/>
          <w:rFonts w:ascii="Arial" w:hAnsi="Arial" w:cs="Arial"/>
          <w:lang w:val="en-US"/>
        </w:rPr>
        <w:footnoteReference w:id="1"/>
      </w:r>
      <w:r w:rsidR="004C4AD6">
        <w:rPr>
          <w:rFonts w:ascii="Arial" w:hAnsi="Arial" w:cs="Arial"/>
          <w:lang w:val="en-US"/>
        </w:rPr>
        <w:t xml:space="preserve"> The NNHS also found that 21% of 12-23 month olds had not received a single vaccination. A more in-depth equity assessment will be conducted as a condition of Nigeria applying for GAVI support for rotavirus vaccine introduction (currently planned for 2018), along with preparation of a plan to address this problem.</w:t>
      </w:r>
    </w:p>
    <w:p w:rsidR="004C4AD6" w:rsidRDefault="004C4AD6" w:rsidP="00CA663B">
      <w:pPr>
        <w:rPr>
          <w:rFonts w:ascii="Arial" w:hAnsi="Arial" w:cs="Arial"/>
          <w:lang w:val="en-US"/>
        </w:rPr>
      </w:pPr>
      <w:r>
        <w:rPr>
          <w:rFonts w:ascii="Arial" w:hAnsi="Arial" w:cs="Arial"/>
          <w:lang w:val="en-US"/>
        </w:rPr>
        <w:t>Nigeria has also not been able to meet these targets for other vaccines in the immunization schedule – with national coverage for measles, three doses of polio and yellow fever vaccines all at 54-55%, and BCG at the highest at 68%, according to the revised WHO-UNICEF estimates. Unimmunized children in Nigeria account for one in three of all unimmunized children in Sub-Saharan Africa and for one in six of all of those in GAVI-supported countries.</w:t>
      </w:r>
      <w:r>
        <w:rPr>
          <w:rStyle w:val="FootnoteReference"/>
          <w:rFonts w:ascii="Arial" w:hAnsi="Arial" w:cs="Arial"/>
          <w:lang w:val="en-US"/>
        </w:rPr>
        <w:footnoteReference w:id="2"/>
      </w:r>
    </w:p>
    <w:p w:rsidR="00CA663B" w:rsidRDefault="004C4AD6" w:rsidP="00AF71FB">
      <w:pPr>
        <w:rPr>
          <w:rFonts w:ascii="Arial" w:hAnsi="Arial" w:cs="Arial"/>
          <w:lang w:val="en-US"/>
        </w:rPr>
      </w:pPr>
      <w:r>
        <w:rPr>
          <w:rFonts w:ascii="Arial" w:hAnsi="Arial" w:cs="Arial"/>
          <w:lang w:val="en-US"/>
        </w:rPr>
        <w:t>The country has made progress, however, with immunization coverage rates over the past five years, especially in the past two years. According to the WUENIC estimates, BCG coverage climbed 11 percentage points from 2011 to 2015 (from 57% to 68%), DPT 3 coverage rose eight percentage points (from 48% in 2011 to 56% in 2015), yellow fever vaccine coverage increased by 16 points – from 38% to 54% (a 42% increase), and measles by five points (from 49% to 54%). Among the reasons</w:t>
      </w:r>
      <w:r w:rsidR="00AF71FB">
        <w:rPr>
          <w:rFonts w:ascii="Arial" w:hAnsi="Arial" w:cs="Arial"/>
          <w:lang w:val="en-US"/>
        </w:rPr>
        <w:t xml:space="preserve"> given by informants</w:t>
      </w:r>
      <w:r>
        <w:rPr>
          <w:rFonts w:ascii="Arial" w:hAnsi="Arial" w:cs="Arial"/>
          <w:lang w:val="en-US"/>
        </w:rPr>
        <w:t xml:space="preserve"> for these gains are increased population awareness of and thus demand for vaccination as a result of the recent introduction of pentavalent vaccine and on-going introduction of PCV and accompanying communications and social mobilization activities</w:t>
      </w:r>
      <w:r w:rsidR="00AF71FB">
        <w:rPr>
          <w:rFonts w:ascii="Arial" w:hAnsi="Arial" w:cs="Arial"/>
          <w:lang w:val="en-US"/>
        </w:rPr>
        <w:t>,</w:t>
      </w:r>
      <w:r>
        <w:rPr>
          <w:rFonts w:ascii="Arial" w:hAnsi="Arial" w:cs="Arial"/>
          <w:lang w:val="en-US"/>
        </w:rPr>
        <w:t xml:space="preserve"> greater involvement of traditional and political leaders in informi</w:t>
      </w:r>
      <w:r w:rsidR="00AF71FB">
        <w:rPr>
          <w:rFonts w:ascii="Arial" w:hAnsi="Arial" w:cs="Arial"/>
          <w:lang w:val="en-US"/>
        </w:rPr>
        <w:t>ng the public about vaccination,</w:t>
      </w:r>
      <w:r>
        <w:rPr>
          <w:rFonts w:ascii="Arial" w:hAnsi="Arial" w:cs="Arial"/>
          <w:lang w:val="en-US"/>
        </w:rPr>
        <w:t xml:space="preserve"> and the improved regul</w:t>
      </w:r>
      <w:r w:rsidR="00AF71FB">
        <w:rPr>
          <w:rFonts w:ascii="Arial" w:hAnsi="Arial" w:cs="Arial"/>
          <w:lang w:val="en-US"/>
        </w:rPr>
        <w:t xml:space="preserve">arity of the vaccine supply, especially at the national level (as there has not been a national vaccine </w:t>
      </w:r>
      <w:proofErr w:type="spellStart"/>
      <w:r w:rsidR="00AF71FB">
        <w:rPr>
          <w:rFonts w:ascii="Arial" w:hAnsi="Arial" w:cs="Arial"/>
          <w:lang w:val="en-US"/>
        </w:rPr>
        <w:t>stockout</w:t>
      </w:r>
      <w:proofErr w:type="spellEnd"/>
      <w:r w:rsidR="00AF71FB">
        <w:rPr>
          <w:rFonts w:ascii="Arial" w:hAnsi="Arial" w:cs="Arial"/>
          <w:lang w:val="en-US"/>
        </w:rPr>
        <w:t xml:space="preserve"> since 2013).</w:t>
      </w:r>
    </w:p>
    <w:p w:rsidR="00AF71FB" w:rsidRDefault="00AF71FB" w:rsidP="00AF71FB">
      <w:pPr>
        <w:rPr>
          <w:rFonts w:ascii="Arial" w:hAnsi="Arial" w:cs="Arial"/>
          <w:lang w:val="en-US"/>
        </w:rPr>
      </w:pPr>
      <w:r>
        <w:rPr>
          <w:rFonts w:ascii="Arial" w:hAnsi="Arial" w:cs="Arial"/>
          <w:lang w:val="en-US"/>
        </w:rPr>
        <w:t xml:space="preserve">The most prominent factors </w:t>
      </w:r>
      <w:r w:rsidR="00A53678">
        <w:rPr>
          <w:rFonts w:ascii="Arial" w:hAnsi="Arial" w:cs="Arial"/>
          <w:lang w:val="en-US"/>
        </w:rPr>
        <w:t>contributing to</w:t>
      </w:r>
      <w:r>
        <w:rPr>
          <w:rFonts w:ascii="Arial" w:hAnsi="Arial" w:cs="Arial"/>
          <w:lang w:val="en-US"/>
        </w:rPr>
        <w:t xml:space="preserve"> the country’s low immunization coverage rates are the following:</w:t>
      </w:r>
    </w:p>
    <w:p w:rsidR="00AF71FB" w:rsidRDefault="00AF71FB" w:rsidP="00A53678">
      <w:pPr>
        <w:pStyle w:val="ListParagraph"/>
        <w:numPr>
          <w:ilvl w:val="0"/>
          <w:numId w:val="34"/>
        </w:numPr>
        <w:ind w:left="360"/>
        <w:contextualSpacing w:val="0"/>
        <w:rPr>
          <w:rFonts w:ascii="Arial" w:hAnsi="Arial" w:cs="Arial"/>
          <w:lang w:val="en-US"/>
        </w:rPr>
      </w:pPr>
      <w:r w:rsidRPr="00AF71FB">
        <w:rPr>
          <w:rFonts w:ascii="Arial" w:hAnsi="Arial" w:cs="Arial"/>
          <w:b/>
          <w:lang w:val="en-US"/>
        </w:rPr>
        <w:t>The shortage of health personnel in the public sector</w:t>
      </w:r>
      <w:r>
        <w:rPr>
          <w:rFonts w:ascii="Arial" w:hAnsi="Arial" w:cs="Arial"/>
          <w:lang w:val="en-US"/>
        </w:rPr>
        <w:t>. As mentioned in Section 2.3 above, there are insufficient numbers of frontline health workers in many areas in Nigeria, due to high attrition and transfer rates and the difficulty of recruiting workers for remote, rural areas. The frequent health worker strikes in recent years in several states have exacerbated the problem, making immunization and other health services unavailable for months at a time in these areas and increasing the pool of unimmunized children. With the continued poor economy in the country, more states are facing severe financing problems, resulting in non-payment of health workers’ salaries – a major reason for the strikes.</w:t>
      </w:r>
    </w:p>
    <w:p w:rsidR="00AF71FB" w:rsidRDefault="00AF71FB" w:rsidP="00A53678">
      <w:pPr>
        <w:pStyle w:val="ListParagraph"/>
        <w:numPr>
          <w:ilvl w:val="0"/>
          <w:numId w:val="34"/>
        </w:numPr>
        <w:ind w:left="360"/>
        <w:contextualSpacing w:val="0"/>
        <w:rPr>
          <w:rFonts w:ascii="Arial" w:hAnsi="Arial" w:cs="Arial"/>
          <w:lang w:val="en-US"/>
        </w:rPr>
      </w:pPr>
      <w:r w:rsidRPr="00AF71FB">
        <w:rPr>
          <w:rFonts w:ascii="Arial" w:hAnsi="Arial" w:cs="Arial"/>
          <w:b/>
          <w:lang w:val="en-US"/>
        </w:rPr>
        <w:t>Lack of security in several parts of the country</w:t>
      </w:r>
      <w:r>
        <w:rPr>
          <w:rFonts w:ascii="Arial" w:hAnsi="Arial" w:cs="Arial"/>
          <w:lang w:val="en-US"/>
        </w:rPr>
        <w:t xml:space="preserve">. The </w:t>
      </w:r>
      <w:proofErr w:type="spellStart"/>
      <w:r>
        <w:rPr>
          <w:rFonts w:ascii="Arial" w:hAnsi="Arial" w:cs="Arial"/>
          <w:lang w:val="en-US"/>
        </w:rPr>
        <w:t>Boko</w:t>
      </w:r>
      <w:proofErr w:type="spellEnd"/>
      <w:r>
        <w:rPr>
          <w:rFonts w:ascii="Arial" w:hAnsi="Arial" w:cs="Arial"/>
          <w:lang w:val="en-US"/>
        </w:rPr>
        <w:t xml:space="preserve"> Haram insurgency that has been going on for several years – causing tens of thousands of people to flee to IDP </w:t>
      </w:r>
      <w:r>
        <w:rPr>
          <w:rFonts w:ascii="Arial" w:hAnsi="Arial" w:cs="Arial"/>
          <w:lang w:val="en-US"/>
        </w:rPr>
        <w:lastRenderedPageBreak/>
        <w:t>camps and more secure areas – has made it difficult to provide</w:t>
      </w:r>
      <w:r w:rsidR="00A30557">
        <w:rPr>
          <w:rFonts w:ascii="Arial" w:hAnsi="Arial" w:cs="Arial"/>
          <w:lang w:val="en-US"/>
        </w:rPr>
        <w:t xml:space="preserve"> immunization and other health services in parts of the North. There have also been multiple attempts – some successful – to attack health workers engaged in immunization. It is not surprising that the recently found cases of wild polio virus were in </w:t>
      </w:r>
      <w:proofErr w:type="spellStart"/>
      <w:r w:rsidR="00A30557">
        <w:rPr>
          <w:rFonts w:ascii="Arial" w:hAnsi="Arial" w:cs="Arial"/>
          <w:lang w:val="en-US"/>
        </w:rPr>
        <w:t>Borno</w:t>
      </w:r>
      <w:proofErr w:type="spellEnd"/>
      <w:r w:rsidR="00A30557">
        <w:rPr>
          <w:rFonts w:ascii="Arial" w:hAnsi="Arial" w:cs="Arial"/>
          <w:lang w:val="en-US"/>
        </w:rPr>
        <w:t xml:space="preserve"> State, where </w:t>
      </w:r>
      <w:proofErr w:type="spellStart"/>
      <w:r w:rsidR="00A30557">
        <w:rPr>
          <w:rFonts w:ascii="Arial" w:hAnsi="Arial" w:cs="Arial"/>
          <w:lang w:val="en-US"/>
        </w:rPr>
        <w:t>Boko</w:t>
      </w:r>
      <w:proofErr w:type="spellEnd"/>
      <w:r w:rsidR="00A30557">
        <w:rPr>
          <w:rFonts w:ascii="Arial" w:hAnsi="Arial" w:cs="Arial"/>
          <w:lang w:val="en-US"/>
        </w:rPr>
        <w:t xml:space="preserve"> Haram has its headquarters and where immunization coverage rates are low (28% for measles and 32% for DPT3, according to the 2015 NNHS). At the same time, the Niger Delta has experienced a series of bombings and kidnappings to “Delta avengers”, militants who are rebelling against the Government’s decision to end “amnesty fee” payments to communities damaged by oil drilling and production. These security problems limit the free movement of the population to seek services and of health workers to provide outreach and mobile services, as well as the Government’s ability to recruit health workers to these areas.</w:t>
      </w:r>
    </w:p>
    <w:p w:rsidR="00A30557" w:rsidRDefault="00A30557" w:rsidP="00A53678">
      <w:pPr>
        <w:pStyle w:val="ListParagraph"/>
        <w:numPr>
          <w:ilvl w:val="0"/>
          <w:numId w:val="34"/>
        </w:numPr>
        <w:ind w:left="360"/>
        <w:contextualSpacing w:val="0"/>
        <w:rPr>
          <w:rFonts w:ascii="Arial" w:hAnsi="Arial" w:cs="Arial"/>
          <w:lang w:val="en-US"/>
        </w:rPr>
      </w:pPr>
      <w:r w:rsidRPr="00A30557">
        <w:rPr>
          <w:rFonts w:ascii="Arial" w:hAnsi="Arial" w:cs="Arial"/>
          <w:b/>
          <w:lang w:val="en-US"/>
        </w:rPr>
        <w:t>Uneven availability of immunization services</w:t>
      </w:r>
      <w:r>
        <w:rPr>
          <w:rFonts w:ascii="Arial" w:hAnsi="Arial" w:cs="Arial"/>
          <w:lang w:val="en-US"/>
        </w:rPr>
        <w:t xml:space="preserve">. There are around 25,000 PHC facilities in the country, including more than 1,150 health centers and 228 maternities recently built as part of the Government’s plan to increase the accessibility of PHC services to all communities throughout the country. According to the </w:t>
      </w:r>
      <w:proofErr w:type="spellStart"/>
      <w:r>
        <w:rPr>
          <w:rFonts w:ascii="Arial" w:hAnsi="Arial" w:cs="Arial"/>
          <w:lang w:val="en-US"/>
        </w:rPr>
        <w:t>cMYP</w:t>
      </w:r>
      <w:proofErr w:type="spellEnd"/>
      <w:r>
        <w:rPr>
          <w:rFonts w:ascii="Arial" w:hAnsi="Arial" w:cs="Arial"/>
          <w:lang w:val="en-US"/>
        </w:rPr>
        <w:t xml:space="preserve">, most states and LGAs follow the “1-2-3 strategy”, which entails at least one immunization session at the facility per week, two outreaches per month, and three supportive supervision visits per month. However, many health facilities have trouble adhering to this strategy, due to a lack of personnel, a lack of transportation for outreaches or to collect vaccines from the LGA stores (in health centers without functioning cold chain equipment), and a general lack of funds for operational expenses. Those with functioning refrigerators are more likely to conduct immunization sessions on a weekly or more frequent basis. </w:t>
      </w:r>
    </w:p>
    <w:p w:rsidR="00350FD0" w:rsidRDefault="00A30557" w:rsidP="00A53678">
      <w:pPr>
        <w:pStyle w:val="ListParagraph"/>
        <w:numPr>
          <w:ilvl w:val="0"/>
          <w:numId w:val="34"/>
        </w:numPr>
        <w:ind w:left="360"/>
        <w:contextualSpacing w:val="0"/>
        <w:rPr>
          <w:rFonts w:ascii="Arial" w:hAnsi="Arial" w:cs="Arial"/>
          <w:lang w:val="en-US"/>
        </w:rPr>
      </w:pPr>
      <w:r w:rsidRPr="00D139EF">
        <w:rPr>
          <w:rFonts w:ascii="Arial" w:hAnsi="Arial" w:cs="Arial"/>
          <w:b/>
          <w:lang w:val="en-US"/>
        </w:rPr>
        <w:t xml:space="preserve">Insufficient communications and social mobilization </w:t>
      </w:r>
      <w:r w:rsidR="00D139EF" w:rsidRPr="00D139EF">
        <w:rPr>
          <w:rFonts w:ascii="Arial" w:hAnsi="Arial" w:cs="Arial"/>
          <w:b/>
          <w:lang w:val="en-US"/>
        </w:rPr>
        <w:t xml:space="preserve">activities for routine immunization services </w:t>
      </w:r>
      <w:r w:rsidR="005F4B52">
        <w:rPr>
          <w:rFonts w:ascii="Arial" w:hAnsi="Arial" w:cs="Arial"/>
          <w:b/>
          <w:lang w:val="en-US"/>
        </w:rPr>
        <w:t xml:space="preserve">and </w:t>
      </w:r>
      <w:r w:rsidR="00D139EF" w:rsidRPr="00D139EF">
        <w:rPr>
          <w:rFonts w:ascii="Arial" w:hAnsi="Arial" w:cs="Arial"/>
          <w:b/>
          <w:lang w:val="en-US"/>
        </w:rPr>
        <w:t>inadequate community participation</w:t>
      </w:r>
      <w:r w:rsidR="00D139EF">
        <w:rPr>
          <w:rFonts w:ascii="Arial" w:hAnsi="Arial" w:cs="Arial"/>
          <w:lang w:val="en-US"/>
        </w:rPr>
        <w:t xml:space="preserve">. </w:t>
      </w:r>
      <w:r w:rsidR="005F4B52">
        <w:rPr>
          <w:rFonts w:ascii="Arial" w:hAnsi="Arial" w:cs="Arial"/>
          <w:lang w:val="en-US"/>
        </w:rPr>
        <w:t xml:space="preserve">Nigeria has a structure for promoting immunization and other health services through social mobilization committees in each LGA, guided by the National Social Mobilization Working Group of the ICC. There is also a network of around 10,000 volunteer community mobilizers, supported with polio funding, </w:t>
      </w:r>
      <w:proofErr w:type="gramStart"/>
      <w:r w:rsidR="005F4B52">
        <w:rPr>
          <w:rFonts w:ascii="Arial" w:hAnsi="Arial" w:cs="Arial"/>
          <w:lang w:val="en-US"/>
        </w:rPr>
        <w:t>who</w:t>
      </w:r>
      <w:proofErr w:type="gramEnd"/>
      <w:r w:rsidR="005F4B52">
        <w:rPr>
          <w:rFonts w:ascii="Arial" w:hAnsi="Arial" w:cs="Arial"/>
          <w:lang w:val="en-US"/>
        </w:rPr>
        <w:t xml:space="preserve"> help with social mobilization for SIAs, track pregnancies, refer parents for routine immunization and so forth through home visits. These efforts have reportedly been important for polio and other SIAs, but are less focused on routine immunization. In many areas in the North, there has been a low demand for and lack of trust in immunization and other health services, including past resistance to polio vaccination. </w:t>
      </w:r>
    </w:p>
    <w:p w:rsidR="00A30557" w:rsidRDefault="005F4B52" w:rsidP="00A53678">
      <w:pPr>
        <w:pStyle w:val="ListParagraph"/>
        <w:ind w:left="360"/>
        <w:contextualSpacing w:val="0"/>
        <w:rPr>
          <w:rFonts w:ascii="Arial" w:hAnsi="Arial" w:cs="Arial"/>
          <w:lang w:val="en-US"/>
        </w:rPr>
      </w:pPr>
      <w:r>
        <w:rPr>
          <w:rFonts w:ascii="Arial" w:hAnsi="Arial" w:cs="Arial"/>
          <w:lang w:val="en-US"/>
        </w:rPr>
        <w:t>To address this problem and increase demand, the country, with HSS and ISS funding, established and trained more than 700 ward or village development committees (WCDs/VCDs) in 13 states in 2010 to promote health services in the community and build transparency and accountability into the management of PHC activities</w:t>
      </w:r>
      <w:r w:rsidR="00A30557">
        <w:rPr>
          <w:rFonts w:ascii="Arial" w:hAnsi="Arial" w:cs="Arial"/>
          <w:lang w:val="en-US"/>
        </w:rPr>
        <w:t>.</w:t>
      </w:r>
      <w:r>
        <w:rPr>
          <w:rFonts w:ascii="Arial" w:hAnsi="Arial" w:cs="Arial"/>
          <w:lang w:val="en-US"/>
        </w:rPr>
        <w:t xml:space="preserve"> The WDCs are involved in planning community-based health activities, educating the community about health, including immunization, tracking immunization defaulters, and co-managing the health facilities. A study found that the increase in DPT3 coverage rates was significantly greater in wards with GAVI-supported WCDs than in those without.</w:t>
      </w:r>
      <w:r>
        <w:rPr>
          <w:rStyle w:val="FootnoteReference"/>
          <w:rFonts w:ascii="Arial" w:hAnsi="Arial" w:cs="Arial"/>
          <w:lang w:val="en-US"/>
        </w:rPr>
        <w:footnoteReference w:id="3"/>
      </w:r>
      <w:r>
        <w:rPr>
          <w:rFonts w:ascii="Arial" w:hAnsi="Arial" w:cs="Arial"/>
          <w:lang w:val="en-US"/>
        </w:rPr>
        <w:t xml:space="preserve"> However, this is a partner-driven activity and the 2015 Joint Appraisal report found that only around 40% of the targeted wards had established WDCs and 20% of these were </w:t>
      </w:r>
      <w:r>
        <w:rPr>
          <w:rFonts w:ascii="Arial" w:hAnsi="Arial" w:cs="Arial"/>
          <w:lang w:val="en-US"/>
        </w:rPr>
        <w:lastRenderedPageBreak/>
        <w:t>not functional. Many also lacked a sense of community ownership and were not very engaged with the health facilities. Since then, many more are likely to be inactive, because of the suspension of GAVI HSS funds since 2014.</w:t>
      </w:r>
    </w:p>
    <w:p w:rsidR="003B59D3" w:rsidRDefault="003B59D3" w:rsidP="00A53678">
      <w:pPr>
        <w:pStyle w:val="ListParagraph"/>
        <w:numPr>
          <w:ilvl w:val="0"/>
          <w:numId w:val="34"/>
        </w:numPr>
        <w:ind w:left="360"/>
        <w:contextualSpacing w:val="0"/>
        <w:rPr>
          <w:rFonts w:ascii="Arial" w:hAnsi="Arial" w:cs="Arial"/>
          <w:lang w:val="en-US"/>
        </w:rPr>
      </w:pPr>
      <w:r>
        <w:rPr>
          <w:rFonts w:ascii="Arial" w:hAnsi="Arial" w:cs="Arial"/>
          <w:b/>
          <w:lang w:val="en-US"/>
        </w:rPr>
        <w:t xml:space="preserve">Lack of funds for routine immunization and Reach Every Ward (REW) activities at the local level. </w:t>
      </w:r>
      <w:r>
        <w:rPr>
          <w:rFonts w:ascii="Arial" w:hAnsi="Arial" w:cs="Arial"/>
          <w:lang w:val="en-US"/>
        </w:rPr>
        <w:t xml:space="preserve">Nigeria has a national policy of Reach Every Ward and there has been a series of trainings on this strategy, using GAVI HSS and ISS funds. This has led to all LGAs developing </w:t>
      </w:r>
      <w:proofErr w:type="spellStart"/>
      <w:r>
        <w:rPr>
          <w:rFonts w:ascii="Arial" w:hAnsi="Arial" w:cs="Arial"/>
          <w:lang w:val="en-US"/>
        </w:rPr>
        <w:t>microplans</w:t>
      </w:r>
      <w:proofErr w:type="spellEnd"/>
      <w:r>
        <w:rPr>
          <w:rFonts w:ascii="Arial" w:hAnsi="Arial" w:cs="Arial"/>
          <w:lang w:val="en-US"/>
        </w:rPr>
        <w:t xml:space="preserve"> and improving other aspects of planning (e.g., vaccine forecasting, supervision plans). However, the lack of operational funds at the local level has affected the ability of many LGAs and health facilities to implement key components of REW, especially communications, activities to involve the community in planning, supportive supervision, and monitoring for action. According to the 2015 Joint Appraisal report, LGAs also often lack funding for essential operational expenses for routine immunization, such as cold chain maintenance and fuel costs, and transport for vaccine deliveries, outreach</w:t>
      </w:r>
      <w:r w:rsidRPr="003B59D3">
        <w:rPr>
          <w:rFonts w:ascii="Arial" w:hAnsi="Arial" w:cs="Arial"/>
          <w:lang w:val="en-US"/>
        </w:rPr>
        <w:t xml:space="preserve"> </w:t>
      </w:r>
      <w:r>
        <w:rPr>
          <w:rFonts w:ascii="Arial" w:hAnsi="Arial" w:cs="Arial"/>
          <w:lang w:val="en-US"/>
        </w:rPr>
        <w:t xml:space="preserve">activities and supervision visits. This is due to inadequate budgets at the state and LGA levels for such routine expenses, as well as the slow release of GAVI ISS funds available to the states. In the </w:t>
      </w:r>
      <w:r w:rsidR="00350FD0">
        <w:rPr>
          <w:rFonts w:ascii="Arial" w:hAnsi="Arial" w:cs="Arial"/>
          <w:lang w:val="en-US"/>
        </w:rPr>
        <w:t>combined</w:t>
      </w:r>
      <w:r>
        <w:rPr>
          <w:rFonts w:ascii="Arial" w:hAnsi="Arial" w:cs="Arial"/>
          <w:lang w:val="en-US"/>
        </w:rPr>
        <w:t xml:space="preserve"> post introduction evaluation </w:t>
      </w:r>
      <w:r w:rsidR="00350FD0">
        <w:rPr>
          <w:rFonts w:ascii="Arial" w:hAnsi="Arial" w:cs="Arial"/>
          <w:lang w:val="en-US"/>
        </w:rPr>
        <w:t xml:space="preserve">(PIE) </w:t>
      </w:r>
      <w:r>
        <w:rPr>
          <w:rFonts w:ascii="Arial" w:hAnsi="Arial" w:cs="Arial"/>
          <w:lang w:val="en-US"/>
        </w:rPr>
        <w:t>report for the introductions of PCV and IPV, 85% of health facilities reported having had a supportive supervision visit in the previous six months. However, the majority of these visits were conducted not by government officials, but by partners.</w:t>
      </w:r>
      <w:r>
        <w:rPr>
          <w:rStyle w:val="FootnoteReference"/>
          <w:rFonts w:ascii="Arial" w:hAnsi="Arial" w:cs="Arial"/>
          <w:lang w:val="en-US"/>
        </w:rPr>
        <w:footnoteReference w:id="4"/>
      </w:r>
    </w:p>
    <w:p w:rsidR="00350FD0" w:rsidRDefault="00350FD0" w:rsidP="00A53678">
      <w:pPr>
        <w:pStyle w:val="ListParagraph"/>
        <w:ind w:left="360"/>
        <w:contextualSpacing w:val="0"/>
        <w:rPr>
          <w:rFonts w:ascii="Arial" w:hAnsi="Arial" w:cs="Arial"/>
          <w:lang w:val="en-US"/>
        </w:rPr>
      </w:pPr>
      <w:r w:rsidRPr="00350FD0">
        <w:rPr>
          <w:rFonts w:ascii="Arial" w:hAnsi="Arial" w:cs="Arial"/>
          <w:lang w:val="en-US"/>
        </w:rPr>
        <w:t>The lack of</w:t>
      </w:r>
      <w:r>
        <w:rPr>
          <w:rFonts w:ascii="Arial" w:hAnsi="Arial" w:cs="Arial"/>
          <w:lang w:val="en-US"/>
        </w:rPr>
        <w:t xml:space="preserve"> funds at the local level may at least partially explain the finding during pentavalent vaccine PIE that 8-55% of mothers interviewed in six out of the first 14 states to introduce the vaccine reported having to pay for the immunizations their children received that day.</w:t>
      </w:r>
      <w:r>
        <w:rPr>
          <w:rStyle w:val="FootnoteReference"/>
          <w:rFonts w:ascii="Arial" w:hAnsi="Arial" w:cs="Arial"/>
          <w:lang w:val="en-US"/>
        </w:rPr>
        <w:footnoteReference w:id="5"/>
      </w:r>
      <w:r>
        <w:rPr>
          <w:rFonts w:ascii="Arial" w:hAnsi="Arial" w:cs="Arial"/>
          <w:lang w:val="en-US"/>
        </w:rPr>
        <w:t xml:space="preserve"> A summary of the impact of limited funds for operational expenses at the local level is shown in Figure 3.</w:t>
      </w:r>
    </w:p>
    <w:p w:rsidR="00350FD0" w:rsidRPr="00CD5CD2" w:rsidRDefault="00CD5CD2" w:rsidP="00CD5CD2">
      <w:pPr>
        <w:pStyle w:val="Caption"/>
        <w:rPr>
          <w:rFonts w:ascii="Arial" w:hAnsi="Arial" w:cs="Arial"/>
          <w:b w:val="0"/>
          <w:color w:val="auto"/>
          <w:sz w:val="22"/>
          <w:szCs w:val="22"/>
          <w:lang w:val="en-US"/>
        </w:rPr>
      </w:pPr>
      <w:r w:rsidRPr="00CD5CD2">
        <w:rPr>
          <w:rFonts w:ascii="Arial" w:hAnsi="Arial" w:cs="Arial"/>
          <w:color w:val="auto"/>
          <w:sz w:val="22"/>
          <w:szCs w:val="22"/>
        </w:rPr>
        <w:t xml:space="preserve">Figure </w:t>
      </w:r>
      <w:r w:rsidRPr="00CD5CD2">
        <w:rPr>
          <w:rFonts w:ascii="Arial" w:hAnsi="Arial" w:cs="Arial"/>
          <w:color w:val="auto"/>
          <w:sz w:val="22"/>
          <w:szCs w:val="22"/>
        </w:rPr>
        <w:fldChar w:fldCharType="begin"/>
      </w:r>
      <w:r w:rsidRPr="00CD5CD2">
        <w:rPr>
          <w:rFonts w:ascii="Arial" w:hAnsi="Arial" w:cs="Arial"/>
          <w:color w:val="auto"/>
          <w:sz w:val="22"/>
          <w:szCs w:val="22"/>
        </w:rPr>
        <w:instrText xml:space="preserve"> SEQ Figure \* ARABIC </w:instrText>
      </w:r>
      <w:r w:rsidRPr="00CD5CD2">
        <w:rPr>
          <w:rFonts w:ascii="Arial" w:hAnsi="Arial" w:cs="Arial"/>
          <w:color w:val="auto"/>
          <w:sz w:val="22"/>
          <w:szCs w:val="22"/>
        </w:rPr>
        <w:fldChar w:fldCharType="separate"/>
      </w:r>
      <w:r w:rsidR="00D91889">
        <w:rPr>
          <w:rFonts w:ascii="Arial" w:hAnsi="Arial" w:cs="Arial"/>
          <w:noProof/>
          <w:color w:val="auto"/>
          <w:sz w:val="22"/>
          <w:szCs w:val="22"/>
        </w:rPr>
        <w:t>3</w:t>
      </w:r>
      <w:r w:rsidRPr="00CD5CD2">
        <w:rPr>
          <w:rFonts w:ascii="Arial" w:hAnsi="Arial" w:cs="Arial"/>
          <w:color w:val="auto"/>
          <w:sz w:val="22"/>
          <w:szCs w:val="22"/>
        </w:rPr>
        <w:fldChar w:fldCharType="end"/>
      </w:r>
      <w:r w:rsidRPr="00CD5CD2">
        <w:rPr>
          <w:rFonts w:ascii="Arial" w:hAnsi="Arial" w:cs="Arial"/>
          <w:color w:val="auto"/>
          <w:sz w:val="22"/>
          <w:szCs w:val="22"/>
        </w:rPr>
        <w:t xml:space="preserve">: </w:t>
      </w:r>
      <w:r w:rsidR="00350FD0" w:rsidRPr="00CD5CD2">
        <w:rPr>
          <w:rFonts w:ascii="Arial" w:hAnsi="Arial" w:cs="Arial"/>
          <w:color w:val="auto"/>
          <w:sz w:val="22"/>
          <w:szCs w:val="22"/>
          <w:lang w:val="en-US"/>
        </w:rPr>
        <w:t>Summary of the impact of limited funds for immunization operational expenses</w:t>
      </w:r>
    </w:p>
    <w:p w:rsidR="00F87D4C" w:rsidRPr="00350FD0" w:rsidRDefault="00F87D4C" w:rsidP="00F87D4C">
      <w:pPr>
        <w:spacing w:after="0"/>
        <w:jc w:val="center"/>
        <w:rPr>
          <w:rFonts w:ascii="Arial" w:hAnsi="Arial" w:cs="Arial"/>
          <w:lang w:val="en-US"/>
        </w:rPr>
      </w:pPr>
      <w:r w:rsidRPr="00F87D4C">
        <w:rPr>
          <w:rFonts w:ascii="Arial" w:hAnsi="Arial" w:cs="Arial"/>
          <w:noProof/>
          <w:lang w:eastAsia="zh-CN"/>
        </w:rPr>
        <w:lastRenderedPageBreak/>
        <w:drawing>
          <wp:inline distT="0" distB="0" distL="0" distR="0" wp14:anchorId="61533C8E" wp14:editId="5146F4B1">
            <wp:extent cx="5262769" cy="3724275"/>
            <wp:effectExtent l="19050" t="19050" r="146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5426" cy="3747385"/>
                    </a:xfrm>
                    <a:prstGeom prst="rect">
                      <a:avLst/>
                    </a:prstGeom>
                    <a:ln>
                      <a:solidFill>
                        <a:schemeClr val="tx1"/>
                      </a:solidFill>
                    </a:ln>
                  </pic:spPr>
                </pic:pic>
              </a:graphicData>
            </a:graphic>
          </wp:inline>
        </w:drawing>
      </w:r>
    </w:p>
    <w:p w:rsidR="00CA663B" w:rsidRDefault="00F87D4C" w:rsidP="00CA663B">
      <w:pPr>
        <w:rPr>
          <w:rFonts w:ascii="Arial" w:hAnsi="Arial" w:cs="Arial"/>
          <w:sz w:val="18"/>
          <w:szCs w:val="18"/>
          <w:lang w:val="en-US"/>
        </w:rPr>
      </w:pPr>
      <w:r w:rsidRPr="00F87D4C">
        <w:rPr>
          <w:rFonts w:ascii="Arial" w:hAnsi="Arial" w:cs="Arial"/>
          <w:sz w:val="18"/>
          <w:szCs w:val="18"/>
          <w:lang w:val="en-US"/>
        </w:rPr>
        <w:tab/>
        <w:t xml:space="preserve">Source: </w:t>
      </w:r>
      <w:r>
        <w:rPr>
          <w:rFonts w:ascii="Arial" w:hAnsi="Arial" w:cs="Arial"/>
          <w:sz w:val="18"/>
          <w:szCs w:val="18"/>
          <w:lang w:val="en-US"/>
        </w:rPr>
        <w:t>Pentavalent PIE presentation, March 2013.</w:t>
      </w:r>
    </w:p>
    <w:p w:rsidR="00A53678" w:rsidRDefault="00F87D4C" w:rsidP="00A53678">
      <w:pPr>
        <w:pStyle w:val="ListParagraph"/>
        <w:numPr>
          <w:ilvl w:val="0"/>
          <w:numId w:val="34"/>
        </w:numPr>
        <w:rPr>
          <w:rFonts w:ascii="Arial" w:hAnsi="Arial" w:cs="Arial"/>
          <w:lang w:val="en-US"/>
        </w:rPr>
      </w:pPr>
      <w:r w:rsidRPr="00F87D4C">
        <w:rPr>
          <w:rFonts w:ascii="Arial" w:hAnsi="Arial" w:cs="Arial"/>
          <w:b/>
          <w:lang w:val="en-US"/>
        </w:rPr>
        <w:t>Poor quality of immunization data</w:t>
      </w:r>
      <w:r>
        <w:rPr>
          <w:rFonts w:ascii="Arial" w:hAnsi="Arial" w:cs="Arial"/>
          <w:lang w:val="en-US"/>
        </w:rPr>
        <w:t xml:space="preserve">. Administrative coverage data show immunization rates of </w:t>
      </w:r>
      <w:r w:rsidR="00B47D53">
        <w:rPr>
          <w:rFonts w:ascii="Arial" w:hAnsi="Arial" w:cs="Arial"/>
          <w:lang w:val="en-US"/>
        </w:rPr>
        <w:t xml:space="preserve">more than </w:t>
      </w:r>
      <w:r>
        <w:rPr>
          <w:rFonts w:ascii="Arial" w:hAnsi="Arial" w:cs="Arial"/>
          <w:lang w:val="en-US"/>
        </w:rPr>
        <w:t xml:space="preserve">80% for all vaccines in most locations, while data from multiple surveys conducted in recent years (SMART, DHS, </w:t>
      </w:r>
      <w:proofErr w:type="gramStart"/>
      <w:r>
        <w:rPr>
          <w:rFonts w:ascii="Arial" w:hAnsi="Arial" w:cs="Arial"/>
          <w:lang w:val="en-US"/>
        </w:rPr>
        <w:t>NNHS</w:t>
      </w:r>
      <w:proofErr w:type="gramEnd"/>
      <w:r>
        <w:rPr>
          <w:rFonts w:ascii="Arial" w:hAnsi="Arial" w:cs="Arial"/>
          <w:lang w:val="en-US"/>
        </w:rPr>
        <w:t xml:space="preserve">) consistently provide estimates of 20 or </w:t>
      </w:r>
      <w:r w:rsidR="00B47D53">
        <w:rPr>
          <w:rFonts w:ascii="Arial" w:hAnsi="Arial" w:cs="Arial"/>
          <w:lang w:val="en-US"/>
        </w:rPr>
        <w:t>30</w:t>
      </w:r>
      <w:r>
        <w:rPr>
          <w:rFonts w:ascii="Arial" w:hAnsi="Arial" w:cs="Arial"/>
          <w:lang w:val="en-US"/>
        </w:rPr>
        <w:t xml:space="preserve"> percentage points lower. A key reason is inaccurate denominators used for administrative data. The PCV/IPV PIE found most health facilities us</w:t>
      </w:r>
      <w:r w:rsidR="00B47D53">
        <w:rPr>
          <w:rFonts w:ascii="Arial" w:hAnsi="Arial" w:cs="Arial"/>
          <w:lang w:val="en-US"/>
        </w:rPr>
        <w:t>ing</w:t>
      </w:r>
      <w:r>
        <w:rPr>
          <w:rFonts w:ascii="Arial" w:hAnsi="Arial" w:cs="Arial"/>
          <w:lang w:val="en-US"/>
        </w:rPr>
        <w:t xml:space="preserve"> unrealistically low estimates for the target population. Different population data are often used for routine immunization and vaccine campaigns for the same population, making planning and reporting difficult.</w:t>
      </w:r>
      <w:r>
        <w:rPr>
          <w:rStyle w:val="FootnoteReference"/>
          <w:rFonts w:ascii="Arial" w:hAnsi="Arial" w:cs="Arial"/>
          <w:lang w:val="en-US"/>
        </w:rPr>
        <w:footnoteReference w:id="6"/>
      </w:r>
      <w:r>
        <w:rPr>
          <w:rFonts w:ascii="Arial" w:hAnsi="Arial" w:cs="Arial"/>
          <w:lang w:val="en-US"/>
        </w:rPr>
        <w:t xml:space="preserve"> The study also found that knowledge among health workers on how to calculate immunization coverage and dropout rates was almost universally poor, resulting in negative dropout rates at some health facilities the assessment team visited. This lack of knowledge, coupled with inadequate data management, make it difficult for program managers to monitor program performance and for health workers at the frontlines to use data for action. Data quality issues could therefore be a major contributor to the continual high dropout rates in Nigeria. </w:t>
      </w:r>
    </w:p>
    <w:p w:rsidR="00437FD4" w:rsidRDefault="00437FD4" w:rsidP="00437FD4">
      <w:pPr>
        <w:pStyle w:val="ListParagraph"/>
        <w:rPr>
          <w:rFonts w:ascii="Arial" w:hAnsi="Arial" w:cs="Arial"/>
          <w:lang w:val="en-US"/>
        </w:rPr>
      </w:pPr>
    </w:p>
    <w:p w:rsidR="009C08D2" w:rsidRDefault="009C08D2">
      <w:pPr>
        <w:rPr>
          <w:rFonts w:ascii="Arial" w:hAnsi="Arial" w:cs="Arial"/>
          <w:b/>
          <w:sz w:val="24"/>
          <w:lang w:val="en-US"/>
        </w:rPr>
      </w:pPr>
      <w:r>
        <w:rPr>
          <w:rFonts w:ascii="Arial" w:hAnsi="Arial" w:cs="Arial"/>
          <w:b/>
          <w:sz w:val="24"/>
          <w:lang w:val="en-US"/>
        </w:rPr>
        <w:br w:type="page"/>
      </w:r>
    </w:p>
    <w:p w:rsidR="00EB5F5D" w:rsidRPr="009C08D2" w:rsidRDefault="00EB5F5D" w:rsidP="009C08D2">
      <w:pPr>
        <w:rPr>
          <w:rFonts w:ascii="Arial" w:hAnsi="Arial" w:cs="Arial"/>
          <w:b/>
          <w:sz w:val="24"/>
          <w:lang w:val="en-US"/>
        </w:rPr>
      </w:pPr>
      <w:r w:rsidRPr="009C08D2">
        <w:rPr>
          <w:rFonts w:ascii="Arial" w:hAnsi="Arial" w:cs="Arial"/>
          <w:b/>
          <w:sz w:val="24"/>
          <w:lang w:val="en-US"/>
        </w:rPr>
        <w:lastRenderedPageBreak/>
        <w:t>ANNEXES</w:t>
      </w:r>
    </w:p>
    <w:p w:rsidR="00EB5F5D" w:rsidRPr="00D91889" w:rsidRDefault="00D91889" w:rsidP="00D91889">
      <w:pPr>
        <w:pStyle w:val="Caption"/>
        <w:rPr>
          <w:rFonts w:ascii="Arial" w:hAnsi="Arial" w:cs="Arial"/>
          <w:color w:val="auto"/>
          <w:sz w:val="22"/>
          <w:szCs w:val="22"/>
        </w:rPr>
      </w:pPr>
      <w:r w:rsidRPr="00D91889">
        <w:rPr>
          <w:rFonts w:ascii="Arial" w:hAnsi="Arial" w:cs="Arial"/>
          <w:color w:val="auto"/>
          <w:sz w:val="22"/>
          <w:szCs w:val="22"/>
        </w:rPr>
        <w:t xml:space="preserve">Table </w:t>
      </w:r>
      <w:r w:rsidRPr="00D91889">
        <w:rPr>
          <w:rFonts w:ascii="Arial" w:hAnsi="Arial" w:cs="Arial"/>
          <w:color w:val="auto"/>
          <w:sz w:val="22"/>
          <w:szCs w:val="22"/>
        </w:rPr>
        <w:fldChar w:fldCharType="begin"/>
      </w:r>
      <w:r w:rsidRPr="00D91889">
        <w:rPr>
          <w:rFonts w:ascii="Arial" w:hAnsi="Arial" w:cs="Arial"/>
          <w:color w:val="auto"/>
          <w:sz w:val="22"/>
          <w:szCs w:val="22"/>
        </w:rPr>
        <w:instrText xml:space="preserve"> SEQ Table \* ARABIC </w:instrText>
      </w:r>
      <w:r w:rsidRPr="00D91889">
        <w:rPr>
          <w:rFonts w:ascii="Arial" w:hAnsi="Arial" w:cs="Arial"/>
          <w:color w:val="auto"/>
          <w:sz w:val="22"/>
          <w:szCs w:val="22"/>
        </w:rPr>
        <w:fldChar w:fldCharType="separate"/>
      </w:r>
      <w:r w:rsidRPr="00D91889">
        <w:rPr>
          <w:rFonts w:ascii="Arial" w:hAnsi="Arial" w:cs="Arial"/>
          <w:color w:val="auto"/>
          <w:sz w:val="22"/>
          <w:szCs w:val="22"/>
        </w:rPr>
        <w:t>2</w:t>
      </w:r>
      <w:r w:rsidRPr="00D91889">
        <w:rPr>
          <w:rFonts w:ascii="Arial" w:hAnsi="Arial" w:cs="Arial"/>
          <w:color w:val="auto"/>
          <w:sz w:val="22"/>
          <w:szCs w:val="22"/>
        </w:rPr>
        <w:fldChar w:fldCharType="end"/>
      </w:r>
      <w:r w:rsidR="00EB5F5D" w:rsidRPr="00D91889">
        <w:rPr>
          <w:rFonts w:ascii="Arial" w:hAnsi="Arial" w:cs="Arial"/>
          <w:color w:val="auto"/>
          <w:sz w:val="22"/>
          <w:szCs w:val="22"/>
        </w:rPr>
        <w:t xml:space="preserve">: Reported DTPCV doses administered &amp; coverage, </w:t>
      </w:r>
      <w:r w:rsidR="00D952F2" w:rsidRPr="00D91889">
        <w:rPr>
          <w:rFonts w:ascii="Arial" w:hAnsi="Arial" w:cs="Arial"/>
          <w:color w:val="auto"/>
          <w:sz w:val="22"/>
          <w:szCs w:val="22"/>
        </w:rPr>
        <w:t>Nigeria</w:t>
      </w:r>
      <w:r w:rsidR="00EB5F5D" w:rsidRPr="00D91889">
        <w:rPr>
          <w:rFonts w:ascii="Arial" w:hAnsi="Arial" w:cs="Arial"/>
          <w:color w:val="auto"/>
          <w:sz w:val="22"/>
          <w:szCs w:val="22"/>
        </w:rPr>
        <w:t>, 2000-2015</w:t>
      </w:r>
    </w:p>
    <w:p w:rsidR="00EB5F5D" w:rsidRPr="00EA6F8C" w:rsidRDefault="00D952F2" w:rsidP="00EB5F5D">
      <w:pPr>
        <w:rPr>
          <w:lang w:val="en-US"/>
        </w:rPr>
      </w:pPr>
      <w:r w:rsidRPr="00EA6F8C">
        <w:rPr>
          <w:noProof/>
          <w:lang w:eastAsia="zh-CN"/>
        </w:rPr>
        <w:drawing>
          <wp:inline distT="0" distB="0" distL="0" distR="0" wp14:anchorId="484A7391" wp14:editId="6B405AD7">
            <wp:extent cx="5857863" cy="2076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62098" cy="2077951"/>
                    </a:xfrm>
                    <a:prstGeom prst="rect">
                      <a:avLst/>
                    </a:prstGeom>
                    <a:noFill/>
                  </pic:spPr>
                </pic:pic>
              </a:graphicData>
            </a:graphic>
          </wp:inline>
        </w:drawing>
      </w:r>
    </w:p>
    <w:p w:rsidR="00EB5F5D" w:rsidRPr="00EA6F8C" w:rsidRDefault="00EB5F5D" w:rsidP="00EB5F5D">
      <w:pPr>
        <w:rPr>
          <w:lang w:val="en-US"/>
        </w:rPr>
      </w:pPr>
      <w:r w:rsidRPr="00EA6F8C">
        <w:rPr>
          <w:lang w:val="en-US"/>
        </w:rPr>
        <w:t>* COE: country Official Estimates</w:t>
      </w:r>
    </w:p>
    <w:p w:rsidR="008B7142" w:rsidRPr="00EA6F8C" w:rsidRDefault="008B7142" w:rsidP="008B7142">
      <w:pPr>
        <w:rPr>
          <w:lang w:val="en-US"/>
        </w:rPr>
      </w:pPr>
      <w:r w:rsidRPr="00EA6F8C">
        <w:rPr>
          <w:lang w:val="en-US"/>
        </w:rPr>
        <w:t>Source:</w:t>
      </w:r>
      <w:r w:rsidR="00D91889">
        <w:rPr>
          <w:lang w:val="en-US"/>
        </w:rPr>
        <w:t xml:space="preserve"> </w:t>
      </w:r>
      <w:r w:rsidRPr="00EA6F8C">
        <w:rPr>
          <w:lang w:val="en-US"/>
        </w:rPr>
        <w:t>WHO/IVB database, data reported to WHO by member states as of 1 July 2016</w:t>
      </w:r>
    </w:p>
    <w:p w:rsidR="00EB5F5D" w:rsidRPr="00EA6F8C" w:rsidRDefault="00EB5F5D" w:rsidP="00EB5F5D">
      <w:pPr>
        <w:rPr>
          <w:lang w:val="en-US"/>
        </w:rPr>
      </w:pPr>
    </w:p>
    <w:p w:rsidR="00EB5F5D" w:rsidRPr="00D91889" w:rsidRDefault="00D91889" w:rsidP="00D91889">
      <w:pPr>
        <w:pStyle w:val="Caption"/>
        <w:rPr>
          <w:rFonts w:ascii="Arial" w:hAnsi="Arial" w:cs="Arial"/>
          <w:color w:val="auto"/>
          <w:sz w:val="22"/>
          <w:szCs w:val="22"/>
        </w:rPr>
      </w:pPr>
      <w:r w:rsidRPr="00D91889">
        <w:rPr>
          <w:rFonts w:ascii="Arial" w:hAnsi="Arial" w:cs="Arial"/>
          <w:color w:val="auto"/>
          <w:sz w:val="22"/>
          <w:szCs w:val="22"/>
        </w:rPr>
        <w:t xml:space="preserve">Figure </w:t>
      </w:r>
      <w:r w:rsidRPr="00D91889">
        <w:rPr>
          <w:rFonts w:ascii="Arial" w:hAnsi="Arial" w:cs="Arial"/>
          <w:color w:val="auto"/>
          <w:sz w:val="22"/>
          <w:szCs w:val="22"/>
        </w:rPr>
        <w:fldChar w:fldCharType="begin"/>
      </w:r>
      <w:r w:rsidRPr="00D91889">
        <w:rPr>
          <w:rFonts w:ascii="Arial" w:hAnsi="Arial" w:cs="Arial"/>
          <w:color w:val="auto"/>
          <w:sz w:val="22"/>
          <w:szCs w:val="22"/>
        </w:rPr>
        <w:instrText xml:space="preserve"> SEQ Figure \* ARABIC </w:instrText>
      </w:r>
      <w:r w:rsidRPr="00D91889">
        <w:rPr>
          <w:rFonts w:ascii="Arial" w:hAnsi="Arial" w:cs="Arial"/>
          <w:color w:val="auto"/>
          <w:sz w:val="22"/>
          <w:szCs w:val="22"/>
        </w:rPr>
        <w:fldChar w:fldCharType="separate"/>
      </w:r>
      <w:r w:rsidRPr="00D91889">
        <w:rPr>
          <w:rFonts w:ascii="Arial" w:hAnsi="Arial" w:cs="Arial"/>
          <w:color w:val="auto"/>
          <w:sz w:val="22"/>
          <w:szCs w:val="22"/>
        </w:rPr>
        <w:t>5</w:t>
      </w:r>
      <w:r w:rsidRPr="00D91889">
        <w:rPr>
          <w:rFonts w:ascii="Arial" w:hAnsi="Arial" w:cs="Arial"/>
          <w:color w:val="auto"/>
          <w:sz w:val="22"/>
          <w:szCs w:val="22"/>
        </w:rPr>
        <w:fldChar w:fldCharType="end"/>
      </w:r>
      <w:r w:rsidR="00EB5F5D" w:rsidRPr="00D91889">
        <w:rPr>
          <w:rFonts w:ascii="Arial" w:hAnsi="Arial" w:cs="Arial"/>
          <w:color w:val="auto"/>
          <w:sz w:val="22"/>
          <w:szCs w:val="22"/>
        </w:rPr>
        <w:t>: Percentage of district achieving &lt;50%; 50-79% and ≥80% coverage, 2000-201</w:t>
      </w:r>
      <w:r w:rsidR="008B7142" w:rsidRPr="00D91889">
        <w:rPr>
          <w:rFonts w:ascii="Arial" w:hAnsi="Arial" w:cs="Arial"/>
          <w:color w:val="auto"/>
          <w:sz w:val="22"/>
          <w:szCs w:val="22"/>
        </w:rPr>
        <w:t>5</w:t>
      </w:r>
    </w:p>
    <w:p w:rsidR="00EB5F5D" w:rsidRPr="00EA6F8C" w:rsidRDefault="00D952F2" w:rsidP="00EB5F5D">
      <w:pPr>
        <w:rPr>
          <w:lang w:val="en-US"/>
        </w:rPr>
      </w:pPr>
      <w:r w:rsidRPr="00EA6F8C">
        <w:rPr>
          <w:noProof/>
          <w:lang w:eastAsia="zh-CN"/>
        </w:rPr>
        <w:drawing>
          <wp:inline distT="0" distB="0" distL="0" distR="0" wp14:anchorId="1EE9C9CB" wp14:editId="09EF2294">
            <wp:extent cx="5724525" cy="4295775"/>
            <wp:effectExtent l="0" t="0" r="9525" b="9525"/>
            <wp:docPr id="11" name="Picture 11" descr="Y:\GVAP\Priority_countries\N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Y:\GVAP\Priority_countries\NG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rsidR="00E9158F" w:rsidRDefault="00E9158F">
      <w:pPr>
        <w:rPr>
          <w:lang w:val="en-US"/>
        </w:rPr>
      </w:pPr>
    </w:p>
    <w:p w:rsidR="00EB5F5D" w:rsidRPr="00D91889" w:rsidRDefault="00D91889" w:rsidP="00D91889">
      <w:pPr>
        <w:pStyle w:val="Caption"/>
        <w:rPr>
          <w:rFonts w:ascii="Arial" w:hAnsi="Arial" w:cs="Arial"/>
          <w:color w:val="auto"/>
          <w:sz w:val="22"/>
          <w:szCs w:val="22"/>
        </w:rPr>
      </w:pPr>
      <w:r w:rsidRPr="00D91889">
        <w:rPr>
          <w:rFonts w:ascii="Arial" w:hAnsi="Arial" w:cs="Arial"/>
          <w:color w:val="auto"/>
          <w:sz w:val="22"/>
          <w:szCs w:val="22"/>
        </w:rPr>
        <w:t xml:space="preserve">Figure </w:t>
      </w:r>
      <w:r w:rsidRPr="00D91889">
        <w:rPr>
          <w:rFonts w:ascii="Arial" w:hAnsi="Arial" w:cs="Arial"/>
          <w:color w:val="auto"/>
          <w:sz w:val="22"/>
          <w:szCs w:val="22"/>
        </w:rPr>
        <w:fldChar w:fldCharType="begin"/>
      </w:r>
      <w:r w:rsidRPr="00D91889">
        <w:rPr>
          <w:rFonts w:ascii="Arial" w:hAnsi="Arial" w:cs="Arial"/>
          <w:color w:val="auto"/>
          <w:sz w:val="22"/>
          <w:szCs w:val="22"/>
        </w:rPr>
        <w:instrText xml:space="preserve"> SEQ Figure \* ARABIC </w:instrText>
      </w:r>
      <w:r w:rsidRPr="00D91889">
        <w:rPr>
          <w:rFonts w:ascii="Arial" w:hAnsi="Arial" w:cs="Arial"/>
          <w:color w:val="auto"/>
          <w:sz w:val="22"/>
          <w:szCs w:val="22"/>
        </w:rPr>
        <w:fldChar w:fldCharType="separate"/>
      </w:r>
      <w:r w:rsidRPr="00D91889">
        <w:rPr>
          <w:rFonts w:ascii="Arial" w:hAnsi="Arial" w:cs="Arial"/>
          <w:color w:val="auto"/>
          <w:sz w:val="22"/>
          <w:szCs w:val="22"/>
        </w:rPr>
        <w:t>6</w:t>
      </w:r>
      <w:r w:rsidRPr="00D91889">
        <w:rPr>
          <w:rFonts w:ascii="Arial" w:hAnsi="Arial" w:cs="Arial"/>
          <w:color w:val="auto"/>
          <w:sz w:val="22"/>
          <w:szCs w:val="22"/>
        </w:rPr>
        <w:fldChar w:fldCharType="end"/>
      </w:r>
      <w:r w:rsidR="00EB5F5D" w:rsidRPr="00D91889">
        <w:rPr>
          <w:rFonts w:ascii="Arial" w:hAnsi="Arial" w:cs="Arial"/>
          <w:color w:val="auto"/>
          <w:sz w:val="22"/>
          <w:szCs w:val="22"/>
        </w:rPr>
        <w:t>: map with DTP3 coverage by district/province 2010 and 2015 (admin</w:t>
      </w:r>
      <w:r w:rsidR="00E9158F" w:rsidRPr="00D91889">
        <w:rPr>
          <w:rFonts w:ascii="Arial" w:hAnsi="Arial" w:cs="Arial"/>
          <w:color w:val="auto"/>
          <w:sz w:val="22"/>
          <w:szCs w:val="22"/>
        </w:rPr>
        <w:t>istrative data</w:t>
      </w:r>
      <w:r w:rsidR="00EB5F5D" w:rsidRPr="00D91889">
        <w:rPr>
          <w:rFonts w:ascii="Arial" w:hAnsi="Arial" w:cs="Arial"/>
          <w:color w:val="auto"/>
          <w:sz w:val="22"/>
          <w:szCs w:val="22"/>
        </w:rPr>
        <w:t>)</w:t>
      </w:r>
    </w:p>
    <w:p w:rsidR="00D91889" w:rsidRDefault="00D952F2" w:rsidP="009C08D2">
      <w:pPr>
        <w:rPr>
          <w:b/>
          <w:lang w:val="en-US"/>
        </w:rPr>
      </w:pPr>
      <w:r w:rsidRPr="00EA6F8C">
        <w:rPr>
          <w:b/>
          <w:noProof/>
          <w:lang w:eastAsia="zh-CN"/>
        </w:rPr>
        <w:drawing>
          <wp:inline distT="0" distB="0" distL="0" distR="0" wp14:anchorId="6570444D" wp14:editId="1EF92EAB">
            <wp:extent cx="4572638" cy="3429479"/>
            <wp:effectExtent l="19050" t="19050" r="1841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2638" cy="3429479"/>
                    </a:xfrm>
                    <a:prstGeom prst="rect">
                      <a:avLst/>
                    </a:prstGeom>
                    <a:ln>
                      <a:solidFill>
                        <a:schemeClr val="tx1"/>
                      </a:solidFill>
                    </a:ln>
                  </pic:spPr>
                </pic:pic>
              </a:graphicData>
            </a:graphic>
          </wp:inline>
        </w:drawing>
      </w:r>
    </w:p>
    <w:p w:rsidR="00EB5F5D" w:rsidRPr="00D91889" w:rsidRDefault="00D91889" w:rsidP="00D91889">
      <w:pPr>
        <w:pStyle w:val="Caption"/>
        <w:rPr>
          <w:rFonts w:ascii="Arial" w:hAnsi="Arial" w:cs="Arial"/>
          <w:color w:val="auto"/>
          <w:sz w:val="22"/>
          <w:szCs w:val="22"/>
        </w:rPr>
      </w:pPr>
      <w:r w:rsidRPr="00D91889">
        <w:rPr>
          <w:rFonts w:ascii="Arial" w:hAnsi="Arial" w:cs="Arial"/>
          <w:color w:val="auto"/>
          <w:sz w:val="22"/>
          <w:szCs w:val="22"/>
        </w:rPr>
        <w:t xml:space="preserve">Figure </w:t>
      </w:r>
      <w:r w:rsidRPr="00D91889">
        <w:rPr>
          <w:rFonts w:ascii="Arial" w:hAnsi="Arial" w:cs="Arial"/>
          <w:color w:val="auto"/>
          <w:sz w:val="22"/>
          <w:szCs w:val="22"/>
        </w:rPr>
        <w:fldChar w:fldCharType="begin"/>
      </w:r>
      <w:r w:rsidRPr="00D91889">
        <w:rPr>
          <w:rFonts w:ascii="Arial" w:hAnsi="Arial" w:cs="Arial"/>
          <w:color w:val="auto"/>
          <w:sz w:val="22"/>
          <w:szCs w:val="22"/>
        </w:rPr>
        <w:instrText xml:space="preserve"> SEQ Figure \* ARABIC </w:instrText>
      </w:r>
      <w:r w:rsidRPr="00D91889">
        <w:rPr>
          <w:rFonts w:ascii="Arial" w:hAnsi="Arial" w:cs="Arial"/>
          <w:color w:val="auto"/>
          <w:sz w:val="22"/>
          <w:szCs w:val="22"/>
        </w:rPr>
        <w:fldChar w:fldCharType="separate"/>
      </w:r>
      <w:r w:rsidRPr="00D91889">
        <w:rPr>
          <w:rFonts w:ascii="Arial" w:hAnsi="Arial" w:cs="Arial"/>
          <w:color w:val="auto"/>
          <w:sz w:val="22"/>
          <w:szCs w:val="22"/>
        </w:rPr>
        <w:t>7</w:t>
      </w:r>
      <w:r w:rsidRPr="00D91889">
        <w:rPr>
          <w:rFonts w:ascii="Arial" w:hAnsi="Arial" w:cs="Arial"/>
          <w:color w:val="auto"/>
          <w:sz w:val="22"/>
          <w:szCs w:val="22"/>
        </w:rPr>
        <w:fldChar w:fldCharType="end"/>
      </w:r>
      <w:r w:rsidR="00EB5F5D" w:rsidRPr="00D91889">
        <w:rPr>
          <w:rFonts w:ascii="Arial" w:hAnsi="Arial" w:cs="Arial"/>
          <w:color w:val="auto"/>
          <w:sz w:val="22"/>
          <w:szCs w:val="22"/>
        </w:rPr>
        <w:t xml:space="preserve">: Immunization coverage data disaggregated by sex and wealth quintile </w:t>
      </w:r>
    </w:p>
    <w:p w:rsidR="00D91889" w:rsidRDefault="00D91889" w:rsidP="00EB5F5D">
      <w:pPr>
        <w:rPr>
          <w:lang w:val="en-US"/>
        </w:rPr>
      </w:pPr>
      <w:r>
        <w:rPr>
          <w:b/>
          <w:noProof/>
          <w:lang w:eastAsia="zh-CN"/>
        </w:rPr>
        <w:drawing>
          <wp:inline distT="0" distB="0" distL="0" distR="0" wp14:anchorId="1A919441" wp14:editId="5DF14E1D">
            <wp:extent cx="3819525" cy="3819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A_disaggregated_dat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17833" cy="3817833"/>
                    </a:xfrm>
                    <a:prstGeom prst="rect">
                      <a:avLst/>
                    </a:prstGeom>
                  </pic:spPr>
                </pic:pic>
              </a:graphicData>
            </a:graphic>
          </wp:inline>
        </w:drawing>
      </w:r>
    </w:p>
    <w:p w:rsidR="00E86411" w:rsidRPr="009C08D2" w:rsidRDefault="00E86411" w:rsidP="009C08D2">
      <w:pPr>
        <w:spacing w:after="0"/>
        <w:rPr>
          <w:rFonts w:ascii="Arial" w:hAnsi="Arial" w:cs="Arial"/>
          <w:lang w:val="en-US"/>
        </w:rPr>
      </w:pPr>
      <w:bookmarkStart w:id="0" w:name="_GoBack"/>
      <w:bookmarkEnd w:id="0"/>
    </w:p>
    <w:sectPr w:rsidR="00E86411" w:rsidRPr="009C08D2" w:rsidSect="00CA663B">
      <w:footerReference w:type="default" r:id="rId14"/>
      <w:type w:val="continuous"/>
      <w:pgSz w:w="11906" w:h="16838"/>
      <w:pgMar w:top="1440" w:right="1440" w:bottom="1440" w:left="1440"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23AA1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AB5" w:rsidRDefault="00BA5AB5">
      <w:pPr>
        <w:spacing w:after="0" w:line="240" w:lineRule="auto"/>
      </w:pPr>
      <w:r>
        <w:separator/>
      </w:r>
    </w:p>
  </w:endnote>
  <w:endnote w:type="continuationSeparator" w:id="0">
    <w:p w:rsidR="00BA5AB5" w:rsidRDefault="00BA5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4857851"/>
      <w:docPartObj>
        <w:docPartGallery w:val="Page Numbers (Bottom of Page)"/>
        <w:docPartUnique/>
      </w:docPartObj>
    </w:sdtPr>
    <w:sdtEndPr>
      <w:rPr>
        <w:noProof/>
      </w:rPr>
    </w:sdtEndPr>
    <w:sdtContent>
      <w:p w:rsidR="00EE6083" w:rsidRDefault="00EE6083">
        <w:pPr>
          <w:pStyle w:val="Footer"/>
          <w:jc w:val="center"/>
        </w:pPr>
        <w:r>
          <w:fldChar w:fldCharType="begin"/>
        </w:r>
        <w:r>
          <w:instrText xml:space="preserve"> PAGE   \* MERGEFORMAT </w:instrText>
        </w:r>
        <w:r>
          <w:fldChar w:fldCharType="separate"/>
        </w:r>
        <w:r w:rsidR="009C08D2">
          <w:rPr>
            <w:noProof/>
          </w:rPr>
          <w:t>7</w:t>
        </w:r>
        <w:r>
          <w:rPr>
            <w:noProof/>
          </w:rPr>
          <w:fldChar w:fldCharType="end"/>
        </w:r>
      </w:p>
    </w:sdtContent>
  </w:sdt>
  <w:p w:rsidR="00EE6083" w:rsidRDefault="00EE6083" w:rsidP="009C5D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AB5" w:rsidRDefault="00BA5AB5">
      <w:pPr>
        <w:spacing w:after="0" w:line="240" w:lineRule="auto"/>
      </w:pPr>
      <w:r>
        <w:separator/>
      </w:r>
    </w:p>
  </w:footnote>
  <w:footnote w:type="continuationSeparator" w:id="0">
    <w:p w:rsidR="00BA5AB5" w:rsidRDefault="00BA5AB5">
      <w:pPr>
        <w:spacing w:after="0" w:line="240" w:lineRule="auto"/>
      </w:pPr>
      <w:r>
        <w:continuationSeparator/>
      </w:r>
    </w:p>
  </w:footnote>
  <w:footnote w:id="1">
    <w:p w:rsidR="00EE6083" w:rsidRPr="00805A3A" w:rsidRDefault="00EE6083">
      <w:pPr>
        <w:pStyle w:val="FootnoteText"/>
        <w:rPr>
          <w:lang w:val="en-US"/>
        </w:rPr>
      </w:pPr>
      <w:r>
        <w:rPr>
          <w:rStyle w:val="FootnoteReference"/>
        </w:rPr>
        <w:footnoteRef/>
      </w:r>
      <w:r>
        <w:t xml:space="preserve"> </w:t>
      </w:r>
      <w:proofErr w:type="gramStart"/>
      <w:r>
        <w:rPr>
          <w:lang w:val="en-US"/>
        </w:rPr>
        <w:t>2013 DHS.</w:t>
      </w:r>
      <w:proofErr w:type="gramEnd"/>
    </w:p>
  </w:footnote>
  <w:footnote w:id="2">
    <w:p w:rsidR="00EE6083" w:rsidRPr="004C4AD6" w:rsidRDefault="00EE6083">
      <w:pPr>
        <w:pStyle w:val="FootnoteText"/>
        <w:rPr>
          <w:lang w:val="en-US"/>
        </w:rPr>
      </w:pPr>
      <w:r>
        <w:rPr>
          <w:rStyle w:val="FootnoteReference"/>
        </w:rPr>
        <w:footnoteRef/>
      </w:r>
      <w:r>
        <w:t xml:space="preserve"> </w:t>
      </w:r>
      <w:proofErr w:type="gramStart"/>
      <w:r>
        <w:rPr>
          <w:lang w:val="en-US"/>
        </w:rPr>
        <w:t>Internal WHO briefing note for the 2016 joint appraisal.</w:t>
      </w:r>
      <w:proofErr w:type="gramEnd"/>
    </w:p>
  </w:footnote>
  <w:footnote w:id="3">
    <w:p w:rsidR="00EE6083" w:rsidRPr="005F4B52" w:rsidRDefault="00EE6083">
      <w:pPr>
        <w:pStyle w:val="FootnoteText"/>
        <w:rPr>
          <w:lang w:val="en-US"/>
        </w:rPr>
      </w:pPr>
      <w:r>
        <w:rPr>
          <w:rStyle w:val="FootnoteReference"/>
        </w:rPr>
        <w:footnoteRef/>
      </w:r>
      <w:r>
        <w:t xml:space="preserve"> </w:t>
      </w:r>
      <w:proofErr w:type="spellStart"/>
      <w:proofErr w:type="gramStart"/>
      <w:r>
        <w:rPr>
          <w:lang w:val="en-US"/>
        </w:rPr>
        <w:t>cMYP</w:t>
      </w:r>
      <w:proofErr w:type="spellEnd"/>
      <w:proofErr w:type="gramEnd"/>
      <w:r>
        <w:rPr>
          <w:lang w:val="en-US"/>
        </w:rPr>
        <w:t>.</w:t>
      </w:r>
    </w:p>
  </w:footnote>
  <w:footnote w:id="4">
    <w:p w:rsidR="00EE6083" w:rsidRPr="003B59D3" w:rsidRDefault="00EE6083">
      <w:pPr>
        <w:pStyle w:val="FootnoteText"/>
        <w:rPr>
          <w:lang w:val="en-US"/>
        </w:rPr>
      </w:pPr>
      <w:r>
        <w:rPr>
          <w:rStyle w:val="FootnoteReference"/>
        </w:rPr>
        <w:footnoteRef/>
      </w:r>
      <w:r>
        <w:t xml:space="preserve"> Report on the Post-Introduction Evaluation of Pneumococcal Conjugate Vaccine (PCV10) and Inactivated Polio Vaccine (IPV) in Phase 1 States in Nigeria, March 2016.</w:t>
      </w:r>
    </w:p>
  </w:footnote>
  <w:footnote w:id="5">
    <w:p w:rsidR="00EE6083" w:rsidRPr="00350FD0" w:rsidRDefault="00EE6083">
      <w:pPr>
        <w:pStyle w:val="FootnoteText"/>
        <w:rPr>
          <w:lang w:val="en-US"/>
        </w:rPr>
      </w:pPr>
      <w:r>
        <w:rPr>
          <w:rStyle w:val="FootnoteReference"/>
        </w:rPr>
        <w:footnoteRef/>
      </w:r>
      <w:r>
        <w:t xml:space="preserve"> </w:t>
      </w:r>
      <w:r>
        <w:rPr>
          <w:lang w:val="en-US"/>
        </w:rPr>
        <w:t>Presentation of Post-introduction evaluation (PIE) of pentavalent vaccine introduction in Nigeria Phase I states, March 2013.</w:t>
      </w:r>
    </w:p>
  </w:footnote>
  <w:footnote w:id="6">
    <w:p w:rsidR="00EE6083" w:rsidRPr="00F87D4C" w:rsidRDefault="00EE6083">
      <w:pPr>
        <w:pStyle w:val="FootnoteText"/>
        <w:rPr>
          <w:lang w:val="en-US"/>
        </w:rPr>
      </w:pPr>
      <w:r>
        <w:rPr>
          <w:rStyle w:val="FootnoteReference"/>
        </w:rPr>
        <w:footnoteRef/>
      </w:r>
      <w:r>
        <w:t xml:space="preserve"> </w:t>
      </w:r>
      <w:proofErr w:type="spellStart"/>
      <w:proofErr w:type="gramStart"/>
      <w:r>
        <w:rPr>
          <w:lang w:val="en-US"/>
        </w:rPr>
        <w:t>cMYP</w:t>
      </w:r>
      <w:proofErr w:type="spellEnd"/>
      <w:proofErr w:type="gramEnd"/>
      <w:r>
        <w:rPr>
          <w:lang w:val="en-US"/>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F710BA"/>
    <w:multiLevelType w:val="hybridMultilevel"/>
    <w:tmpl w:val="D8001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0C717BBF"/>
    <w:multiLevelType w:val="hybridMultilevel"/>
    <w:tmpl w:val="295AE8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1C78D5"/>
    <w:multiLevelType w:val="hybridMultilevel"/>
    <w:tmpl w:val="AAD074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A9911B8"/>
    <w:multiLevelType w:val="hybridMultilevel"/>
    <w:tmpl w:val="0BA65C4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DDB03E1"/>
    <w:multiLevelType w:val="hybridMultilevel"/>
    <w:tmpl w:val="17D0DA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910D11"/>
    <w:multiLevelType w:val="hybridMultilevel"/>
    <w:tmpl w:val="ECF66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210B62A0"/>
    <w:multiLevelType w:val="hybridMultilevel"/>
    <w:tmpl w:val="A8CACDC0"/>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8D2157"/>
    <w:multiLevelType w:val="multilevel"/>
    <w:tmpl w:val="8E3C3E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2EE0362"/>
    <w:multiLevelType w:val="multilevel"/>
    <w:tmpl w:val="D1BA6E1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4D5180B"/>
    <w:multiLevelType w:val="hybridMultilevel"/>
    <w:tmpl w:val="AAA283B2"/>
    <w:lvl w:ilvl="0" w:tplc="10421B90">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19">
    <w:nsid w:val="432F2042"/>
    <w:multiLevelType w:val="hybridMultilevel"/>
    <w:tmpl w:val="EC46C4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21">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4BB4A5A"/>
    <w:multiLevelType w:val="hybridMultilevel"/>
    <w:tmpl w:val="6A70A29C"/>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nsid w:val="582970CC"/>
    <w:multiLevelType w:val="hybridMultilevel"/>
    <w:tmpl w:val="334C477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5A704F80"/>
    <w:multiLevelType w:val="hybridMultilevel"/>
    <w:tmpl w:val="738AE0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0EA3A61"/>
    <w:multiLevelType w:val="hybridMultilevel"/>
    <w:tmpl w:val="B6A0B5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28">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29">
    <w:nsid w:val="76433DC8"/>
    <w:multiLevelType w:val="hybridMultilevel"/>
    <w:tmpl w:val="BCCA34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7F11D0B"/>
    <w:multiLevelType w:val="hybridMultilevel"/>
    <w:tmpl w:val="ABEC255A"/>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nsid w:val="7ADF19AB"/>
    <w:multiLevelType w:val="hybridMultilevel"/>
    <w:tmpl w:val="BD865C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34">
    <w:nsid w:val="7D2549A5"/>
    <w:multiLevelType w:val="hybridMultilevel"/>
    <w:tmpl w:val="12102DEE"/>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2"/>
  </w:num>
  <w:num w:numId="4">
    <w:abstractNumId w:val="14"/>
  </w:num>
  <w:num w:numId="5">
    <w:abstractNumId w:val="24"/>
  </w:num>
  <w:num w:numId="6">
    <w:abstractNumId w:val="1"/>
  </w:num>
  <w:num w:numId="7">
    <w:abstractNumId w:val="9"/>
  </w:num>
  <w:num w:numId="8">
    <w:abstractNumId w:val="21"/>
  </w:num>
  <w:num w:numId="9">
    <w:abstractNumId w:val="6"/>
  </w:num>
  <w:num w:numId="10">
    <w:abstractNumId w:val="32"/>
  </w:num>
  <w:num w:numId="11">
    <w:abstractNumId w:val="28"/>
  </w:num>
  <w:num w:numId="12">
    <w:abstractNumId w:val="18"/>
  </w:num>
  <w:num w:numId="13">
    <w:abstractNumId w:val="27"/>
  </w:num>
  <w:num w:numId="14">
    <w:abstractNumId w:val="20"/>
  </w:num>
  <w:num w:numId="15">
    <w:abstractNumId w:val="33"/>
  </w:num>
  <w:num w:numId="16">
    <w:abstractNumId w:val="13"/>
  </w:num>
  <w:num w:numId="17">
    <w:abstractNumId w:val="22"/>
  </w:num>
  <w:num w:numId="18">
    <w:abstractNumId w:val="16"/>
  </w:num>
  <w:num w:numId="19">
    <w:abstractNumId w:val="35"/>
  </w:num>
  <w:num w:numId="20">
    <w:abstractNumId w:val="0"/>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9"/>
  </w:num>
  <w:num w:numId="25">
    <w:abstractNumId w:val="21"/>
  </w:num>
  <w:num w:numId="26">
    <w:abstractNumId w:val="14"/>
  </w:num>
  <w:num w:numId="27">
    <w:abstractNumId w:val="11"/>
  </w:num>
  <w:num w:numId="28">
    <w:abstractNumId w:val="29"/>
  </w:num>
  <w:num w:numId="29">
    <w:abstractNumId w:val="26"/>
  </w:num>
  <w:num w:numId="30">
    <w:abstractNumId w:val="25"/>
  </w:num>
  <w:num w:numId="31">
    <w:abstractNumId w:val="7"/>
  </w:num>
  <w:num w:numId="32">
    <w:abstractNumId w:val="31"/>
  </w:num>
  <w:num w:numId="33">
    <w:abstractNumId w:val="10"/>
  </w:num>
  <w:num w:numId="34">
    <w:abstractNumId w:val="19"/>
  </w:num>
  <w:num w:numId="35">
    <w:abstractNumId w:val="12"/>
  </w:num>
  <w:num w:numId="36">
    <w:abstractNumId w:val="34"/>
  </w:num>
  <w:num w:numId="37">
    <w:abstractNumId w:val="23"/>
  </w:num>
  <w:num w:numId="38">
    <w:abstractNumId w:val="30"/>
  </w:num>
  <w:num w:numId="39">
    <w:abstractNumId w:val="3"/>
  </w:num>
  <w:num w:numId="40">
    <w:abstractNumId w:val="4"/>
  </w:num>
  <w:num w:numId="41">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e DeRoeck">
    <w15:presenceInfo w15:providerId="Windows Live" w15:userId="dd5ab0a71e4737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352E"/>
    <w:rsid w:val="00010003"/>
    <w:rsid w:val="0002632E"/>
    <w:rsid w:val="00027E10"/>
    <w:rsid w:val="0005184D"/>
    <w:rsid w:val="00052693"/>
    <w:rsid w:val="0007442D"/>
    <w:rsid w:val="00086ABD"/>
    <w:rsid w:val="00096E70"/>
    <w:rsid w:val="000B2412"/>
    <w:rsid w:val="000C2C44"/>
    <w:rsid w:val="000D4A84"/>
    <w:rsid w:val="000D74F9"/>
    <w:rsid w:val="000E3D3E"/>
    <w:rsid w:val="000E3E9A"/>
    <w:rsid w:val="00111D50"/>
    <w:rsid w:val="001564B6"/>
    <w:rsid w:val="00163179"/>
    <w:rsid w:val="001635F5"/>
    <w:rsid w:val="001738CC"/>
    <w:rsid w:val="001A1767"/>
    <w:rsid w:val="001B0097"/>
    <w:rsid w:val="001C1193"/>
    <w:rsid w:val="001C1E4D"/>
    <w:rsid w:val="001C5026"/>
    <w:rsid w:val="001F2D8D"/>
    <w:rsid w:val="001F52A9"/>
    <w:rsid w:val="00211D17"/>
    <w:rsid w:val="002258E3"/>
    <w:rsid w:val="002327A5"/>
    <w:rsid w:val="00232D9A"/>
    <w:rsid w:val="00236906"/>
    <w:rsid w:val="00236A02"/>
    <w:rsid w:val="0025319C"/>
    <w:rsid w:val="002818D0"/>
    <w:rsid w:val="00281CEF"/>
    <w:rsid w:val="00292589"/>
    <w:rsid w:val="002B09F1"/>
    <w:rsid w:val="002B73D6"/>
    <w:rsid w:val="002C0BCF"/>
    <w:rsid w:val="002D61F5"/>
    <w:rsid w:val="002D762A"/>
    <w:rsid w:val="002F1749"/>
    <w:rsid w:val="002F20C9"/>
    <w:rsid w:val="00323542"/>
    <w:rsid w:val="00337BBA"/>
    <w:rsid w:val="00350FD0"/>
    <w:rsid w:val="00361F07"/>
    <w:rsid w:val="00364589"/>
    <w:rsid w:val="00370616"/>
    <w:rsid w:val="00371B50"/>
    <w:rsid w:val="00373BA5"/>
    <w:rsid w:val="003A7680"/>
    <w:rsid w:val="003B290A"/>
    <w:rsid w:val="003B59D3"/>
    <w:rsid w:val="003B6F84"/>
    <w:rsid w:val="003D24BB"/>
    <w:rsid w:val="003D6679"/>
    <w:rsid w:val="003D6F13"/>
    <w:rsid w:val="003E30EC"/>
    <w:rsid w:val="003E68D8"/>
    <w:rsid w:val="003F4825"/>
    <w:rsid w:val="00432B70"/>
    <w:rsid w:val="00436537"/>
    <w:rsid w:val="00437FD4"/>
    <w:rsid w:val="00441EDC"/>
    <w:rsid w:val="00457E0A"/>
    <w:rsid w:val="00460FC0"/>
    <w:rsid w:val="004826EF"/>
    <w:rsid w:val="00492F98"/>
    <w:rsid w:val="004A394A"/>
    <w:rsid w:val="004B1BA4"/>
    <w:rsid w:val="004B5B75"/>
    <w:rsid w:val="004C322B"/>
    <w:rsid w:val="004C4AD6"/>
    <w:rsid w:val="004D307D"/>
    <w:rsid w:val="004F6777"/>
    <w:rsid w:val="00500171"/>
    <w:rsid w:val="0050564C"/>
    <w:rsid w:val="005133F8"/>
    <w:rsid w:val="00513BF2"/>
    <w:rsid w:val="00530AD4"/>
    <w:rsid w:val="00530FEA"/>
    <w:rsid w:val="00532476"/>
    <w:rsid w:val="00534013"/>
    <w:rsid w:val="005608E7"/>
    <w:rsid w:val="0058000D"/>
    <w:rsid w:val="005B6B29"/>
    <w:rsid w:val="005C6F1C"/>
    <w:rsid w:val="005F0283"/>
    <w:rsid w:val="005F3C9B"/>
    <w:rsid w:val="005F4B52"/>
    <w:rsid w:val="0062336D"/>
    <w:rsid w:val="0063770B"/>
    <w:rsid w:val="006410AE"/>
    <w:rsid w:val="00641572"/>
    <w:rsid w:val="00661C74"/>
    <w:rsid w:val="00680885"/>
    <w:rsid w:val="006842AB"/>
    <w:rsid w:val="00696E6A"/>
    <w:rsid w:val="006A4380"/>
    <w:rsid w:val="006C334B"/>
    <w:rsid w:val="007033F7"/>
    <w:rsid w:val="007348D9"/>
    <w:rsid w:val="00753EBE"/>
    <w:rsid w:val="00762936"/>
    <w:rsid w:val="0076408F"/>
    <w:rsid w:val="00767749"/>
    <w:rsid w:val="00770EEA"/>
    <w:rsid w:val="0079008F"/>
    <w:rsid w:val="007A2153"/>
    <w:rsid w:val="007A35F6"/>
    <w:rsid w:val="007A623E"/>
    <w:rsid w:val="007B053A"/>
    <w:rsid w:val="007C5F79"/>
    <w:rsid w:val="007D16A4"/>
    <w:rsid w:val="007D2AA9"/>
    <w:rsid w:val="007E0DEE"/>
    <w:rsid w:val="007F0729"/>
    <w:rsid w:val="007F2339"/>
    <w:rsid w:val="008053B7"/>
    <w:rsid w:val="00805A3A"/>
    <w:rsid w:val="008105B2"/>
    <w:rsid w:val="008137E7"/>
    <w:rsid w:val="00815D92"/>
    <w:rsid w:val="00824C6B"/>
    <w:rsid w:val="00825812"/>
    <w:rsid w:val="0083568C"/>
    <w:rsid w:val="00856B69"/>
    <w:rsid w:val="00863F77"/>
    <w:rsid w:val="00865907"/>
    <w:rsid w:val="008829D8"/>
    <w:rsid w:val="00883C0A"/>
    <w:rsid w:val="008A1C67"/>
    <w:rsid w:val="008B7142"/>
    <w:rsid w:val="008C1347"/>
    <w:rsid w:val="008E2AE4"/>
    <w:rsid w:val="008E4926"/>
    <w:rsid w:val="008E7AA0"/>
    <w:rsid w:val="008F41EC"/>
    <w:rsid w:val="008F4F49"/>
    <w:rsid w:val="00916ACE"/>
    <w:rsid w:val="009318B8"/>
    <w:rsid w:val="009563E8"/>
    <w:rsid w:val="0098318B"/>
    <w:rsid w:val="009A5026"/>
    <w:rsid w:val="009A785D"/>
    <w:rsid w:val="009B091D"/>
    <w:rsid w:val="009B10F7"/>
    <w:rsid w:val="009B5560"/>
    <w:rsid w:val="009C08D2"/>
    <w:rsid w:val="009C09D8"/>
    <w:rsid w:val="009C5DC1"/>
    <w:rsid w:val="009D7CB0"/>
    <w:rsid w:val="009E1E59"/>
    <w:rsid w:val="00A03C34"/>
    <w:rsid w:val="00A077C6"/>
    <w:rsid w:val="00A11AC1"/>
    <w:rsid w:val="00A30557"/>
    <w:rsid w:val="00A44D74"/>
    <w:rsid w:val="00A472F6"/>
    <w:rsid w:val="00A53678"/>
    <w:rsid w:val="00AB6B44"/>
    <w:rsid w:val="00AD2901"/>
    <w:rsid w:val="00AE591E"/>
    <w:rsid w:val="00AE7557"/>
    <w:rsid w:val="00AF71FB"/>
    <w:rsid w:val="00B033CD"/>
    <w:rsid w:val="00B13423"/>
    <w:rsid w:val="00B218CC"/>
    <w:rsid w:val="00B47D53"/>
    <w:rsid w:val="00B50567"/>
    <w:rsid w:val="00BA09BC"/>
    <w:rsid w:val="00BA2589"/>
    <w:rsid w:val="00BA5AB5"/>
    <w:rsid w:val="00BD35F2"/>
    <w:rsid w:val="00BF14CF"/>
    <w:rsid w:val="00BF4CFA"/>
    <w:rsid w:val="00C235C2"/>
    <w:rsid w:val="00C35316"/>
    <w:rsid w:val="00C3741F"/>
    <w:rsid w:val="00C67C9D"/>
    <w:rsid w:val="00CA663B"/>
    <w:rsid w:val="00CD3FD9"/>
    <w:rsid w:val="00CD5CD2"/>
    <w:rsid w:val="00CE4ECE"/>
    <w:rsid w:val="00CF0E45"/>
    <w:rsid w:val="00D00DC6"/>
    <w:rsid w:val="00D139EF"/>
    <w:rsid w:val="00D17551"/>
    <w:rsid w:val="00D20E28"/>
    <w:rsid w:val="00D254A3"/>
    <w:rsid w:val="00D27E92"/>
    <w:rsid w:val="00D30DD8"/>
    <w:rsid w:val="00D34193"/>
    <w:rsid w:val="00D34A31"/>
    <w:rsid w:val="00D732C7"/>
    <w:rsid w:val="00D744D3"/>
    <w:rsid w:val="00D83222"/>
    <w:rsid w:val="00D91889"/>
    <w:rsid w:val="00D9435D"/>
    <w:rsid w:val="00D952F2"/>
    <w:rsid w:val="00D9563B"/>
    <w:rsid w:val="00DC5960"/>
    <w:rsid w:val="00DF6C7F"/>
    <w:rsid w:val="00E01C99"/>
    <w:rsid w:val="00E11B99"/>
    <w:rsid w:val="00E1686A"/>
    <w:rsid w:val="00E37109"/>
    <w:rsid w:val="00E54B4C"/>
    <w:rsid w:val="00E86411"/>
    <w:rsid w:val="00E9158F"/>
    <w:rsid w:val="00EA06D2"/>
    <w:rsid w:val="00EA6F8C"/>
    <w:rsid w:val="00EB5F5D"/>
    <w:rsid w:val="00EC5704"/>
    <w:rsid w:val="00EE3DBB"/>
    <w:rsid w:val="00EE6083"/>
    <w:rsid w:val="00F54563"/>
    <w:rsid w:val="00F577A7"/>
    <w:rsid w:val="00F63D60"/>
    <w:rsid w:val="00F81B65"/>
    <w:rsid w:val="00F85BA5"/>
    <w:rsid w:val="00F87D4C"/>
    <w:rsid w:val="00FB2BC5"/>
    <w:rsid w:val="00FD688B"/>
    <w:rsid w:val="00FE5EA1"/>
    <w:rsid w:val="00FE722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1738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38CC"/>
    <w:rPr>
      <w:sz w:val="20"/>
      <w:szCs w:val="20"/>
    </w:rPr>
  </w:style>
  <w:style w:type="character" w:styleId="FootnoteReference">
    <w:name w:val="footnote reference"/>
    <w:basedOn w:val="DefaultParagraphFont"/>
    <w:uiPriority w:val="99"/>
    <w:semiHidden/>
    <w:unhideWhenUsed/>
    <w:rsid w:val="001738CC"/>
    <w:rPr>
      <w:vertAlign w:val="superscript"/>
    </w:rPr>
  </w:style>
  <w:style w:type="paragraph" w:styleId="Caption">
    <w:name w:val="caption"/>
    <w:basedOn w:val="Normal"/>
    <w:next w:val="Normal"/>
    <w:uiPriority w:val="35"/>
    <w:unhideWhenUsed/>
    <w:qFormat/>
    <w:rsid w:val="001A176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1738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38CC"/>
    <w:rPr>
      <w:sz w:val="20"/>
      <w:szCs w:val="20"/>
    </w:rPr>
  </w:style>
  <w:style w:type="character" w:styleId="FootnoteReference">
    <w:name w:val="footnote reference"/>
    <w:basedOn w:val="DefaultParagraphFont"/>
    <w:uiPriority w:val="99"/>
    <w:semiHidden/>
    <w:unhideWhenUsed/>
    <w:rsid w:val="001738CC"/>
    <w:rPr>
      <w:vertAlign w:val="superscript"/>
    </w:rPr>
  </w:style>
  <w:style w:type="paragraph" w:styleId="Caption">
    <w:name w:val="caption"/>
    <w:basedOn w:val="Normal"/>
    <w:next w:val="Normal"/>
    <w:uiPriority w:val="35"/>
    <w:unhideWhenUsed/>
    <w:qFormat/>
    <w:rsid w:val="001A176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76927">
      <w:bodyDiv w:val="1"/>
      <w:marLeft w:val="0"/>
      <w:marRight w:val="0"/>
      <w:marTop w:val="0"/>
      <w:marBottom w:val="0"/>
      <w:divBdr>
        <w:top w:val="none" w:sz="0" w:space="0" w:color="auto"/>
        <w:left w:val="none" w:sz="0" w:space="0" w:color="auto"/>
        <w:bottom w:val="none" w:sz="0" w:space="0" w:color="auto"/>
        <w:right w:val="none" w:sz="0" w:space="0" w:color="auto"/>
      </w:divBdr>
    </w:div>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537400086">
          <w:marLeft w:val="806"/>
          <w:marRight w:val="0"/>
          <w:marTop w:val="72"/>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sChild>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1007682006">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2050450190">
          <w:marLeft w:val="806"/>
          <w:marRight w:val="0"/>
          <w:marTop w:val="86"/>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59450289">
          <w:marLeft w:val="1440"/>
          <w:marRight w:val="0"/>
          <w:marTop w:val="72"/>
          <w:marBottom w:val="0"/>
          <w:divBdr>
            <w:top w:val="none" w:sz="0" w:space="0" w:color="auto"/>
            <w:left w:val="none" w:sz="0" w:space="0" w:color="auto"/>
            <w:bottom w:val="none" w:sz="0" w:space="0" w:color="auto"/>
            <w:right w:val="none" w:sz="0" w:space="0" w:color="auto"/>
          </w:divBdr>
        </w:div>
      </w:divsChild>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 w:id="212187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400DB407-5B42-47BF-BC5D-4496EE0F4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1824</Words>
  <Characters>10402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12202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Majumder, Anwesha</cp:lastModifiedBy>
  <cp:revision>2</cp:revision>
  <cp:lastPrinted>2016-07-31T18:21:00Z</cp:lastPrinted>
  <dcterms:created xsi:type="dcterms:W3CDTF">2016-08-25T14:15:00Z</dcterms:created>
  <dcterms:modified xsi:type="dcterms:W3CDTF">2016-08-25T14:15:00Z</dcterms:modified>
</cp:coreProperties>
</file>