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A623E" w:rsidRPr="00C27BB5" w:rsidRDefault="007A623E" w:rsidP="007A623E">
      <w:pPr>
        <w:jc w:val="center"/>
        <w:rPr>
          <w:b/>
          <w:sz w:val="40"/>
          <w:szCs w:val="40"/>
        </w:rPr>
      </w:pPr>
      <w:bookmarkStart w:id="0" w:name="_GoBack"/>
      <w:bookmarkEnd w:id="0"/>
      <w:r w:rsidRPr="00C27BB5">
        <w:rPr>
          <w:b/>
          <w:sz w:val="40"/>
          <w:szCs w:val="40"/>
        </w:rPr>
        <w:t>Global Vaccine Action Plan</w:t>
      </w:r>
    </w:p>
    <w:p w:rsidR="007A623E" w:rsidRDefault="007A623E" w:rsidP="007A623E">
      <w:pPr>
        <w:jc w:val="center"/>
        <w:rPr>
          <w:i/>
          <w:sz w:val="40"/>
          <w:szCs w:val="40"/>
        </w:rPr>
      </w:pPr>
      <w:r w:rsidRPr="00C27BB5">
        <w:rPr>
          <w:i/>
          <w:sz w:val="40"/>
          <w:szCs w:val="40"/>
        </w:rPr>
        <w:t>Secretariat Annual Report 2016</w:t>
      </w:r>
    </w:p>
    <w:p w:rsidR="007A623E" w:rsidRDefault="007A623E" w:rsidP="007A623E">
      <w:pPr>
        <w:jc w:val="center"/>
        <w:rPr>
          <w:i/>
          <w:sz w:val="40"/>
          <w:szCs w:val="40"/>
        </w:rPr>
      </w:pPr>
      <w:r>
        <w:rPr>
          <w:i/>
          <w:sz w:val="40"/>
          <w:szCs w:val="40"/>
        </w:rPr>
        <w:t>Priority C</w:t>
      </w:r>
      <w:r w:rsidRPr="00C27BB5">
        <w:rPr>
          <w:i/>
          <w:sz w:val="40"/>
          <w:szCs w:val="40"/>
        </w:rPr>
        <w:t xml:space="preserve">ountry report on progress towards </w:t>
      </w:r>
    </w:p>
    <w:p w:rsidR="007A623E" w:rsidRPr="00C27BB5" w:rsidRDefault="007A623E" w:rsidP="007A623E">
      <w:pPr>
        <w:jc w:val="center"/>
        <w:rPr>
          <w:i/>
          <w:sz w:val="40"/>
          <w:szCs w:val="40"/>
        </w:rPr>
      </w:pPr>
      <w:r>
        <w:rPr>
          <w:i/>
          <w:sz w:val="40"/>
          <w:szCs w:val="40"/>
        </w:rPr>
        <w:t>GVAP-RVAP</w:t>
      </w:r>
      <w:r w:rsidRPr="00C27BB5">
        <w:rPr>
          <w:i/>
          <w:sz w:val="40"/>
          <w:szCs w:val="40"/>
        </w:rPr>
        <w:t xml:space="preserve"> goals </w:t>
      </w:r>
    </w:p>
    <w:p w:rsidR="007A623E" w:rsidRDefault="007A623E" w:rsidP="007A623E">
      <w:pPr>
        <w:jc w:val="center"/>
        <w:rPr>
          <w:rFonts w:ascii="Arial" w:hAnsi="Arial"/>
          <w:b/>
          <w:sz w:val="32"/>
        </w:rPr>
      </w:pPr>
    </w:p>
    <w:p w:rsidR="007A623E" w:rsidRDefault="007A623E" w:rsidP="007A623E">
      <w:pPr>
        <w:jc w:val="center"/>
        <w:rPr>
          <w:rFonts w:ascii="Arial" w:hAnsi="Arial"/>
          <w:b/>
          <w:sz w:val="36"/>
        </w:rPr>
      </w:pPr>
      <w:r>
        <w:rPr>
          <w:rFonts w:ascii="Arial" w:hAnsi="Arial"/>
          <w:b/>
          <w:sz w:val="36"/>
        </w:rPr>
        <w:t>NIGERIA</w:t>
      </w:r>
    </w:p>
    <w:p w:rsidR="007A623E" w:rsidRDefault="007A623E" w:rsidP="007A623E">
      <w:pPr>
        <w:jc w:val="center"/>
        <w:rPr>
          <w:rFonts w:ascii="Arial" w:hAnsi="Arial"/>
          <w:b/>
          <w:sz w:val="36"/>
        </w:rPr>
      </w:pPr>
    </w:p>
    <w:p w:rsidR="00457E0A" w:rsidRPr="00EA6F8C" w:rsidRDefault="00457E0A" w:rsidP="00457E0A">
      <w:pPr>
        <w:pStyle w:val="ListParagraph"/>
        <w:numPr>
          <w:ilvl w:val="0"/>
          <w:numId w:val="3"/>
        </w:numPr>
        <w:rPr>
          <w:rFonts w:ascii="Arial" w:hAnsi="Arial" w:cs="Arial"/>
          <w:b/>
          <w:sz w:val="26"/>
          <w:szCs w:val="26"/>
          <w:lang w:val="en-US"/>
        </w:rPr>
      </w:pPr>
      <w:r w:rsidRPr="00EA6F8C">
        <w:rPr>
          <w:rFonts w:ascii="Arial" w:hAnsi="Arial" w:cs="Arial"/>
          <w:b/>
          <w:sz w:val="26"/>
          <w:szCs w:val="26"/>
          <w:lang w:val="en-US"/>
        </w:rPr>
        <w:t xml:space="preserve">Progress towards achievement of GVAP goals </w:t>
      </w:r>
    </w:p>
    <w:p w:rsidR="00457E0A" w:rsidRPr="00EA6F8C" w:rsidRDefault="00457E0A" w:rsidP="00457E0A">
      <w:pPr>
        <w:pStyle w:val="ListParagraph"/>
        <w:rPr>
          <w:rFonts w:ascii="Arial" w:hAnsi="Arial" w:cs="Arial"/>
          <w:b/>
          <w:lang w:val="en-US"/>
        </w:rPr>
      </w:pPr>
    </w:p>
    <w:p w:rsidR="00163179" w:rsidRPr="00FE7220" w:rsidRDefault="00C67C9D" w:rsidP="00163179">
      <w:pPr>
        <w:pStyle w:val="ListParagraph"/>
        <w:numPr>
          <w:ilvl w:val="0"/>
          <w:numId w:val="1"/>
        </w:numPr>
        <w:rPr>
          <w:rFonts w:ascii="Arial" w:hAnsi="Arial" w:cs="Arial"/>
          <w:b/>
          <w:sz w:val="24"/>
          <w:szCs w:val="24"/>
          <w:lang w:val="en-US"/>
        </w:rPr>
      </w:pPr>
      <w:r w:rsidRPr="00FE7220">
        <w:rPr>
          <w:rFonts w:ascii="Arial" w:hAnsi="Arial" w:cs="Arial"/>
          <w:b/>
          <w:sz w:val="24"/>
          <w:szCs w:val="24"/>
          <w:lang w:val="en-US"/>
        </w:rPr>
        <w:t xml:space="preserve">Summary </w:t>
      </w:r>
    </w:p>
    <w:p w:rsidR="00BA2589" w:rsidRPr="00EA6F8C" w:rsidRDefault="00BA2589" w:rsidP="00B033CD">
      <w:pPr>
        <w:rPr>
          <w:rFonts w:ascii="Arial" w:hAnsi="Arial" w:cs="Arial"/>
          <w:lang w:val="en-US"/>
        </w:rPr>
      </w:pPr>
      <w:r w:rsidRPr="00EA6F8C">
        <w:rPr>
          <w:rFonts w:ascii="Arial" w:hAnsi="Arial" w:cs="Arial"/>
          <w:lang w:val="en-US"/>
        </w:rPr>
        <w:t>Th</w:t>
      </w:r>
      <w:r w:rsidR="00EA6F8C" w:rsidRPr="00EA6F8C">
        <w:rPr>
          <w:rFonts w:ascii="Arial" w:hAnsi="Arial" w:cs="Arial"/>
          <w:lang w:val="en-US"/>
        </w:rPr>
        <w:t>e</w:t>
      </w:r>
      <w:r w:rsidRPr="00EA6F8C">
        <w:rPr>
          <w:rFonts w:ascii="Arial" w:hAnsi="Arial" w:cs="Arial"/>
          <w:lang w:val="en-US"/>
        </w:rPr>
        <w:t xml:space="preserve"> </w:t>
      </w:r>
      <w:r w:rsidR="006C334B" w:rsidRPr="00EA6F8C">
        <w:rPr>
          <w:rFonts w:ascii="Arial" w:hAnsi="Arial" w:cs="Arial"/>
          <w:lang w:val="en-US"/>
        </w:rPr>
        <w:t xml:space="preserve">summary table </w:t>
      </w:r>
      <w:r w:rsidR="00EA6F8C" w:rsidRPr="00EA6F8C">
        <w:rPr>
          <w:rFonts w:ascii="Arial" w:hAnsi="Arial" w:cs="Arial"/>
          <w:lang w:val="en-US"/>
        </w:rPr>
        <w:t xml:space="preserve">below </w:t>
      </w:r>
      <w:r w:rsidR="006C334B" w:rsidRPr="00EA6F8C">
        <w:rPr>
          <w:rFonts w:ascii="Arial" w:hAnsi="Arial" w:cs="Arial"/>
          <w:lang w:val="en-US"/>
        </w:rPr>
        <w:t xml:space="preserve">describes </w:t>
      </w:r>
      <w:r w:rsidRPr="00EA6F8C">
        <w:rPr>
          <w:rFonts w:ascii="Arial" w:hAnsi="Arial" w:cs="Arial"/>
          <w:lang w:val="en-US"/>
        </w:rPr>
        <w:t xml:space="preserve">the current situation in </w:t>
      </w:r>
      <w:r w:rsidR="00B033CD" w:rsidRPr="00EA6F8C">
        <w:rPr>
          <w:rFonts w:ascii="Arial" w:hAnsi="Arial" w:cs="Arial"/>
          <w:lang w:val="en-US"/>
        </w:rPr>
        <w:t>Nigeria</w:t>
      </w:r>
      <w:r w:rsidRPr="00EA6F8C">
        <w:rPr>
          <w:rFonts w:ascii="Arial" w:hAnsi="Arial" w:cs="Arial"/>
          <w:lang w:val="en-US"/>
        </w:rPr>
        <w:t xml:space="preserve"> regarding achieving the GVAP goals.</w:t>
      </w:r>
      <w:r w:rsidR="00492F98" w:rsidRPr="00EA6F8C">
        <w:rPr>
          <w:rFonts w:ascii="Arial" w:hAnsi="Arial" w:cs="Arial"/>
          <w:lang w:val="en-US"/>
        </w:rPr>
        <w:t xml:space="preserve"> </w:t>
      </w:r>
      <w:r w:rsidR="00500171" w:rsidRPr="00EA6F8C">
        <w:rPr>
          <w:rFonts w:ascii="Arial" w:hAnsi="Arial" w:cs="Arial"/>
          <w:lang w:val="en-US"/>
        </w:rPr>
        <w:t>D</w:t>
      </w:r>
      <w:r w:rsidR="00696E6A" w:rsidRPr="00EA6F8C">
        <w:rPr>
          <w:rFonts w:ascii="Arial" w:hAnsi="Arial" w:cs="Arial"/>
          <w:lang w:val="en-US"/>
        </w:rPr>
        <w:t xml:space="preserve">ata </w:t>
      </w:r>
      <w:r w:rsidR="00E11B99" w:rsidRPr="00EA6F8C">
        <w:rPr>
          <w:rFonts w:ascii="Arial" w:hAnsi="Arial" w:cs="Arial"/>
          <w:lang w:val="en-US"/>
        </w:rPr>
        <w:t xml:space="preserve">used to assess progress towards achievement of </w:t>
      </w:r>
      <w:r w:rsidR="00696E6A" w:rsidRPr="00EA6F8C">
        <w:rPr>
          <w:rFonts w:ascii="Arial" w:hAnsi="Arial" w:cs="Arial"/>
          <w:lang w:val="en-US"/>
        </w:rPr>
        <w:t>GVAP goals are included in the annex.</w:t>
      </w:r>
    </w:p>
    <w:tbl>
      <w:tblPr>
        <w:tblW w:w="9517" w:type="dxa"/>
        <w:jc w:val="center"/>
        <w:tblLook w:val="04A0" w:firstRow="1" w:lastRow="0" w:firstColumn="1" w:lastColumn="0" w:noHBand="0" w:noVBand="1"/>
      </w:tblPr>
      <w:tblGrid>
        <w:gridCol w:w="3220"/>
        <w:gridCol w:w="3777"/>
        <w:gridCol w:w="2520"/>
      </w:tblGrid>
      <w:tr w:rsidR="00C35316" w:rsidRPr="00EA6F8C" w:rsidTr="00A03C34">
        <w:trPr>
          <w:trHeight w:val="675"/>
          <w:tblHeader/>
          <w:jc w:val="center"/>
        </w:trPr>
        <w:tc>
          <w:tcPr>
            <w:tcW w:w="32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35316" w:rsidRPr="00EA6F8C" w:rsidRDefault="00C35316" w:rsidP="00EA6F8C">
            <w:pPr>
              <w:spacing w:after="0" w:line="240" w:lineRule="auto"/>
              <w:jc w:val="center"/>
              <w:rPr>
                <w:rFonts w:ascii="Calibri" w:eastAsia="Times New Roman" w:hAnsi="Calibri" w:cs="Calibri"/>
                <w:b/>
                <w:bCs/>
                <w:color w:val="000000"/>
                <w:sz w:val="28"/>
                <w:szCs w:val="28"/>
                <w:lang w:val="en-US" w:eastAsia="en-GB"/>
              </w:rPr>
            </w:pPr>
            <w:r w:rsidRPr="00EA6F8C">
              <w:rPr>
                <w:rFonts w:ascii="Calibri" w:eastAsia="Times New Roman" w:hAnsi="Calibri" w:cs="Calibri"/>
                <w:b/>
                <w:bCs/>
                <w:color w:val="000000"/>
                <w:sz w:val="28"/>
                <w:szCs w:val="28"/>
                <w:lang w:val="en-US" w:eastAsia="en-GB"/>
              </w:rPr>
              <w:t>Area</w:t>
            </w:r>
          </w:p>
        </w:tc>
        <w:tc>
          <w:tcPr>
            <w:tcW w:w="3777" w:type="dxa"/>
            <w:tcBorders>
              <w:top w:val="single" w:sz="4" w:space="0" w:color="auto"/>
              <w:left w:val="nil"/>
              <w:bottom w:val="single" w:sz="4" w:space="0" w:color="auto"/>
              <w:right w:val="single" w:sz="4" w:space="0" w:color="auto"/>
            </w:tcBorders>
            <w:shd w:val="clear" w:color="auto" w:fill="auto"/>
            <w:vAlign w:val="center"/>
            <w:hideMark/>
          </w:tcPr>
          <w:p w:rsidR="00C35316" w:rsidRPr="00EA6F8C" w:rsidRDefault="00C35316" w:rsidP="00EA6F8C">
            <w:pPr>
              <w:spacing w:after="0" w:line="240" w:lineRule="auto"/>
              <w:jc w:val="center"/>
              <w:rPr>
                <w:rFonts w:ascii="Calibri" w:eastAsia="Times New Roman" w:hAnsi="Calibri" w:cs="Calibri"/>
                <w:b/>
                <w:bCs/>
                <w:color w:val="000000"/>
                <w:sz w:val="28"/>
                <w:szCs w:val="28"/>
                <w:lang w:val="en-US" w:eastAsia="en-GB"/>
              </w:rPr>
            </w:pPr>
            <w:r w:rsidRPr="00EA6F8C">
              <w:rPr>
                <w:rFonts w:ascii="Calibri" w:eastAsia="Times New Roman" w:hAnsi="Calibri" w:cs="Calibri"/>
                <w:b/>
                <w:bCs/>
                <w:color w:val="000000"/>
                <w:sz w:val="28"/>
                <w:szCs w:val="28"/>
                <w:lang w:val="en-US" w:eastAsia="en-GB"/>
              </w:rPr>
              <w:t>Indicator</w:t>
            </w:r>
          </w:p>
        </w:tc>
        <w:tc>
          <w:tcPr>
            <w:tcW w:w="2520" w:type="dxa"/>
            <w:tcBorders>
              <w:top w:val="single" w:sz="4" w:space="0" w:color="auto"/>
              <w:left w:val="nil"/>
              <w:bottom w:val="single" w:sz="4" w:space="0" w:color="auto"/>
              <w:right w:val="single" w:sz="4" w:space="0" w:color="auto"/>
            </w:tcBorders>
            <w:shd w:val="clear" w:color="auto" w:fill="auto"/>
            <w:vAlign w:val="center"/>
            <w:hideMark/>
          </w:tcPr>
          <w:p w:rsidR="00C35316" w:rsidRPr="00EA6F8C" w:rsidRDefault="00C35316" w:rsidP="00EA6F8C">
            <w:pPr>
              <w:spacing w:after="0" w:line="240" w:lineRule="auto"/>
              <w:jc w:val="center"/>
              <w:rPr>
                <w:rFonts w:ascii="Calibri" w:eastAsia="Times New Roman" w:hAnsi="Calibri" w:cs="Calibri"/>
                <w:b/>
                <w:bCs/>
                <w:color w:val="000000"/>
                <w:sz w:val="28"/>
                <w:szCs w:val="28"/>
                <w:lang w:val="en-US" w:eastAsia="en-GB"/>
              </w:rPr>
            </w:pPr>
            <w:r w:rsidRPr="00EA6F8C">
              <w:rPr>
                <w:rFonts w:ascii="Calibri" w:eastAsia="Times New Roman" w:hAnsi="Calibri" w:cs="Calibri"/>
                <w:b/>
                <w:bCs/>
                <w:color w:val="000000"/>
                <w:sz w:val="28"/>
                <w:szCs w:val="28"/>
                <w:lang w:val="en-US" w:eastAsia="en-GB"/>
              </w:rPr>
              <w:t>Nigeria</w:t>
            </w:r>
          </w:p>
        </w:tc>
      </w:tr>
      <w:tr w:rsidR="00EA6F8C" w:rsidRPr="00EA6F8C" w:rsidTr="00A03C34">
        <w:trPr>
          <w:trHeight w:val="300"/>
          <w:jc w:val="center"/>
        </w:trPr>
        <w:tc>
          <w:tcPr>
            <w:tcW w:w="3220" w:type="dxa"/>
            <w:vMerge w:val="restart"/>
            <w:tcBorders>
              <w:top w:val="nil"/>
              <w:left w:val="single" w:sz="4" w:space="0" w:color="auto"/>
              <w:right w:val="single" w:sz="4" w:space="0" w:color="auto"/>
            </w:tcBorders>
            <w:shd w:val="clear" w:color="auto" w:fill="auto"/>
            <w:hideMark/>
          </w:tcPr>
          <w:p w:rsidR="00EA6F8C" w:rsidRPr="00EA6F8C" w:rsidRDefault="00EA6F8C" w:rsidP="00EA6F8C">
            <w:pPr>
              <w:spacing w:after="0" w:line="240" w:lineRule="auto"/>
              <w:rPr>
                <w:rFonts w:ascii="Calibri" w:eastAsia="Times New Roman" w:hAnsi="Calibri" w:cs="Calibri"/>
                <w:b/>
                <w:bCs/>
                <w:color w:val="000000"/>
                <w:lang w:val="en-US" w:eastAsia="en-GB"/>
              </w:rPr>
            </w:pPr>
            <w:r w:rsidRPr="00EA6F8C">
              <w:rPr>
                <w:rFonts w:ascii="Calibri" w:eastAsia="Times New Roman" w:hAnsi="Calibri" w:cs="Calibri"/>
                <w:b/>
                <w:bCs/>
                <w:color w:val="000000"/>
                <w:lang w:val="en-US" w:eastAsia="en-GB"/>
              </w:rPr>
              <w:t>Socio-demographic</w:t>
            </w:r>
          </w:p>
        </w:tc>
        <w:tc>
          <w:tcPr>
            <w:tcW w:w="3777" w:type="dxa"/>
            <w:tcBorders>
              <w:top w:val="nil"/>
              <w:left w:val="nil"/>
              <w:bottom w:val="single" w:sz="4" w:space="0" w:color="auto"/>
              <w:right w:val="single" w:sz="4" w:space="0" w:color="auto"/>
            </w:tcBorders>
            <w:shd w:val="clear" w:color="auto" w:fill="auto"/>
            <w:vAlign w:val="center"/>
            <w:hideMark/>
          </w:tcPr>
          <w:p w:rsidR="00EA6F8C" w:rsidRPr="00EA6F8C" w:rsidRDefault="00EA6F8C" w:rsidP="00C35316">
            <w:pPr>
              <w:spacing w:after="0" w:line="240" w:lineRule="auto"/>
              <w:rPr>
                <w:rFonts w:ascii="Calibri" w:eastAsia="Times New Roman" w:hAnsi="Calibri" w:cs="Calibri"/>
                <w:b/>
                <w:bCs/>
                <w:color w:val="000000"/>
                <w:lang w:val="en-US" w:eastAsia="en-GB"/>
              </w:rPr>
            </w:pPr>
            <w:r w:rsidRPr="00EA6F8C">
              <w:rPr>
                <w:rFonts w:ascii="Calibri" w:eastAsia="Times New Roman" w:hAnsi="Calibri" w:cs="Calibri"/>
                <w:b/>
                <w:bCs/>
                <w:color w:val="000000"/>
                <w:lang w:val="en-US" w:eastAsia="en-GB"/>
              </w:rPr>
              <w:t>GNI 2014</w:t>
            </w:r>
          </w:p>
        </w:tc>
        <w:tc>
          <w:tcPr>
            <w:tcW w:w="2520" w:type="dxa"/>
            <w:tcBorders>
              <w:top w:val="nil"/>
              <w:left w:val="nil"/>
              <w:bottom w:val="single" w:sz="4" w:space="0" w:color="auto"/>
              <w:right w:val="single" w:sz="4" w:space="0" w:color="auto"/>
            </w:tcBorders>
            <w:shd w:val="clear" w:color="auto" w:fill="auto"/>
            <w:vAlign w:val="center"/>
            <w:hideMark/>
          </w:tcPr>
          <w:p w:rsidR="00EA6F8C" w:rsidRPr="00EA6F8C" w:rsidRDefault="00EA6F8C" w:rsidP="00C35316">
            <w:pPr>
              <w:spacing w:after="0" w:line="240" w:lineRule="auto"/>
              <w:jc w:val="center"/>
              <w:rPr>
                <w:rFonts w:ascii="Calibri" w:eastAsia="Times New Roman" w:hAnsi="Calibri" w:cs="Calibri"/>
                <w:b/>
                <w:bCs/>
                <w:color w:val="000000"/>
                <w:lang w:val="en-US" w:eastAsia="en-GB"/>
              </w:rPr>
            </w:pPr>
            <w:r w:rsidRPr="00EA6F8C">
              <w:rPr>
                <w:rFonts w:ascii="Calibri" w:eastAsia="Times New Roman" w:hAnsi="Calibri" w:cs="Calibri"/>
                <w:b/>
                <w:bCs/>
                <w:color w:val="000000"/>
                <w:lang w:val="en-US" w:eastAsia="en-GB"/>
              </w:rPr>
              <w:t>$2,950</w:t>
            </w:r>
          </w:p>
        </w:tc>
      </w:tr>
      <w:tr w:rsidR="00EA6F8C" w:rsidRPr="00EA6F8C" w:rsidTr="00A03C34">
        <w:trPr>
          <w:trHeight w:val="332"/>
          <w:jc w:val="center"/>
        </w:trPr>
        <w:tc>
          <w:tcPr>
            <w:tcW w:w="3220" w:type="dxa"/>
            <w:vMerge/>
            <w:tcBorders>
              <w:left w:val="single" w:sz="4" w:space="0" w:color="auto"/>
              <w:right w:val="single" w:sz="4" w:space="0" w:color="auto"/>
            </w:tcBorders>
            <w:shd w:val="clear" w:color="auto" w:fill="auto"/>
            <w:vAlign w:val="center"/>
          </w:tcPr>
          <w:p w:rsidR="00EA6F8C" w:rsidRPr="00EA6F8C" w:rsidRDefault="00EA6F8C" w:rsidP="00C35316">
            <w:pPr>
              <w:spacing w:after="0" w:line="240" w:lineRule="auto"/>
              <w:rPr>
                <w:rFonts w:ascii="Calibri" w:eastAsia="Times New Roman" w:hAnsi="Calibri" w:cs="Calibri"/>
                <w:b/>
                <w:bCs/>
                <w:color w:val="000000"/>
                <w:lang w:val="en-US" w:eastAsia="en-GB"/>
              </w:rPr>
            </w:pPr>
          </w:p>
        </w:tc>
        <w:tc>
          <w:tcPr>
            <w:tcW w:w="3777" w:type="dxa"/>
            <w:tcBorders>
              <w:top w:val="nil"/>
              <w:left w:val="nil"/>
              <w:bottom w:val="single" w:sz="4" w:space="0" w:color="auto"/>
              <w:right w:val="single" w:sz="4" w:space="0" w:color="auto"/>
            </w:tcBorders>
            <w:shd w:val="clear" w:color="auto" w:fill="auto"/>
            <w:vAlign w:val="center"/>
            <w:hideMark/>
          </w:tcPr>
          <w:p w:rsidR="00EA6F8C" w:rsidRPr="00EA6F8C" w:rsidRDefault="00EA6F8C" w:rsidP="00C35316">
            <w:pPr>
              <w:spacing w:after="0" w:line="240" w:lineRule="auto"/>
              <w:rPr>
                <w:rFonts w:ascii="Calibri" w:eastAsia="Times New Roman" w:hAnsi="Calibri" w:cs="Calibri"/>
                <w:b/>
                <w:bCs/>
                <w:color w:val="000000"/>
                <w:lang w:val="en-US" w:eastAsia="en-GB"/>
              </w:rPr>
            </w:pPr>
            <w:r w:rsidRPr="00EA6F8C">
              <w:rPr>
                <w:rFonts w:ascii="Calibri" w:eastAsia="Times New Roman" w:hAnsi="Calibri" w:cs="Calibri"/>
                <w:b/>
                <w:bCs/>
                <w:color w:val="000000"/>
                <w:lang w:val="en-US" w:eastAsia="en-GB"/>
              </w:rPr>
              <w:t>WB Status</w:t>
            </w:r>
          </w:p>
        </w:tc>
        <w:tc>
          <w:tcPr>
            <w:tcW w:w="2520" w:type="dxa"/>
            <w:tcBorders>
              <w:top w:val="nil"/>
              <w:left w:val="nil"/>
              <w:bottom w:val="single" w:sz="4" w:space="0" w:color="auto"/>
              <w:right w:val="single" w:sz="4" w:space="0" w:color="auto"/>
            </w:tcBorders>
            <w:shd w:val="clear" w:color="auto" w:fill="auto"/>
            <w:vAlign w:val="center"/>
            <w:hideMark/>
          </w:tcPr>
          <w:p w:rsidR="00EA6F8C" w:rsidRPr="00EA6F8C" w:rsidRDefault="00EA6F8C" w:rsidP="00C35316">
            <w:pPr>
              <w:spacing w:after="0" w:line="240" w:lineRule="auto"/>
              <w:jc w:val="center"/>
              <w:rPr>
                <w:rFonts w:ascii="Calibri" w:eastAsia="Times New Roman" w:hAnsi="Calibri" w:cs="Calibri"/>
                <w:b/>
                <w:bCs/>
                <w:color w:val="000000"/>
                <w:lang w:val="en-US" w:eastAsia="en-GB"/>
              </w:rPr>
            </w:pPr>
            <w:r w:rsidRPr="00EA6F8C">
              <w:rPr>
                <w:rFonts w:ascii="Calibri" w:eastAsia="Times New Roman" w:hAnsi="Calibri" w:cs="Calibri"/>
                <w:b/>
                <w:bCs/>
                <w:color w:val="000000"/>
                <w:lang w:val="en-US" w:eastAsia="en-GB"/>
              </w:rPr>
              <w:t>Lower Middle Income</w:t>
            </w:r>
          </w:p>
        </w:tc>
      </w:tr>
      <w:tr w:rsidR="00EA6F8C" w:rsidRPr="00EA6F8C" w:rsidTr="00A03C34">
        <w:trPr>
          <w:trHeight w:val="600"/>
          <w:jc w:val="center"/>
        </w:trPr>
        <w:tc>
          <w:tcPr>
            <w:tcW w:w="3220" w:type="dxa"/>
            <w:vMerge/>
            <w:tcBorders>
              <w:left w:val="single" w:sz="4" w:space="0" w:color="auto"/>
              <w:right w:val="single" w:sz="4" w:space="0" w:color="auto"/>
            </w:tcBorders>
            <w:shd w:val="clear" w:color="auto" w:fill="auto"/>
            <w:vAlign w:val="center"/>
          </w:tcPr>
          <w:p w:rsidR="00EA6F8C" w:rsidRPr="00EA6F8C" w:rsidRDefault="00EA6F8C" w:rsidP="00C35316">
            <w:pPr>
              <w:spacing w:after="0" w:line="240" w:lineRule="auto"/>
              <w:rPr>
                <w:rFonts w:ascii="Calibri" w:eastAsia="Times New Roman" w:hAnsi="Calibri" w:cs="Calibri"/>
                <w:b/>
                <w:bCs/>
                <w:color w:val="000000"/>
                <w:lang w:val="en-US" w:eastAsia="en-GB"/>
              </w:rPr>
            </w:pPr>
          </w:p>
        </w:tc>
        <w:tc>
          <w:tcPr>
            <w:tcW w:w="3777" w:type="dxa"/>
            <w:tcBorders>
              <w:top w:val="nil"/>
              <w:left w:val="nil"/>
              <w:bottom w:val="single" w:sz="4" w:space="0" w:color="auto"/>
              <w:right w:val="single" w:sz="4" w:space="0" w:color="auto"/>
            </w:tcBorders>
            <w:shd w:val="clear" w:color="auto" w:fill="auto"/>
            <w:vAlign w:val="center"/>
            <w:hideMark/>
          </w:tcPr>
          <w:p w:rsidR="00EA6F8C" w:rsidRPr="00EA6F8C" w:rsidRDefault="00EA6F8C" w:rsidP="00C35316">
            <w:pPr>
              <w:spacing w:after="0" w:line="240" w:lineRule="auto"/>
              <w:rPr>
                <w:rFonts w:ascii="Calibri" w:eastAsia="Times New Roman" w:hAnsi="Calibri" w:cs="Calibri"/>
                <w:b/>
                <w:bCs/>
                <w:color w:val="000000"/>
                <w:lang w:val="fr-FR" w:eastAsia="en-GB"/>
              </w:rPr>
            </w:pPr>
            <w:r w:rsidRPr="00EA6F8C">
              <w:rPr>
                <w:rFonts w:ascii="Calibri" w:eastAsia="Times New Roman" w:hAnsi="Calibri" w:cs="Calibri"/>
                <w:b/>
                <w:bCs/>
                <w:color w:val="000000"/>
                <w:lang w:val="fr-FR" w:eastAsia="en-GB"/>
              </w:rPr>
              <w:t>Infant mortality (&lt;12 M) 2015 (UN IAG CME</w:t>
            </w:r>
            <w:r>
              <w:rPr>
                <w:rFonts w:ascii="Calibri" w:eastAsia="Times New Roman" w:hAnsi="Calibri" w:cs="Calibri"/>
                <w:b/>
                <w:bCs/>
                <w:color w:val="000000"/>
                <w:lang w:val="fr-FR" w:eastAsia="en-GB"/>
              </w:rPr>
              <w:t>)</w:t>
            </w:r>
          </w:p>
        </w:tc>
        <w:tc>
          <w:tcPr>
            <w:tcW w:w="2520" w:type="dxa"/>
            <w:tcBorders>
              <w:top w:val="nil"/>
              <w:left w:val="nil"/>
              <w:bottom w:val="single" w:sz="4" w:space="0" w:color="auto"/>
              <w:right w:val="single" w:sz="4" w:space="0" w:color="auto"/>
            </w:tcBorders>
            <w:shd w:val="clear" w:color="auto" w:fill="auto"/>
            <w:vAlign w:val="center"/>
            <w:hideMark/>
          </w:tcPr>
          <w:p w:rsidR="00EA6F8C" w:rsidRPr="00EA6F8C" w:rsidRDefault="00EA6F8C" w:rsidP="00C35316">
            <w:pPr>
              <w:spacing w:after="0" w:line="240" w:lineRule="auto"/>
              <w:jc w:val="center"/>
              <w:rPr>
                <w:rFonts w:ascii="Calibri" w:eastAsia="Times New Roman" w:hAnsi="Calibri" w:cs="Calibri"/>
                <w:b/>
                <w:bCs/>
                <w:color w:val="000000"/>
                <w:lang w:val="en-US" w:eastAsia="en-GB"/>
              </w:rPr>
            </w:pPr>
            <w:r w:rsidRPr="00EA6F8C">
              <w:rPr>
                <w:rFonts w:ascii="Calibri" w:eastAsia="Times New Roman" w:hAnsi="Calibri" w:cs="Calibri"/>
                <w:b/>
                <w:bCs/>
                <w:color w:val="000000"/>
                <w:lang w:val="en-US" w:eastAsia="en-GB"/>
              </w:rPr>
              <w:t>69</w:t>
            </w:r>
          </w:p>
        </w:tc>
      </w:tr>
      <w:tr w:rsidR="00EA6F8C" w:rsidRPr="00EA6F8C" w:rsidTr="00A03C34">
        <w:trPr>
          <w:trHeight w:val="300"/>
          <w:jc w:val="center"/>
        </w:trPr>
        <w:tc>
          <w:tcPr>
            <w:tcW w:w="3220" w:type="dxa"/>
            <w:vMerge/>
            <w:tcBorders>
              <w:left w:val="single" w:sz="4" w:space="0" w:color="auto"/>
              <w:right w:val="single" w:sz="4" w:space="0" w:color="auto"/>
            </w:tcBorders>
            <w:shd w:val="clear" w:color="auto" w:fill="auto"/>
            <w:vAlign w:val="center"/>
          </w:tcPr>
          <w:p w:rsidR="00EA6F8C" w:rsidRPr="00EA6F8C" w:rsidRDefault="00EA6F8C" w:rsidP="00C35316">
            <w:pPr>
              <w:spacing w:after="0" w:line="240" w:lineRule="auto"/>
              <w:rPr>
                <w:rFonts w:ascii="Calibri" w:eastAsia="Times New Roman" w:hAnsi="Calibri" w:cs="Calibri"/>
                <w:b/>
                <w:bCs/>
                <w:color w:val="000000"/>
                <w:lang w:val="en-US" w:eastAsia="en-GB"/>
              </w:rPr>
            </w:pPr>
          </w:p>
        </w:tc>
        <w:tc>
          <w:tcPr>
            <w:tcW w:w="3777" w:type="dxa"/>
            <w:tcBorders>
              <w:top w:val="nil"/>
              <w:left w:val="nil"/>
              <w:bottom w:val="single" w:sz="4" w:space="0" w:color="auto"/>
              <w:right w:val="single" w:sz="4" w:space="0" w:color="auto"/>
            </w:tcBorders>
            <w:shd w:val="clear" w:color="auto" w:fill="auto"/>
            <w:vAlign w:val="center"/>
            <w:hideMark/>
          </w:tcPr>
          <w:p w:rsidR="00EA6F8C" w:rsidRPr="00EA6F8C" w:rsidRDefault="00EA6F8C" w:rsidP="00EA6F8C">
            <w:pPr>
              <w:spacing w:after="0" w:line="240" w:lineRule="auto"/>
              <w:rPr>
                <w:rFonts w:ascii="Calibri" w:eastAsia="Times New Roman" w:hAnsi="Calibri" w:cs="Calibri"/>
                <w:b/>
                <w:bCs/>
                <w:color w:val="000000"/>
                <w:lang w:val="en-US" w:eastAsia="en-GB"/>
              </w:rPr>
            </w:pPr>
            <w:r>
              <w:rPr>
                <w:rFonts w:ascii="Calibri" w:eastAsia="Times New Roman" w:hAnsi="Calibri" w:cs="Calibri"/>
                <w:b/>
                <w:bCs/>
                <w:color w:val="000000"/>
                <w:lang w:val="en-US" w:eastAsia="en-GB"/>
              </w:rPr>
              <w:t>GAVI s</w:t>
            </w:r>
            <w:r w:rsidRPr="00EA6F8C">
              <w:rPr>
                <w:rFonts w:ascii="Calibri" w:eastAsia="Times New Roman" w:hAnsi="Calibri" w:cs="Calibri"/>
                <w:b/>
                <w:bCs/>
                <w:color w:val="000000"/>
                <w:lang w:val="en-US" w:eastAsia="en-GB"/>
              </w:rPr>
              <w:t>tatus</w:t>
            </w:r>
          </w:p>
        </w:tc>
        <w:tc>
          <w:tcPr>
            <w:tcW w:w="2520" w:type="dxa"/>
            <w:tcBorders>
              <w:top w:val="nil"/>
              <w:left w:val="nil"/>
              <w:bottom w:val="single" w:sz="4" w:space="0" w:color="auto"/>
              <w:right w:val="single" w:sz="4" w:space="0" w:color="auto"/>
            </w:tcBorders>
            <w:shd w:val="clear" w:color="auto" w:fill="auto"/>
            <w:vAlign w:val="center"/>
            <w:hideMark/>
          </w:tcPr>
          <w:p w:rsidR="00EA6F8C" w:rsidRPr="001635F5" w:rsidRDefault="001635F5" w:rsidP="001635F5">
            <w:pPr>
              <w:spacing w:after="0" w:line="240" w:lineRule="auto"/>
              <w:jc w:val="center"/>
              <w:rPr>
                <w:rFonts w:ascii="Calibri" w:eastAsia="Times New Roman" w:hAnsi="Calibri" w:cs="Calibri"/>
                <w:b/>
                <w:bCs/>
                <w:color w:val="000000"/>
                <w:lang w:eastAsia="en-GB"/>
              </w:rPr>
            </w:pPr>
            <w:r>
              <w:rPr>
                <w:rFonts w:ascii="Calibri" w:eastAsia="Times New Roman" w:hAnsi="Calibri" w:cs="Calibri"/>
                <w:b/>
                <w:bCs/>
                <w:color w:val="000000"/>
                <w:lang w:val="en-US" w:eastAsia="en-GB"/>
              </w:rPr>
              <w:t>Eligible (will be in accelerated transition phase starting in 2017 and will graduate in 2021)</w:t>
            </w:r>
          </w:p>
        </w:tc>
      </w:tr>
      <w:tr w:rsidR="00EA6F8C" w:rsidRPr="00EA6F8C" w:rsidTr="00A03C34">
        <w:trPr>
          <w:trHeight w:val="300"/>
          <w:jc w:val="center"/>
        </w:trPr>
        <w:tc>
          <w:tcPr>
            <w:tcW w:w="3220" w:type="dxa"/>
            <w:vMerge/>
            <w:tcBorders>
              <w:left w:val="single" w:sz="4" w:space="0" w:color="auto"/>
              <w:right w:val="single" w:sz="4" w:space="0" w:color="auto"/>
            </w:tcBorders>
            <w:shd w:val="clear" w:color="auto" w:fill="auto"/>
            <w:vAlign w:val="center"/>
          </w:tcPr>
          <w:p w:rsidR="00EA6F8C" w:rsidRPr="00EA6F8C" w:rsidRDefault="00EA6F8C" w:rsidP="00C35316">
            <w:pPr>
              <w:spacing w:after="0" w:line="240" w:lineRule="auto"/>
              <w:rPr>
                <w:rFonts w:ascii="Calibri" w:eastAsia="Times New Roman" w:hAnsi="Calibri" w:cs="Calibri"/>
                <w:b/>
                <w:bCs/>
                <w:color w:val="000000"/>
                <w:lang w:val="en-US" w:eastAsia="en-GB"/>
              </w:rPr>
            </w:pPr>
          </w:p>
        </w:tc>
        <w:tc>
          <w:tcPr>
            <w:tcW w:w="3777" w:type="dxa"/>
            <w:tcBorders>
              <w:top w:val="nil"/>
              <w:left w:val="nil"/>
              <w:bottom w:val="single" w:sz="4" w:space="0" w:color="auto"/>
              <w:right w:val="single" w:sz="4" w:space="0" w:color="auto"/>
            </w:tcBorders>
            <w:shd w:val="clear" w:color="auto" w:fill="auto"/>
            <w:vAlign w:val="center"/>
            <w:hideMark/>
          </w:tcPr>
          <w:p w:rsidR="00EA6F8C" w:rsidRPr="00EA6F8C" w:rsidRDefault="00EA6F8C" w:rsidP="00C35316">
            <w:pPr>
              <w:spacing w:after="0" w:line="240" w:lineRule="auto"/>
              <w:rPr>
                <w:rFonts w:ascii="Calibri" w:eastAsia="Times New Roman" w:hAnsi="Calibri" w:cs="Calibri"/>
                <w:b/>
                <w:bCs/>
                <w:color w:val="000000"/>
                <w:lang w:val="en-US" w:eastAsia="en-GB"/>
              </w:rPr>
            </w:pPr>
            <w:r>
              <w:rPr>
                <w:rFonts w:ascii="Calibri" w:eastAsia="Times New Roman" w:hAnsi="Calibri" w:cs="Calibri"/>
                <w:b/>
                <w:bCs/>
                <w:color w:val="000000"/>
                <w:lang w:val="en-US" w:eastAsia="en-GB"/>
              </w:rPr>
              <w:t>Total p</w:t>
            </w:r>
            <w:r w:rsidRPr="00EA6F8C">
              <w:rPr>
                <w:rFonts w:ascii="Calibri" w:eastAsia="Times New Roman" w:hAnsi="Calibri" w:cs="Calibri"/>
                <w:b/>
                <w:bCs/>
                <w:color w:val="000000"/>
                <w:lang w:val="en-US" w:eastAsia="en-GB"/>
              </w:rPr>
              <w:t>opulation</w:t>
            </w:r>
          </w:p>
        </w:tc>
        <w:tc>
          <w:tcPr>
            <w:tcW w:w="2520" w:type="dxa"/>
            <w:tcBorders>
              <w:top w:val="nil"/>
              <w:left w:val="nil"/>
              <w:bottom w:val="single" w:sz="4" w:space="0" w:color="auto"/>
              <w:right w:val="single" w:sz="4" w:space="0" w:color="auto"/>
            </w:tcBorders>
            <w:shd w:val="clear" w:color="auto" w:fill="auto"/>
            <w:vAlign w:val="center"/>
            <w:hideMark/>
          </w:tcPr>
          <w:p w:rsidR="00EA6F8C" w:rsidRPr="00EA6F8C" w:rsidRDefault="00EA6F8C" w:rsidP="00C35316">
            <w:pPr>
              <w:spacing w:after="0" w:line="240" w:lineRule="auto"/>
              <w:jc w:val="center"/>
              <w:rPr>
                <w:rFonts w:ascii="Calibri" w:eastAsia="Times New Roman" w:hAnsi="Calibri" w:cs="Calibri"/>
                <w:b/>
                <w:bCs/>
                <w:color w:val="000000"/>
                <w:lang w:val="en-US" w:eastAsia="en-GB"/>
              </w:rPr>
            </w:pPr>
            <w:r w:rsidRPr="00EA6F8C">
              <w:rPr>
                <w:rFonts w:ascii="Calibri" w:eastAsia="Times New Roman" w:hAnsi="Calibri" w:cs="Calibri"/>
                <w:b/>
                <w:bCs/>
                <w:color w:val="000000"/>
                <w:lang w:val="en-US" w:eastAsia="en-GB"/>
              </w:rPr>
              <w:t>182,202,000</w:t>
            </w:r>
          </w:p>
        </w:tc>
      </w:tr>
      <w:tr w:rsidR="00EA6F8C" w:rsidRPr="00EA6F8C" w:rsidTr="00A03C34">
        <w:trPr>
          <w:trHeight w:val="300"/>
          <w:jc w:val="center"/>
        </w:trPr>
        <w:tc>
          <w:tcPr>
            <w:tcW w:w="3220" w:type="dxa"/>
            <w:vMerge/>
            <w:tcBorders>
              <w:left w:val="single" w:sz="4" w:space="0" w:color="auto"/>
              <w:right w:val="single" w:sz="4" w:space="0" w:color="auto"/>
            </w:tcBorders>
            <w:shd w:val="clear" w:color="auto" w:fill="auto"/>
            <w:vAlign w:val="center"/>
          </w:tcPr>
          <w:p w:rsidR="00EA6F8C" w:rsidRPr="00EA6F8C" w:rsidRDefault="00EA6F8C" w:rsidP="00C35316">
            <w:pPr>
              <w:spacing w:after="0" w:line="240" w:lineRule="auto"/>
              <w:rPr>
                <w:rFonts w:ascii="Calibri" w:eastAsia="Times New Roman" w:hAnsi="Calibri" w:cs="Calibri"/>
                <w:b/>
                <w:bCs/>
                <w:color w:val="000000"/>
                <w:lang w:val="en-US" w:eastAsia="en-GB"/>
              </w:rPr>
            </w:pPr>
          </w:p>
        </w:tc>
        <w:tc>
          <w:tcPr>
            <w:tcW w:w="3777" w:type="dxa"/>
            <w:tcBorders>
              <w:top w:val="nil"/>
              <w:left w:val="nil"/>
              <w:bottom w:val="single" w:sz="4" w:space="0" w:color="auto"/>
              <w:right w:val="single" w:sz="4" w:space="0" w:color="auto"/>
            </w:tcBorders>
            <w:shd w:val="clear" w:color="auto" w:fill="auto"/>
            <w:vAlign w:val="center"/>
            <w:hideMark/>
          </w:tcPr>
          <w:p w:rsidR="00EA6F8C" w:rsidRPr="00EA6F8C" w:rsidRDefault="00EA6F8C" w:rsidP="00C35316">
            <w:pPr>
              <w:spacing w:after="0" w:line="240" w:lineRule="auto"/>
              <w:rPr>
                <w:rFonts w:ascii="Calibri" w:eastAsia="Times New Roman" w:hAnsi="Calibri" w:cs="Calibri"/>
                <w:b/>
                <w:bCs/>
                <w:color w:val="000000"/>
                <w:lang w:val="en-US" w:eastAsia="en-GB"/>
              </w:rPr>
            </w:pPr>
            <w:r>
              <w:rPr>
                <w:rFonts w:ascii="Calibri" w:eastAsia="Times New Roman" w:hAnsi="Calibri" w:cs="Calibri"/>
                <w:b/>
                <w:bCs/>
                <w:color w:val="000000"/>
                <w:lang w:val="en-US" w:eastAsia="en-GB"/>
              </w:rPr>
              <w:t>Birth c</w:t>
            </w:r>
            <w:r w:rsidRPr="00EA6F8C">
              <w:rPr>
                <w:rFonts w:ascii="Calibri" w:eastAsia="Times New Roman" w:hAnsi="Calibri" w:cs="Calibri"/>
                <w:b/>
                <w:bCs/>
                <w:color w:val="000000"/>
                <w:lang w:val="en-US" w:eastAsia="en-GB"/>
              </w:rPr>
              <w:t>ohort</w:t>
            </w:r>
          </w:p>
        </w:tc>
        <w:tc>
          <w:tcPr>
            <w:tcW w:w="2520" w:type="dxa"/>
            <w:tcBorders>
              <w:top w:val="nil"/>
              <w:left w:val="nil"/>
              <w:bottom w:val="single" w:sz="4" w:space="0" w:color="auto"/>
              <w:right w:val="single" w:sz="4" w:space="0" w:color="auto"/>
            </w:tcBorders>
            <w:shd w:val="clear" w:color="auto" w:fill="auto"/>
            <w:vAlign w:val="center"/>
            <w:hideMark/>
          </w:tcPr>
          <w:p w:rsidR="00EA6F8C" w:rsidRPr="00EA6F8C" w:rsidRDefault="00EA6F8C" w:rsidP="00C35316">
            <w:pPr>
              <w:spacing w:after="0" w:line="240" w:lineRule="auto"/>
              <w:jc w:val="center"/>
              <w:rPr>
                <w:rFonts w:ascii="Calibri" w:eastAsia="Times New Roman" w:hAnsi="Calibri" w:cs="Calibri"/>
                <w:b/>
                <w:bCs/>
                <w:color w:val="000000"/>
                <w:lang w:val="en-US" w:eastAsia="en-GB"/>
              </w:rPr>
            </w:pPr>
            <w:r w:rsidRPr="00EA6F8C">
              <w:rPr>
                <w:rFonts w:ascii="Calibri" w:eastAsia="Times New Roman" w:hAnsi="Calibri" w:cs="Calibri"/>
                <w:b/>
                <w:bCs/>
                <w:color w:val="000000"/>
                <w:lang w:val="en-US" w:eastAsia="en-GB"/>
              </w:rPr>
              <w:t>7,133,000</w:t>
            </w:r>
          </w:p>
        </w:tc>
      </w:tr>
      <w:tr w:rsidR="00EA6F8C" w:rsidRPr="00EA6F8C" w:rsidTr="00A03C34">
        <w:trPr>
          <w:trHeight w:val="300"/>
          <w:jc w:val="center"/>
        </w:trPr>
        <w:tc>
          <w:tcPr>
            <w:tcW w:w="3220" w:type="dxa"/>
            <w:vMerge/>
            <w:tcBorders>
              <w:left w:val="single" w:sz="4" w:space="0" w:color="auto"/>
              <w:bottom w:val="single" w:sz="4" w:space="0" w:color="auto"/>
              <w:right w:val="single" w:sz="4" w:space="0" w:color="auto"/>
            </w:tcBorders>
            <w:shd w:val="clear" w:color="auto" w:fill="auto"/>
            <w:vAlign w:val="center"/>
          </w:tcPr>
          <w:p w:rsidR="00EA6F8C" w:rsidRPr="00EA6F8C" w:rsidRDefault="00EA6F8C" w:rsidP="00C35316">
            <w:pPr>
              <w:spacing w:after="0" w:line="240" w:lineRule="auto"/>
              <w:rPr>
                <w:rFonts w:ascii="Calibri" w:eastAsia="Times New Roman" w:hAnsi="Calibri" w:cs="Calibri"/>
                <w:b/>
                <w:bCs/>
                <w:color w:val="000000"/>
                <w:lang w:val="en-US" w:eastAsia="en-GB"/>
              </w:rPr>
            </w:pPr>
          </w:p>
        </w:tc>
        <w:tc>
          <w:tcPr>
            <w:tcW w:w="3777" w:type="dxa"/>
            <w:tcBorders>
              <w:top w:val="nil"/>
              <w:left w:val="nil"/>
              <w:bottom w:val="single" w:sz="4" w:space="0" w:color="auto"/>
              <w:right w:val="single" w:sz="4" w:space="0" w:color="auto"/>
            </w:tcBorders>
            <w:shd w:val="clear" w:color="auto" w:fill="auto"/>
            <w:vAlign w:val="center"/>
            <w:hideMark/>
          </w:tcPr>
          <w:p w:rsidR="00EA6F8C" w:rsidRPr="00EA6F8C" w:rsidRDefault="00EA6F8C" w:rsidP="00C35316">
            <w:pPr>
              <w:spacing w:after="0" w:line="240" w:lineRule="auto"/>
              <w:rPr>
                <w:rFonts w:ascii="Calibri" w:eastAsia="Times New Roman" w:hAnsi="Calibri" w:cs="Calibri"/>
                <w:b/>
                <w:bCs/>
                <w:color w:val="000000"/>
                <w:lang w:val="en-US" w:eastAsia="en-GB"/>
              </w:rPr>
            </w:pPr>
            <w:r w:rsidRPr="00EA6F8C">
              <w:rPr>
                <w:rFonts w:ascii="Calibri" w:eastAsia="Times New Roman" w:hAnsi="Calibri" w:cs="Calibri"/>
                <w:b/>
                <w:bCs/>
                <w:color w:val="000000"/>
                <w:lang w:val="en-US" w:eastAsia="en-GB"/>
              </w:rPr>
              <w:t>Surviving Infants (JRF)</w:t>
            </w:r>
          </w:p>
        </w:tc>
        <w:tc>
          <w:tcPr>
            <w:tcW w:w="2520" w:type="dxa"/>
            <w:tcBorders>
              <w:top w:val="nil"/>
              <w:left w:val="nil"/>
              <w:bottom w:val="single" w:sz="4" w:space="0" w:color="auto"/>
              <w:right w:val="single" w:sz="4" w:space="0" w:color="auto"/>
            </w:tcBorders>
            <w:shd w:val="clear" w:color="auto" w:fill="auto"/>
            <w:vAlign w:val="center"/>
            <w:hideMark/>
          </w:tcPr>
          <w:p w:rsidR="00EA6F8C" w:rsidRPr="00EA6F8C" w:rsidRDefault="00EA6F8C" w:rsidP="00C35316">
            <w:pPr>
              <w:spacing w:after="0" w:line="240" w:lineRule="auto"/>
              <w:jc w:val="center"/>
              <w:rPr>
                <w:rFonts w:ascii="Calibri" w:eastAsia="Times New Roman" w:hAnsi="Calibri" w:cs="Calibri"/>
                <w:b/>
                <w:bCs/>
                <w:color w:val="000000"/>
                <w:lang w:val="en-US" w:eastAsia="en-GB"/>
              </w:rPr>
            </w:pPr>
            <w:r w:rsidRPr="00EA6F8C">
              <w:rPr>
                <w:rFonts w:ascii="Calibri" w:eastAsia="Times New Roman" w:hAnsi="Calibri" w:cs="Calibri"/>
                <w:b/>
                <w:bCs/>
                <w:color w:val="000000"/>
                <w:lang w:val="en-US" w:eastAsia="en-GB"/>
              </w:rPr>
              <w:t>6,622,000</w:t>
            </w:r>
          </w:p>
        </w:tc>
      </w:tr>
      <w:tr w:rsidR="00EA6F8C" w:rsidRPr="00EA6F8C" w:rsidTr="000B2412">
        <w:trPr>
          <w:trHeight w:val="600"/>
          <w:jc w:val="center"/>
        </w:trPr>
        <w:tc>
          <w:tcPr>
            <w:tcW w:w="3220" w:type="dxa"/>
            <w:vMerge w:val="restart"/>
            <w:tcBorders>
              <w:top w:val="nil"/>
              <w:left w:val="single" w:sz="4" w:space="0" w:color="auto"/>
              <w:right w:val="single" w:sz="4" w:space="0" w:color="auto"/>
            </w:tcBorders>
            <w:shd w:val="clear" w:color="000000" w:fill="DDD9C4"/>
            <w:hideMark/>
          </w:tcPr>
          <w:p w:rsidR="00EA6F8C" w:rsidRPr="00EA6F8C" w:rsidRDefault="00EA6F8C" w:rsidP="00EA6F8C">
            <w:pPr>
              <w:spacing w:after="0" w:line="240" w:lineRule="auto"/>
              <w:rPr>
                <w:rFonts w:ascii="Calibri" w:eastAsia="Times New Roman" w:hAnsi="Calibri" w:cs="Calibri"/>
                <w:b/>
                <w:bCs/>
                <w:color w:val="000000"/>
                <w:lang w:val="en-US" w:eastAsia="en-GB"/>
              </w:rPr>
            </w:pPr>
            <w:r w:rsidRPr="00EA6F8C">
              <w:rPr>
                <w:rFonts w:ascii="Calibri" w:eastAsia="Times New Roman" w:hAnsi="Calibri" w:cs="Calibri"/>
                <w:b/>
                <w:bCs/>
                <w:color w:val="000000"/>
                <w:lang w:val="en-US" w:eastAsia="en-GB"/>
              </w:rPr>
              <w:t>1. Interrupt wild poliovirus transmission</w:t>
            </w:r>
          </w:p>
        </w:tc>
        <w:tc>
          <w:tcPr>
            <w:tcW w:w="3777" w:type="dxa"/>
            <w:tcBorders>
              <w:top w:val="nil"/>
              <w:left w:val="nil"/>
              <w:bottom w:val="single" w:sz="4" w:space="0" w:color="auto"/>
              <w:right w:val="single" w:sz="4" w:space="0" w:color="auto"/>
            </w:tcBorders>
            <w:shd w:val="clear" w:color="000000" w:fill="DDD9C4"/>
            <w:vAlign w:val="center"/>
            <w:hideMark/>
          </w:tcPr>
          <w:p w:rsidR="00EA6F8C" w:rsidRPr="00EA6F8C" w:rsidRDefault="00EA6F8C" w:rsidP="00C35316">
            <w:pPr>
              <w:spacing w:after="0" w:line="240" w:lineRule="auto"/>
              <w:rPr>
                <w:rFonts w:ascii="Calibri" w:eastAsia="Times New Roman" w:hAnsi="Calibri" w:cs="Calibri"/>
                <w:b/>
                <w:bCs/>
                <w:color w:val="000000"/>
                <w:lang w:val="en-US" w:eastAsia="en-GB"/>
              </w:rPr>
            </w:pPr>
            <w:r w:rsidRPr="00EA6F8C">
              <w:rPr>
                <w:rFonts w:ascii="Calibri" w:eastAsia="Times New Roman" w:hAnsi="Calibri" w:cs="Calibri"/>
                <w:b/>
                <w:bCs/>
                <w:color w:val="000000"/>
                <w:lang w:val="en-US" w:eastAsia="en-GB"/>
              </w:rPr>
              <w:t>Transmission Interrupted</w:t>
            </w:r>
          </w:p>
        </w:tc>
        <w:tc>
          <w:tcPr>
            <w:tcW w:w="2520" w:type="dxa"/>
            <w:tcBorders>
              <w:top w:val="nil"/>
              <w:left w:val="nil"/>
              <w:bottom w:val="single" w:sz="4" w:space="0" w:color="auto"/>
              <w:right w:val="single" w:sz="4" w:space="0" w:color="auto"/>
            </w:tcBorders>
            <w:shd w:val="clear" w:color="auto" w:fill="FF0000"/>
            <w:vAlign w:val="center"/>
            <w:hideMark/>
          </w:tcPr>
          <w:p w:rsidR="00EA6F8C" w:rsidRPr="00EA6F8C" w:rsidRDefault="00C3741F" w:rsidP="00C3741F">
            <w:pPr>
              <w:spacing w:after="0" w:line="240" w:lineRule="auto"/>
              <w:jc w:val="center"/>
              <w:rPr>
                <w:rFonts w:ascii="Calibri" w:eastAsia="Times New Roman" w:hAnsi="Calibri" w:cs="Calibri"/>
                <w:b/>
                <w:bCs/>
                <w:color w:val="000000"/>
                <w:lang w:val="en-US" w:eastAsia="en-GB"/>
              </w:rPr>
            </w:pPr>
            <w:r>
              <w:rPr>
                <w:rFonts w:ascii="Calibri" w:eastAsia="Times New Roman" w:hAnsi="Calibri" w:cs="Calibri"/>
                <w:b/>
                <w:bCs/>
                <w:color w:val="000000"/>
                <w:lang w:val="en-US" w:eastAsia="en-GB"/>
              </w:rPr>
              <w:t>No</w:t>
            </w:r>
            <w:r w:rsidR="00EA6F8C">
              <w:rPr>
                <w:rFonts w:ascii="Calibri" w:eastAsia="Times New Roman" w:hAnsi="Calibri" w:cs="Calibri"/>
                <w:b/>
                <w:bCs/>
                <w:color w:val="000000"/>
                <w:lang w:val="en-US" w:eastAsia="en-GB"/>
              </w:rPr>
              <w:t>, 2 new WPV cases detected in 2016</w:t>
            </w:r>
          </w:p>
        </w:tc>
      </w:tr>
      <w:tr w:rsidR="00EA6F8C" w:rsidRPr="00EA6F8C" w:rsidTr="00A03C34">
        <w:trPr>
          <w:trHeight w:val="900"/>
          <w:jc w:val="center"/>
        </w:trPr>
        <w:tc>
          <w:tcPr>
            <w:tcW w:w="3220" w:type="dxa"/>
            <w:vMerge/>
            <w:tcBorders>
              <w:left w:val="single" w:sz="4" w:space="0" w:color="auto"/>
              <w:right w:val="single" w:sz="4" w:space="0" w:color="auto"/>
            </w:tcBorders>
            <w:shd w:val="clear" w:color="000000" w:fill="DDD9C4"/>
            <w:vAlign w:val="center"/>
          </w:tcPr>
          <w:p w:rsidR="00EA6F8C" w:rsidRPr="00EA6F8C" w:rsidRDefault="00EA6F8C" w:rsidP="00C35316">
            <w:pPr>
              <w:spacing w:after="0" w:line="240" w:lineRule="auto"/>
              <w:rPr>
                <w:rFonts w:ascii="Calibri" w:eastAsia="Times New Roman" w:hAnsi="Calibri" w:cs="Calibri"/>
                <w:b/>
                <w:bCs/>
                <w:color w:val="000000"/>
                <w:lang w:val="en-US" w:eastAsia="en-GB"/>
              </w:rPr>
            </w:pPr>
          </w:p>
        </w:tc>
        <w:tc>
          <w:tcPr>
            <w:tcW w:w="3777" w:type="dxa"/>
            <w:tcBorders>
              <w:top w:val="nil"/>
              <w:left w:val="nil"/>
              <w:bottom w:val="single" w:sz="4" w:space="0" w:color="auto"/>
              <w:right w:val="single" w:sz="4" w:space="0" w:color="auto"/>
            </w:tcBorders>
            <w:shd w:val="clear" w:color="000000" w:fill="DDD9C4"/>
            <w:vAlign w:val="center"/>
            <w:hideMark/>
          </w:tcPr>
          <w:p w:rsidR="00EA6F8C" w:rsidRPr="00EA6F8C" w:rsidRDefault="00EA6F8C" w:rsidP="00EA6F8C">
            <w:pPr>
              <w:spacing w:after="0" w:line="240" w:lineRule="auto"/>
              <w:rPr>
                <w:rFonts w:ascii="Calibri" w:eastAsia="Times New Roman" w:hAnsi="Calibri" w:cs="Calibri"/>
                <w:b/>
                <w:bCs/>
                <w:lang w:val="en-US" w:eastAsia="en-GB"/>
              </w:rPr>
            </w:pPr>
            <w:r w:rsidRPr="00EA6F8C">
              <w:rPr>
                <w:rFonts w:ascii="Calibri" w:eastAsia="Times New Roman" w:hAnsi="Calibri" w:cs="Calibri"/>
                <w:b/>
                <w:bCs/>
                <w:lang w:val="en-US" w:eastAsia="en-GB"/>
              </w:rPr>
              <w:t>Risk of late detection</w:t>
            </w:r>
            <w:r>
              <w:rPr>
                <w:rFonts w:ascii="Calibri" w:eastAsia="Times New Roman" w:hAnsi="Calibri" w:cs="Calibri"/>
                <w:b/>
                <w:bCs/>
                <w:lang w:val="en-US" w:eastAsia="en-GB"/>
              </w:rPr>
              <w:t>:</w:t>
            </w:r>
            <w:r w:rsidRPr="00EA6F8C">
              <w:rPr>
                <w:rFonts w:ascii="Calibri" w:eastAsia="Times New Roman" w:hAnsi="Calibri" w:cs="Calibri"/>
                <w:b/>
                <w:bCs/>
                <w:lang w:val="en-US" w:eastAsia="en-GB"/>
              </w:rPr>
              <w:br/>
              <w:t xml:space="preserve">Percent of adequate stool specimens (Rolling 12m) </w:t>
            </w:r>
            <w:r>
              <w:rPr>
                <w:rFonts w:ascii="Calibri" w:eastAsia="Times New Roman" w:hAnsi="Calibri" w:cs="Calibri"/>
                <w:b/>
                <w:bCs/>
                <w:lang w:val="en-US" w:eastAsia="en-GB"/>
              </w:rPr>
              <w:t>(t</w:t>
            </w:r>
            <w:r w:rsidRPr="00EA6F8C">
              <w:rPr>
                <w:rFonts w:ascii="Calibri" w:eastAsia="Times New Roman" w:hAnsi="Calibri" w:cs="Calibri"/>
                <w:b/>
                <w:bCs/>
                <w:lang w:val="en-US" w:eastAsia="en-GB"/>
              </w:rPr>
              <w:t>arget &gt; 80%</w:t>
            </w:r>
            <w:r>
              <w:rPr>
                <w:rFonts w:ascii="Calibri" w:eastAsia="Times New Roman" w:hAnsi="Calibri" w:cs="Calibri"/>
                <w:b/>
                <w:bCs/>
                <w:lang w:val="en-US" w:eastAsia="en-GB"/>
              </w:rPr>
              <w:t>)</w:t>
            </w:r>
          </w:p>
        </w:tc>
        <w:tc>
          <w:tcPr>
            <w:tcW w:w="2520" w:type="dxa"/>
            <w:tcBorders>
              <w:top w:val="nil"/>
              <w:left w:val="nil"/>
              <w:bottom w:val="single" w:sz="4" w:space="0" w:color="auto"/>
              <w:right w:val="single" w:sz="4" w:space="0" w:color="auto"/>
            </w:tcBorders>
            <w:shd w:val="clear" w:color="000000" w:fill="00B050"/>
            <w:vAlign w:val="center"/>
            <w:hideMark/>
          </w:tcPr>
          <w:p w:rsidR="00EA6F8C" w:rsidRPr="00EA6F8C" w:rsidRDefault="00EA6F8C" w:rsidP="00C35316">
            <w:pPr>
              <w:spacing w:after="0" w:line="240" w:lineRule="auto"/>
              <w:jc w:val="center"/>
              <w:rPr>
                <w:rFonts w:ascii="Calibri" w:eastAsia="Times New Roman" w:hAnsi="Calibri" w:cs="Calibri"/>
                <w:b/>
                <w:bCs/>
                <w:color w:val="000000"/>
                <w:lang w:val="en-US" w:eastAsia="en-GB"/>
              </w:rPr>
            </w:pPr>
            <w:r w:rsidRPr="00EA6F8C">
              <w:rPr>
                <w:rFonts w:ascii="Calibri" w:eastAsia="Times New Roman" w:hAnsi="Calibri" w:cs="Calibri"/>
                <w:b/>
                <w:bCs/>
                <w:color w:val="000000"/>
                <w:lang w:val="en-US" w:eastAsia="en-GB"/>
              </w:rPr>
              <w:t>99.1</w:t>
            </w:r>
          </w:p>
        </w:tc>
      </w:tr>
      <w:tr w:rsidR="00EA6F8C" w:rsidRPr="00EA6F8C" w:rsidTr="00A03C34">
        <w:trPr>
          <w:trHeight w:val="900"/>
          <w:jc w:val="center"/>
        </w:trPr>
        <w:tc>
          <w:tcPr>
            <w:tcW w:w="3220" w:type="dxa"/>
            <w:vMerge/>
            <w:tcBorders>
              <w:left w:val="single" w:sz="4" w:space="0" w:color="auto"/>
              <w:right w:val="single" w:sz="4" w:space="0" w:color="auto"/>
            </w:tcBorders>
            <w:shd w:val="clear" w:color="000000" w:fill="DDD9C4"/>
            <w:vAlign w:val="center"/>
          </w:tcPr>
          <w:p w:rsidR="00EA6F8C" w:rsidRPr="00EA6F8C" w:rsidRDefault="00EA6F8C" w:rsidP="00C35316">
            <w:pPr>
              <w:spacing w:after="0" w:line="240" w:lineRule="auto"/>
              <w:rPr>
                <w:rFonts w:ascii="Calibri" w:eastAsia="Times New Roman" w:hAnsi="Calibri" w:cs="Calibri"/>
                <w:b/>
                <w:bCs/>
                <w:color w:val="000000"/>
                <w:lang w:val="en-US" w:eastAsia="en-GB"/>
              </w:rPr>
            </w:pPr>
          </w:p>
        </w:tc>
        <w:tc>
          <w:tcPr>
            <w:tcW w:w="3777" w:type="dxa"/>
            <w:tcBorders>
              <w:top w:val="nil"/>
              <w:left w:val="nil"/>
              <w:bottom w:val="single" w:sz="4" w:space="0" w:color="auto"/>
              <w:right w:val="single" w:sz="4" w:space="0" w:color="auto"/>
            </w:tcBorders>
            <w:shd w:val="clear" w:color="000000" w:fill="DDD9C4"/>
            <w:vAlign w:val="center"/>
            <w:hideMark/>
          </w:tcPr>
          <w:p w:rsidR="00EA6F8C" w:rsidRPr="00EA6F8C" w:rsidRDefault="00EA6F8C" w:rsidP="00EA6F8C">
            <w:pPr>
              <w:spacing w:after="0" w:line="240" w:lineRule="auto"/>
              <w:rPr>
                <w:rFonts w:ascii="Calibri" w:eastAsia="Times New Roman" w:hAnsi="Calibri" w:cs="Calibri"/>
                <w:b/>
                <w:bCs/>
                <w:lang w:val="en-US" w:eastAsia="en-GB"/>
              </w:rPr>
            </w:pPr>
            <w:r w:rsidRPr="00EA6F8C">
              <w:rPr>
                <w:rFonts w:ascii="Calibri" w:eastAsia="Times New Roman" w:hAnsi="Calibri" w:cs="Calibri"/>
                <w:b/>
                <w:bCs/>
                <w:lang w:val="en-US" w:eastAsia="en-GB"/>
              </w:rPr>
              <w:t>Risk of late detection</w:t>
            </w:r>
            <w:r>
              <w:rPr>
                <w:rFonts w:ascii="Calibri" w:eastAsia="Times New Roman" w:hAnsi="Calibri" w:cs="Calibri"/>
                <w:b/>
                <w:bCs/>
                <w:lang w:val="en-US" w:eastAsia="en-GB"/>
              </w:rPr>
              <w:t>:</w:t>
            </w:r>
            <w:r w:rsidRPr="00EA6F8C">
              <w:rPr>
                <w:rFonts w:ascii="Calibri" w:eastAsia="Times New Roman" w:hAnsi="Calibri" w:cs="Calibri"/>
                <w:b/>
                <w:bCs/>
                <w:lang w:val="en-US" w:eastAsia="en-GB"/>
              </w:rPr>
              <w:br/>
              <w:t xml:space="preserve">Non polio AFP rate (Rolling 12m ) </w:t>
            </w:r>
            <w:r w:rsidRPr="00EA6F8C">
              <w:rPr>
                <w:rFonts w:ascii="Calibri" w:eastAsia="Times New Roman" w:hAnsi="Calibri" w:cs="Calibri"/>
                <w:b/>
                <w:bCs/>
                <w:lang w:val="en-US" w:eastAsia="en-GB"/>
              </w:rPr>
              <w:br/>
            </w:r>
            <w:r>
              <w:rPr>
                <w:rFonts w:ascii="Calibri" w:eastAsia="Times New Roman" w:hAnsi="Calibri" w:cs="Calibri"/>
                <w:b/>
                <w:bCs/>
                <w:lang w:val="en-US" w:eastAsia="en-GB"/>
              </w:rPr>
              <w:t>(t</w:t>
            </w:r>
            <w:r w:rsidRPr="00EA6F8C">
              <w:rPr>
                <w:rFonts w:ascii="Calibri" w:eastAsia="Times New Roman" w:hAnsi="Calibri" w:cs="Calibri"/>
                <w:b/>
                <w:bCs/>
                <w:lang w:val="en-US" w:eastAsia="en-GB"/>
              </w:rPr>
              <w:t>arget &gt; 2</w:t>
            </w:r>
            <w:r>
              <w:rPr>
                <w:rFonts w:ascii="Calibri" w:eastAsia="Times New Roman" w:hAnsi="Calibri" w:cs="Calibri"/>
                <w:b/>
                <w:bCs/>
                <w:lang w:val="en-US" w:eastAsia="en-GB"/>
              </w:rPr>
              <w:t>/100,000)</w:t>
            </w:r>
          </w:p>
        </w:tc>
        <w:tc>
          <w:tcPr>
            <w:tcW w:w="2520" w:type="dxa"/>
            <w:tcBorders>
              <w:top w:val="nil"/>
              <w:left w:val="nil"/>
              <w:bottom w:val="single" w:sz="4" w:space="0" w:color="auto"/>
              <w:right w:val="single" w:sz="4" w:space="0" w:color="auto"/>
            </w:tcBorders>
            <w:shd w:val="clear" w:color="000000" w:fill="00B050"/>
            <w:vAlign w:val="center"/>
            <w:hideMark/>
          </w:tcPr>
          <w:p w:rsidR="00EA6F8C" w:rsidRPr="00EA6F8C" w:rsidRDefault="00EA6F8C" w:rsidP="00C35316">
            <w:pPr>
              <w:spacing w:after="0" w:line="240" w:lineRule="auto"/>
              <w:jc w:val="center"/>
              <w:rPr>
                <w:rFonts w:ascii="Calibri" w:eastAsia="Times New Roman" w:hAnsi="Calibri" w:cs="Calibri"/>
                <w:b/>
                <w:bCs/>
                <w:color w:val="000000"/>
                <w:lang w:val="en-US" w:eastAsia="en-GB"/>
              </w:rPr>
            </w:pPr>
            <w:r w:rsidRPr="00EA6F8C">
              <w:rPr>
                <w:rFonts w:ascii="Calibri" w:eastAsia="Times New Roman" w:hAnsi="Calibri" w:cs="Calibri"/>
                <w:b/>
                <w:bCs/>
                <w:color w:val="000000"/>
                <w:lang w:val="en-US" w:eastAsia="en-GB"/>
              </w:rPr>
              <w:t>18</w:t>
            </w:r>
            <w:r>
              <w:rPr>
                <w:rFonts w:ascii="Calibri" w:eastAsia="Times New Roman" w:hAnsi="Calibri" w:cs="Calibri"/>
                <w:b/>
                <w:bCs/>
                <w:color w:val="000000"/>
                <w:lang w:val="en-US" w:eastAsia="en-GB"/>
              </w:rPr>
              <w:t>/100,000</w:t>
            </w:r>
          </w:p>
        </w:tc>
      </w:tr>
      <w:tr w:rsidR="00EA6F8C" w:rsidRPr="00EA6F8C" w:rsidTr="00A03C34">
        <w:trPr>
          <w:trHeight w:val="1385"/>
          <w:jc w:val="center"/>
        </w:trPr>
        <w:tc>
          <w:tcPr>
            <w:tcW w:w="3220" w:type="dxa"/>
            <w:vMerge/>
            <w:tcBorders>
              <w:left w:val="single" w:sz="4" w:space="0" w:color="auto"/>
              <w:bottom w:val="single" w:sz="4" w:space="0" w:color="auto"/>
              <w:right w:val="single" w:sz="4" w:space="0" w:color="auto"/>
            </w:tcBorders>
            <w:shd w:val="clear" w:color="000000" w:fill="DDD9C4"/>
            <w:vAlign w:val="center"/>
          </w:tcPr>
          <w:p w:rsidR="00EA6F8C" w:rsidRPr="00EA6F8C" w:rsidRDefault="00EA6F8C" w:rsidP="00C35316">
            <w:pPr>
              <w:spacing w:after="0" w:line="240" w:lineRule="auto"/>
              <w:rPr>
                <w:rFonts w:ascii="Calibri" w:eastAsia="Times New Roman" w:hAnsi="Calibri" w:cs="Calibri"/>
                <w:b/>
                <w:bCs/>
                <w:color w:val="000000"/>
                <w:lang w:val="en-US" w:eastAsia="en-GB"/>
              </w:rPr>
            </w:pPr>
          </w:p>
        </w:tc>
        <w:tc>
          <w:tcPr>
            <w:tcW w:w="3777" w:type="dxa"/>
            <w:tcBorders>
              <w:top w:val="nil"/>
              <w:left w:val="nil"/>
              <w:bottom w:val="single" w:sz="4" w:space="0" w:color="auto"/>
              <w:right w:val="single" w:sz="4" w:space="0" w:color="auto"/>
            </w:tcBorders>
            <w:shd w:val="clear" w:color="000000" w:fill="DDD9C4"/>
            <w:vAlign w:val="center"/>
            <w:hideMark/>
          </w:tcPr>
          <w:p w:rsidR="00EA6F8C" w:rsidRPr="00EA6F8C" w:rsidRDefault="00EA6F8C" w:rsidP="00EA6F8C">
            <w:pPr>
              <w:spacing w:after="0" w:line="240" w:lineRule="auto"/>
              <w:rPr>
                <w:rFonts w:ascii="Calibri" w:eastAsia="Times New Roman" w:hAnsi="Calibri" w:cs="Calibri"/>
                <w:b/>
                <w:bCs/>
                <w:lang w:val="en-US" w:eastAsia="en-GB"/>
              </w:rPr>
            </w:pPr>
            <w:r w:rsidRPr="00EA6F8C">
              <w:rPr>
                <w:rFonts w:ascii="Calibri" w:eastAsia="Times New Roman" w:hAnsi="Calibri" w:cs="Calibri"/>
                <w:b/>
                <w:bCs/>
                <w:lang w:val="en-US" w:eastAsia="en-GB"/>
              </w:rPr>
              <w:t>Risk of spread after importation</w:t>
            </w:r>
            <w:r>
              <w:rPr>
                <w:rFonts w:ascii="Calibri" w:eastAsia="Times New Roman" w:hAnsi="Calibri" w:cs="Calibri"/>
                <w:b/>
                <w:bCs/>
                <w:lang w:val="en-US" w:eastAsia="en-GB"/>
              </w:rPr>
              <w:t>:</w:t>
            </w:r>
            <w:r w:rsidRPr="00EA6F8C">
              <w:rPr>
                <w:rFonts w:ascii="Calibri" w:eastAsia="Times New Roman" w:hAnsi="Calibri" w:cs="Calibri"/>
                <w:b/>
                <w:bCs/>
                <w:lang w:val="en-US" w:eastAsia="en-GB"/>
              </w:rPr>
              <w:t xml:space="preserve"> </w:t>
            </w:r>
            <w:r w:rsidRPr="00EA6F8C">
              <w:rPr>
                <w:rFonts w:ascii="Calibri" w:eastAsia="Times New Roman" w:hAnsi="Calibri" w:cs="Calibri"/>
                <w:b/>
                <w:bCs/>
                <w:lang w:val="en-US" w:eastAsia="en-GB"/>
              </w:rPr>
              <w:br/>
              <w:t>% of 6-59</w:t>
            </w:r>
            <w:r>
              <w:rPr>
                <w:rFonts w:ascii="Calibri" w:eastAsia="Times New Roman" w:hAnsi="Calibri" w:cs="Calibri"/>
                <w:b/>
                <w:bCs/>
                <w:lang w:val="en-US" w:eastAsia="en-GB"/>
              </w:rPr>
              <w:t xml:space="preserve"> month olds </w:t>
            </w:r>
            <w:r w:rsidRPr="00EA6F8C">
              <w:rPr>
                <w:rFonts w:ascii="Calibri" w:eastAsia="Times New Roman" w:hAnsi="Calibri" w:cs="Calibri"/>
                <w:b/>
                <w:bCs/>
                <w:lang w:val="en-US" w:eastAsia="en-GB"/>
              </w:rPr>
              <w:t>having received less than 3 doses in the last year before occurrence case/environmental positive)</w:t>
            </w:r>
          </w:p>
        </w:tc>
        <w:tc>
          <w:tcPr>
            <w:tcW w:w="2520" w:type="dxa"/>
            <w:tcBorders>
              <w:top w:val="nil"/>
              <w:left w:val="nil"/>
              <w:bottom w:val="single" w:sz="4" w:space="0" w:color="auto"/>
              <w:right w:val="single" w:sz="4" w:space="0" w:color="auto"/>
            </w:tcBorders>
            <w:shd w:val="clear" w:color="000000" w:fill="00B050"/>
            <w:vAlign w:val="center"/>
            <w:hideMark/>
          </w:tcPr>
          <w:p w:rsidR="00EA6F8C" w:rsidRPr="00EA6F8C" w:rsidRDefault="00EA6F8C" w:rsidP="00C35316">
            <w:pPr>
              <w:spacing w:after="0" w:line="240" w:lineRule="auto"/>
              <w:jc w:val="center"/>
              <w:rPr>
                <w:rFonts w:ascii="Calibri" w:eastAsia="Times New Roman" w:hAnsi="Calibri" w:cs="Calibri"/>
                <w:b/>
                <w:bCs/>
                <w:color w:val="000000"/>
                <w:lang w:val="en-US" w:eastAsia="en-GB"/>
              </w:rPr>
            </w:pPr>
            <w:r w:rsidRPr="00EA6F8C">
              <w:rPr>
                <w:rFonts w:ascii="Calibri" w:eastAsia="Times New Roman" w:hAnsi="Calibri" w:cs="Calibri"/>
                <w:b/>
                <w:bCs/>
                <w:color w:val="000000"/>
                <w:lang w:val="en-US" w:eastAsia="en-GB"/>
              </w:rPr>
              <w:t>2</w:t>
            </w:r>
            <w:r>
              <w:rPr>
                <w:rFonts w:ascii="Calibri" w:eastAsia="Times New Roman" w:hAnsi="Calibri" w:cs="Calibri"/>
                <w:b/>
                <w:bCs/>
                <w:color w:val="000000"/>
                <w:lang w:val="en-US" w:eastAsia="en-GB"/>
              </w:rPr>
              <w:t>%</w:t>
            </w:r>
          </w:p>
        </w:tc>
      </w:tr>
      <w:tr w:rsidR="00EA6F8C" w:rsidRPr="00EA6F8C" w:rsidTr="00A03C34">
        <w:trPr>
          <w:trHeight w:val="350"/>
          <w:jc w:val="center"/>
        </w:trPr>
        <w:tc>
          <w:tcPr>
            <w:tcW w:w="3220" w:type="dxa"/>
            <w:vMerge w:val="restart"/>
            <w:tcBorders>
              <w:top w:val="nil"/>
              <w:left w:val="single" w:sz="4" w:space="0" w:color="auto"/>
              <w:right w:val="single" w:sz="4" w:space="0" w:color="auto"/>
            </w:tcBorders>
            <w:shd w:val="clear" w:color="000000" w:fill="C5D9F1"/>
            <w:hideMark/>
          </w:tcPr>
          <w:p w:rsidR="00EA6F8C" w:rsidRPr="00EA6F8C" w:rsidRDefault="00EA6F8C" w:rsidP="00EA6F8C">
            <w:pPr>
              <w:spacing w:after="0" w:line="240" w:lineRule="auto"/>
              <w:rPr>
                <w:rFonts w:ascii="Calibri" w:eastAsia="Times New Roman" w:hAnsi="Calibri" w:cs="Calibri"/>
                <w:b/>
                <w:bCs/>
                <w:color w:val="000000"/>
                <w:lang w:val="en-US" w:eastAsia="en-GB"/>
              </w:rPr>
            </w:pPr>
            <w:r w:rsidRPr="00EA6F8C">
              <w:rPr>
                <w:rFonts w:ascii="Calibri" w:eastAsia="Times New Roman" w:hAnsi="Calibri" w:cs="Calibri"/>
                <w:b/>
                <w:bCs/>
                <w:color w:val="000000"/>
                <w:lang w:val="en-US" w:eastAsia="en-GB"/>
              </w:rPr>
              <w:t>2. Neonatal tetanus elimination</w:t>
            </w:r>
          </w:p>
        </w:tc>
        <w:tc>
          <w:tcPr>
            <w:tcW w:w="3777" w:type="dxa"/>
            <w:tcBorders>
              <w:top w:val="nil"/>
              <w:left w:val="nil"/>
              <w:bottom w:val="single" w:sz="4" w:space="0" w:color="auto"/>
              <w:right w:val="single" w:sz="4" w:space="0" w:color="auto"/>
            </w:tcBorders>
            <w:shd w:val="clear" w:color="000000" w:fill="C5D9F1"/>
            <w:vAlign w:val="center"/>
            <w:hideMark/>
          </w:tcPr>
          <w:p w:rsidR="00EA6F8C" w:rsidRPr="00EA6F8C" w:rsidRDefault="00EA6F8C" w:rsidP="00EA6F8C">
            <w:pPr>
              <w:spacing w:after="0" w:line="240" w:lineRule="auto"/>
              <w:rPr>
                <w:rFonts w:ascii="Calibri" w:eastAsia="Times New Roman" w:hAnsi="Calibri" w:cs="Calibri"/>
                <w:b/>
                <w:bCs/>
                <w:color w:val="000000"/>
                <w:lang w:val="en-US" w:eastAsia="en-GB"/>
              </w:rPr>
            </w:pPr>
            <w:r>
              <w:rPr>
                <w:rFonts w:ascii="Calibri" w:eastAsia="Times New Roman" w:hAnsi="Calibri" w:cs="Calibri"/>
                <w:b/>
                <w:bCs/>
                <w:color w:val="000000"/>
                <w:lang w:val="en-US" w:eastAsia="en-GB"/>
              </w:rPr>
              <w:t>TT2+ c</w:t>
            </w:r>
            <w:r w:rsidRPr="00EA6F8C">
              <w:rPr>
                <w:rFonts w:ascii="Calibri" w:eastAsia="Times New Roman" w:hAnsi="Calibri" w:cs="Calibri"/>
                <w:b/>
                <w:bCs/>
                <w:color w:val="000000"/>
                <w:lang w:val="en-US" w:eastAsia="en-GB"/>
              </w:rPr>
              <w:t>overage</w:t>
            </w:r>
            <w:r>
              <w:rPr>
                <w:rFonts w:ascii="Calibri" w:eastAsia="Times New Roman" w:hAnsi="Calibri" w:cs="Calibri"/>
                <w:b/>
                <w:bCs/>
                <w:color w:val="000000"/>
                <w:lang w:val="en-US" w:eastAsia="en-GB"/>
              </w:rPr>
              <w:t xml:space="preserve"> </w:t>
            </w:r>
            <w:r w:rsidRPr="00EA6F8C">
              <w:rPr>
                <w:rFonts w:ascii="Calibri" w:eastAsia="Times New Roman" w:hAnsi="Calibri" w:cs="Calibri"/>
                <w:b/>
                <w:bCs/>
                <w:color w:val="000000"/>
                <w:lang w:val="en-US" w:eastAsia="en-GB"/>
              </w:rPr>
              <w:t>(reported</w:t>
            </w:r>
            <w:r w:rsidR="000B2412">
              <w:rPr>
                <w:rFonts w:ascii="Calibri" w:eastAsia="Times New Roman" w:hAnsi="Calibri" w:cs="Calibri"/>
                <w:b/>
                <w:bCs/>
                <w:color w:val="000000"/>
                <w:lang w:val="en-US" w:eastAsia="en-GB"/>
              </w:rPr>
              <w:t xml:space="preserve"> on JRF</w:t>
            </w:r>
            <w:r w:rsidRPr="00EA6F8C">
              <w:rPr>
                <w:rFonts w:ascii="Calibri" w:eastAsia="Times New Roman" w:hAnsi="Calibri" w:cs="Calibri"/>
                <w:b/>
                <w:bCs/>
                <w:color w:val="000000"/>
                <w:lang w:val="en-US" w:eastAsia="en-GB"/>
              </w:rPr>
              <w:t xml:space="preserve"> 2015)</w:t>
            </w:r>
          </w:p>
        </w:tc>
        <w:tc>
          <w:tcPr>
            <w:tcW w:w="2520" w:type="dxa"/>
            <w:tcBorders>
              <w:top w:val="nil"/>
              <w:left w:val="nil"/>
              <w:bottom w:val="single" w:sz="4" w:space="0" w:color="auto"/>
              <w:right w:val="single" w:sz="4" w:space="0" w:color="auto"/>
            </w:tcBorders>
            <w:shd w:val="clear" w:color="000000" w:fill="FF0000"/>
            <w:vAlign w:val="center"/>
            <w:hideMark/>
          </w:tcPr>
          <w:p w:rsidR="00EA6F8C" w:rsidRPr="00EA6F8C" w:rsidRDefault="00EA6F8C" w:rsidP="00C35316">
            <w:pPr>
              <w:spacing w:after="0" w:line="240" w:lineRule="auto"/>
              <w:jc w:val="center"/>
              <w:rPr>
                <w:rFonts w:ascii="Calibri" w:eastAsia="Times New Roman" w:hAnsi="Calibri" w:cs="Calibri"/>
                <w:b/>
                <w:bCs/>
                <w:color w:val="000000"/>
                <w:lang w:val="en-US" w:eastAsia="en-GB"/>
              </w:rPr>
            </w:pPr>
            <w:r w:rsidRPr="00EA6F8C">
              <w:rPr>
                <w:rFonts w:ascii="Calibri" w:eastAsia="Times New Roman" w:hAnsi="Calibri" w:cs="Calibri"/>
                <w:b/>
                <w:bCs/>
                <w:color w:val="000000"/>
                <w:lang w:val="en-US" w:eastAsia="en-GB"/>
              </w:rPr>
              <w:t>40%</w:t>
            </w:r>
          </w:p>
        </w:tc>
      </w:tr>
      <w:tr w:rsidR="00EA6F8C" w:rsidRPr="00EA6F8C" w:rsidTr="00A03C34">
        <w:trPr>
          <w:trHeight w:val="600"/>
          <w:jc w:val="center"/>
        </w:trPr>
        <w:tc>
          <w:tcPr>
            <w:tcW w:w="3220" w:type="dxa"/>
            <w:vMerge/>
            <w:tcBorders>
              <w:left w:val="single" w:sz="4" w:space="0" w:color="auto"/>
              <w:right w:val="single" w:sz="4" w:space="0" w:color="auto"/>
            </w:tcBorders>
            <w:shd w:val="clear" w:color="000000" w:fill="C5D9F1"/>
            <w:vAlign w:val="center"/>
          </w:tcPr>
          <w:p w:rsidR="00EA6F8C" w:rsidRPr="00EA6F8C" w:rsidRDefault="00EA6F8C" w:rsidP="00C35316">
            <w:pPr>
              <w:spacing w:after="0" w:line="240" w:lineRule="auto"/>
              <w:rPr>
                <w:rFonts w:ascii="Calibri" w:eastAsia="Times New Roman" w:hAnsi="Calibri" w:cs="Calibri"/>
                <w:b/>
                <w:bCs/>
                <w:color w:val="000000"/>
                <w:lang w:val="en-US" w:eastAsia="en-GB"/>
              </w:rPr>
            </w:pPr>
          </w:p>
        </w:tc>
        <w:tc>
          <w:tcPr>
            <w:tcW w:w="3777" w:type="dxa"/>
            <w:tcBorders>
              <w:top w:val="nil"/>
              <w:left w:val="nil"/>
              <w:bottom w:val="single" w:sz="4" w:space="0" w:color="auto"/>
              <w:right w:val="single" w:sz="4" w:space="0" w:color="auto"/>
            </w:tcBorders>
            <w:shd w:val="clear" w:color="000000" w:fill="C5D9F1"/>
            <w:vAlign w:val="center"/>
            <w:hideMark/>
          </w:tcPr>
          <w:p w:rsidR="00EA6F8C" w:rsidRPr="00EA6F8C" w:rsidRDefault="00EA6F8C" w:rsidP="00EA6F8C">
            <w:pPr>
              <w:spacing w:after="0" w:line="240" w:lineRule="auto"/>
              <w:rPr>
                <w:rFonts w:ascii="Calibri" w:eastAsia="Times New Roman" w:hAnsi="Calibri" w:cs="Calibri"/>
                <w:b/>
                <w:bCs/>
                <w:color w:val="000000"/>
                <w:lang w:val="en-US" w:eastAsia="en-GB"/>
              </w:rPr>
            </w:pPr>
            <w:r>
              <w:rPr>
                <w:rFonts w:ascii="Calibri" w:eastAsia="Times New Roman" w:hAnsi="Calibri" w:cs="Calibri"/>
                <w:b/>
                <w:bCs/>
                <w:color w:val="000000"/>
                <w:lang w:val="en-US" w:eastAsia="en-GB"/>
              </w:rPr>
              <w:t>Rate of protection at b</w:t>
            </w:r>
            <w:r w:rsidRPr="00EA6F8C">
              <w:rPr>
                <w:rFonts w:ascii="Calibri" w:eastAsia="Times New Roman" w:hAnsi="Calibri" w:cs="Calibri"/>
                <w:b/>
                <w:bCs/>
                <w:color w:val="000000"/>
                <w:lang w:val="en-US" w:eastAsia="en-GB"/>
              </w:rPr>
              <w:t xml:space="preserve">irth against </w:t>
            </w:r>
            <w:r>
              <w:rPr>
                <w:rFonts w:ascii="Calibri" w:eastAsia="Times New Roman" w:hAnsi="Calibri" w:cs="Calibri"/>
                <w:b/>
                <w:bCs/>
                <w:color w:val="000000"/>
                <w:lang w:val="en-US" w:eastAsia="en-GB"/>
              </w:rPr>
              <w:t>tetanus</w:t>
            </w:r>
            <w:r w:rsidRPr="00EA6F8C">
              <w:rPr>
                <w:rFonts w:ascii="Calibri" w:eastAsia="Times New Roman" w:hAnsi="Calibri" w:cs="Calibri"/>
                <w:b/>
                <w:bCs/>
                <w:color w:val="000000"/>
                <w:lang w:val="en-US" w:eastAsia="en-GB"/>
              </w:rPr>
              <w:t xml:space="preserve"> (</w:t>
            </w:r>
            <w:r>
              <w:rPr>
                <w:rFonts w:ascii="Calibri" w:eastAsia="Times New Roman" w:hAnsi="Calibri" w:cs="Calibri"/>
                <w:b/>
                <w:bCs/>
                <w:color w:val="000000"/>
                <w:lang w:val="en-US" w:eastAsia="en-GB"/>
              </w:rPr>
              <w:t xml:space="preserve">2015 </w:t>
            </w:r>
            <w:r w:rsidRPr="00EA6F8C">
              <w:rPr>
                <w:rFonts w:ascii="Calibri" w:eastAsia="Times New Roman" w:hAnsi="Calibri" w:cs="Calibri"/>
                <w:b/>
                <w:bCs/>
                <w:color w:val="000000"/>
                <w:lang w:val="en-US" w:eastAsia="en-GB"/>
              </w:rPr>
              <w:t>WUENIC)</w:t>
            </w:r>
          </w:p>
        </w:tc>
        <w:tc>
          <w:tcPr>
            <w:tcW w:w="2520" w:type="dxa"/>
            <w:tcBorders>
              <w:top w:val="nil"/>
              <w:left w:val="nil"/>
              <w:bottom w:val="single" w:sz="4" w:space="0" w:color="auto"/>
              <w:right w:val="single" w:sz="4" w:space="0" w:color="auto"/>
            </w:tcBorders>
            <w:shd w:val="clear" w:color="000000" w:fill="FF0000"/>
            <w:vAlign w:val="center"/>
            <w:hideMark/>
          </w:tcPr>
          <w:p w:rsidR="00EA6F8C" w:rsidRPr="00EA6F8C" w:rsidRDefault="00EA6F8C" w:rsidP="00C35316">
            <w:pPr>
              <w:spacing w:after="0" w:line="240" w:lineRule="auto"/>
              <w:jc w:val="center"/>
              <w:rPr>
                <w:rFonts w:ascii="Calibri" w:eastAsia="Times New Roman" w:hAnsi="Calibri" w:cs="Calibri"/>
                <w:b/>
                <w:bCs/>
                <w:color w:val="000000"/>
                <w:lang w:val="en-US" w:eastAsia="en-GB"/>
              </w:rPr>
            </w:pPr>
            <w:r w:rsidRPr="00EA6F8C">
              <w:rPr>
                <w:rFonts w:ascii="Calibri" w:eastAsia="Times New Roman" w:hAnsi="Calibri" w:cs="Calibri"/>
                <w:b/>
                <w:bCs/>
                <w:color w:val="000000"/>
                <w:lang w:val="en-US" w:eastAsia="en-GB"/>
              </w:rPr>
              <w:t>55%</w:t>
            </w:r>
          </w:p>
        </w:tc>
      </w:tr>
      <w:tr w:rsidR="00EA6F8C" w:rsidRPr="00EA6F8C" w:rsidTr="00A03C34">
        <w:trPr>
          <w:trHeight w:val="1817"/>
          <w:jc w:val="center"/>
        </w:trPr>
        <w:tc>
          <w:tcPr>
            <w:tcW w:w="3220" w:type="dxa"/>
            <w:vMerge/>
            <w:tcBorders>
              <w:left w:val="single" w:sz="4" w:space="0" w:color="auto"/>
              <w:bottom w:val="single" w:sz="4" w:space="0" w:color="auto"/>
              <w:right w:val="single" w:sz="4" w:space="0" w:color="auto"/>
            </w:tcBorders>
            <w:shd w:val="clear" w:color="000000" w:fill="C5D9F1"/>
          </w:tcPr>
          <w:p w:rsidR="00EA6F8C" w:rsidRPr="00EA6F8C" w:rsidRDefault="00EA6F8C" w:rsidP="00C35316">
            <w:pPr>
              <w:spacing w:after="0" w:line="240" w:lineRule="auto"/>
              <w:rPr>
                <w:rFonts w:ascii="Calibri" w:eastAsia="Times New Roman" w:hAnsi="Calibri" w:cs="Calibri"/>
                <w:b/>
                <w:bCs/>
                <w:color w:val="000000"/>
                <w:lang w:val="en-US" w:eastAsia="en-GB"/>
              </w:rPr>
            </w:pPr>
          </w:p>
        </w:tc>
        <w:tc>
          <w:tcPr>
            <w:tcW w:w="3777" w:type="dxa"/>
            <w:tcBorders>
              <w:top w:val="nil"/>
              <w:left w:val="nil"/>
              <w:bottom w:val="single" w:sz="4" w:space="0" w:color="auto"/>
              <w:right w:val="single" w:sz="4" w:space="0" w:color="auto"/>
            </w:tcBorders>
            <w:shd w:val="clear" w:color="000000" w:fill="C5D9F1"/>
            <w:hideMark/>
          </w:tcPr>
          <w:p w:rsidR="00EA6F8C" w:rsidRPr="00EA6F8C" w:rsidRDefault="00EA6F8C" w:rsidP="00C35316">
            <w:pPr>
              <w:spacing w:after="0" w:line="240" w:lineRule="auto"/>
              <w:rPr>
                <w:rFonts w:ascii="Calibri" w:eastAsia="Times New Roman" w:hAnsi="Calibri" w:cs="Calibri"/>
                <w:b/>
                <w:bCs/>
                <w:color w:val="000000"/>
                <w:lang w:val="en-US" w:eastAsia="en-GB"/>
              </w:rPr>
            </w:pPr>
            <w:r w:rsidRPr="00EA6F8C">
              <w:rPr>
                <w:rFonts w:ascii="Calibri" w:eastAsia="Times New Roman" w:hAnsi="Calibri" w:cs="Calibri"/>
                <w:b/>
                <w:bCs/>
                <w:color w:val="000000"/>
                <w:lang w:val="en-US" w:eastAsia="en-GB"/>
              </w:rPr>
              <w:t>Last SIAs conducted in the country</w:t>
            </w:r>
          </w:p>
        </w:tc>
        <w:tc>
          <w:tcPr>
            <w:tcW w:w="2520" w:type="dxa"/>
            <w:tcBorders>
              <w:top w:val="nil"/>
              <w:left w:val="nil"/>
              <w:bottom w:val="single" w:sz="4" w:space="0" w:color="auto"/>
              <w:right w:val="single" w:sz="4" w:space="0" w:color="auto"/>
            </w:tcBorders>
            <w:shd w:val="clear" w:color="000000" w:fill="FF0000"/>
            <w:hideMark/>
          </w:tcPr>
          <w:p w:rsidR="00EA6F8C" w:rsidRPr="00EA6F8C" w:rsidRDefault="00E01C99" w:rsidP="00E01C99">
            <w:pPr>
              <w:spacing w:after="0" w:line="240" w:lineRule="auto"/>
              <w:jc w:val="center"/>
              <w:rPr>
                <w:rFonts w:ascii="Calibri" w:eastAsia="Times New Roman" w:hAnsi="Calibri" w:cs="Calibri"/>
                <w:b/>
                <w:bCs/>
                <w:color w:val="000000"/>
                <w:lang w:val="en-US" w:eastAsia="en-GB"/>
              </w:rPr>
            </w:pPr>
            <w:r>
              <w:rPr>
                <w:rFonts w:ascii="Calibri" w:eastAsia="Times New Roman" w:hAnsi="Calibri" w:cs="Calibri"/>
                <w:b/>
                <w:bCs/>
                <w:color w:val="000000"/>
                <w:lang w:val="en-US" w:eastAsia="en-GB"/>
              </w:rPr>
              <w:t xml:space="preserve">Round 1 conducted in </w:t>
            </w:r>
            <w:r w:rsidRPr="00EA6F8C">
              <w:rPr>
                <w:rFonts w:ascii="Calibri" w:eastAsia="Times New Roman" w:hAnsi="Calibri" w:cs="Calibri"/>
                <w:b/>
                <w:bCs/>
                <w:color w:val="000000"/>
                <w:lang w:val="en-US" w:eastAsia="en-GB"/>
              </w:rPr>
              <w:t>6</w:t>
            </w:r>
            <w:r>
              <w:rPr>
                <w:rFonts w:ascii="Calibri" w:eastAsia="Times New Roman" w:hAnsi="Calibri" w:cs="Calibri"/>
                <w:b/>
                <w:bCs/>
                <w:color w:val="000000"/>
                <w:lang w:val="en-US" w:eastAsia="en-GB"/>
              </w:rPr>
              <w:t xml:space="preserve">1 high-risk </w:t>
            </w:r>
            <w:r w:rsidRPr="00EA6F8C">
              <w:rPr>
                <w:rFonts w:ascii="Calibri" w:eastAsia="Times New Roman" w:hAnsi="Calibri" w:cs="Calibri"/>
                <w:b/>
                <w:bCs/>
                <w:color w:val="000000"/>
                <w:lang w:val="en-US" w:eastAsia="en-GB"/>
              </w:rPr>
              <w:t xml:space="preserve">districts </w:t>
            </w:r>
            <w:r>
              <w:rPr>
                <w:rFonts w:ascii="Calibri" w:eastAsia="Times New Roman" w:hAnsi="Calibri" w:cs="Calibri"/>
                <w:b/>
                <w:bCs/>
                <w:color w:val="000000"/>
                <w:lang w:val="en-US" w:eastAsia="en-GB"/>
              </w:rPr>
              <w:t xml:space="preserve">in October 2014. </w:t>
            </w:r>
            <w:r>
              <w:rPr>
                <w:rFonts w:ascii="Calibri" w:eastAsia="Times New Roman" w:hAnsi="Calibri" w:cs="Calibri"/>
                <w:b/>
                <w:bCs/>
                <w:color w:val="000000"/>
                <w:lang w:val="en-US" w:eastAsia="en-GB"/>
              </w:rPr>
              <w:br/>
              <w:t>Rounds 2 and 3 scheduled for Sept 2016 and 2017 in same districts.</w:t>
            </w:r>
          </w:p>
        </w:tc>
      </w:tr>
      <w:tr w:rsidR="00C35316" w:rsidRPr="00EA6F8C" w:rsidTr="00A03C34">
        <w:trPr>
          <w:trHeight w:val="1727"/>
          <w:jc w:val="center"/>
        </w:trPr>
        <w:tc>
          <w:tcPr>
            <w:tcW w:w="3220" w:type="dxa"/>
            <w:tcBorders>
              <w:top w:val="nil"/>
              <w:left w:val="single" w:sz="4" w:space="0" w:color="auto"/>
              <w:bottom w:val="single" w:sz="4" w:space="0" w:color="auto"/>
              <w:right w:val="single" w:sz="4" w:space="0" w:color="auto"/>
            </w:tcBorders>
            <w:shd w:val="clear" w:color="000000" w:fill="C5D9F1"/>
            <w:vAlign w:val="center"/>
            <w:hideMark/>
          </w:tcPr>
          <w:p w:rsidR="00C35316" w:rsidRPr="00EA6F8C" w:rsidRDefault="00C35316" w:rsidP="00C35316">
            <w:pPr>
              <w:spacing w:after="0" w:line="240" w:lineRule="auto"/>
              <w:rPr>
                <w:rFonts w:ascii="Calibri" w:eastAsia="Times New Roman" w:hAnsi="Calibri" w:cs="Calibri"/>
                <w:b/>
                <w:bCs/>
                <w:color w:val="000000"/>
                <w:lang w:val="en-US" w:eastAsia="en-GB"/>
              </w:rPr>
            </w:pPr>
          </w:p>
        </w:tc>
        <w:tc>
          <w:tcPr>
            <w:tcW w:w="3777" w:type="dxa"/>
            <w:tcBorders>
              <w:top w:val="nil"/>
              <w:left w:val="nil"/>
              <w:bottom w:val="single" w:sz="4" w:space="0" w:color="auto"/>
              <w:right w:val="single" w:sz="4" w:space="0" w:color="auto"/>
            </w:tcBorders>
            <w:shd w:val="clear" w:color="000000" w:fill="C5D9F1"/>
            <w:hideMark/>
          </w:tcPr>
          <w:p w:rsidR="00C35316" w:rsidRPr="00EA6F8C" w:rsidRDefault="00C35316" w:rsidP="00E01C99">
            <w:pPr>
              <w:spacing w:after="0" w:line="240" w:lineRule="auto"/>
              <w:rPr>
                <w:rFonts w:ascii="Calibri" w:eastAsia="Times New Roman" w:hAnsi="Calibri" w:cs="Calibri"/>
                <w:b/>
                <w:bCs/>
                <w:color w:val="000000"/>
                <w:lang w:val="en-US" w:eastAsia="en-GB"/>
              </w:rPr>
            </w:pPr>
            <w:r w:rsidRPr="00EA6F8C">
              <w:rPr>
                <w:rFonts w:ascii="Calibri" w:eastAsia="Times New Roman" w:hAnsi="Calibri" w:cs="Calibri"/>
                <w:b/>
                <w:bCs/>
                <w:color w:val="000000"/>
                <w:lang w:val="en-US" w:eastAsia="en-GB"/>
              </w:rPr>
              <w:t>Elimination validation date</w:t>
            </w:r>
          </w:p>
        </w:tc>
        <w:tc>
          <w:tcPr>
            <w:tcW w:w="2520" w:type="dxa"/>
            <w:tcBorders>
              <w:top w:val="nil"/>
              <w:left w:val="nil"/>
              <w:bottom w:val="single" w:sz="4" w:space="0" w:color="auto"/>
              <w:right w:val="single" w:sz="4" w:space="0" w:color="auto"/>
            </w:tcBorders>
            <w:shd w:val="clear" w:color="000000" w:fill="FF0000"/>
            <w:vAlign w:val="center"/>
            <w:hideMark/>
          </w:tcPr>
          <w:p w:rsidR="00C35316" w:rsidRPr="00EA6F8C" w:rsidRDefault="00C35316" w:rsidP="00E01C99">
            <w:pPr>
              <w:spacing w:after="0" w:line="240" w:lineRule="auto"/>
              <w:jc w:val="center"/>
              <w:rPr>
                <w:rFonts w:ascii="Calibri" w:eastAsia="Times New Roman" w:hAnsi="Calibri" w:cs="Calibri"/>
                <w:b/>
                <w:bCs/>
                <w:color w:val="000000"/>
                <w:lang w:val="en-US" w:eastAsia="en-GB"/>
              </w:rPr>
            </w:pPr>
            <w:r w:rsidRPr="00EA6F8C">
              <w:rPr>
                <w:rFonts w:ascii="Calibri" w:eastAsia="Times New Roman" w:hAnsi="Calibri" w:cs="Calibri"/>
                <w:b/>
                <w:bCs/>
                <w:color w:val="000000"/>
                <w:lang w:val="en-US" w:eastAsia="en-GB"/>
              </w:rPr>
              <w:t>Not yet validated</w:t>
            </w:r>
            <w:r w:rsidR="00E01C99">
              <w:rPr>
                <w:rFonts w:ascii="Calibri" w:eastAsia="Times New Roman" w:hAnsi="Calibri" w:cs="Calibri"/>
                <w:b/>
                <w:bCs/>
                <w:color w:val="000000"/>
                <w:lang w:val="en-US" w:eastAsia="en-GB"/>
              </w:rPr>
              <w:t xml:space="preserve">: </w:t>
            </w:r>
            <w:r w:rsidRPr="00EA6F8C">
              <w:rPr>
                <w:rFonts w:ascii="Calibri" w:eastAsia="Times New Roman" w:hAnsi="Calibri" w:cs="Calibri"/>
                <w:b/>
                <w:bCs/>
                <w:color w:val="000000"/>
                <w:lang w:val="en-US" w:eastAsia="en-GB"/>
              </w:rPr>
              <w:t xml:space="preserve">pre-validation assessment </w:t>
            </w:r>
            <w:r w:rsidR="00E01C99">
              <w:rPr>
                <w:rFonts w:ascii="Calibri" w:eastAsia="Times New Roman" w:hAnsi="Calibri" w:cs="Calibri"/>
                <w:b/>
                <w:bCs/>
                <w:color w:val="000000"/>
                <w:lang w:val="en-US" w:eastAsia="en-GB"/>
              </w:rPr>
              <w:t xml:space="preserve">planned </w:t>
            </w:r>
            <w:r w:rsidRPr="00EA6F8C">
              <w:rPr>
                <w:rFonts w:ascii="Calibri" w:eastAsia="Times New Roman" w:hAnsi="Calibri" w:cs="Calibri"/>
                <w:b/>
                <w:bCs/>
                <w:color w:val="000000"/>
                <w:lang w:val="en-US" w:eastAsia="en-GB"/>
              </w:rPr>
              <w:t xml:space="preserve">in 1-2 geopolitical zones before the end of </w:t>
            </w:r>
            <w:r w:rsidR="00E01C99">
              <w:rPr>
                <w:rFonts w:ascii="Calibri" w:eastAsia="Times New Roman" w:hAnsi="Calibri" w:cs="Calibri"/>
                <w:b/>
                <w:bCs/>
                <w:color w:val="000000"/>
                <w:lang w:val="en-US" w:eastAsia="en-GB"/>
              </w:rPr>
              <w:t>2016</w:t>
            </w:r>
          </w:p>
        </w:tc>
      </w:tr>
      <w:tr w:rsidR="00E01C99" w:rsidRPr="00EA6F8C" w:rsidTr="00A03C34">
        <w:trPr>
          <w:trHeight w:val="368"/>
          <w:jc w:val="center"/>
        </w:trPr>
        <w:tc>
          <w:tcPr>
            <w:tcW w:w="3220" w:type="dxa"/>
            <w:vMerge w:val="restart"/>
            <w:tcBorders>
              <w:top w:val="nil"/>
              <w:left w:val="single" w:sz="4" w:space="0" w:color="auto"/>
              <w:right w:val="single" w:sz="4" w:space="0" w:color="auto"/>
            </w:tcBorders>
            <w:shd w:val="clear" w:color="000000" w:fill="F2DCDB"/>
            <w:hideMark/>
          </w:tcPr>
          <w:p w:rsidR="00E01C99" w:rsidRPr="00EA6F8C" w:rsidRDefault="00A03C34" w:rsidP="00E01C99">
            <w:pPr>
              <w:spacing w:after="0" w:line="240" w:lineRule="auto"/>
              <w:rPr>
                <w:rFonts w:ascii="Calibri" w:eastAsia="Times New Roman" w:hAnsi="Calibri" w:cs="Calibri"/>
                <w:b/>
                <w:bCs/>
                <w:color w:val="000000"/>
                <w:lang w:val="en-US" w:eastAsia="en-GB"/>
              </w:rPr>
            </w:pPr>
            <w:r>
              <w:rPr>
                <w:rFonts w:ascii="Calibri" w:eastAsia="Times New Roman" w:hAnsi="Calibri" w:cs="Calibri"/>
                <w:b/>
                <w:bCs/>
                <w:color w:val="000000"/>
                <w:lang w:val="en-US" w:eastAsia="en-GB"/>
              </w:rPr>
              <w:t>3. Measles e</w:t>
            </w:r>
            <w:r w:rsidR="00E01C99" w:rsidRPr="00EA6F8C">
              <w:rPr>
                <w:rFonts w:ascii="Calibri" w:eastAsia="Times New Roman" w:hAnsi="Calibri" w:cs="Calibri"/>
                <w:b/>
                <w:bCs/>
                <w:color w:val="000000"/>
                <w:lang w:val="en-US" w:eastAsia="en-GB"/>
              </w:rPr>
              <w:t>limination</w:t>
            </w:r>
          </w:p>
        </w:tc>
        <w:tc>
          <w:tcPr>
            <w:tcW w:w="3777" w:type="dxa"/>
            <w:tcBorders>
              <w:top w:val="nil"/>
              <w:left w:val="nil"/>
              <w:bottom w:val="single" w:sz="4" w:space="0" w:color="auto"/>
              <w:right w:val="single" w:sz="4" w:space="0" w:color="auto"/>
            </w:tcBorders>
            <w:shd w:val="clear" w:color="000000" w:fill="F2DCDB"/>
            <w:vAlign w:val="center"/>
            <w:hideMark/>
          </w:tcPr>
          <w:p w:rsidR="00E01C99" w:rsidRPr="00EA6F8C" w:rsidRDefault="00E01C99" w:rsidP="00E01C99">
            <w:pPr>
              <w:spacing w:after="0" w:line="240" w:lineRule="auto"/>
              <w:rPr>
                <w:rFonts w:ascii="Calibri" w:eastAsia="Times New Roman" w:hAnsi="Calibri" w:cs="Calibri"/>
                <w:b/>
                <w:bCs/>
                <w:color w:val="000000"/>
                <w:lang w:val="en-US" w:eastAsia="en-GB"/>
              </w:rPr>
            </w:pPr>
            <w:r w:rsidRPr="00EA6F8C">
              <w:rPr>
                <w:rFonts w:ascii="Calibri" w:eastAsia="Times New Roman" w:hAnsi="Calibri" w:cs="Calibri"/>
                <w:b/>
                <w:bCs/>
                <w:color w:val="000000"/>
                <w:lang w:val="en-US" w:eastAsia="en-GB"/>
              </w:rPr>
              <w:t>Coverage MCV1 (201</w:t>
            </w:r>
            <w:r>
              <w:rPr>
                <w:rFonts w:ascii="Calibri" w:eastAsia="Times New Roman" w:hAnsi="Calibri" w:cs="Calibri"/>
                <w:b/>
                <w:bCs/>
                <w:color w:val="000000"/>
                <w:lang w:val="en-US" w:eastAsia="en-GB"/>
              </w:rPr>
              <w:t>5</w:t>
            </w:r>
            <w:r w:rsidRPr="00EA6F8C">
              <w:rPr>
                <w:rFonts w:ascii="Calibri" w:eastAsia="Times New Roman" w:hAnsi="Calibri" w:cs="Calibri"/>
                <w:b/>
                <w:bCs/>
                <w:color w:val="000000"/>
                <w:lang w:val="en-US" w:eastAsia="en-GB"/>
              </w:rPr>
              <w:t xml:space="preserve"> WUENIC)</w:t>
            </w:r>
          </w:p>
        </w:tc>
        <w:tc>
          <w:tcPr>
            <w:tcW w:w="2520" w:type="dxa"/>
            <w:tcBorders>
              <w:top w:val="nil"/>
              <w:left w:val="nil"/>
              <w:bottom w:val="single" w:sz="4" w:space="0" w:color="auto"/>
              <w:right w:val="single" w:sz="4" w:space="0" w:color="auto"/>
            </w:tcBorders>
            <w:shd w:val="clear" w:color="000000" w:fill="FF0000"/>
            <w:vAlign w:val="center"/>
            <w:hideMark/>
          </w:tcPr>
          <w:p w:rsidR="00E01C99" w:rsidRPr="00EA6F8C" w:rsidRDefault="00E01C99" w:rsidP="00E01C99">
            <w:pPr>
              <w:spacing w:after="0" w:line="240" w:lineRule="auto"/>
              <w:jc w:val="center"/>
              <w:rPr>
                <w:rFonts w:ascii="Calibri" w:eastAsia="Times New Roman" w:hAnsi="Calibri" w:cs="Calibri"/>
                <w:b/>
                <w:bCs/>
                <w:color w:val="000000"/>
                <w:lang w:val="en-US" w:eastAsia="en-GB"/>
              </w:rPr>
            </w:pPr>
            <w:r w:rsidRPr="00EA6F8C">
              <w:rPr>
                <w:rFonts w:ascii="Calibri" w:eastAsia="Times New Roman" w:hAnsi="Calibri" w:cs="Calibri"/>
                <w:b/>
                <w:bCs/>
                <w:color w:val="000000"/>
                <w:lang w:val="en-US" w:eastAsia="en-GB"/>
              </w:rPr>
              <w:t>5</w:t>
            </w:r>
            <w:r>
              <w:rPr>
                <w:rFonts w:ascii="Calibri" w:eastAsia="Times New Roman" w:hAnsi="Calibri" w:cs="Calibri"/>
                <w:b/>
                <w:bCs/>
                <w:color w:val="000000"/>
                <w:lang w:val="en-US" w:eastAsia="en-GB"/>
              </w:rPr>
              <w:t>4</w:t>
            </w:r>
            <w:r w:rsidRPr="00EA6F8C">
              <w:rPr>
                <w:rFonts w:ascii="Calibri" w:eastAsia="Times New Roman" w:hAnsi="Calibri" w:cs="Calibri"/>
                <w:b/>
                <w:bCs/>
                <w:color w:val="000000"/>
                <w:lang w:val="en-US" w:eastAsia="en-GB"/>
              </w:rPr>
              <w:t>%</w:t>
            </w:r>
          </w:p>
        </w:tc>
      </w:tr>
      <w:tr w:rsidR="00E01C99" w:rsidRPr="00EA6F8C" w:rsidTr="00A03C34">
        <w:trPr>
          <w:trHeight w:val="300"/>
          <w:jc w:val="center"/>
        </w:trPr>
        <w:tc>
          <w:tcPr>
            <w:tcW w:w="3220" w:type="dxa"/>
            <w:vMerge/>
            <w:tcBorders>
              <w:left w:val="single" w:sz="4" w:space="0" w:color="auto"/>
              <w:right w:val="single" w:sz="4" w:space="0" w:color="auto"/>
            </w:tcBorders>
            <w:shd w:val="clear" w:color="000000" w:fill="F2DCDB"/>
            <w:vAlign w:val="center"/>
          </w:tcPr>
          <w:p w:rsidR="00E01C99" w:rsidRPr="00EA6F8C" w:rsidRDefault="00E01C99" w:rsidP="00C35316">
            <w:pPr>
              <w:spacing w:after="0" w:line="240" w:lineRule="auto"/>
              <w:rPr>
                <w:rFonts w:ascii="Calibri" w:eastAsia="Times New Roman" w:hAnsi="Calibri" w:cs="Calibri"/>
                <w:b/>
                <w:bCs/>
                <w:color w:val="000000"/>
                <w:lang w:val="en-US" w:eastAsia="en-GB"/>
              </w:rPr>
            </w:pPr>
          </w:p>
        </w:tc>
        <w:tc>
          <w:tcPr>
            <w:tcW w:w="3777" w:type="dxa"/>
            <w:tcBorders>
              <w:top w:val="nil"/>
              <w:left w:val="nil"/>
              <w:bottom w:val="single" w:sz="4" w:space="0" w:color="auto"/>
              <w:right w:val="single" w:sz="4" w:space="0" w:color="auto"/>
            </w:tcBorders>
            <w:shd w:val="clear" w:color="000000" w:fill="F2DCDB"/>
            <w:vAlign w:val="center"/>
            <w:hideMark/>
          </w:tcPr>
          <w:p w:rsidR="00E01C99" w:rsidRPr="00EA6F8C" w:rsidRDefault="00E01C99" w:rsidP="00C35316">
            <w:pPr>
              <w:spacing w:after="0" w:line="240" w:lineRule="auto"/>
              <w:rPr>
                <w:rFonts w:ascii="Calibri" w:eastAsia="Times New Roman" w:hAnsi="Calibri" w:cs="Calibri"/>
                <w:b/>
                <w:bCs/>
                <w:color w:val="000000"/>
                <w:lang w:val="en-US" w:eastAsia="en-GB"/>
              </w:rPr>
            </w:pPr>
            <w:r w:rsidRPr="00EA6F8C">
              <w:rPr>
                <w:rFonts w:ascii="Calibri" w:eastAsia="Times New Roman" w:hAnsi="Calibri" w:cs="Calibri"/>
                <w:b/>
                <w:bCs/>
                <w:color w:val="000000"/>
                <w:lang w:val="en-US" w:eastAsia="en-GB"/>
              </w:rPr>
              <w:t xml:space="preserve">Coverage MCV2 </w:t>
            </w:r>
          </w:p>
        </w:tc>
        <w:tc>
          <w:tcPr>
            <w:tcW w:w="2520" w:type="dxa"/>
            <w:tcBorders>
              <w:top w:val="nil"/>
              <w:left w:val="nil"/>
              <w:bottom w:val="single" w:sz="4" w:space="0" w:color="auto"/>
              <w:right w:val="single" w:sz="4" w:space="0" w:color="auto"/>
            </w:tcBorders>
            <w:shd w:val="clear" w:color="000000" w:fill="FF0000"/>
            <w:vAlign w:val="center"/>
            <w:hideMark/>
          </w:tcPr>
          <w:p w:rsidR="00E01C99" w:rsidRPr="00EA6F8C" w:rsidRDefault="00E01C99" w:rsidP="00C35316">
            <w:pPr>
              <w:spacing w:after="0" w:line="240" w:lineRule="auto"/>
              <w:jc w:val="center"/>
              <w:rPr>
                <w:rFonts w:ascii="Calibri" w:eastAsia="Times New Roman" w:hAnsi="Calibri" w:cs="Calibri"/>
                <w:b/>
                <w:bCs/>
                <w:color w:val="000000"/>
                <w:lang w:val="en-US" w:eastAsia="en-GB"/>
              </w:rPr>
            </w:pPr>
            <w:r w:rsidRPr="00EA6F8C">
              <w:rPr>
                <w:rFonts w:ascii="Calibri" w:eastAsia="Times New Roman" w:hAnsi="Calibri" w:cs="Calibri"/>
                <w:b/>
                <w:bCs/>
                <w:color w:val="000000"/>
                <w:lang w:val="en-US" w:eastAsia="en-GB"/>
              </w:rPr>
              <w:t>Not in schedule</w:t>
            </w:r>
          </w:p>
        </w:tc>
      </w:tr>
      <w:tr w:rsidR="00E01C99" w:rsidRPr="00EA6F8C" w:rsidTr="00A03C34">
        <w:trPr>
          <w:trHeight w:val="600"/>
          <w:jc w:val="center"/>
        </w:trPr>
        <w:tc>
          <w:tcPr>
            <w:tcW w:w="3220" w:type="dxa"/>
            <w:vMerge/>
            <w:tcBorders>
              <w:left w:val="single" w:sz="4" w:space="0" w:color="auto"/>
              <w:right w:val="single" w:sz="4" w:space="0" w:color="auto"/>
            </w:tcBorders>
            <w:shd w:val="clear" w:color="000000" w:fill="F2DCDB"/>
            <w:vAlign w:val="center"/>
          </w:tcPr>
          <w:p w:rsidR="00E01C99" w:rsidRPr="00EA6F8C" w:rsidRDefault="00E01C99" w:rsidP="00C35316">
            <w:pPr>
              <w:spacing w:after="0" w:line="240" w:lineRule="auto"/>
              <w:rPr>
                <w:rFonts w:ascii="Calibri" w:eastAsia="Times New Roman" w:hAnsi="Calibri" w:cs="Calibri"/>
                <w:b/>
                <w:bCs/>
                <w:color w:val="000000"/>
                <w:lang w:val="en-US" w:eastAsia="en-GB"/>
              </w:rPr>
            </w:pPr>
          </w:p>
        </w:tc>
        <w:tc>
          <w:tcPr>
            <w:tcW w:w="3777" w:type="dxa"/>
            <w:tcBorders>
              <w:top w:val="nil"/>
              <w:left w:val="nil"/>
              <w:bottom w:val="single" w:sz="4" w:space="0" w:color="auto"/>
              <w:right w:val="single" w:sz="4" w:space="0" w:color="auto"/>
            </w:tcBorders>
            <w:shd w:val="clear" w:color="000000" w:fill="F2DCDB"/>
            <w:vAlign w:val="center"/>
            <w:hideMark/>
          </w:tcPr>
          <w:p w:rsidR="00E01C99" w:rsidRPr="00EA6F8C" w:rsidRDefault="000B2412" w:rsidP="000B2412">
            <w:pPr>
              <w:spacing w:after="0" w:line="240" w:lineRule="auto"/>
              <w:rPr>
                <w:rFonts w:ascii="Calibri" w:eastAsia="Times New Roman" w:hAnsi="Calibri" w:cs="Calibri"/>
                <w:b/>
                <w:bCs/>
                <w:color w:val="000000"/>
                <w:lang w:val="en-US" w:eastAsia="en-GB"/>
              </w:rPr>
            </w:pPr>
            <w:r>
              <w:rPr>
                <w:rFonts w:ascii="Calibri" w:eastAsia="Times New Roman" w:hAnsi="Calibri" w:cs="Calibri"/>
                <w:b/>
                <w:bCs/>
                <w:color w:val="000000"/>
                <w:lang w:val="en-US" w:eastAsia="en-GB"/>
              </w:rPr>
              <w:t>Reported p</w:t>
            </w:r>
            <w:r w:rsidR="00E01C99" w:rsidRPr="00EA6F8C">
              <w:rPr>
                <w:rFonts w:ascii="Calibri" w:eastAsia="Times New Roman" w:hAnsi="Calibri" w:cs="Calibri"/>
                <w:b/>
                <w:bCs/>
                <w:color w:val="000000"/>
                <w:lang w:val="en-US" w:eastAsia="en-GB"/>
              </w:rPr>
              <w:t xml:space="preserve">ercentage of districts with MCV1 coverage </w:t>
            </w:r>
            <w:r w:rsidR="00E01C99">
              <w:rPr>
                <w:rFonts w:ascii="Calibri" w:eastAsia="Times New Roman" w:hAnsi="Calibri" w:cs="Calibri"/>
                <w:b/>
                <w:bCs/>
                <w:color w:val="000000"/>
                <w:lang w:val="en-US" w:eastAsia="en-GB"/>
              </w:rPr>
              <w:t>≥</w:t>
            </w:r>
            <w:r w:rsidR="00E01C99" w:rsidRPr="00EA6F8C">
              <w:rPr>
                <w:rFonts w:ascii="Calibri" w:eastAsia="Times New Roman" w:hAnsi="Calibri" w:cs="Calibri"/>
                <w:b/>
                <w:bCs/>
                <w:color w:val="000000"/>
                <w:lang w:val="en-US" w:eastAsia="en-GB"/>
              </w:rPr>
              <w:t>95% (2015 JRF)</w:t>
            </w:r>
          </w:p>
        </w:tc>
        <w:tc>
          <w:tcPr>
            <w:tcW w:w="2520" w:type="dxa"/>
            <w:tcBorders>
              <w:top w:val="nil"/>
              <w:left w:val="nil"/>
              <w:bottom w:val="single" w:sz="4" w:space="0" w:color="auto"/>
              <w:right w:val="single" w:sz="4" w:space="0" w:color="auto"/>
            </w:tcBorders>
            <w:shd w:val="clear" w:color="000000" w:fill="FF0000"/>
            <w:vAlign w:val="center"/>
            <w:hideMark/>
          </w:tcPr>
          <w:p w:rsidR="00E01C99" w:rsidRPr="00EA6F8C" w:rsidRDefault="00E01C99" w:rsidP="00C35316">
            <w:pPr>
              <w:spacing w:after="0" w:line="240" w:lineRule="auto"/>
              <w:jc w:val="center"/>
              <w:rPr>
                <w:rFonts w:ascii="Calibri" w:eastAsia="Times New Roman" w:hAnsi="Calibri" w:cs="Calibri"/>
                <w:b/>
                <w:bCs/>
                <w:color w:val="000000"/>
                <w:lang w:val="en-US" w:eastAsia="en-GB"/>
              </w:rPr>
            </w:pPr>
            <w:r w:rsidRPr="00EA6F8C">
              <w:rPr>
                <w:rFonts w:ascii="Calibri" w:eastAsia="Times New Roman" w:hAnsi="Calibri" w:cs="Calibri"/>
                <w:b/>
                <w:bCs/>
                <w:color w:val="000000"/>
                <w:lang w:val="en-US" w:eastAsia="en-GB"/>
              </w:rPr>
              <w:t>53%</w:t>
            </w:r>
          </w:p>
        </w:tc>
      </w:tr>
      <w:tr w:rsidR="001635F5" w:rsidRPr="00EA6F8C" w:rsidTr="0005184D">
        <w:trPr>
          <w:trHeight w:val="413"/>
          <w:jc w:val="center"/>
        </w:trPr>
        <w:tc>
          <w:tcPr>
            <w:tcW w:w="3220" w:type="dxa"/>
            <w:vMerge/>
            <w:tcBorders>
              <w:left w:val="single" w:sz="4" w:space="0" w:color="auto"/>
              <w:right w:val="single" w:sz="4" w:space="0" w:color="auto"/>
            </w:tcBorders>
            <w:shd w:val="clear" w:color="000000" w:fill="F2DCDB"/>
            <w:vAlign w:val="center"/>
          </w:tcPr>
          <w:p w:rsidR="00E01C99" w:rsidRPr="00EA6F8C" w:rsidRDefault="00E01C99" w:rsidP="00C35316">
            <w:pPr>
              <w:spacing w:after="0" w:line="240" w:lineRule="auto"/>
              <w:rPr>
                <w:rFonts w:ascii="Calibri" w:eastAsia="Times New Roman" w:hAnsi="Calibri" w:cs="Calibri"/>
                <w:b/>
                <w:bCs/>
                <w:color w:val="000000"/>
                <w:lang w:val="en-US" w:eastAsia="en-GB"/>
              </w:rPr>
            </w:pPr>
          </w:p>
        </w:tc>
        <w:tc>
          <w:tcPr>
            <w:tcW w:w="3777" w:type="dxa"/>
            <w:tcBorders>
              <w:top w:val="nil"/>
              <w:left w:val="nil"/>
              <w:bottom w:val="single" w:sz="4" w:space="0" w:color="auto"/>
              <w:right w:val="single" w:sz="4" w:space="0" w:color="auto"/>
            </w:tcBorders>
            <w:shd w:val="clear" w:color="000000" w:fill="F2DCDB"/>
            <w:vAlign w:val="center"/>
            <w:hideMark/>
          </w:tcPr>
          <w:p w:rsidR="00E01C99" w:rsidRPr="00EA6F8C" w:rsidRDefault="00E01C99" w:rsidP="00C35316">
            <w:pPr>
              <w:spacing w:after="0" w:line="240" w:lineRule="auto"/>
              <w:rPr>
                <w:rFonts w:ascii="Calibri" w:eastAsia="Times New Roman" w:hAnsi="Calibri" w:cs="Calibri"/>
                <w:b/>
                <w:bCs/>
                <w:color w:val="000000"/>
                <w:lang w:val="en-US" w:eastAsia="en-GB"/>
              </w:rPr>
            </w:pPr>
            <w:r w:rsidRPr="00EA6F8C">
              <w:rPr>
                <w:rFonts w:ascii="Calibri" w:eastAsia="Times New Roman" w:hAnsi="Calibri" w:cs="Calibri"/>
                <w:b/>
                <w:bCs/>
                <w:color w:val="000000"/>
                <w:lang w:val="en-US" w:eastAsia="en-GB"/>
              </w:rPr>
              <w:t>Last national SIA</w:t>
            </w:r>
          </w:p>
        </w:tc>
        <w:tc>
          <w:tcPr>
            <w:tcW w:w="2520" w:type="dxa"/>
            <w:tcBorders>
              <w:top w:val="nil"/>
              <w:left w:val="nil"/>
              <w:bottom w:val="single" w:sz="4" w:space="0" w:color="auto"/>
              <w:right w:val="single" w:sz="4" w:space="0" w:color="auto"/>
            </w:tcBorders>
            <w:shd w:val="clear" w:color="auto" w:fill="9BBB59" w:themeFill="accent3"/>
            <w:vAlign w:val="center"/>
            <w:hideMark/>
          </w:tcPr>
          <w:p w:rsidR="00E01C99" w:rsidRPr="00EA6F8C" w:rsidRDefault="00E01C99" w:rsidP="00C35316">
            <w:pPr>
              <w:spacing w:after="0" w:line="240" w:lineRule="auto"/>
              <w:jc w:val="center"/>
              <w:rPr>
                <w:rFonts w:ascii="Calibri" w:eastAsia="Times New Roman" w:hAnsi="Calibri" w:cs="Calibri"/>
                <w:b/>
                <w:bCs/>
                <w:color w:val="000000"/>
                <w:lang w:val="en-US" w:eastAsia="en-GB"/>
              </w:rPr>
            </w:pPr>
            <w:r>
              <w:rPr>
                <w:rFonts w:ascii="Calibri" w:eastAsia="Times New Roman" w:hAnsi="Calibri" w:cs="Calibri"/>
                <w:b/>
                <w:bCs/>
                <w:color w:val="000000"/>
                <w:lang w:val="en-US" w:eastAsia="en-GB"/>
              </w:rPr>
              <w:t>2015</w:t>
            </w:r>
          </w:p>
        </w:tc>
      </w:tr>
      <w:tr w:rsidR="001635F5" w:rsidRPr="00EA6F8C" w:rsidTr="0005184D">
        <w:trPr>
          <w:trHeight w:val="300"/>
          <w:jc w:val="center"/>
        </w:trPr>
        <w:tc>
          <w:tcPr>
            <w:tcW w:w="3220" w:type="dxa"/>
            <w:vMerge/>
            <w:tcBorders>
              <w:left w:val="single" w:sz="4" w:space="0" w:color="auto"/>
              <w:bottom w:val="single" w:sz="4" w:space="0" w:color="auto"/>
              <w:right w:val="single" w:sz="4" w:space="0" w:color="auto"/>
            </w:tcBorders>
            <w:shd w:val="clear" w:color="000000" w:fill="F2DCDB"/>
            <w:vAlign w:val="center"/>
          </w:tcPr>
          <w:p w:rsidR="00E01C99" w:rsidRPr="00EA6F8C" w:rsidRDefault="00E01C99" w:rsidP="00C35316">
            <w:pPr>
              <w:spacing w:after="0" w:line="240" w:lineRule="auto"/>
              <w:rPr>
                <w:rFonts w:ascii="Calibri" w:eastAsia="Times New Roman" w:hAnsi="Calibri" w:cs="Calibri"/>
                <w:b/>
                <w:bCs/>
                <w:color w:val="000000"/>
                <w:lang w:val="en-US" w:eastAsia="en-GB"/>
              </w:rPr>
            </w:pPr>
          </w:p>
        </w:tc>
        <w:tc>
          <w:tcPr>
            <w:tcW w:w="3777" w:type="dxa"/>
            <w:tcBorders>
              <w:top w:val="nil"/>
              <w:left w:val="nil"/>
              <w:bottom w:val="single" w:sz="4" w:space="0" w:color="auto"/>
              <w:right w:val="single" w:sz="4" w:space="0" w:color="auto"/>
            </w:tcBorders>
            <w:shd w:val="clear" w:color="000000" w:fill="F2DCDB"/>
            <w:vAlign w:val="center"/>
            <w:hideMark/>
          </w:tcPr>
          <w:p w:rsidR="00E01C99" w:rsidRPr="00EA6F8C" w:rsidRDefault="00E01C99" w:rsidP="00C35316">
            <w:pPr>
              <w:spacing w:after="0" w:line="240" w:lineRule="auto"/>
              <w:rPr>
                <w:rFonts w:ascii="Calibri" w:eastAsia="Times New Roman" w:hAnsi="Calibri" w:cs="Calibri"/>
                <w:b/>
                <w:bCs/>
                <w:color w:val="000000"/>
                <w:lang w:val="en-US" w:eastAsia="en-GB"/>
              </w:rPr>
            </w:pPr>
            <w:r w:rsidRPr="00EA6F8C">
              <w:rPr>
                <w:rFonts w:ascii="Calibri" w:eastAsia="Times New Roman" w:hAnsi="Calibri" w:cs="Calibri"/>
                <w:b/>
                <w:bCs/>
                <w:color w:val="000000"/>
                <w:lang w:val="en-US" w:eastAsia="en-GB"/>
              </w:rPr>
              <w:t>Post SIA coverage survey conducted</w:t>
            </w:r>
          </w:p>
        </w:tc>
        <w:tc>
          <w:tcPr>
            <w:tcW w:w="2520" w:type="dxa"/>
            <w:tcBorders>
              <w:top w:val="nil"/>
              <w:left w:val="nil"/>
              <w:bottom w:val="single" w:sz="4" w:space="0" w:color="auto"/>
              <w:right w:val="single" w:sz="4" w:space="0" w:color="auto"/>
            </w:tcBorders>
            <w:shd w:val="clear" w:color="auto" w:fill="9BBB59" w:themeFill="accent3"/>
            <w:vAlign w:val="center"/>
            <w:hideMark/>
          </w:tcPr>
          <w:p w:rsidR="00E01C99" w:rsidRPr="00EA6F8C" w:rsidRDefault="0005184D" w:rsidP="00C35316">
            <w:pPr>
              <w:spacing w:after="0" w:line="240" w:lineRule="auto"/>
              <w:jc w:val="center"/>
              <w:rPr>
                <w:rFonts w:ascii="Calibri" w:eastAsia="Times New Roman" w:hAnsi="Calibri" w:cs="Calibri"/>
                <w:b/>
                <w:bCs/>
                <w:color w:val="000000"/>
                <w:lang w:val="en-US" w:eastAsia="en-GB"/>
              </w:rPr>
            </w:pPr>
            <w:r>
              <w:rPr>
                <w:rFonts w:ascii="Calibri" w:eastAsia="Times New Roman" w:hAnsi="Calibri" w:cs="Calibri"/>
                <w:b/>
                <w:bCs/>
                <w:color w:val="000000"/>
                <w:lang w:val="en-US" w:eastAsia="en-GB"/>
              </w:rPr>
              <w:t>Yes</w:t>
            </w:r>
          </w:p>
        </w:tc>
      </w:tr>
      <w:tr w:rsidR="00E01C99" w:rsidRPr="00EA6F8C" w:rsidTr="00A03C34">
        <w:trPr>
          <w:trHeight w:val="395"/>
          <w:jc w:val="center"/>
        </w:trPr>
        <w:tc>
          <w:tcPr>
            <w:tcW w:w="3220" w:type="dxa"/>
            <w:vMerge w:val="restart"/>
            <w:tcBorders>
              <w:top w:val="nil"/>
              <w:left w:val="single" w:sz="4" w:space="0" w:color="auto"/>
              <w:right w:val="single" w:sz="4" w:space="0" w:color="auto"/>
            </w:tcBorders>
            <w:shd w:val="clear" w:color="000000" w:fill="F2DCDB"/>
            <w:hideMark/>
          </w:tcPr>
          <w:p w:rsidR="00E01C99" w:rsidRPr="00EA6F8C" w:rsidRDefault="00A03C34" w:rsidP="00E01C99">
            <w:pPr>
              <w:spacing w:after="0" w:line="240" w:lineRule="auto"/>
              <w:rPr>
                <w:rFonts w:ascii="Calibri" w:eastAsia="Times New Roman" w:hAnsi="Calibri" w:cs="Calibri"/>
                <w:b/>
                <w:bCs/>
                <w:color w:val="000000"/>
                <w:lang w:val="en-US" w:eastAsia="en-GB"/>
              </w:rPr>
            </w:pPr>
            <w:r>
              <w:rPr>
                <w:rFonts w:ascii="Calibri" w:eastAsia="Times New Roman" w:hAnsi="Calibri" w:cs="Calibri"/>
                <w:b/>
                <w:bCs/>
                <w:color w:val="000000"/>
                <w:lang w:val="en-US" w:eastAsia="en-GB"/>
              </w:rPr>
              <w:t>4. Rubella/CRS e</w:t>
            </w:r>
            <w:r w:rsidR="00E01C99" w:rsidRPr="00EA6F8C">
              <w:rPr>
                <w:rFonts w:ascii="Calibri" w:eastAsia="Times New Roman" w:hAnsi="Calibri" w:cs="Calibri"/>
                <w:b/>
                <w:bCs/>
                <w:color w:val="000000"/>
                <w:lang w:val="en-US" w:eastAsia="en-GB"/>
              </w:rPr>
              <w:t>limination</w:t>
            </w:r>
          </w:p>
        </w:tc>
        <w:tc>
          <w:tcPr>
            <w:tcW w:w="3777" w:type="dxa"/>
            <w:tcBorders>
              <w:top w:val="nil"/>
              <w:left w:val="nil"/>
              <w:bottom w:val="single" w:sz="4" w:space="0" w:color="auto"/>
              <w:right w:val="single" w:sz="4" w:space="0" w:color="auto"/>
            </w:tcBorders>
            <w:shd w:val="clear" w:color="000000" w:fill="F2DCDB"/>
            <w:vAlign w:val="center"/>
            <w:hideMark/>
          </w:tcPr>
          <w:p w:rsidR="00E01C99" w:rsidRPr="00EA6F8C" w:rsidRDefault="00E01C99" w:rsidP="00E01C99">
            <w:pPr>
              <w:spacing w:after="0" w:line="240" w:lineRule="auto"/>
              <w:rPr>
                <w:rFonts w:ascii="Calibri" w:eastAsia="Times New Roman" w:hAnsi="Calibri" w:cs="Calibri"/>
                <w:b/>
                <w:bCs/>
                <w:color w:val="000000"/>
                <w:lang w:val="en-US" w:eastAsia="en-GB"/>
              </w:rPr>
            </w:pPr>
            <w:r>
              <w:rPr>
                <w:rFonts w:ascii="Calibri" w:eastAsia="Times New Roman" w:hAnsi="Calibri" w:cs="Calibri"/>
                <w:b/>
                <w:bCs/>
                <w:color w:val="000000"/>
                <w:lang w:val="en-US" w:eastAsia="en-GB"/>
              </w:rPr>
              <w:t>Rubella vaccine coverage</w:t>
            </w:r>
            <w:r w:rsidRPr="00EA6F8C">
              <w:rPr>
                <w:rFonts w:ascii="Calibri" w:eastAsia="Times New Roman" w:hAnsi="Calibri" w:cs="Calibri"/>
                <w:b/>
                <w:bCs/>
                <w:color w:val="000000"/>
                <w:lang w:val="en-US" w:eastAsia="en-GB"/>
              </w:rPr>
              <w:t xml:space="preserve"> </w:t>
            </w:r>
          </w:p>
        </w:tc>
        <w:tc>
          <w:tcPr>
            <w:tcW w:w="2520" w:type="dxa"/>
            <w:tcBorders>
              <w:top w:val="nil"/>
              <w:left w:val="nil"/>
              <w:bottom w:val="single" w:sz="4" w:space="0" w:color="auto"/>
              <w:right w:val="single" w:sz="4" w:space="0" w:color="auto"/>
            </w:tcBorders>
            <w:shd w:val="clear" w:color="000000" w:fill="FF0000"/>
            <w:vAlign w:val="center"/>
            <w:hideMark/>
          </w:tcPr>
          <w:p w:rsidR="00E01C99" w:rsidRPr="00EA6F8C" w:rsidRDefault="00E01C99" w:rsidP="00E01C99">
            <w:pPr>
              <w:spacing w:after="0" w:line="240" w:lineRule="auto"/>
              <w:jc w:val="center"/>
              <w:rPr>
                <w:rFonts w:ascii="Calibri" w:eastAsia="Times New Roman" w:hAnsi="Calibri" w:cs="Calibri"/>
                <w:b/>
                <w:bCs/>
                <w:color w:val="000000"/>
                <w:lang w:val="en-US" w:eastAsia="en-GB"/>
              </w:rPr>
            </w:pPr>
            <w:r w:rsidRPr="00EA6F8C">
              <w:rPr>
                <w:rFonts w:ascii="Calibri" w:eastAsia="Times New Roman" w:hAnsi="Calibri" w:cs="Calibri"/>
                <w:b/>
                <w:bCs/>
                <w:color w:val="000000"/>
                <w:lang w:val="en-US" w:eastAsia="en-GB"/>
              </w:rPr>
              <w:t>Not introduced (201</w:t>
            </w:r>
            <w:r>
              <w:rPr>
                <w:rFonts w:ascii="Calibri" w:eastAsia="Times New Roman" w:hAnsi="Calibri" w:cs="Calibri"/>
                <w:b/>
                <w:bCs/>
                <w:color w:val="000000"/>
                <w:lang w:val="en-US" w:eastAsia="en-GB"/>
              </w:rPr>
              <w:t>5</w:t>
            </w:r>
            <w:r w:rsidRPr="00EA6F8C">
              <w:rPr>
                <w:rFonts w:ascii="Calibri" w:eastAsia="Times New Roman" w:hAnsi="Calibri" w:cs="Calibri"/>
                <w:b/>
                <w:bCs/>
                <w:color w:val="000000"/>
                <w:lang w:val="en-US" w:eastAsia="en-GB"/>
              </w:rPr>
              <w:t>)</w:t>
            </w:r>
          </w:p>
        </w:tc>
      </w:tr>
      <w:tr w:rsidR="001635F5" w:rsidRPr="00EA6F8C" w:rsidTr="001635F5">
        <w:trPr>
          <w:trHeight w:val="350"/>
          <w:jc w:val="center"/>
        </w:trPr>
        <w:tc>
          <w:tcPr>
            <w:tcW w:w="3220" w:type="dxa"/>
            <w:vMerge/>
            <w:tcBorders>
              <w:left w:val="single" w:sz="4" w:space="0" w:color="auto"/>
              <w:bottom w:val="single" w:sz="4" w:space="0" w:color="auto"/>
              <w:right w:val="single" w:sz="4" w:space="0" w:color="auto"/>
            </w:tcBorders>
            <w:shd w:val="clear" w:color="000000" w:fill="F2DCDB"/>
            <w:vAlign w:val="center"/>
            <w:hideMark/>
          </w:tcPr>
          <w:p w:rsidR="00E01C99" w:rsidRPr="00EA6F8C" w:rsidRDefault="00E01C99" w:rsidP="00C35316">
            <w:pPr>
              <w:spacing w:after="0" w:line="240" w:lineRule="auto"/>
              <w:rPr>
                <w:rFonts w:ascii="Calibri" w:eastAsia="Times New Roman" w:hAnsi="Calibri" w:cs="Calibri"/>
                <w:b/>
                <w:bCs/>
                <w:color w:val="000000"/>
                <w:lang w:val="en-US" w:eastAsia="en-GB"/>
              </w:rPr>
            </w:pPr>
          </w:p>
        </w:tc>
        <w:tc>
          <w:tcPr>
            <w:tcW w:w="3777" w:type="dxa"/>
            <w:tcBorders>
              <w:top w:val="nil"/>
              <w:left w:val="nil"/>
              <w:bottom w:val="single" w:sz="4" w:space="0" w:color="auto"/>
              <w:right w:val="single" w:sz="4" w:space="0" w:color="auto"/>
            </w:tcBorders>
            <w:shd w:val="clear" w:color="000000" w:fill="F2DCDB"/>
            <w:vAlign w:val="center"/>
            <w:hideMark/>
          </w:tcPr>
          <w:p w:rsidR="00E01C99" w:rsidRPr="00EA6F8C" w:rsidRDefault="00E01C99" w:rsidP="00C35316">
            <w:pPr>
              <w:spacing w:after="0" w:line="240" w:lineRule="auto"/>
              <w:rPr>
                <w:rFonts w:ascii="Calibri" w:eastAsia="Times New Roman" w:hAnsi="Calibri" w:cs="Calibri"/>
                <w:b/>
                <w:bCs/>
                <w:color w:val="000000"/>
                <w:lang w:val="en-US" w:eastAsia="en-GB"/>
              </w:rPr>
            </w:pPr>
            <w:r w:rsidRPr="00EA6F8C">
              <w:rPr>
                <w:rFonts w:ascii="Calibri" w:eastAsia="Times New Roman" w:hAnsi="Calibri" w:cs="Calibri"/>
                <w:b/>
                <w:bCs/>
                <w:color w:val="000000"/>
                <w:lang w:val="en-US" w:eastAsia="en-GB"/>
              </w:rPr>
              <w:t>SIAs planned?</w:t>
            </w:r>
          </w:p>
        </w:tc>
        <w:tc>
          <w:tcPr>
            <w:tcW w:w="2520" w:type="dxa"/>
            <w:tcBorders>
              <w:top w:val="nil"/>
              <w:left w:val="nil"/>
              <w:bottom w:val="single" w:sz="4" w:space="0" w:color="auto"/>
              <w:right w:val="single" w:sz="4" w:space="0" w:color="auto"/>
            </w:tcBorders>
            <w:shd w:val="clear" w:color="000000" w:fill="FFC000"/>
            <w:vAlign w:val="center"/>
            <w:hideMark/>
          </w:tcPr>
          <w:p w:rsidR="00E01C99" w:rsidRPr="00EA6F8C" w:rsidRDefault="00361F07" w:rsidP="00C35316">
            <w:pPr>
              <w:spacing w:after="0" w:line="240" w:lineRule="auto"/>
              <w:jc w:val="center"/>
              <w:rPr>
                <w:rFonts w:ascii="Calibri" w:eastAsia="Times New Roman" w:hAnsi="Calibri" w:cs="Calibri"/>
                <w:b/>
                <w:bCs/>
                <w:color w:val="000000"/>
                <w:lang w:val="en-US" w:eastAsia="en-GB"/>
              </w:rPr>
            </w:pPr>
            <w:r>
              <w:rPr>
                <w:rFonts w:ascii="Calibri" w:eastAsia="Times New Roman" w:hAnsi="Calibri" w:cs="Calibri"/>
                <w:b/>
                <w:bCs/>
                <w:color w:val="000000"/>
                <w:lang w:val="en-US" w:eastAsia="en-GB"/>
              </w:rPr>
              <w:t>Not to date</w:t>
            </w:r>
          </w:p>
        </w:tc>
      </w:tr>
      <w:tr w:rsidR="009C5DC1" w:rsidRPr="00EA6F8C" w:rsidTr="00A03C34">
        <w:trPr>
          <w:trHeight w:val="395"/>
          <w:jc w:val="center"/>
        </w:trPr>
        <w:tc>
          <w:tcPr>
            <w:tcW w:w="3220" w:type="dxa"/>
            <w:vMerge w:val="restart"/>
            <w:tcBorders>
              <w:top w:val="nil"/>
              <w:left w:val="single" w:sz="4" w:space="0" w:color="auto"/>
              <w:right w:val="single" w:sz="4" w:space="0" w:color="auto"/>
            </w:tcBorders>
            <w:shd w:val="clear" w:color="000000" w:fill="EBF1DE"/>
            <w:hideMark/>
          </w:tcPr>
          <w:p w:rsidR="009C5DC1" w:rsidRPr="00EA6F8C" w:rsidRDefault="009C5DC1" w:rsidP="009C5DC1">
            <w:pPr>
              <w:spacing w:after="0" w:line="240" w:lineRule="auto"/>
              <w:rPr>
                <w:rFonts w:ascii="Calibri" w:eastAsia="Times New Roman" w:hAnsi="Calibri" w:cs="Calibri"/>
                <w:b/>
                <w:bCs/>
                <w:color w:val="000000"/>
                <w:lang w:val="en-US" w:eastAsia="en-GB"/>
              </w:rPr>
            </w:pPr>
            <w:r w:rsidRPr="00EA6F8C">
              <w:rPr>
                <w:rFonts w:ascii="Calibri" w:eastAsia="Times New Roman" w:hAnsi="Calibri" w:cs="Calibri"/>
                <w:b/>
                <w:bCs/>
                <w:color w:val="000000"/>
                <w:lang w:val="en-US" w:eastAsia="en-GB"/>
              </w:rPr>
              <w:t xml:space="preserve">5. Reach 90% national coverage and 80% in every district with </w:t>
            </w:r>
            <w:r>
              <w:rPr>
                <w:rFonts w:ascii="Calibri" w:eastAsia="Times New Roman" w:hAnsi="Calibri" w:cs="Calibri"/>
                <w:b/>
                <w:bCs/>
                <w:color w:val="000000"/>
                <w:lang w:val="en-US" w:eastAsia="en-GB"/>
              </w:rPr>
              <w:t xml:space="preserve">3 doses of </w:t>
            </w:r>
            <w:r w:rsidRPr="00EA6F8C">
              <w:rPr>
                <w:rFonts w:ascii="Calibri" w:eastAsia="Times New Roman" w:hAnsi="Calibri" w:cs="Calibri"/>
                <w:b/>
                <w:bCs/>
                <w:color w:val="000000"/>
                <w:lang w:val="en-US" w:eastAsia="en-GB"/>
              </w:rPr>
              <w:t>DTP</w:t>
            </w:r>
            <w:r>
              <w:rPr>
                <w:rFonts w:ascii="Calibri" w:eastAsia="Times New Roman" w:hAnsi="Calibri" w:cs="Calibri"/>
                <w:b/>
                <w:bCs/>
                <w:color w:val="000000"/>
                <w:lang w:val="en-US" w:eastAsia="en-GB"/>
              </w:rPr>
              <w:t>-containing vaccine</w:t>
            </w:r>
          </w:p>
        </w:tc>
        <w:tc>
          <w:tcPr>
            <w:tcW w:w="3777" w:type="dxa"/>
            <w:tcBorders>
              <w:top w:val="nil"/>
              <w:left w:val="nil"/>
              <w:bottom w:val="single" w:sz="4" w:space="0" w:color="auto"/>
              <w:right w:val="single" w:sz="4" w:space="0" w:color="auto"/>
            </w:tcBorders>
            <w:shd w:val="clear" w:color="000000" w:fill="EBF1DE"/>
            <w:vAlign w:val="center"/>
            <w:hideMark/>
          </w:tcPr>
          <w:p w:rsidR="009C5DC1" w:rsidRPr="00EA6F8C" w:rsidRDefault="009C5DC1" w:rsidP="009C5DC1">
            <w:pPr>
              <w:spacing w:after="0" w:line="240" w:lineRule="auto"/>
              <w:rPr>
                <w:rFonts w:ascii="Calibri" w:eastAsia="Times New Roman" w:hAnsi="Calibri" w:cs="Calibri"/>
                <w:b/>
                <w:bCs/>
                <w:color w:val="000000"/>
                <w:lang w:val="en-US" w:eastAsia="en-GB"/>
              </w:rPr>
            </w:pPr>
            <w:r w:rsidRPr="00EA6F8C">
              <w:rPr>
                <w:rFonts w:ascii="Calibri" w:eastAsia="Times New Roman" w:hAnsi="Calibri" w:cs="Calibri"/>
                <w:b/>
                <w:bCs/>
                <w:color w:val="000000"/>
                <w:lang w:val="en-US" w:eastAsia="en-GB"/>
              </w:rPr>
              <w:t>National coverage (</w:t>
            </w:r>
            <w:r>
              <w:rPr>
                <w:rFonts w:ascii="Calibri" w:eastAsia="Times New Roman" w:hAnsi="Calibri" w:cs="Calibri"/>
                <w:b/>
                <w:bCs/>
                <w:color w:val="000000"/>
                <w:lang w:val="en-US" w:eastAsia="en-GB"/>
              </w:rPr>
              <w:t xml:space="preserve">2015 </w:t>
            </w:r>
            <w:r w:rsidRPr="00EA6F8C">
              <w:rPr>
                <w:rFonts w:ascii="Calibri" w:eastAsia="Times New Roman" w:hAnsi="Calibri" w:cs="Calibri"/>
                <w:b/>
                <w:bCs/>
                <w:color w:val="000000"/>
                <w:lang w:val="en-US" w:eastAsia="en-GB"/>
              </w:rPr>
              <w:t>WUENIC)</w:t>
            </w:r>
          </w:p>
        </w:tc>
        <w:tc>
          <w:tcPr>
            <w:tcW w:w="2520" w:type="dxa"/>
            <w:tcBorders>
              <w:top w:val="nil"/>
              <w:left w:val="nil"/>
              <w:bottom w:val="single" w:sz="4" w:space="0" w:color="auto"/>
              <w:right w:val="single" w:sz="4" w:space="0" w:color="auto"/>
            </w:tcBorders>
            <w:shd w:val="clear" w:color="000000" w:fill="FF0000"/>
            <w:vAlign w:val="center"/>
            <w:hideMark/>
          </w:tcPr>
          <w:p w:rsidR="009C5DC1" w:rsidRPr="00EA6F8C" w:rsidRDefault="009C5DC1" w:rsidP="00C35316">
            <w:pPr>
              <w:spacing w:after="0" w:line="240" w:lineRule="auto"/>
              <w:jc w:val="center"/>
              <w:rPr>
                <w:rFonts w:ascii="Calibri" w:eastAsia="Times New Roman" w:hAnsi="Calibri" w:cs="Calibri"/>
                <w:b/>
                <w:bCs/>
                <w:color w:val="000000"/>
                <w:lang w:val="en-US" w:eastAsia="en-GB"/>
              </w:rPr>
            </w:pPr>
            <w:r>
              <w:rPr>
                <w:rFonts w:ascii="Calibri" w:eastAsia="Times New Roman" w:hAnsi="Calibri" w:cs="Calibri"/>
                <w:b/>
                <w:bCs/>
                <w:color w:val="000000"/>
                <w:lang w:val="en-US" w:eastAsia="en-GB"/>
              </w:rPr>
              <w:t>5</w:t>
            </w:r>
            <w:r w:rsidRPr="00EA6F8C">
              <w:rPr>
                <w:rFonts w:ascii="Calibri" w:eastAsia="Times New Roman" w:hAnsi="Calibri" w:cs="Calibri"/>
                <w:b/>
                <w:bCs/>
                <w:color w:val="000000"/>
                <w:lang w:val="en-US" w:eastAsia="en-GB"/>
              </w:rPr>
              <w:t>6%</w:t>
            </w:r>
          </w:p>
        </w:tc>
      </w:tr>
      <w:tr w:rsidR="009C5DC1" w:rsidRPr="00EA6F8C" w:rsidTr="00A03C34">
        <w:trPr>
          <w:trHeight w:val="620"/>
          <w:jc w:val="center"/>
        </w:trPr>
        <w:tc>
          <w:tcPr>
            <w:tcW w:w="3220" w:type="dxa"/>
            <w:vMerge/>
            <w:tcBorders>
              <w:left w:val="single" w:sz="4" w:space="0" w:color="auto"/>
              <w:right w:val="single" w:sz="4" w:space="0" w:color="auto"/>
            </w:tcBorders>
            <w:shd w:val="clear" w:color="000000" w:fill="EBF1DE"/>
            <w:vAlign w:val="center"/>
          </w:tcPr>
          <w:p w:rsidR="009C5DC1" w:rsidRPr="00EA6F8C" w:rsidRDefault="009C5DC1" w:rsidP="00C35316">
            <w:pPr>
              <w:spacing w:after="0" w:line="240" w:lineRule="auto"/>
              <w:rPr>
                <w:rFonts w:ascii="Calibri" w:eastAsia="Times New Roman" w:hAnsi="Calibri" w:cs="Calibri"/>
                <w:b/>
                <w:bCs/>
                <w:color w:val="000000"/>
                <w:lang w:val="en-US" w:eastAsia="en-GB"/>
              </w:rPr>
            </w:pPr>
          </w:p>
        </w:tc>
        <w:tc>
          <w:tcPr>
            <w:tcW w:w="3777" w:type="dxa"/>
            <w:tcBorders>
              <w:top w:val="nil"/>
              <w:left w:val="nil"/>
              <w:bottom w:val="single" w:sz="4" w:space="0" w:color="auto"/>
              <w:right w:val="single" w:sz="4" w:space="0" w:color="auto"/>
            </w:tcBorders>
            <w:shd w:val="clear" w:color="000000" w:fill="EBF1DE"/>
            <w:vAlign w:val="center"/>
            <w:hideMark/>
          </w:tcPr>
          <w:p w:rsidR="009C5DC1" w:rsidRPr="00EA6F8C" w:rsidRDefault="009C5DC1" w:rsidP="009C5DC1">
            <w:pPr>
              <w:spacing w:after="0" w:line="240" w:lineRule="auto"/>
              <w:rPr>
                <w:rFonts w:ascii="Calibri" w:eastAsia="Times New Roman" w:hAnsi="Calibri" w:cs="Calibri"/>
                <w:b/>
                <w:bCs/>
                <w:color w:val="000000"/>
                <w:lang w:val="en-US" w:eastAsia="en-GB"/>
              </w:rPr>
            </w:pPr>
            <w:r w:rsidRPr="00EA6F8C">
              <w:rPr>
                <w:rFonts w:ascii="Calibri" w:eastAsia="Times New Roman" w:hAnsi="Calibri" w:cs="Calibri"/>
                <w:b/>
                <w:bCs/>
                <w:color w:val="000000"/>
                <w:lang w:val="en-US" w:eastAsia="en-GB"/>
              </w:rPr>
              <w:t xml:space="preserve">Drop-out rate DTP1 </w:t>
            </w:r>
            <w:r>
              <w:rPr>
                <w:rFonts w:ascii="Calibri" w:eastAsia="Times New Roman" w:hAnsi="Calibri" w:cs="Calibri"/>
                <w:b/>
                <w:bCs/>
                <w:color w:val="000000"/>
                <w:lang w:val="en-US" w:eastAsia="en-GB"/>
              </w:rPr>
              <w:t xml:space="preserve">to </w:t>
            </w:r>
            <w:r w:rsidRPr="00EA6F8C">
              <w:rPr>
                <w:rFonts w:ascii="Calibri" w:eastAsia="Times New Roman" w:hAnsi="Calibri" w:cs="Calibri"/>
                <w:b/>
                <w:bCs/>
                <w:color w:val="000000"/>
                <w:lang w:val="en-US" w:eastAsia="en-GB"/>
              </w:rPr>
              <w:t>DTP3 (201</w:t>
            </w:r>
            <w:r>
              <w:rPr>
                <w:rFonts w:ascii="Calibri" w:eastAsia="Times New Roman" w:hAnsi="Calibri" w:cs="Calibri"/>
                <w:b/>
                <w:bCs/>
                <w:color w:val="000000"/>
                <w:lang w:val="en-US" w:eastAsia="en-GB"/>
              </w:rPr>
              <w:t>5 WUENIC)</w:t>
            </w:r>
          </w:p>
        </w:tc>
        <w:tc>
          <w:tcPr>
            <w:tcW w:w="2520" w:type="dxa"/>
            <w:tcBorders>
              <w:top w:val="nil"/>
              <w:left w:val="nil"/>
              <w:bottom w:val="single" w:sz="4" w:space="0" w:color="auto"/>
              <w:right w:val="single" w:sz="4" w:space="0" w:color="auto"/>
            </w:tcBorders>
            <w:shd w:val="clear" w:color="000000" w:fill="FF0000"/>
            <w:vAlign w:val="center"/>
            <w:hideMark/>
          </w:tcPr>
          <w:p w:rsidR="009C5DC1" w:rsidRPr="00EA6F8C" w:rsidRDefault="009C5DC1" w:rsidP="009C5DC1">
            <w:pPr>
              <w:spacing w:after="0" w:line="240" w:lineRule="auto"/>
              <w:jc w:val="center"/>
              <w:rPr>
                <w:rFonts w:ascii="Calibri" w:eastAsia="Times New Roman" w:hAnsi="Calibri" w:cs="Calibri"/>
                <w:b/>
                <w:bCs/>
                <w:color w:val="000000"/>
                <w:lang w:val="en-US" w:eastAsia="en-GB"/>
              </w:rPr>
            </w:pPr>
            <w:r>
              <w:rPr>
                <w:rFonts w:ascii="Calibri" w:eastAsia="Times New Roman" w:hAnsi="Calibri" w:cs="Calibri"/>
                <w:b/>
                <w:bCs/>
                <w:color w:val="000000"/>
                <w:lang w:val="en-US" w:eastAsia="en-GB"/>
              </w:rPr>
              <w:t>20</w:t>
            </w:r>
            <w:r w:rsidRPr="00EA6F8C">
              <w:rPr>
                <w:rFonts w:ascii="Calibri" w:eastAsia="Times New Roman" w:hAnsi="Calibri" w:cs="Calibri"/>
                <w:b/>
                <w:bCs/>
                <w:color w:val="000000"/>
                <w:lang w:val="en-US" w:eastAsia="en-GB"/>
              </w:rPr>
              <w:t>%</w:t>
            </w:r>
          </w:p>
        </w:tc>
      </w:tr>
      <w:tr w:rsidR="009C5DC1" w:rsidRPr="00EA6F8C" w:rsidTr="00A03C34">
        <w:trPr>
          <w:trHeight w:val="620"/>
          <w:jc w:val="center"/>
        </w:trPr>
        <w:tc>
          <w:tcPr>
            <w:tcW w:w="3220" w:type="dxa"/>
            <w:vMerge/>
            <w:tcBorders>
              <w:left w:val="single" w:sz="4" w:space="0" w:color="auto"/>
              <w:right w:val="single" w:sz="4" w:space="0" w:color="auto"/>
            </w:tcBorders>
            <w:shd w:val="clear" w:color="000000" w:fill="EBF1DE"/>
            <w:vAlign w:val="center"/>
          </w:tcPr>
          <w:p w:rsidR="009C5DC1" w:rsidRPr="00EA6F8C" w:rsidRDefault="009C5DC1" w:rsidP="00C35316">
            <w:pPr>
              <w:spacing w:after="0" w:line="240" w:lineRule="auto"/>
              <w:rPr>
                <w:rFonts w:ascii="Calibri" w:eastAsia="Times New Roman" w:hAnsi="Calibri" w:cs="Calibri"/>
                <w:b/>
                <w:bCs/>
                <w:color w:val="000000"/>
                <w:lang w:val="en-US" w:eastAsia="en-GB"/>
              </w:rPr>
            </w:pPr>
          </w:p>
        </w:tc>
        <w:tc>
          <w:tcPr>
            <w:tcW w:w="3777" w:type="dxa"/>
            <w:tcBorders>
              <w:top w:val="nil"/>
              <w:left w:val="nil"/>
              <w:bottom w:val="single" w:sz="4" w:space="0" w:color="auto"/>
              <w:right w:val="single" w:sz="4" w:space="0" w:color="auto"/>
            </w:tcBorders>
            <w:shd w:val="clear" w:color="000000" w:fill="EBF1DE"/>
            <w:vAlign w:val="center"/>
            <w:hideMark/>
          </w:tcPr>
          <w:p w:rsidR="009C5DC1" w:rsidRPr="00EA6F8C" w:rsidRDefault="009C5DC1" w:rsidP="009C5DC1">
            <w:pPr>
              <w:spacing w:after="0" w:line="240" w:lineRule="auto"/>
              <w:rPr>
                <w:rFonts w:ascii="Calibri" w:eastAsia="Times New Roman" w:hAnsi="Calibri" w:cs="Calibri"/>
                <w:b/>
                <w:bCs/>
                <w:color w:val="000000"/>
                <w:lang w:val="en-US" w:eastAsia="en-GB"/>
              </w:rPr>
            </w:pPr>
            <w:r w:rsidRPr="00EA6F8C">
              <w:rPr>
                <w:rFonts w:ascii="Calibri" w:eastAsia="Times New Roman" w:hAnsi="Calibri" w:cs="Calibri"/>
                <w:b/>
                <w:bCs/>
                <w:color w:val="000000"/>
                <w:lang w:val="en-US" w:eastAsia="en-GB"/>
              </w:rPr>
              <w:t>Actual numbers of children that dropped out (201</w:t>
            </w:r>
            <w:r>
              <w:rPr>
                <w:rFonts w:ascii="Calibri" w:eastAsia="Times New Roman" w:hAnsi="Calibri" w:cs="Calibri"/>
                <w:b/>
                <w:bCs/>
                <w:color w:val="000000"/>
                <w:lang w:val="en-US" w:eastAsia="en-GB"/>
              </w:rPr>
              <w:t>5</w:t>
            </w:r>
            <w:r w:rsidRPr="00EA6F8C">
              <w:rPr>
                <w:rFonts w:ascii="Calibri" w:eastAsia="Times New Roman" w:hAnsi="Calibri" w:cs="Calibri"/>
                <w:b/>
                <w:bCs/>
                <w:color w:val="000000"/>
                <w:lang w:val="en-US" w:eastAsia="en-GB"/>
              </w:rPr>
              <w:t xml:space="preserve"> WUENIC)</w:t>
            </w:r>
          </w:p>
        </w:tc>
        <w:tc>
          <w:tcPr>
            <w:tcW w:w="2520" w:type="dxa"/>
            <w:tcBorders>
              <w:top w:val="nil"/>
              <w:left w:val="nil"/>
              <w:bottom w:val="single" w:sz="4" w:space="0" w:color="auto"/>
              <w:right w:val="single" w:sz="4" w:space="0" w:color="auto"/>
            </w:tcBorders>
            <w:shd w:val="clear" w:color="000000" w:fill="FF0000"/>
            <w:vAlign w:val="center"/>
            <w:hideMark/>
          </w:tcPr>
          <w:p w:rsidR="009C5DC1" w:rsidRPr="00EA6F8C" w:rsidRDefault="00FB2BC5" w:rsidP="00C35316">
            <w:pPr>
              <w:spacing w:after="0" w:line="240" w:lineRule="auto"/>
              <w:jc w:val="center"/>
              <w:rPr>
                <w:rFonts w:ascii="Calibri" w:eastAsia="Times New Roman" w:hAnsi="Calibri" w:cs="Calibri"/>
                <w:b/>
                <w:bCs/>
                <w:color w:val="000000"/>
                <w:lang w:val="en-US" w:eastAsia="en-GB"/>
              </w:rPr>
            </w:pPr>
            <w:r>
              <w:rPr>
                <w:rFonts w:ascii="Calibri" w:eastAsia="Times New Roman" w:hAnsi="Calibri" w:cs="Calibri"/>
                <w:b/>
                <w:bCs/>
                <w:color w:val="000000"/>
                <w:lang w:val="en-US" w:eastAsia="en-GB"/>
              </w:rPr>
              <w:t>927,146</w:t>
            </w:r>
          </w:p>
        </w:tc>
      </w:tr>
      <w:tr w:rsidR="009C5DC1" w:rsidRPr="00EA6F8C" w:rsidTr="00A03C34">
        <w:trPr>
          <w:trHeight w:val="620"/>
          <w:jc w:val="center"/>
        </w:trPr>
        <w:tc>
          <w:tcPr>
            <w:tcW w:w="3220" w:type="dxa"/>
            <w:vMerge/>
            <w:tcBorders>
              <w:left w:val="single" w:sz="4" w:space="0" w:color="auto"/>
              <w:right w:val="single" w:sz="4" w:space="0" w:color="auto"/>
            </w:tcBorders>
            <w:shd w:val="clear" w:color="000000" w:fill="EBF1DE"/>
            <w:vAlign w:val="center"/>
          </w:tcPr>
          <w:p w:rsidR="009C5DC1" w:rsidRPr="00EA6F8C" w:rsidRDefault="009C5DC1" w:rsidP="00C35316">
            <w:pPr>
              <w:spacing w:after="0" w:line="240" w:lineRule="auto"/>
              <w:rPr>
                <w:rFonts w:ascii="Calibri" w:eastAsia="Times New Roman" w:hAnsi="Calibri" w:cs="Calibri"/>
                <w:b/>
                <w:bCs/>
                <w:color w:val="000000"/>
                <w:lang w:val="en-US" w:eastAsia="en-GB"/>
              </w:rPr>
            </w:pPr>
          </w:p>
        </w:tc>
        <w:tc>
          <w:tcPr>
            <w:tcW w:w="3777" w:type="dxa"/>
            <w:tcBorders>
              <w:top w:val="nil"/>
              <w:left w:val="nil"/>
              <w:bottom w:val="single" w:sz="4" w:space="0" w:color="auto"/>
              <w:right w:val="single" w:sz="4" w:space="0" w:color="auto"/>
            </w:tcBorders>
            <w:shd w:val="clear" w:color="000000" w:fill="EBF1DE"/>
            <w:vAlign w:val="center"/>
            <w:hideMark/>
          </w:tcPr>
          <w:p w:rsidR="009C5DC1" w:rsidRPr="00EA6F8C" w:rsidRDefault="009C5DC1" w:rsidP="009C5DC1">
            <w:pPr>
              <w:spacing w:after="0" w:line="240" w:lineRule="auto"/>
              <w:rPr>
                <w:rFonts w:ascii="Calibri" w:eastAsia="Times New Roman" w:hAnsi="Calibri" w:cs="Calibri"/>
                <w:b/>
                <w:bCs/>
                <w:color w:val="000000"/>
                <w:lang w:val="en-US" w:eastAsia="en-GB"/>
              </w:rPr>
            </w:pPr>
            <w:r w:rsidRPr="00EA6F8C">
              <w:rPr>
                <w:rFonts w:ascii="Calibri" w:eastAsia="Times New Roman" w:hAnsi="Calibri" w:cs="Calibri"/>
                <w:b/>
                <w:bCs/>
                <w:color w:val="000000"/>
                <w:lang w:val="en-US" w:eastAsia="en-GB"/>
              </w:rPr>
              <w:t xml:space="preserve">Difference between poorest and richest quintile DTP3 coverage (2013 </w:t>
            </w:r>
            <w:r>
              <w:rPr>
                <w:rFonts w:ascii="Calibri" w:eastAsia="Times New Roman" w:hAnsi="Calibri" w:cs="Calibri"/>
                <w:b/>
                <w:bCs/>
                <w:color w:val="000000"/>
                <w:lang w:val="en-US" w:eastAsia="en-GB"/>
              </w:rPr>
              <w:t>DHS</w:t>
            </w:r>
            <w:r w:rsidRPr="00EA6F8C">
              <w:rPr>
                <w:rFonts w:ascii="Calibri" w:eastAsia="Times New Roman" w:hAnsi="Calibri" w:cs="Calibri"/>
                <w:b/>
                <w:bCs/>
                <w:color w:val="000000"/>
                <w:lang w:val="en-US" w:eastAsia="en-GB"/>
              </w:rPr>
              <w:t>)</w:t>
            </w:r>
          </w:p>
        </w:tc>
        <w:tc>
          <w:tcPr>
            <w:tcW w:w="2520" w:type="dxa"/>
            <w:tcBorders>
              <w:top w:val="nil"/>
              <w:left w:val="nil"/>
              <w:bottom w:val="single" w:sz="4" w:space="0" w:color="auto"/>
              <w:right w:val="single" w:sz="4" w:space="0" w:color="auto"/>
            </w:tcBorders>
            <w:shd w:val="clear" w:color="000000" w:fill="FF0000"/>
            <w:vAlign w:val="center"/>
            <w:hideMark/>
          </w:tcPr>
          <w:p w:rsidR="009C5DC1" w:rsidRPr="00EA6F8C" w:rsidRDefault="009C5DC1" w:rsidP="00C35316">
            <w:pPr>
              <w:spacing w:after="0" w:line="240" w:lineRule="auto"/>
              <w:jc w:val="center"/>
              <w:rPr>
                <w:rFonts w:ascii="Calibri" w:eastAsia="Times New Roman" w:hAnsi="Calibri" w:cs="Calibri"/>
                <w:b/>
                <w:bCs/>
                <w:color w:val="000000"/>
                <w:lang w:val="en-US" w:eastAsia="en-GB"/>
              </w:rPr>
            </w:pPr>
            <w:r>
              <w:rPr>
                <w:rFonts w:ascii="Calibri" w:eastAsia="Times New Roman" w:hAnsi="Calibri" w:cs="Calibri"/>
                <w:b/>
                <w:bCs/>
                <w:color w:val="000000"/>
                <w:lang w:val="en-US" w:eastAsia="en-GB"/>
              </w:rPr>
              <w:t>64.7 percentage point</w:t>
            </w:r>
          </w:p>
        </w:tc>
      </w:tr>
      <w:tr w:rsidR="009C5DC1" w:rsidRPr="00EA6F8C" w:rsidTr="00A03C34">
        <w:trPr>
          <w:trHeight w:val="710"/>
          <w:jc w:val="center"/>
        </w:trPr>
        <w:tc>
          <w:tcPr>
            <w:tcW w:w="3220" w:type="dxa"/>
            <w:vMerge/>
            <w:tcBorders>
              <w:left w:val="single" w:sz="4" w:space="0" w:color="auto"/>
              <w:bottom w:val="single" w:sz="4" w:space="0" w:color="auto"/>
              <w:right w:val="single" w:sz="4" w:space="0" w:color="auto"/>
            </w:tcBorders>
            <w:shd w:val="clear" w:color="000000" w:fill="EBF1DE"/>
            <w:vAlign w:val="center"/>
          </w:tcPr>
          <w:p w:rsidR="009C5DC1" w:rsidRPr="00EA6F8C" w:rsidRDefault="009C5DC1" w:rsidP="00C35316">
            <w:pPr>
              <w:spacing w:after="0" w:line="240" w:lineRule="auto"/>
              <w:rPr>
                <w:rFonts w:ascii="Calibri" w:eastAsia="Times New Roman" w:hAnsi="Calibri" w:cs="Calibri"/>
                <w:b/>
                <w:bCs/>
                <w:color w:val="000000"/>
                <w:lang w:val="en-US" w:eastAsia="en-GB"/>
              </w:rPr>
            </w:pPr>
          </w:p>
        </w:tc>
        <w:tc>
          <w:tcPr>
            <w:tcW w:w="3777" w:type="dxa"/>
            <w:tcBorders>
              <w:top w:val="nil"/>
              <w:left w:val="nil"/>
              <w:bottom w:val="single" w:sz="4" w:space="0" w:color="auto"/>
              <w:right w:val="single" w:sz="4" w:space="0" w:color="auto"/>
            </w:tcBorders>
            <w:shd w:val="clear" w:color="000000" w:fill="EBF1DE"/>
            <w:vAlign w:val="center"/>
            <w:hideMark/>
          </w:tcPr>
          <w:p w:rsidR="009C5DC1" w:rsidRPr="00EA6F8C" w:rsidRDefault="000B2412" w:rsidP="000B2412">
            <w:pPr>
              <w:spacing w:after="0" w:line="240" w:lineRule="auto"/>
              <w:rPr>
                <w:rFonts w:ascii="Calibri" w:eastAsia="Times New Roman" w:hAnsi="Calibri" w:cs="Calibri"/>
                <w:b/>
                <w:bCs/>
                <w:color w:val="000000"/>
                <w:lang w:val="en-US" w:eastAsia="en-GB"/>
              </w:rPr>
            </w:pPr>
            <w:r>
              <w:rPr>
                <w:rFonts w:ascii="Calibri" w:eastAsia="Times New Roman" w:hAnsi="Calibri" w:cs="Calibri"/>
                <w:b/>
                <w:bCs/>
                <w:color w:val="000000"/>
                <w:lang w:val="en-US" w:eastAsia="en-GB"/>
              </w:rPr>
              <w:t>Reported p</w:t>
            </w:r>
            <w:r w:rsidR="009C5DC1">
              <w:rPr>
                <w:rFonts w:ascii="Calibri" w:eastAsia="Times New Roman" w:hAnsi="Calibri" w:cs="Calibri"/>
                <w:b/>
                <w:bCs/>
                <w:color w:val="000000"/>
                <w:lang w:val="en-US" w:eastAsia="en-GB"/>
              </w:rPr>
              <w:t>ercent of d</w:t>
            </w:r>
            <w:r w:rsidR="009C5DC1" w:rsidRPr="00EA6F8C">
              <w:rPr>
                <w:rFonts w:ascii="Calibri" w:eastAsia="Times New Roman" w:hAnsi="Calibri" w:cs="Calibri"/>
                <w:b/>
                <w:bCs/>
                <w:color w:val="000000"/>
                <w:lang w:val="en-US" w:eastAsia="en-GB"/>
              </w:rPr>
              <w:t>istrict</w:t>
            </w:r>
            <w:r w:rsidR="009C5DC1">
              <w:rPr>
                <w:rFonts w:ascii="Calibri" w:eastAsia="Times New Roman" w:hAnsi="Calibri" w:cs="Calibri"/>
                <w:b/>
                <w:bCs/>
                <w:color w:val="000000"/>
                <w:lang w:val="en-US" w:eastAsia="en-GB"/>
              </w:rPr>
              <w:t>s</w:t>
            </w:r>
            <w:r w:rsidR="009C5DC1" w:rsidRPr="00EA6F8C">
              <w:rPr>
                <w:rFonts w:ascii="Calibri" w:eastAsia="Times New Roman" w:hAnsi="Calibri" w:cs="Calibri"/>
                <w:b/>
                <w:bCs/>
                <w:color w:val="000000"/>
                <w:lang w:val="en-US" w:eastAsia="en-GB"/>
              </w:rPr>
              <w:t xml:space="preserve"> </w:t>
            </w:r>
            <w:r w:rsidR="009C5DC1">
              <w:rPr>
                <w:rFonts w:ascii="Calibri" w:eastAsia="Times New Roman" w:hAnsi="Calibri" w:cs="Calibri"/>
                <w:b/>
                <w:bCs/>
                <w:color w:val="000000"/>
                <w:lang w:val="en-US" w:eastAsia="en-GB"/>
              </w:rPr>
              <w:t>with ≥</w:t>
            </w:r>
            <w:r w:rsidR="009C5DC1" w:rsidRPr="00EA6F8C">
              <w:rPr>
                <w:rFonts w:ascii="Calibri" w:eastAsia="Times New Roman" w:hAnsi="Calibri" w:cs="Calibri"/>
                <w:b/>
                <w:bCs/>
                <w:color w:val="000000"/>
                <w:lang w:val="en-US" w:eastAsia="en-GB"/>
              </w:rPr>
              <w:t xml:space="preserve">80% coverage </w:t>
            </w:r>
            <w:r w:rsidR="009C5DC1">
              <w:rPr>
                <w:rFonts w:ascii="Calibri" w:eastAsia="Times New Roman" w:hAnsi="Calibri" w:cs="Calibri"/>
                <w:b/>
                <w:bCs/>
                <w:color w:val="000000"/>
                <w:lang w:val="en-US" w:eastAsia="en-GB"/>
              </w:rPr>
              <w:t>(</w:t>
            </w:r>
            <w:r w:rsidR="009C5DC1" w:rsidRPr="00EA6F8C">
              <w:rPr>
                <w:rFonts w:ascii="Calibri" w:eastAsia="Times New Roman" w:hAnsi="Calibri" w:cs="Calibri"/>
                <w:b/>
                <w:bCs/>
                <w:color w:val="000000"/>
                <w:lang w:val="en-US" w:eastAsia="en-GB"/>
              </w:rPr>
              <w:t xml:space="preserve">from 2015 </w:t>
            </w:r>
            <w:r>
              <w:rPr>
                <w:rFonts w:ascii="Calibri" w:eastAsia="Times New Roman" w:hAnsi="Calibri" w:cs="Calibri"/>
                <w:b/>
                <w:bCs/>
                <w:color w:val="000000"/>
                <w:lang w:val="en-US" w:eastAsia="en-GB"/>
              </w:rPr>
              <w:t>JRF</w:t>
            </w:r>
            <w:r w:rsidR="009C5DC1">
              <w:rPr>
                <w:rFonts w:ascii="Calibri" w:eastAsia="Times New Roman" w:hAnsi="Calibri" w:cs="Calibri"/>
                <w:b/>
                <w:bCs/>
                <w:color w:val="000000"/>
                <w:lang w:val="en-US" w:eastAsia="en-GB"/>
              </w:rPr>
              <w:t>)</w:t>
            </w:r>
          </w:p>
        </w:tc>
        <w:tc>
          <w:tcPr>
            <w:tcW w:w="2520" w:type="dxa"/>
            <w:tcBorders>
              <w:top w:val="nil"/>
              <w:left w:val="nil"/>
              <w:bottom w:val="single" w:sz="4" w:space="0" w:color="auto"/>
              <w:right w:val="single" w:sz="4" w:space="0" w:color="auto"/>
            </w:tcBorders>
            <w:shd w:val="clear" w:color="000000" w:fill="FFC000"/>
            <w:vAlign w:val="center"/>
            <w:hideMark/>
          </w:tcPr>
          <w:p w:rsidR="009C5DC1" w:rsidRPr="00EA6F8C" w:rsidRDefault="009C5DC1" w:rsidP="00C35316">
            <w:pPr>
              <w:spacing w:after="0" w:line="240" w:lineRule="auto"/>
              <w:jc w:val="center"/>
              <w:rPr>
                <w:rFonts w:ascii="Calibri" w:eastAsia="Times New Roman" w:hAnsi="Calibri" w:cs="Calibri"/>
                <w:b/>
                <w:bCs/>
                <w:color w:val="000000"/>
                <w:lang w:val="en-US" w:eastAsia="en-GB"/>
              </w:rPr>
            </w:pPr>
            <w:r w:rsidRPr="00EA6F8C">
              <w:rPr>
                <w:rFonts w:ascii="Calibri" w:eastAsia="Times New Roman" w:hAnsi="Calibri" w:cs="Calibri"/>
                <w:b/>
                <w:bCs/>
                <w:color w:val="000000"/>
                <w:lang w:val="en-US" w:eastAsia="en-GB"/>
              </w:rPr>
              <w:t>80%</w:t>
            </w:r>
          </w:p>
        </w:tc>
      </w:tr>
      <w:tr w:rsidR="00C35316" w:rsidRPr="00EA6F8C" w:rsidTr="00A03C34">
        <w:trPr>
          <w:trHeight w:val="1610"/>
          <w:jc w:val="center"/>
        </w:trPr>
        <w:tc>
          <w:tcPr>
            <w:tcW w:w="3220" w:type="dxa"/>
            <w:tcBorders>
              <w:top w:val="nil"/>
              <w:left w:val="single" w:sz="4" w:space="0" w:color="auto"/>
              <w:bottom w:val="single" w:sz="4" w:space="0" w:color="auto"/>
              <w:right w:val="single" w:sz="4" w:space="0" w:color="auto"/>
            </w:tcBorders>
            <w:shd w:val="clear" w:color="000000" w:fill="EBF1DE"/>
            <w:hideMark/>
          </w:tcPr>
          <w:p w:rsidR="00C35316" w:rsidRPr="00EA6F8C" w:rsidRDefault="00C35316" w:rsidP="00A03C34">
            <w:pPr>
              <w:spacing w:after="0" w:line="240" w:lineRule="auto"/>
              <w:rPr>
                <w:rFonts w:ascii="Calibri" w:eastAsia="Times New Roman" w:hAnsi="Calibri" w:cs="Calibri"/>
                <w:b/>
                <w:bCs/>
                <w:color w:val="000000"/>
                <w:lang w:val="en-US" w:eastAsia="en-GB"/>
              </w:rPr>
            </w:pPr>
            <w:r w:rsidRPr="00EA6F8C">
              <w:rPr>
                <w:rFonts w:ascii="Calibri" w:eastAsia="Times New Roman" w:hAnsi="Calibri" w:cs="Calibri"/>
                <w:b/>
                <w:bCs/>
                <w:color w:val="000000"/>
                <w:lang w:val="en-US" w:eastAsia="en-GB"/>
              </w:rPr>
              <w:lastRenderedPageBreak/>
              <w:t xml:space="preserve">6. Reach 90% </w:t>
            </w:r>
            <w:r w:rsidR="009C5DC1">
              <w:rPr>
                <w:rFonts w:ascii="Calibri" w:eastAsia="Times New Roman" w:hAnsi="Calibri" w:cs="Calibri"/>
                <w:b/>
                <w:bCs/>
                <w:color w:val="000000"/>
                <w:lang w:val="en-US" w:eastAsia="en-GB"/>
              </w:rPr>
              <w:t xml:space="preserve">national coverage </w:t>
            </w:r>
            <w:r w:rsidRPr="00EA6F8C">
              <w:rPr>
                <w:rFonts w:ascii="Calibri" w:eastAsia="Times New Roman" w:hAnsi="Calibri" w:cs="Calibri"/>
                <w:b/>
                <w:bCs/>
                <w:color w:val="000000"/>
                <w:lang w:val="en-US" w:eastAsia="en-GB"/>
              </w:rPr>
              <w:t xml:space="preserve">and 80% coverage </w:t>
            </w:r>
            <w:r w:rsidR="009C5DC1">
              <w:rPr>
                <w:rFonts w:ascii="Calibri" w:eastAsia="Times New Roman" w:hAnsi="Calibri" w:cs="Calibri"/>
                <w:b/>
                <w:bCs/>
                <w:color w:val="000000"/>
                <w:lang w:val="en-US" w:eastAsia="en-GB"/>
              </w:rPr>
              <w:t xml:space="preserve">in every district </w:t>
            </w:r>
            <w:r w:rsidRPr="00EA6F8C">
              <w:rPr>
                <w:rFonts w:ascii="Calibri" w:eastAsia="Times New Roman" w:hAnsi="Calibri" w:cs="Calibri"/>
                <w:b/>
                <w:bCs/>
                <w:color w:val="000000"/>
                <w:lang w:val="en-US" w:eastAsia="en-GB"/>
              </w:rPr>
              <w:t>with all vaccines in national immunization program</w:t>
            </w:r>
          </w:p>
        </w:tc>
        <w:tc>
          <w:tcPr>
            <w:tcW w:w="3777" w:type="dxa"/>
            <w:tcBorders>
              <w:top w:val="nil"/>
              <w:left w:val="nil"/>
              <w:bottom w:val="single" w:sz="4" w:space="0" w:color="auto"/>
              <w:right w:val="single" w:sz="4" w:space="0" w:color="auto"/>
            </w:tcBorders>
            <w:shd w:val="clear" w:color="000000" w:fill="EBF1DE"/>
            <w:hideMark/>
          </w:tcPr>
          <w:p w:rsidR="00C35316" w:rsidRPr="00EA6F8C" w:rsidRDefault="00A03C34" w:rsidP="00A03C34">
            <w:pPr>
              <w:spacing w:after="0" w:line="240" w:lineRule="auto"/>
              <w:rPr>
                <w:rFonts w:ascii="Calibri" w:eastAsia="Times New Roman" w:hAnsi="Calibri" w:cs="Calibri"/>
                <w:b/>
                <w:bCs/>
                <w:color w:val="000000"/>
                <w:lang w:val="en-US" w:eastAsia="en-GB"/>
              </w:rPr>
            </w:pPr>
            <w:r>
              <w:rPr>
                <w:rFonts w:ascii="Calibri" w:eastAsia="Times New Roman" w:hAnsi="Calibri" w:cs="Calibri"/>
                <w:b/>
                <w:bCs/>
                <w:color w:val="000000"/>
                <w:lang w:val="en-US" w:eastAsia="en-GB"/>
              </w:rPr>
              <w:t>National c</w:t>
            </w:r>
            <w:r w:rsidR="00C35316" w:rsidRPr="00EA6F8C">
              <w:rPr>
                <w:rFonts w:ascii="Calibri" w:eastAsia="Times New Roman" w:hAnsi="Calibri" w:cs="Calibri"/>
                <w:b/>
                <w:bCs/>
                <w:color w:val="000000"/>
                <w:lang w:val="en-US" w:eastAsia="en-GB"/>
              </w:rPr>
              <w:t>overage   (201</w:t>
            </w:r>
            <w:r w:rsidR="009C5DC1">
              <w:rPr>
                <w:rFonts w:ascii="Calibri" w:eastAsia="Times New Roman" w:hAnsi="Calibri" w:cs="Calibri"/>
                <w:b/>
                <w:bCs/>
                <w:color w:val="000000"/>
                <w:lang w:val="en-US" w:eastAsia="en-GB"/>
              </w:rPr>
              <w:t>5</w:t>
            </w:r>
            <w:r w:rsidR="00C35316" w:rsidRPr="00EA6F8C">
              <w:rPr>
                <w:rFonts w:ascii="Calibri" w:eastAsia="Times New Roman" w:hAnsi="Calibri" w:cs="Calibri"/>
                <w:b/>
                <w:bCs/>
                <w:color w:val="000000"/>
                <w:lang w:val="en-US" w:eastAsia="en-GB"/>
              </w:rPr>
              <w:t xml:space="preserve"> WUENIC)</w:t>
            </w:r>
          </w:p>
        </w:tc>
        <w:tc>
          <w:tcPr>
            <w:tcW w:w="2520" w:type="dxa"/>
            <w:tcBorders>
              <w:top w:val="nil"/>
              <w:left w:val="nil"/>
              <w:bottom w:val="single" w:sz="4" w:space="0" w:color="auto"/>
              <w:right w:val="single" w:sz="4" w:space="0" w:color="auto"/>
            </w:tcBorders>
            <w:shd w:val="clear" w:color="000000" w:fill="FF0000"/>
            <w:hideMark/>
          </w:tcPr>
          <w:p w:rsidR="00C35316" w:rsidRPr="00EA6F8C" w:rsidRDefault="00C35316" w:rsidP="00A03C34">
            <w:pPr>
              <w:spacing w:after="0" w:line="240" w:lineRule="auto"/>
              <w:jc w:val="center"/>
              <w:rPr>
                <w:rFonts w:ascii="Calibri" w:eastAsia="Times New Roman" w:hAnsi="Calibri" w:cs="Calibri"/>
                <w:b/>
                <w:bCs/>
                <w:color w:val="000000"/>
                <w:lang w:val="en-US" w:eastAsia="en-GB"/>
              </w:rPr>
            </w:pPr>
            <w:r w:rsidRPr="00EA6F8C">
              <w:rPr>
                <w:rFonts w:ascii="Calibri" w:eastAsia="Times New Roman" w:hAnsi="Calibri" w:cs="Calibri"/>
                <w:b/>
                <w:bCs/>
                <w:color w:val="000000"/>
                <w:lang w:val="en-US" w:eastAsia="en-GB"/>
              </w:rPr>
              <w:t xml:space="preserve">BCG: </w:t>
            </w:r>
            <w:r w:rsidR="00A03C34">
              <w:rPr>
                <w:rFonts w:ascii="Calibri" w:eastAsia="Times New Roman" w:hAnsi="Calibri" w:cs="Calibri"/>
                <w:b/>
                <w:bCs/>
                <w:color w:val="000000"/>
                <w:lang w:val="en-US" w:eastAsia="en-GB"/>
              </w:rPr>
              <w:t>68%</w:t>
            </w:r>
            <w:r w:rsidRPr="00EA6F8C">
              <w:rPr>
                <w:rFonts w:ascii="Calibri" w:eastAsia="Times New Roman" w:hAnsi="Calibri" w:cs="Calibri"/>
                <w:b/>
                <w:bCs/>
                <w:color w:val="000000"/>
                <w:lang w:val="en-US" w:eastAsia="en-GB"/>
              </w:rPr>
              <w:br/>
              <w:t>DTP1</w:t>
            </w:r>
            <w:r w:rsidR="00A03C34" w:rsidRPr="00EA6F8C">
              <w:rPr>
                <w:rFonts w:ascii="Calibri" w:eastAsia="Times New Roman" w:hAnsi="Calibri" w:cs="Calibri"/>
                <w:b/>
                <w:bCs/>
                <w:color w:val="000000"/>
                <w:lang w:val="en-US" w:eastAsia="en-GB"/>
              </w:rPr>
              <w:t>-HepB</w:t>
            </w:r>
            <w:r w:rsidR="00A03C34">
              <w:rPr>
                <w:rFonts w:ascii="Calibri" w:eastAsia="Times New Roman" w:hAnsi="Calibri" w:cs="Calibri"/>
                <w:b/>
                <w:bCs/>
                <w:color w:val="000000"/>
                <w:lang w:val="en-US" w:eastAsia="en-GB"/>
              </w:rPr>
              <w:t>1</w:t>
            </w:r>
            <w:r w:rsidR="00A03C34" w:rsidRPr="00EA6F8C">
              <w:rPr>
                <w:rFonts w:ascii="Calibri" w:eastAsia="Times New Roman" w:hAnsi="Calibri" w:cs="Calibri"/>
                <w:b/>
                <w:bCs/>
                <w:color w:val="000000"/>
                <w:lang w:val="en-US" w:eastAsia="en-GB"/>
              </w:rPr>
              <w:t>-Hib</w:t>
            </w:r>
            <w:r w:rsidR="00A03C34">
              <w:rPr>
                <w:rFonts w:ascii="Calibri" w:eastAsia="Times New Roman" w:hAnsi="Calibri" w:cs="Calibri"/>
                <w:b/>
                <w:bCs/>
                <w:color w:val="000000"/>
                <w:lang w:val="en-US" w:eastAsia="en-GB"/>
              </w:rPr>
              <w:t>1:</w:t>
            </w:r>
            <w:r w:rsidRPr="00EA6F8C">
              <w:rPr>
                <w:rFonts w:ascii="Calibri" w:eastAsia="Times New Roman" w:hAnsi="Calibri" w:cs="Calibri"/>
                <w:b/>
                <w:bCs/>
                <w:color w:val="000000"/>
                <w:lang w:val="en-US" w:eastAsia="en-GB"/>
              </w:rPr>
              <w:t xml:space="preserve"> 7</w:t>
            </w:r>
            <w:r w:rsidR="00A03C34">
              <w:rPr>
                <w:rFonts w:ascii="Calibri" w:eastAsia="Times New Roman" w:hAnsi="Calibri" w:cs="Calibri"/>
                <w:b/>
                <w:bCs/>
                <w:color w:val="000000"/>
                <w:lang w:val="en-US" w:eastAsia="en-GB"/>
              </w:rPr>
              <w:t>0%</w:t>
            </w:r>
            <w:r w:rsidRPr="00EA6F8C">
              <w:rPr>
                <w:rFonts w:ascii="Calibri" w:eastAsia="Times New Roman" w:hAnsi="Calibri" w:cs="Calibri"/>
                <w:b/>
                <w:bCs/>
                <w:color w:val="000000"/>
                <w:lang w:val="en-US" w:eastAsia="en-GB"/>
              </w:rPr>
              <w:br/>
              <w:t>DTP3-HepB3-Hib3</w:t>
            </w:r>
            <w:r w:rsidR="00A03C34">
              <w:rPr>
                <w:rFonts w:ascii="Calibri" w:eastAsia="Times New Roman" w:hAnsi="Calibri" w:cs="Calibri"/>
                <w:b/>
                <w:bCs/>
                <w:color w:val="000000"/>
                <w:lang w:val="en-US" w:eastAsia="en-GB"/>
              </w:rPr>
              <w:t>: 5</w:t>
            </w:r>
            <w:r w:rsidRPr="00EA6F8C">
              <w:rPr>
                <w:rFonts w:ascii="Calibri" w:eastAsia="Times New Roman" w:hAnsi="Calibri" w:cs="Calibri"/>
                <w:b/>
                <w:bCs/>
                <w:color w:val="000000"/>
                <w:lang w:val="en-US" w:eastAsia="en-GB"/>
              </w:rPr>
              <w:t>6</w:t>
            </w:r>
            <w:r w:rsidR="00A03C34">
              <w:rPr>
                <w:rFonts w:ascii="Calibri" w:eastAsia="Times New Roman" w:hAnsi="Calibri" w:cs="Calibri"/>
                <w:b/>
                <w:bCs/>
                <w:color w:val="000000"/>
                <w:lang w:val="en-US" w:eastAsia="en-GB"/>
              </w:rPr>
              <w:t>%</w:t>
            </w:r>
            <w:r w:rsidRPr="00EA6F8C">
              <w:rPr>
                <w:rFonts w:ascii="Calibri" w:eastAsia="Times New Roman" w:hAnsi="Calibri" w:cs="Calibri"/>
                <w:b/>
                <w:bCs/>
                <w:color w:val="000000"/>
                <w:lang w:val="en-US" w:eastAsia="en-GB"/>
              </w:rPr>
              <w:br/>
              <w:t>MCV1</w:t>
            </w:r>
            <w:r w:rsidR="00A03C34">
              <w:rPr>
                <w:rFonts w:ascii="Calibri" w:eastAsia="Times New Roman" w:hAnsi="Calibri" w:cs="Calibri"/>
                <w:b/>
                <w:bCs/>
                <w:color w:val="000000"/>
                <w:lang w:val="en-US" w:eastAsia="en-GB"/>
              </w:rPr>
              <w:t>:</w:t>
            </w:r>
            <w:r w:rsidRPr="00EA6F8C">
              <w:rPr>
                <w:rFonts w:ascii="Calibri" w:eastAsia="Times New Roman" w:hAnsi="Calibri" w:cs="Calibri"/>
                <w:b/>
                <w:bCs/>
                <w:color w:val="000000"/>
                <w:lang w:val="en-US" w:eastAsia="en-GB"/>
              </w:rPr>
              <w:t xml:space="preserve"> 5</w:t>
            </w:r>
            <w:r w:rsidR="00A03C34">
              <w:rPr>
                <w:rFonts w:ascii="Calibri" w:eastAsia="Times New Roman" w:hAnsi="Calibri" w:cs="Calibri"/>
                <w:b/>
                <w:bCs/>
                <w:color w:val="000000"/>
                <w:lang w:val="en-US" w:eastAsia="en-GB"/>
              </w:rPr>
              <w:t>4%</w:t>
            </w:r>
            <w:r w:rsidRPr="00EA6F8C">
              <w:rPr>
                <w:rFonts w:ascii="Calibri" w:eastAsia="Times New Roman" w:hAnsi="Calibri" w:cs="Calibri"/>
                <w:b/>
                <w:bCs/>
                <w:color w:val="000000"/>
                <w:lang w:val="en-US" w:eastAsia="en-GB"/>
              </w:rPr>
              <w:br/>
              <w:t>Pol</w:t>
            </w:r>
            <w:r w:rsidR="00A03C34">
              <w:rPr>
                <w:rFonts w:ascii="Calibri" w:eastAsia="Times New Roman" w:hAnsi="Calibri" w:cs="Calibri"/>
                <w:b/>
                <w:bCs/>
                <w:color w:val="000000"/>
                <w:lang w:val="en-US" w:eastAsia="en-GB"/>
              </w:rPr>
              <w:t>io</w:t>
            </w:r>
            <w:r w:rsidRPr="00EA6F8C">
              <w:rPr>
                <w:rFonts w:ascii="Calibri" w:eastAsia="Times New Roman" w:hAnsi="Calibri" w:cs="Calibri"/>
                <w:b/>
                <w:bCs/>
                <w:color w:val="000000"/>
                <w:lang w:val="en-US" w:eastAsia="en-GB"/>
              </w:rPr>
              <w:t>3</w:t>
            </w:r>
            <w:r w:rsidR="00A03C34">
              <w:rPr>
                <w:rFonts w:ascii="Calibri" w:eastAsia="Times New Roman" w:hAnsi="Calibri" w:cs="Calibri"/>
                <w:b/>
                <w:bCs/>
                <w:color w:val="000000"/>
                <w:lang w:val="en-US" w:eastAsia="en-GB"/>
              </w:rPr>
              <w:t>: 556</w:t>
            </w:r>
            <w:r w:rsidR="00A03C34">
              <w:rPr>
                <w:rFonts w:ascii="Calibri" w:eastAsia="Times New Roman" w:hAnsi="Calibri" w:cs="Calibri"/>
                <w:b/>
                <w:bCs/>
                <w:color w:val="000000"/>
                <w:lang w:val="en-US" w:eastAsia="en-GB"/>
              </w:rPr>
              <w:br/>
              <w:t>YF:</w:t>
            </w:r>
            <w:r w:rsidRPr="00EA6F8C">
              <w:rPr>
                <w:rFonts w:ascii="Calibri" w:eastAsia="Times New Roman" w:hAnsi="Calibri" w:cs="Calibri"/>
                <w:b/>
                <w:bCs/>
                <w:color w:val="000000"/>
                <w:lang w:val="en-US" w:eastAsia="en-GB"/>
              </w:rPr>
              <w:t xml:space="preserve"> </w:t>
            </w:r>
            <w:r w:rsidR="00A03C34">
              <w:rPr>
                <w:rFonts w:ascii="Calibri" w:eastAsia="Times New Roman" w:hAnsi="Calibri" w:cs="Calibri"/>
                <w:b/>
                <w:bCs/>
                <w:color w:val="000000"/>
                <w:lang w:val="en-US" w:eastAsia="en-GB"/>
              </w:rPr>
              <w:t>5</w:t>
            </w:r>
            <w:r w:rsidRPr="00EA6F8C">
              <w:rPr>
                <w:rFonts w:ascii="Calibri" w:eastAsia="Times New Roman" w:hAnsi="Calibri" w:cs="Calibri"/>
                <w:b/>
                <w:bCs/>
                <w:color w:val="000000"/>
                <w:lang w:val="en-US" w:eastAsia="en-GB"/>
              </w:rPr>
              <w:t>4</w:t>
            </w:r>
          </w:p>
        </w:tc>
      </w:tr>
      <w:tr w:rsidR="00C35316" w:rsidRPr="00EA6F8C" w:rsidTr="00A03C34">
        <w:trPr>
          <w:trHeight w:val="900"/>
          <w:jc w:val="center"/>
        </w:trPr>
        <w:tc>
          <w:tcPr>
            <w:tcW w:w="3220" w:type="dxa"/>
            <w:tcBorders>
              <w:top w:val="nil"/>
              <w:left w:val="single" w:sz="4" w:space="0" w:color="auto"/>
              <w:bottom w:val="single" w:sz="4" w:space="0" w:color="auto"/>
              <w:right w:val="single" w:sz="4" w:space="0" w:color="auto"/>
            </w:tcBorders>
            <w:shd w:val="clear" w:color="000000" w:fill="E4DFEC"/>
            <w:hideMark/>
          </w:tcPr>
          <w:p w:rsidR="00C35316" w:rsidRPr="00EA6F8C" w:rsidRDefault="00C35316" w:rsidP="00A03C34">
            <w:pPr>
              <w:spacing w:after="0" w:line="240" w:lineRule="auto"/>
              <w:rPr>
                <w:rFonts w:ascii="Calibri" w:eastAsia="Times New Roman" w:hAnsi="Calibri" w:cs="Calibri"/>
                <w:b/>
                <w:bCs/>
                <w:color w:val="000000"/>
                <w:lang w:val="en-US" w:eastAsia="en-GB"/>
              </w:rPr>
            </w:pPr>
            <w:r w:rsidRPr="00EA6F8C">
              <w:rPr>
                <w:rFonts w:ascii="Calibri" w:eastAsia="Times New Roman" w:hAnsi="Calibri" w:cs="Calibri"/>
                <w:b/>
                <w:bCs/>
                <w:color w:val="000000"/>
                <w:lang w:val="en-US" w:eastAsia="en-GB"/>
              </w:rPr>
              <w:t>7. Introduction of new vaccines</w:t>
            </w:r>
          </w:p>
        </w:tc>
        <w:tc>
          <w:tcPr>
            <w:tcW w:w="3777" w:type="dxa"/>
            <w:tcBorders>
              <w:top w:val="nil"/>
              <w:left w:val="nil"/>
              <w:bottom w:val="single" w:sz="4" w:space="0" w:color="auto"/>
              <w:right w:val="single" w:sz="4" w:space="0" w:color="auto"/>
            </w:tcBorders>
            <w:shd w:val="clear" w:color="000000" w:fill="E4DFEC"/>
            <w:hideMark/>
          </w:tcPr>
          <w:p w:rsidR="00C35316" w:rsidRPr="00EA6F8C" w:rsidRDefault="00A03C34" w:rsidP="00A03C34">
            <w:pPr>
              <w:spacing w:after="0" w:line="240" w:lineRule="auto"/>
              <w:rPr>
                <w:rFonts w:ascii="Calibri" w:eastAsia="Times New Roman" w:hAnsi="Calibri" w:cs="Calibri"/>
                <w:b/>
                <w:bCs/>
                <w:color w:val="000000"/>
                <w:lang w:val="en-US" w:eastAsia="en-GB"/>
              </w:rPr>
            </w:pPr>
            <w:r>
              <w:rPr>
                <w:rFonts w:ascii="Calibri" w:eastAsia="Times New Roman" w:hAnsi="Calibri" w:cs="Calibri"/>
                <w:b/>
                <w:bCs/>
                <w:color w:val="000000"/>
                <w:lang w:val="en-US" w:eastAsia="en-GB"/>
              </w:rPr>
              <w:t>New v</w:t>
            </w:r>
            <w:r w:rsidR="00C35316" w:rsidRPr="00EA6F8C">
              <w:rPr>
                <w:rFonts w:ascii="Calibri" w:eastAsia="Times New Roman" w:hAnsi="Calibri" w:cs="Calibri"/>
                <w:b/>
                <w:bCs/>
                <w:color w:val="000000"/>
                <w:lang w:val="en-US" w:eastAsia="en-GB"/>
              </w:rPr>
              <w:t>accines introduced</w:t>
            </w:r>
          </w:p>
        </w:tc>
        <w:tc>
          <w:tcPr>
            <w:tcW w:w="2520" w:type="dxa"/>
            <w:tcBorders>
              <w:top w:val="nil"/>
              <w:left w:val="nil"/>
              <w:bottom w:val="single" w:sz="4" w:space="0" w:color="auto"/>
              <w:right w:val="single" w:sz="4" w:space="0" w:color="auto"/>
            </w:tcBorders>
            <w:shd w:val="clear" w:color="000000" w:fill="00B050"/>
            <w:vAlign w:val="center"/>
            <w:hideMark/>
          </w:tcPr>
          <w:p w:rsidR="00C35316" w:rsidRPr="00EA6F8C" w:rsidRDefault="00A03C34" w:rsidP="00A03C34">
            <w:pPr>
              <w:spacing w:after="0" w:line="240" w:lineRule="auto"/>
              <w:jc w:val="center"/>
              <w:rPr>
                <w:rFonts w:ascii="Calibri" w:eastAsia="Times New Roman" w:hAnsi="Calibri" w:cs="Calibri"/>
                <w:b/>
                <w:bCs/>
                <w:color w:val="000000"/>
                <w:lang w:val="en-US" w:eastAsia="en-GB"/>
              </w:rPr>
            </w:pPr>
            <w:r>
              <w:rPr>
                <w:rFonts w:ascii="Calibri" w:eastAsia="Times New Roman" w:hAnsi="Calibri" w:cs="Calibri"/>
                <w:b/>
                <w:bCs/>
                <w:color w:val="000000"/>
                <w:lang w:val="en-US" w:eastAsia="en-GB"/>
              </w:rPr>
              <w:t xml:space="preserve">Pentavalent: 2012-2014; </w:t>
            </w:r>
            <w:r w:rsidR="00C35316" w:rsidRPr="00EA6F8C">
              <w:rPr>
                <w:rFonts w:ascii="Calibri" w:eastAsia="Times New Roman" w:hAnsi="Calibri" w:cs="Calibri"/>
                <w:b/>
                <w:bCs/>
                <w:color w:val="000000"/>
                <w:lang w:val="en-US" w:eastAsia="en-GB"/>
              </w:rPr>
              <w:t>PCV</w:t>
            </w:r>
            <w:r>
              <w:rPr>
                <w:rFonts w:ascii="Calibri" w:eastAsia="Times New Roman" w:hAnsi="Calibri" w:cs="Calibri"/>
                <w:b/>
                <w:bCs/>
                <w:color w:val="000000"/>
                <w:lang w:val="en-US" w:eastAsia="en-GB"/>
              </w:rPr>
              <w:t>: 2014-2016; IPV in 2015. Meningitis A in routine program planned for 2017 and rotavirus for 2018.</w:t>
            </w:r>
          </w:p>
        </w:tc>
      </w:tr>
      <w:tr w:rsidR="00C35316" w:rsidRPr="00EA6F8C" w:rsidTr="00FE7220">
        <w:trPr>
          <w:trHeight w:val="620"/>
          <w:jc w:val="center"/>
        </w:trPr>
        <w:tc>
          <w:tcPr>
            <w:tcW w:w="3220" w:type="dxa"/>
            <w:tcBorders>
              <w:top w:val="nil"/>
              <w:left w:val="single" w:sz="4" w:space="0" w:color="auto"/>
              <w:bottom w:val="single" w:sz="4" w:space="0" w:color="auto"/>
              <w:right w:val="single" w:sz="4" w:space="0" w:color="auto"/>
            </w:tcBorders>
            <w:shd w:val="clear" w:color="000000" w:fill="DAEEF3"/>
            <w:vAlign w:val="center"/>
            <w:hideMark/>
          </w:tcPr>
          <w:p w:rsidR="00C35316" w:rsidRPr="00EA6F8C" w:rsidRDefault="00C35316" w:rsidP="00C35316">
            <w:pPr>
              <w:spacing w:after="0" w:line="240" w:lineRule="auto"/>
              <w:rPr>
                <w:rFonts w:ascii="Calibri" w:eastAsia="Times New Roman" w:hAnsi="Calibri" w:cs="Calibri"/>
                <w:b/>
                <w:bCs/>
                <w:color w:val="000000"/>
                <w:lang w:val="en-US" w:eastAsia="en-GB"/>
              </w:rPr>
            </w:pPr>
            <w:r w:rsidRPr="00EA6F8C">
              <w:rPr>
                <w:rFonts w:ascii="Calibri" w:eastAsia="Times New Roman" w:hAnsi="Calibri" w:cs="Calibri"/>
                <w:b/>
                <w:bCs/>
                <w:color w:val="000000"/>
                <w:lang w:val="en-US" w:eastAsia="en-GB"/>
              </w:rPr>
              <w:t>8. Reduction in under 5 mortality rate</w:t>
            </w:r>
          </w:p>
        </w:tc>
        <w:tc>
          <w:tcPr>
            <w:tcW w:w="3777" w:type="dxa"/>
            <w:tcBorders>
              <w:top w:val="nil"/>
              <w:left w:val="nil"/>
              <w:bottom w:val="single" w:sz="4" w:space="0" w:color="auto"/>
              <w:right w:val="single" w:sz="4" w:space="0" w:color="auto"/>
            </w:tcBorders>
            <w:shd w:val="clear" w:color="000000" w:fill="DAEEF3"/>
            <w:vAlign w:val="center"/>
            <w:hideMark/>
          </w:tcPr>
          <w:p w:rsidR="00C35316" w:rsidRPr="00EA6F8C" w:rsidRDefault="00A03C34" w:rsidP="00A03C34">
            <w:pPr>
              <w:spacing w:after="0" w:line="240" w:lineRule="auto"/>
              <w:rPr>
                <w:rFonts w:ascii="Calibri" w:eastAsia="Times New Roman" w:hAnsi="Calibri" w:cs="Calibri"/>
                <w:b/>
                <w:bCs/>
                <w:color w:val="000000"/>
                <w:lang w:val="en-US" w:eastAsia="en-GB"/>
              </w:rPr>
            </w:pPr>
            <w:r>
              <w:rPr>
                <w:rFonts w:ascii="Calibri" w:eastAsia="Times New Roman" w:hAnsi="Calibri" w:cs="Calibri"/>
                <w:b/>
                <w:bCs/>
                <w:color w:val="000000"/>
                <w:lang w:val="en-US" w:eastAsia="en-GB"/>
              </w:rPr>
              <w:t>Percent reduction</w:t>
            </w:r>
            <w:r w:rsidR="00C35316" w:rsidRPr="00EA6F8C">
              <w:rPr>
                <w:rFonts w:ascii="Calibri" w:eastAsia="Times New Roman" w:hAnsi="Calibri" w:cs="Calibri"/>
                <w:b/>
                <w:bCs/>
                <w:color w:val="000000"/>
                <w:lang w:val="en-US" w:eastAsia="en-GB"/>
              </w:rPr>
              <w:t xml:space="preserve"> between 2010 and 2015 </w:t>
            </w:r>
          </w:p>
        </w:tc>
        <w:tc>
          <w:tcPr>
            <w:tcW w:w="2520" w:type="dxa"/>
            <w:tcBorders>
              <w:top w:val="nil"/>
              <w:left w:val="nil"/>
              <w:bottom w:val="single" w:sz="4" w:space="0" w:color="auto"/>
              <w:right w:val="single" w:sz="4" w:space="0" w:color="auto"/>
            </w:tcBorders>
            <w:shd w:val="clear" w:color="000000" w:fill="FF0000"/>
            <w:hideMark/>
          </w:tcPr>
          <w:p w:rsidR="00C35316" w:rsidRPr="00EA6F8C" w:rsidRDefault="00A03C34" w:rsidP="00FE7220">
            <w:pPr>
              <w:spacing w:after="0" w:line="240" w:lineRule="auto"/>
              <w:jc w:val="center"/>
              <w:rPr>
                <w:rFonts w:ascii="Calibri" w:eastAsia="Times New Roman" w:hAnsi="Calibri" w:cs="Calibri"/>
                <w:b/>
                <w:bCs/>
                <w:color w:val="000000"/>
                <w:lang w:val="en-US" w:eastAsia="en-GB"/>
              </w:rPr>
            </w:pPr>
            <w:r w:rsidRPr="00EA6F8C">
              <w:rPr>
                <w:rFonts w:ascii="Calibri" w:eastAsia="Times New Roman" w:hAnsi="Calibri" w:cs="Calibri"/>
                <w:b/>
                <w:bCs/>
                <w:color w:val="000000"/>
                <w:lang w:val="en-US" w:eastAsia="en-GB"/>
              </w:rPr>
              <w:t>16.5%</w:t>
            </w:r>
            <w:r>
              <w:rPr>
                <w:rFonts w:ascii="Calibri" w:eastAsia="Times New Roman" w:hAnsi="Calibri" w:cs="Calibri"/>
                <w:b/>
                <w:bCs/>
                <w:color w:val="000000"/>
                <w:lang w:val="en-US" w:eastAsia="en-GB"/>
              </w:rPr>
              <w:t xml:space="preserve">  (from</w:t>
            </w:r>
            <w:r w:rsidR="00C35316" w:rsidRPr="00EA6F8C">
              <w:rPr>
                <w:rFonts w:ascii="Calibri" w:eastAsia="Times New Roman" w:hAnsi="Calibri" w:cs="Calibri"/>
                <w:b/>
                <w:bCs/>
                <w:color w:val="000000"/>
                <w:lang w:val="en-US" w:eastAsia="en-GB"/>
              </w:rPr>
              <w:t xml:space="preserve"> 130.3</w:t>
            </w:r>
            <w:r w:rsidR="00FE7220">
              <w:rPr>
                <w:rFonts w:ascii="Calibri" w:eastAsia="Times New Roman" w:hAnsi="Calibri" w:cs="Calibri"/>
                <w:b/>
                <w:bCs/>
                <w:color w:val="000000"/>
                <w:lang w:val="en-US" w:eastAsia="en-GB"/>
              </w:rPr>
              <w:t xml:space="preserve"> to</w:t>
            </w:r>
            <w:r w:rsidR="00C35316" w:rsidRPr="00EA6F8C">
              <w:rPr>
                <w:rFonts w:ascii="Calibri" w:eastAsia="Times New Roman" w:hAnsi="Calibri" w:cs="Calibri"/>
                <w:b/>
                <w:bCs/>
                <w:color w:val="000000"/>
                <w:lang w:val="en-US" w:eastAsia="en-GB"/>
              </w:rPr>
              <w:t xml:space="preserve"> 108.8</w:t>
            </w:r>
            <w:r w:rsidR="00FE7220">
              <w:rPr>
                <w:rFonts w:ascii="Calibri" w:eastAsia="Times New Roman" w:hAnsi="Calibri" w:cs="Calibri"/>
                <w:b/>
                <w:bCs/>
                <w:color w:val="000000"/>
                <w:lang w:val="en-US" w:eastAsia="en-GB"/>
              </w:rPr>
              <w:t>)</w:t>
            </w:r>
          </w:p>
        </w:tc>
      </w:tr>
      <w:tr w:rsidR="00C35316" w:rsidRPr="00EA6F8C" w:rsidTr="00A03C34">
        <w:trPr>
          <w:trHeight w:val="530"/>
          <w:jc w:val="center"/>
        </w:trPr>
        <w:tc>
          <w:tcPr>
            <w:tcW w:w="3220" w:type="dxa"/>
            <w:tcBorders>
              <w:top w:val="nil"/>
              <w:left w:val="single" w:sz="4" w:space="0" w:color="auto"/>
              <w:bottom w:val="single" w:sz="4" w:space="0" w:color="auto"/>
              <w:right w:val="single" w:sz="4" w:space="0" w:color="auto"/>
            </w:tcBorders>
            <w:shd w:val="clear" w:color="000000" w:fill="FDE9D9"/>
            <w:vAlign w:val="center"/>
            <w:hideMark/>
          </w:tcPr>
          <w:p w:rsidR="00C35316" w:rsidRPr="00EA6F8C" w:rsidRDefault="00C35316" w:rsidP="00C35316">
            <w:pPr>
              <w:spacing w:after="0" w:line="240" w:lineRule="auto"/>
              <w:rPr>
                <w:rFonts w:ascii="Calibri" w:eastAsia="Times New Roman" w:hAnsi="Calibri" w:cs="Calibri"/>
                <w:b/>
                <w:bCs/>
                <w:color w:val="000000"/>
                <w:lang w:val="en-US" w:eastAsia="en-GB"/>
              </w:rPr>
            </w:pPr>
            <w:r w:rsidRPr="00EA6F8C">
              <w:rPr>
                <w:rFonts w:ascii="Calibri" w:eastAsia="Times New Roman" w:hAnsi="Calibri" w:cs="Calibri"/>
                <w:b/>
                <w:bCs/>
                <w:color w:val="000000"/>
                <w:lang w:val="en-US" w:eastAsia="en-GB"/>
              </w:rPr>
              <w:t>9. NITAG</w:t>
            </w:r>
          </w:p>
        </w:tc>
        <w:tc>
          <w:tcPr>
            <w:tcW w:w="3777" w:type="dxa"/>
            <w:tcBorders>
              <w:top w:val="nil"/>
              <w:left w:val="nil"/>
              <w:bottom w:val="single" w:sz="4" w:space="0" w:color="auto"/>
              <w:right w:val="single" w:sz="4" w:space="0" w:color="auto"/>
            </w:tcBorders>
            <w:shd w:val="clear" w:color="000000" w:fill="FDE9D9"/>
            <w:vAlign w:val="center"/>
            <w:hideMark/>
          </w:tcPr>
          <w:p w:rsidR="00C35316" w:rsidRPr="00EA6F8C" w:rsidRDefault="00C35316" w:rsidP="00C35316">
            <w:pPr>
              <w:spacing w:after="0" w:line="240" w:lineRule="auto"/>
              <w:rPr>
                <w:rFonts w:ascii="Calibri" w:eastAsia="Times New Roman" w:hAnsi="Calibri" w:cs="Calibri"/>
                <w:b/>
                <w:bCs/>
                <w:color w:val="000000"/>
                <w:lang w:val="en-US" w:eastAsia="en-GB"/>
              </w:rPr>
            </w:pPr>
            <w:r w:rsidRPr="00EA6F8C">
              <w:rPr>
                <w:rFonts w:ascii="Calibri" w:eastAsia="Times New Roman" w:hAnsi="Calibri" w:cs="Calibri"/>
                <w:b/>
                <w:bCs/>
                <w:color w:val="000000"/>
                <w:lang w:val="en-US" w:eastAsia="en-GB"/>
              </w:rPr>
              <w:t>NITAG established?</w:t>
            </w:r>
          </w:p>
        </w:tc>
        <w:tc>
          <w:tcPr>
            <w:tcW w:w="2520" w:type="dxa"/>
            <w:tcBorders>
              <w:top w:val="nil"/>
              <w:left w:val="nil"/>
              <w:bottom w:val="single" w:sz="4" w:space="0" w:color="auto"/>
              <w:right w:val="single" w:sz="4" w:space="0" w:color="auto"/>
            </w:tcBorders>
            <w:shd w:val="clear" w:color="000000" w:fill="FF0000"/>
            <w:vAlign w:val="center"/>
            <w:hideMark/>
          </w:tcPr>
          <w:p w:rsidR="00C35316" w:rsidRPr="00EA6F8C" w:rsidRDefault="00A03C34" w:rsidP="00C35316">
            <w:pPr>
              <w:spacing w:after="0" w:line="240" w:lineRule="auto"/>
              <w:jc w:val="center"/>
              <w:rPr>
                <w:rFonts w:ascii="Calibri" w:eastAsia="Times New Roman" w:hAnsi="Calibri" w:cs="Calibri"/>
                <w:b/>
                <w:bCs/>
                <w:color w:val="000000"/>
                <w:lang w:val="en-US" w:eastAsia="en-GB"/>
              </w:rPr>
            </w:pPr>
            <w:r>
              <w:rPr>
                <w:rFonts w:ascii="Calibri" w:eastAsia="Times New Roman" w:hAnsi="Calibri" w:cs="Calibri"/>
                <w:b/>
                <w:bCs/>
                <w:color w:val="000000"/>
                <w:lang w:val="en-US" w:eastAsia="en-GB"/>
              </w:rPr>
              <w:t>Yes, inaugurated in August 2015</w:t>
            </w:r>
            <w:r w:rsidR="00C35316" w:rsidRPr="00EA6F8C">
              <w:rPr>
                <w:rFonts w:ascii="Calibri" w:eastAsia="Times New Roman" w:hAnsi="Calibri" w:cs="Calibri"/>
                <w:b/>
                <w:bCs/>
                <w:color w:val="000000"/>
                <w:lang w:val="en-US" w:eastAsia="en-GB"/>
              </w:rPr>
              <w:t xml:space="preserve"> </w:t>
            </w:r>
          </w:p>
        </w:tc>
      </w:tr>
      <w:tr w:rsidR="00C35316" w:rsidRPr="00EA6F8C" w:rsidTr="00A03C34">
        <w:trPr>
          <w:trHeight w:val="728"/>
          <w:jc w:val="center"/>
        </w:trPr>
        <w:tc>
          <w:tcPr>
            <w:tcW w:w="3220" w:type="dxa"/>
            <w:tcBorders>
              <w:top w:val="nil"/>
              <w:left w:val="single" w:sz="4" w:space="0" w:color="auto"/>
              <w:bottom w:val="single" w:sz="4" w:space="0" w:color="auto"/>
              <w:right w:val="single" w:sz="4" w:space="0" w:color="auto"/>
            </w:tcBorders>
            <w:shd w:val="clear" w:color="000000" w:fill="FDE9D9"/>
            <w:vAlign w:val="center"/>
            <w:hideMark/>
          </w:tcPr>
          <w:p w:rsidR="00C35316" w:rsidRPr="00EA6F8C" w:rsidRDefault="00C35316" w:rsidP="00A03C34">
            <w:pPr>
              <w:spacing w:after="0" w:line="240" w:lineRule="auto"/>
              <w:rPr>
                <w:rFonts w:ascii="Calibri" w:eastAsia="Times New Roman" w:hAnsi="Calibri" w:cs="Calibri"/>
                <w:b/>
                <w:bCs/>
                <w:color w:val="000000"/>
                <w:lang w:val="en-US" w:eastAsia="en-GB"/>
              </w:rPr>
            </w:pPr>
            <w:r w:rsidRPr="00EA6F8C">
              <w:rPr>
                <w:rFonts w:ascii="Calibri" w:eastAsia="Times New Roman" w:hAnsi="Calibri" w:cs="Calibri"/>
                <w:b/>
                <w:bCs/>
                <w:color w:val="000000"/>
                <w:lang w:val="en-US" w:eastAsia="en-GB"/>
              </w:rPr>
              <w:t xml:space="preserve">10. Government expenditure on routine immunization per live birth </w:t>
            </w:r>
            <w:r w:rsidR="00A03C34">
              <w:rPr>
                <w:rFonts w:ascii="Calibri" w:eastAsia="Times New Roman" w:hAnsi="Calibri" w:cs="Calibri"/>
                <w:b/>
                <w:bCs/>
                <w:color w:val="000000"/>
                <w:lang w:val="en-US" w:eastAsia="en-GB"/>
              </w:rPr>
              <w:t>(</w:t>
            </w:r>
            <w:r w:rsidRPr="00EA6F8C">
              <w:rPr>
                <w:rFonts w:ascii="Calibri" w:eastAsia="Times New Roman" w:hAnsi="Calibri" w:cs="Calibri"/>
                <w:b/>
                <w:bCs/>
                <w:color w:val="000000"/>
                <w:lang w:val="en-US" w:eastAsia="en-GB"/>
              </w:rPr>
              <w:t>US</w:t>
            </w:r>
            <w:r w:rsidR="00A03C34">
              <w:rPr>
                <w:rFonts w:ascii="Calibri" w:eastAsia="Times New Roman" w:hAnsi="Calibri" w:cs="Calibri"/>
                <w:b/>
                <w:bCs/>
                <w:color w:val="000000"/>
                <w:lang w:val="en-US" w:eastAsia="en-GB"/>
              </w:rPr>
              <w:t>$)</w:t>
            </w:r>
          </w:p>
        </w:tc>
        <w:tc>
          <w:tcPr>
            <w:tcW w:w="3777" w:type="dxa"/>
            <w:tcBorders>
              <w:top w:val="nil"/>
              <w:left w:val="nil"/>
              <w:bottom w:val="single" w:sz="4" w:space="0" w:color="auto"/>
              <w:right w:val="single" w:sz="4" w:space="0" w:color="auto"/>
            </w:tcBorders>
            <w:shd w:val="clear" w:color="000000" w:fill="FDE9D9"/>
            <w:vAlign w:val="center"/>
            <w:hideMark/>
          </w:tcPr>
          <w:p w:rsidR="00C35316" w:rsidRPr="00EA6F8C" w:rsidRDefault="00C35316" w:rsidP="00C35316">
            <w:pPr>
              <w:spacing w:after="0" w:line="240" w:lineRule="auto"/>
              <w:rPr>
                <w:rFonts w:ascii="Calibri" w:eastAsia="Times New Roman" w:hAnsi="Calibri" w:cs="Calibri"/>
                <w:b/>
                <w:bCs/>
                <w:color w:val="000000"/>
                <w:lang w:val="en-US" w:eastAsia="en-GB"/>
              </w:rPr>
            </w:pPr>
            <w:r w:rsidRPr="00EA6F8C">
              <w:rPr>
                <w:rFonts w:ascii="Calibri" w:eastAsia="Times New Roman" w:hAnsi="Calibri" w:cs="Calibri"/>
                <w:b/>
                <w:bCs/>
                <w:color w:val="000000"/>
                <w:lang w:val="en-US" w:eastAsia="en-GB"/>
              </w:rPr>
              <w:t>Baseline 2010-2011 and average for 2013-2015 (% change)</w:t>
            </w:r>
          </w:p>
        </w:tc>
        <w:tc>
          <w:tcPr>
            <w:tcW w:w="2520" w:type="dxa"/>
            <w:tcBorders>
              <w:top w:val="nil"/>
              <w:left w:val="nil"/>
              <w:bottom w:val="single" w:sz="4" w:space="0" w:color="auto"/>
              <w:right w:val="single" w:sz="4" w:space="0" w:color="auto"/>
            </w:tcBorders>
            <w:shd w:val="clear" w:color="000000" w:fill="00B050"/>
            <w:vAlign w:val="center"/>
            <w:hideMark/>
          </w:tcPr>
          <w:p w:rsidR="00C35316" w:rsidRPr="00EA6F8C" w:rsidRDefault="00C35316" w:rsidP="00C35316">
            <w:pPr>
              <w:spacing w:after="0" w:line="240" w:lineRule="auto"/>
              <w:jc w:val="center"/>
              <w:rPr>
                <w:rFonts w:ascii="Calibri" w:eastAsia="Times New Roman" w:hAnsi="Calibri" w:cs="Calibri"/>
                <w:b/>
                <w:bCs/>
                <w:color w:val="000000"/>
                <w:lang w:val="en-US" w:eastAsia="en-GB"/>
              </w:rPr>
            </w:pPr>
            <w:r w:rsidRPr="00EA6F8C">
              <w:rPr>
                <w:rFonts w:ascii="Calibri" w:eastAsia="Times New Roman" w:hAnsi="Calibri" w:cs="Calibri"/>
                <w:b/>
                <w:bCs/>
                <w:color w:val="000000"/>
                <w:lang w:val="en-US" w:eastAsia="en-GB"/>
              </w:rPr>
              <w:t>4.1 to 12.9 (+216%)</w:t>
            </w:r>
          </w:p>
        </w:tc>
      </w:tr>
    </w:tbl>
    <w:p w:rsidR="00FE7220" w:rsidRPr="00FE7220" w:rsidRDefault="00FE7220" w:rsidP="00FE7220">
      <w:pPr>
        <w:rPr>
          <w:rFonts w:ascii="Arial" w:hAnsi="Arial" w:cs="Arial"/>
          <w:b/>
          <w:lang w:val="en-US"/>
        </w:rPr>
      </w:pPr>
      <w:r>
        <w:rPr>
          <w:rFonts w:ascii="Arial" w:hAnsi="Arial" w:cs="Arial"/>
          <w:b/>
          <w:lang w:val="en-US"/>
        </w:rPr>
        <w:br w:type="page"/>
      </w:r>
    </w:p>
    <w:p w:rsidR="00CA663B" w:rsidRPr="00FE7220" w:rsidRDefault="00CA663B" w:rsidP="00FE7220">
      <w:pPr>
        <w:pStyle w:val="ListParagraph"/>
        <w:numPr>
          <w:ilvl w:val="0"/>
          <w:numId w:val="1"/>
        </w:numPr>
        <w:contextualSpacing w:val="0"/>
        <w:rPr>
          <w:rFonts w:ascii="Arial" w:hAnsi="Arial" w:cs="Arial"/>
          <w:b/>
          <w:sz w:val="24"/>
          <w:szCs w:val="24"/>
          <w:lang w:val="en-US"/>
        </w:rPr>
      </w:pPr>
      <w:r w:rsidRPr="00FE7220">
        <w:rPr>
          <w:rFonts w:ascii="Arial" w:hAnsi="Arial" w:cs="Arial"/>
          <w:b/>
          <w:sz w:val="24"/>
          <w:szCs w:val="24"/>
          <w:lang w:val="en-US"/>
        </w:rPr>
        <w:lastRenderedPageBreak/>
        <w:t>Country ownership of the immunization program</w:t>
      </w:r>
    </w:p>
    <w:p w:rsidR="00CA663B" w:rsidRPr="00FE7220" w:rsidRDefault="00CA663B" w:rsidP="00FE7220">
      <w:pPr>
        <w:pStyle w:val="ListParagraph"/>
        <w:numPr>
          <w:ilvl w:val="1"/>
          <w:numId w:val="27"/>
        </w:numPr>
        <w:contextualSpacing w:val="0"/>
        <w:rPr>
          <w:rFonts w:ascii="Arial" w:hAnsi="Arial" w:cs="Arial"/>
          <w:b/>
          <w:lang w:val="en-US"/>
        </w:rPr>
      </w:pPr>
      <w:r w:rsidRPr="00FE7220">
        <w:rPr>
          <w:rFonts w:ascii="Arial" w:hAnsi="Arial" w:cs="Arial"/>
          <w:b/>
          <w:lang w:val="en-US"/>
        </w:rPr>
        <w:t>Immunization policy decision-making capacity</w:t>
      </w:r>
    </w:p>
    <w:p w:rsidR="003A7680" w:rsidRDefault="00FE7220" w:rsidP="00FE7220">
      <w:pPr>
        <w:rPr>
          <w:rFonts w:ascii="Arial" w:hAnsi="Arial" w:cs="Arial"/>
          <w:lang w:val="en-US"/>
        </w:rPr>
      </w:pPr>
      <w:r>
        <w:rPr>
          <w:rFonts w:ascii="Arial" w:hAnsi="Arial" w:cs="Arial"/>
          <w:lang w:val="en-US"/>
        </w:rPr>
        <w:t xml:space="preserve">The main decision-making and coordinating body for the immunization program in Nigeria is the ICC, which is chaired by the Minister of Health and includes senior-level officials from the Federal Ministry of Health (FMOH) and </w:t>
      </w:r>
      <w:r w:rsidR="00C3741F">
        <w:rPr>
          <w:rFonts w:ascii="Arial" w:hAnsi="Arial" w:cs="Arial"/>
          <w:lang w:val="en-US"/>
        </w:rPr>
        <w:t>around 18</w:t>
      </w:r>
      <w:r>
        <w:rPr>
          <w:rFonts w:ascii="Arial" w:hAnsi="Arial" w:cs="Arial"/>
          <w:lang w:val="en-US"/>
        </w:rPr>
        <w:t xml:space="preserve"> development partners and bilateral organizations. The ICC, which meets every two months, endorses the GAVI work plan, makes decisions about new vaccine introductions and other key program decisions. The technical arm of the ICC is called the Core Group, which is chaired by the Executive Director of the parastatal organization that manages the immunization program – the National Primary Health Care Development Agency (NPHCDA) – and includes EPI team leaders from different immunization stakeholders and partners in the country. The Core Group, which meets once a month, provides direction to and oversight of various technical working groups, and makes recommendations based on their input and analysis, which must then be approved by the ICC. </w:t>
      </w:r>
    </w:p>
    <w:p w:rsidR="00CA663B" w:rsidRDefault="00FE7220" w:rsidP="00FE7220">
      <w:pPr>
        <w:rPr>
          <w:rFonts w:ascii="Arial" w:hAnsi="Arial" w:cs="Arial"/>
          <w:lang w:val="en-US"/>
        </w:rPr>
      </w:pPr>
      <w:r>
        <w:rPr>
          <w:rFonts w:ascii="Arial" w:hAnsi="Arial" w:cs="Arial"/>
          <w:lang w:val="en-US"/>
        </w:rPr>
        <w:t>Among the technical working groups – which include logistics, social mobilization, M&amp;E and finance – is the Routine Immunization Working Group</w:t>
      </w:r>
      <w:r w:rsidR="003A7680">
        <w:rPr>
          <w:rFonts w:ascii="Arial" w:hAnsi="Arial" w:cs="Arial"/>
          <w:lang w:val="en-US"/>
        </w:rPr>
        <w:t>, which is chaired by the director of routine immunization at the NPHCDA and whose members are immunization program officers and experts from different stakeholder and partner organizations. The states – which are responsible, along with local government authorities (LGAs), for the delivery of health services in the country and implementation of health programs – also each have their own working groups (e.g., routine immunization and logistics).</w:t>
      </w:r>
    </w:p>
    <w:p w:rsidR="003A7680" w:rsidRDefault="003A7680" w:rsidP="00FE7220">
      <w:pPr>
        <w:rPr>
          <w:rFonts w:ascii="Arial" w:hAnsi="Arial" w:cs="Arial"/>
          <w:lang w:val="en-US"/>
        </w:rPr>
      </w:pPr>
      <w:r>
        <w:rPr>
          <w:rFonts w:ascii="Arial" w:hAnsi="Arial" w:cs="Arial"/>
          <w:lang w:val="en-US"/>
        </w:rPr>
        <w:t>The functioning of the ICC and regularity of meetings have improved considerably in the past few years and the committee is reportedly held in high esteem by the Government.</w:t>
      </w:r>
    </w:p>
    <w:p w:rsidR="003A7680" w:rsidRDefault="00C3741F" w:rsidP="00FE7220">
      <w:pPr>
        <w:rPr>
          <w:rFonts w:ascii="Arial" w:hAnsi="Arial" w:cs="Arial"/>
          <w:lang w:val="en-US"/>
        </w:rPr>
      </w:pPr>
      <w:r>
        <w:rPr>
          <w:rFonts w:ascii="Arial" w:hAnsi="Arial" w:cs="Arial"/>
          <w:lang w:val="en-US"/>
        </w:rPr>
        <w:t xml:space="preserve">A NITAG has recently been established, with support from WHO, CHAI and SIVAC, and its inaugural meeting held in August 2015. Unlike the ICC and Core Group, its 10-12 members are independent of the immunization program and include pediatricians, microbiologists and other experts from academia, research institutes and the private sector. A number of partner organizations, including WHO, UNICEF and CHAI, participate as observers. Unlike the ICC, the NITAG will have solely an advisory – not </w:t>
      </w:r>
      <w:r w:rsidR="000B2412">
        <w:rPr>
          <w:rFonts w:ascii="Arial" w:hAnsi="Arial" w:cs="Arial"/>
          <w:lang w:val="en-US"/>
        </w:rPr>
        <w:t xml:space="preserve">a </w:t>
      </w:r>
      <w:r>
        <w:rPr>
          <w:rFonts w:ascii="Arial" w:hAnsi="Arial" w:cs="Arial"/>
          <w:lang w:val="en-US"/>
        </w:rPr>
        <w:t xml:space="preserve">decision-making role. Its impact on decision-making for the immunization program, as well as its role vis-à-vis that of the </w:t>
      </w:r>
      <w:r w:rsidR="00A472F6">
        <w:rPr>
          <w:rFonts w:ascii="Arial" w:hAnsi="Arial" w:cs="Arial"/>
          <w:lang w:val="en-US"/>
        </w:rPr>
        <w:t>ICC’s Routine Immunization Working Group</w:t>
      </w:r>
      <w:r>
        <w:rPr>
          <w:rFonts w:ascii="Arial" w:hAnsi="Arial" w:cs="Arial"/>
          <w:lang w:val="en-US"/>
        </w:rPr>
        <w:t xml:space="preserve">, </w:t>
      </w:r>
      <w:r w:rsidR="00A472F6">
        <w:rPr>
          <w:rFonts w:ascii="Arial" w:hAnsi="Arial" w:cs="Arial"/>
          <w:lang w:val="en-US"/>
        </w:rPr>
        <w:t>h</w:t>
      </w:r>
      <w:r>
        <w:rPr>
          <w:rFonts w:ascii="Arial" w:hAnsi="Arial" w:cs="Arial"/>
          <w:lang w:val="en-US"/>
        </w:rPr>
        <w:t>as yet to be determined. It should also be noted that decisions have already been made about most vaccine introductions currently supported by GAVI (e.g., rotavirus, meningitis A, HPV).</w:t>
      </w:r>
    </w:p>
    <w:p w:rsidR="00A472F6" w:rsidRPr="00FE7220" w:rsidRDefault="00A472F6" w:rsidP="00FE7220">
      <w:pPr>
        <w:rPr>
          <w:rFonts w:ascii="Arial" w:hAnsi="Arial" w:cs="Arial"/>
          <w:lang w:val="en-US"/>
        </w:rPr>
      </w:pPr>
      <w:r>
        <w:rPr>
          <w:rFonts w:ascii="Arial" w:hAnsi="Arial" w:cs="Arial"/>
          <w:lang w:val="en-US"/>
        </w:rPr>
        <w:t xml:space="preserve">The Nigeria Government’s decision-making capacity and implementation of the immunization program is complicated by the fact that the program – along with several other components of the primary health care program – is managed not by the Federal Ministry of Health, but by the NPHCDA, which is a separate, parastatal organization. However, a number of key activities related to immunization, such as disease surveillance and supportive supervision, fall under the responsibility of the FMOH. In some cases, the NPHCDA and FMOH have parallel systems, causing confusion and duplication of effort. There are, for example, separate supervision checklists for each agency and two health information systems – the HMIS run by the FMOH and the immunization program’s vaccination monitoring system run by the NPHCDA. Each system uses a different platform </w:t>
      </w:r>
      <w:r>
        <w:rPr>
          <w:rFonts w:ascii="Arial" w:hAnsi="Arial" w:cs="Arial"/>
          <w:lang w:val="en-US"/>
        </w:rPr>
        <w:lastRenderedPageBreak/>
        <w:t xml:space="preserve">(the DHIS2 in the case of the HMIS and the DVT-MT in the case of the EPI’s system) and different population data for their denominators. Key primary health care programs, including malaria control, nutrition and family planning, are still under the FMOH, complicating the delivery of integrated health services and such activities as intensified vaccination activities that provide other MCH interventions. As another example, disease surveillance officers are under the FMOH at the state level, while those at the LGA level report to the local PHCDA. </w:t>
      </w:r>
    </w:p>
    <w:p w:rsidR="00CA663B" w:rsidRPr="001738CC" w:rsidRDefault="001738CC" w:rsidP="00E54B4C">
      <w:pPr>
        <w:pStyle w:val="ListParagraph"/>
        <w:numPr>
          <w:ilvl w:val="1"/>
          <w:numId w:val="27"/>
        </w:numPr>
        <w:contextualSpacing w:val="0"/>
        <w:rPr>
          <w:rFonts w:ascii="Arial" w:hAnsi="Arial" w:cs="Arial"/>
          <w:b/>
          <w:lang w:val="en-US"/>
        </w:rPr>
      </w:pPr>
      <w:r>
        <w:rPr>
          <w:rFonts w:ascii="Arial" w:hAnsi="Arial" w:cs="Arial"/>
          <w:b/>
          <w:lang w:val="en-US"/>
        </w:rPr>
        <w:t>Government financing for i</w:t>
      </w:r>
      <w:r w:rsidR="00CA663B" w:rsidRPr="001738CC">
        <w:rPr>
          <w:rFonts w:ascii="Arial" w:hAnsi="Arial" w:cs="Arial"/>
          <w:b/>
          <w:lang w:val="en-US"/>
        </w:rPr>
        <w:t>mmunization</w:t>
      </w:r>
    </w:p>
    <w:p w:rsidR="00E54B4C" w:rsidRDefault="001738CC" w:rsidP="00E54B4C">
      <w:pPr>
        <w:pStyle w:val="ListParagraph"/>
        <w:ind w:left="0"/>
        <w:contextualSpacing w:val="0"/>
        <w:rPr>
          <w:rFonts w:ascii="Arial" w:hAnsi="Arial" w:cs="Arial"/>
          <w:lang w:val="en-US"/>
        </w:rPr>
      </w:pPr>
      <w:r>
        <w:rPr>
          <w:rFonts w:ascii="Arial" w:hAnsi="Arial" w:cs="Arial"/>
          <w:lang w:val="en-US"/>
        </w:rPr>
        <w:t>According to the 2015 GAVI Joint Appraisal report, the federal government contributed 36% of the estimated immunization expenditures in 2014, while its contribution in 2011 was 34%. There was thus a marginal increase in the Government’s share of immunization expenditures in four years. The federal Government’s expenditures cover the cost of traditional vaccines ($12.6 million in 2013), co-financing for the GAVI-supported new vaccines (pentavalent and PVC) (≈$25 million in 2015), personnel costs for the EPI staff as well as per diems for vaccinators and supervisory staff, and other recurrent costs.</w:t>
      </w:r>
      <w:r>
        <w:rPr>
          <w:rStyle w:val="FootnoteReference"/>
          <w:rFonts w:ascii="Arial" w:hAnsi="Arial" w:cs="Arial"/>
          <w:lang w:val="en-US"/>
        </w:rPr>
        <w:footnoteReference w:id="1"/>
      </w:r>
      <w:r>
        <w:rPr>
          <w:rFonts w:ascii="Arial" w:hAnsi="Arial" w:cs="Arial"/>
          <w:lang w:val="en-US"/>
        </w:rPr>
        <w:t xml:space="preserve"> The Government also pays for a share of the operationa</w:t>
      </w:r>
      <w:r w:rsidR="0005184D">
        <w:rPr>
          <w:rFonts w:ascii="Arial" w:hAnsi="Arial" w:cs="Arial"/>
          <w:lang w:val="en-US"/>
        </w:rPr>
        <w:t>l costs of polio and other SIAs</w:t>
      </w:r>
      <w:r>
        <w:rPr>
          <w:rFonts w:ascii="Arial" w:hAnsi="Arial" w:cs="Arial"/>
          <w:lang w:val="en-US"/>
        </w:rPr>
        <w:t xml:space="preserve">. In addition to the federal government’s contribution, subnational (state and LGA) governments contribute personnel and other operational costs for the routine program – to the tune of $14.6 million (7%) of the estimated </w:t>
      </w:r>
      <w:r w:rsidR="00E54B4C">
        <w:rPr>
          <w:rFonts w:ascii="Arial" w:hAnsi="Arial" w:cs="Arial"/>
          <w:lang w:val="en-US"/>
        </w:rPr>
        <w:t xml:space="preserve">total </w:t>
      </w:r>
      <w:r>
        <w:rPr>
          <w:rFonts w:ascii="Arial" w:hAnsi="Arial" w:cs="Arial"/>
          <w:lang w:val="en-US"/>
        </w:rPr>
        <w:t xml:space="preserve">routine immunization </w:t>
      </w:r>
      <w:r w:rsidR="00E54B4C">
        <w:rPr>
          <w:rFonts w:ascii="Arial" w:hAnsi="Arial" w:cs="Arial"/>
          <w:lang w:val="en-US"/>
        </w:rPr>
        <w:t xml:space="preserve">program </w:t>
      </w:r>
      <w:r>
        <w:rPr>
          <w:rFonts w:ascii="Arial" w:hAnsi="Arial" w:cs="Arial"/>
          <w:lang w:val="en-US"/>
        </w:rPr>
        <w:t>costs in 2013.</w:t>
      </w:r>
      <w:r w:rsidR="00E54B4C">
        <w:rPr>
          <w:rStyle w:val="FootnoteReference"/>
          <w:rFonts w:ascii="Arial" w:hAnsi="Arial" w:cs="Arial"/>
          <w:lang w:val="en-US"/>
        </w:rPr>
        <w:footnoteReference w:id="2"/>
      </w:r>
    </w:p>
    <w:p w:rsidR="00E54B4C" w:rsidRDefault="00E54B4C" w:rsidP="00E54B4C">
      <w:pPr>
        <w:pStyle w:val="ListParagraph"/>
        <w:ind w:left="0"/>
        <w:contextualSpacing w:val="0"/>
        <w:rPr>
          <w:rFonts w:ascii="Arial" w:hAnsi="Arial" w:cs="Arial"/>
          <w:lang w:val="en-US"/>
        </w:rPr>
      </w:pPr>
      <w:r>
        <w:rPr>
          <w:rFonts w:ascii="Arial" w:hAnsi="Arial" w:cs="Arial"/>
          <w:lang w:val="en-US"/>
        </w:rPr>
        <w:t>The Government has been making its co-financing payments for GAVI-supported vaccines without delays or defaults, as well as purchasing traditional vaccines for the routine program, though there have been some reports delays in vaccine purchases, causing stock-outs. This has not occurred, however, since 2013.</w:t>
      </w:r>
    </w:p>
    <w:p w:rsidR="00E54B4C" w:rsidRDefault="00E54B4C" w:rsidP="00E54B4C">
      <w:pPr>
        <w:pStyle w:val="ListParagraph"/>
        <w:ind w:left="0"/>
        <w:contextualSpacing w:val="0"/>
        <w:rPr>
          <w:rFonts w:ascii="Arial" w:hAnsi="Arial" w:cs="Arial"/>
          <w:lang w:val="en-US"/>
        </w:rPr>
      </w:pPr>
      <w:r>
        <w:rPr>
          <w:rFonts w:ascii="Arial" w:hAnsi="Arial" w:cs="Arial"/>
          <w:lang w:val="en-US"/>
        </w:rPr>
        <w:t>Financing for the routine immunization program is considered inadequate and the often slow release of government funds results in delays in planned immunization activities. Other recent developments that have had an impact on immunization funding are:</w:t>
      </w:r>
    </w:p>
    <w:p w:rsidR="00E54B4C" w:rsidRDefault="00E54B4C" w:rsidP="00E54B4C">
      <w:pPr>
        <w:pStyle w:val="ListParagraph"/>
        <w:numPr>
          <w:ilvl w:val="0"/>
          <w:numId w:val="28"/>
        </w:numPr>
        <w:contextualSpacing w:val="0"/>
        <w:rPr>
          <w:rFonts w:ascii="Arial" w:hAnsi="Arial" w:cs="Arial"/>
          <w:lang w:val="en-US"/>
        </w:rPr>
      </w:pPr>
      <w:r>
        <w:rPr>
          <w:rFonts w:ascii="Arial" w:hAnsi="Arial" w:cs="Arial"/>
          <w:lang w:val="en-US"/>
        </w:rPr>
        <w:t>The sharp reduction in oil revenues, which account for 70% of the country’s consolidated revenues, as a result of the decline in global oil prices. This has affected the ability of some states – which are responsible for the delivery of immunization services – to pay health worker salaries, operational costs for outreach activities and other costs affecting the immunization program. Several states have declared bankruptcy in recent years as a result;</w:t>
      </w:r>
    </w:p>
    <w:p w:rsidR="00E54B4C" w:rsidRDefault="00E54B4C" w:rsidP="00E54B4C">
      <w:pPr>
        <w:pStyle w:val="ListParagraph"/>
        <w:numPr>
          <w:ilvl w:val="0"/>
          <w:numId w:val="28"/>
        </w:numPr>
        <w:contextualSpacing w:val="0"/>
        <w:rPr>
          <w:rFonts w:ascii="Arial" w:hAnsi="Arial" w:cs="Arial"/>
          <w:lang w:val="en-US"/>
        </w:rPr>
      </w:pPr>
      <w:r>
        <w:rPr>
          <w:rFonts w:ascii="Arial" w:hAnsi="Arial" w:cs="Arial"/>
          <w:lang w:val="en-US"/>
        </w:rPr>
        <w:t xml:space="preserve">The freezing of </w:t>
      </w:r>
      <w:r w:rsidR="002B09F1">
        <w:rPr>
          <w:rFonts w:ascii="Arial" w:hAnsi="Arial" w:cs="Arial"/>
          <w:lang w:val="en-US"/>
        </w:rPr>
        <w:t xml:space="preserve">all </w:t>
      </w:r>
      <w:r>
        <w:rPr>
          <w:rFonts w:ascii="Arial" w:hAnsi="Arial" w:cs="Arial"/>
          <w:lang w:val="en-US"/>
        </w:rPr>
        <w:t xml:space="preserve">GAVI </w:t>
      </w:r>
      <w:r w:rsidR="002B09F1">
        <w:rPr>
          <w:rFonts w:ascii="Arial" w:hAnsi="Arial" w:cs="Arial"/>
          <w:lang w:val="en-US"/>
        </w:rPr>
        <w:t>cash support</w:t>
      </w:r>
      <w:r w:rsidR="0005184D">
        <w:rPr>
          <w:rFonts w:ascii="Arial" w:hAnsi="Arial" w:cs="Arial"/>
          <w:lang w:val="en-US"/>
        </w:rPr>
        <w:t>,</w:t>
      </w:r>
      <w:r w:rsidR="002B09F1">
        <w:rPr>
          <w:rFonts w:ascii="Arial" w:hAnsi="Arial" w:cs="Arial"/>
          <w:lang w:val="en-US"/>
        </w:rPr>
        <w:t xml:space="preserve"> including </w:t>
      </w:r>
      <w:r>
        <w:rPr>
          <w:rFonts w:ascii="Arial" w:hAnsi="Arial" w:cs="Arial"/>
          <w:lang w:val="en-US"/>
        </w:rPr>
        <w:t>HSS grant funding since March 2014, due to financial management issues</w:t>
      </w:r>
      <w:r w:rsidR="0005184D">
        <w:rPr>
          <w:rFonts w:ascii="Arial" w:hAnsi="Arial" w:cs="Arial"/>
          <w:lang w:val="en-US"/>
        </w:rPr>
        <w:t>. This has</w:t>
      </w:r>
      <w:r w:rsidR="00916ACE">
        <w:rPr>
          <w:rFonts w:ascii="Arial" w:hAnsi="Arial" w:cs="Arial"/>
          <w:lang w:val="en-US"/>
        </w:rPr>
        <w:t xml:space="preserve"> delayed several planned activities</w:t>
      </w:r>
      <w:r>
        <w:rPr>
          <w:rFonts w:ascii="Arial" w:hAnsi="Arial" w:cs="Arial"/>
          <w:lang w:val="en-US"/>
        </w:rPr>
        <w:t xml:space="preserve">, including the training of health workers on integrated PHC service delivery, </w:t>
      </w:r>
      <w:r w:rsidR="00916ACE">
        <w:rPr>
          <w:rFonts w:ascii="Arial" w:hAnsi="Arial" w:cs="Arial"/>
          <w:lang w:val="en-US"/>
        </w:rPr>
        <w:t>TT campaigns as part of the maternal and neonatal elimination program, and an immunization coverage survey. Some priority activities funded through the HSS grant are being implemented with funds channeled through UNICEF.</w:t>
      </w:r>
    </w:p>
    <w:p w:rsidR="00916ACE" w:rsidRDefault="00916ACE" w:rsidP="00916ACE">
      <w:pPr>
        <w:rPr>
          <w:rFonts w:ascii="Arial" w:hAnsi="Arial" w:cs="Arial"/>
          <w:lang w:val="en-US"/>
        </w:rPr>
      </w:pPr>
      <w:r>
        <w:rPr>
          <w:rFonts w:ascii="Arial" w:hAnsi="Arial" w:cs="Arial"/>
          <w:lang w:val="en-US"/>
        </w:rPr>
        <w:t xml:space="preserve">There have been two recent developments that should increase financing for immunization. The first is the Government’s plan to extend health services to the entire population, </w:t>
      </w:r>
      <w:r>
        <w:rPr>
          <w:rFonts w:ascii="Arial" w:hAnsi="Arial" w:cs="Arial"/>
          <w:lang w:val="en-US"/>
        </w:rPr>
        <w:lastRenderedPageBreak/>
        <w:t>including to under-served areas, by providing “primary health care under one roof” (PHCUOR). The vision is to establish functional PHC centers open 24 hours a day in each of the country’s more than 9,500 political wards, manned by at least two certified nurses or midwives. To fund this plan, the Government passed a National Health Act in 2014 that creates a Basic Health Care Provision Fund – half of which will be used to cover the costs of the PHC centers, including vaccines, equipment and operational costs. The National Health Act is currently in the planning stage and is being affected by the decline in oil revenues, which are a major source of funding for its implementation.</w:t>
      </w:r>
    </w:p>
    <w:p w:rsidR="00916ACE" w:rsidRPr="00916ACE" w:rsidRDefault="00916ACE" w:rsidP="00916ACE">
      <w:pPr>
        <w:rPr>
          <w:rFonts w:ascii="Arial" w:hAnsi="Arial" w:cs="Arial"/>
          <w:lang w:val="en-US"/>
        </w:rPr>
      </w:pPr>
      <w:r>
        <w:rPr>
          <w:rFonts w:ascii="Arial" w:hAnsi="Arial" w:cs="Arial"/>
          <w:lang w:val="en-US"/>
        </w:rPr>
        <w:t>The second effort to increase immunization financing is the development of agreements between state governments and two foundations to secure more stable funding for routine immunization, using a basket funding mechanism with contributions from the state governments and the foundations (the latter to be phased out over time). This initiative – currently operating in two states and being planned in four more – is described in more detail in Section B.</w:t>
      </w:r>
    </w:p>
    <w:p w:rsidR="00CA663B" w:rsidRPr="00EA6F8C" w:rsidRDefault="00916ACE" w:rsidP="00E54B4C">
      <w:pPr>
        <w:pStyle w:val="ListParagraph"/>
        <w:ind w:left="0"/>
        <w:contextualSpacing w:val="0"/>
        <w:rPr>
          <w:rFonts w:ascii="Arial" w:hAnsi="Arial" w:cs="Arial"/>
          <w:b/>
          <w:lang w:val="en-US"/>
        </w:rPr>
      </w:pPr>
      <w:r>
        <w:rPr>
          <w:rFonts w:ascii="Arial" w:hAnsi="Arial" w:cs="Arial"/>
          <w:b/>
          <w:lang w:val="en-US"/>
        </w:rPr>
        <w:t xml:space="preserve">2.3 </w:t>
      </w:r>
      <w:r w:rsidR="00CA663B" w:rsidRPr="00EA6F8C">
        <w:rPr>
          <w:rFonts w:ascii="Arial" w:hAnsi="Arial" w:cs="Arial"/>
          <w:b/>
          <w:lang w:val="en-US"/>
        </w:rPr>
        <w:t>Human resource situation</w:t>
      </w:r>
    </w:p>
    <w:p w:rsidR="00CA663B" w:rsidRPr="00916ACE" w:rsidRDefault="00916ACE" w:rsidP="00E54B4C">
      <w:pPr>
        <w:pStyle w:val="ListParagraph"/>
        <w:ind w:left="0"/>
        <w:contextualSpacing w:val="0"/>
        <w:rPr>
          <w:rFonts w:ascii="Arial" w:hAnsi="Arial" w:cs="Arial"/>
          <w:lang w:val="en-US"/>
        </w:rPr>
      </w:pPr>
      <w:r>
        <w:rPr>
          <w:rFonts w:ascii="Arial" w:hAnsi="Arial" w:cs="Arial"/>
          <w:lang w:val="en-US"/>
        </w:rPr>
        <w:t>Immunization program staff in Nigeria consist of a nati</w:t>
      </w:r>
      <w:r w:rsidR="0005184D">
        <w:rPr>
          <w:rFonts w:ascii="Arial" w:hAnsi="Arial" w:cs="Arial"/>
          <w:lang w:val="en-US"/>
        </w:rPr>
        <w:t xml:space="preserve">onal EPI team at the NPHCDA, </w:t>
      </w:r>
      <w:r>
        <w:rPr>
          <w:rFonts w:ascii="Arial" w:hAnsi="Arial" w:cs="Arial"/>
          <w:lang w:val="en-US"/>
        </w:rPr>
        <w:t xml:space="preserve">EPI </w:t>
      </w:r>
      <w:r w:rsidR="00AB6B44">
        <w:rPr>
          <w:rFonts w:ascii="Arial" w:hAnsi="Arial" w:cs="Arial"/>
          <w:lang w:val="en-US"/>
        </w:rPr>
        <w:t>teams in each of the country’s 37 states</w:t>
      </w:r>
      <w:r w:rsidR="0005184D">
        <w:rPr>
          <w:rFonts w:ascii="Arial" w:hAnsi="Arial" w:cs="Arial"/>
          <w:lang w:val="en-US"/>
        </w:rPr>
        <w:t>,</w:t>
      </w:r>
      <w:r w:rsidR="00AB6B44">
        <w:rPr>
          <w:rFonts w:ascii="Arial" w:hAnsi="Arial" w:cs="Arial"/>
          <w:lang w:val="en-US"/>
        </w:rPr>
        <w:t xml:space="preserve"> and LGA immunization officers (LIOs) in each of the 774 LGAs. There are also surveillance officers at each level. There have been MLM and other trainings for these staff in recent years, although turnover and transfers are common.</w:t>
      </w:r>
    </w:p>
    <w:p w:rsidR="00CA663B" w:rsidRDefault="00AB6B44" w:rsidP="00E54B4C">
      <w:pPr>
        <w:pStyle w:val="ListParagraph"/>
        <w:ind w:left="0"/>
        <w:contextualSpacing w:val="0"/>
        <w:rPr>
          <w:rFonts w:ascii="Arial" w:hAnsi="Arial" w:cs="Arial"/>
          <w:lang w:val="en-US"/>
        </w:rPr>
      </w:pPr>
      <w:r>
        <w:rPr>
          <w:rFonts w:ascii="Arial" w:hAnsi="Arial" w:cs="Arial"/>
          <w:lang w:val="en-US"/>
        </w:rPr>
        <w:t>To supplement this staff, partners have been supporting a contingent of more than 11,000 persons funded through the polio eradication program, including 408 WHO staff, 2,070 “surge staff” and more than 8,600 social mobilizers who work for UNICEF.</w:t>
      </w:r>
      <w:r>
        <w:rPr>
          <w:rStyle w:val="FootnoteReference"/>
          <w:rFonts w:ascii="Arial" w:hAnsi="Arial" w:cs="Arial"/>
          <w:lang w:val="en-US"/>
        </w:rPr>
        <w:footnoteReference w:id="3"/>
      </w:r>
      <w:r>
        <w:rPr>
          <w:rFonts w:ascii="Arial" w:hAnsi="Arial" w:cs="Arial"/>
          <w:lang w:val="en-US"/>
        </w:rPr>
        <w:t xml:space="preserve"> The EPI has come to rely on these staff for not just polio activities (AFP surveillance and polio SIAs), but also for measles control, disease surveillance</w:t>
      </w:r>
      <w:r w:rsidR="0005184D">
        <w:rPr>
          <w:rFonts w:ascii="Arial" w:hAnsi="Arial" w:cs="Arial"/>
          <w:lang w:val="en-US"/>
        </w:rPr>
        <w:t>,</w:t>
      </w:r>
      <w:r>
        <w:rPr>
          <w:rFonts w:ascii="Arial" w:hAnsi="Arial" w:cs="Arial"/>
          <w:lang w:val="en-US"/>
        </w:rPr>
        <w:t xml:space="preserve"> and improvements to the routine immunization program. As part of the polio transition, polio program funds (apart from funds for SIAs) will be cut by more than half between 2016 and 2019 – likely resulting in a substantial reduction in this supplemental workforce.</w:t>
      </w:r>
    </w:p>
    <w:p w:rsidR="00AB6B44" w:rsidRDefault="00AB6B44" w:rsidP="00E54B4C">
      <w:pPr>
        <w:pStyle w:val="ListParagraph"/>
        <w:ind w:left="0"/>
        <w:contextualSpacing w:val="0"/>
        <w:rPr>
          <w:rFonts w:ascii="Arial" w:hAnsi="Arial" w:cs="Arial"/>
          <w:lang w:val="en-US"/>
        </w:rPr>
      </w:pPr>
      <w:r>
        <w:rPr>
          <w:rFonts w:ascii="Arial" w:hAnsi="Arial" w:cs="Arial"/>
          <w:lang w:val="en-US"/>
        </w:rPr>
        <w:t>At the operational level, most vaccinations given in the public sector are administered by nurses or midwives or – especially in the under-served North – by community health extension workers (CHEWs). These are facility-based, salaried health workers with secondary school education and a year or so of training, who focus on providing preventive health services, including in the community</w:t>
      </w:r>
      <w:r w:rsidR="008E2AE4">
        <w:rPr>
          <w:rFonts w:ascii="Arial" w:hAnsi="Arial" w:cs="Arial"/>
          <w:lang w:val="en-US"/>
        </w:rPr>
        <w:t>. In addition, an estimated 15% of vaccinations are provided by nurses and midwives working in private health facilities.</w:t>
      </w:r>
      <w:r w:rsidR="008E2AE4">
        <w:rPr>
          <w:rStyle w:val="FootnoteReference"/>
          <w:rFonts w:ascii="Arial" w:hAnsi="Arial" w:cs="Arial"/>
          <w:lang w:val="en-US"/>
        </w:rPr>
        <w:footnoteReference w:id="4"/>
      </w:r>
    </w:p>
    <w:p w:rsidR="008E2AE4" w:rsidRDefault="008E2AE4" w:rsidP="00E54B4C">
      <w:pPr>
        <w:pStyle w:val="ListParagraph"/>
        <w:ind w:left="0"/>
        <w:contextualSpacing w:val="0"/>
        <w:rPr>
          <w:rFonts w:ascii="Arial" w:hAnsi="Arial" w:cs="Arial"/>
          <w:lang w:val="en-US"/>
        </w:rPr>
      </w:pPr>
      <w:r>
        <w:rPr>
          <w:rFonts w:ascii="Arial" w:hAnsi="Arial" w:cs="Arial"/>
          <w:lang w:val="en-US"/>
        </w:rPr>
        <w:t>As in many countries, the number of health workers in the public sector is inadequate in many parts of the country, due to insufficient funding at the state level (health worker salaries are paid out of state budgets) and a high rate of staff transfers. In addition, most health workers prefer to work in urban vs. rural areas, resulting in an imbalanced distribution in which more than 70% work in urban areas, and with greater concentrations in the South than in the North. This leaves many rural areas, especially in Northern states, with vastly insufficient numbers of health workers to serve the population. The skills level of many health staff is also considered to be low.</w:t>
      </w:r>
    </w:p>
    <w:p w:rsidR="008E2AE4" w:rsidRDefault="008E2AE4" w:rsidP="00E54B4C">
      <w:pPr>
        <w:pStyle w:val="ListParagraph"/>
        <w:ind w:left="0"/>
        <w:contextualSpacing w:val="0"/>
        <w:rPr>
          <w:rFonts w:ascii="Arial" w:hAnsi="Arial" w:cs="Arial"/>
          <w:lang w:val="en-US"/>
        </w:rPr>
      </w:pPr>
      <w:r>
        <w:rPr>
          <w:rFonts w:ascii="Arial" w:hAnsi="Arial" w:cs="Arial"/>
          <w:lang w:val="en-US"/>
        </w:rPr>
        <w:lastRenderedPageBreak/>
        <w:t>Making matters worse are frequent and prolonged health worker strikes – often lasting 4-6 months – in a number of states, especially those that have not paid their health workers for months, due to either state bankruptcies or the freezing of salaries of civil servants, as part of a “verification” process mandated by the new President to determine who actually works for the state and to weed out “ghost workers”.</w:t>
      </w:r>
    </w:p>
    <w:p w:rsidR="008E2AE4" w:rsidRPr="00EA6F8C" w:rsidRDefault="008E2AE4" w:rsidP="00E54B4C">
      <w:pPr>
        <w:pStyle w:val="ListParagraph"/>
        <w:ind w:left="0"/>
        <w:contextualSpacing w:val="0"/>
        <w:rPr>
          <w:rFonts w:ascii="Arial" w:hAnsi="Arial" w:cs="Arial"/>
          <w:lang w:val="en-US"/>
        </w:rPr>
      </w:pPr>
      <w:r>
        <w:rPr>
          <w:rFonts w:ascii="Arial" w:hAnsi="Arial" w:cs="Arial"/>
          <w:lang w:val="en-US"/>
        </w:rPr>
        <w:t xml:space="preserve">To increase the health workforce, in alignment with the Government’s plan to make PHC services accessible to all, the federal government began two initiatives in the past five years. The Midwives </w:t>
      </w:r>
      <w:r w:rsidR="005608E7">
        <w:rPr>
          <w:rFonts w:ascii="Arial" w:hAnsi="Arial" w:cs="Arial"/>
          <w:lang w:val="en-US"/>
        </w:rPr>
        <w:t>Service Scheme (MSS) involves recruiting 8,000 qualified midwives as well as CHEWs to work in PHC facilities in under-served areas, while the SURE-P-MCH program also recruits and deploys midwives and CHEWs, as well as 5,000 village health workers, using results-based incentives. However, these initiatives are funded by the MDG debt relief funding or savings from reductions in the petroleum subsidy and both have been affected by the country’s worsening economy. The state of Kano, for instance, has had to lay off 600 midwives hired through the MSS due to the decline in the state’s revenues. Recruitment of SURE-P-MCH health workers has also reportedly been put on hold</w:t>
      </w:r>
      <w:r w:rsidR="00236906">
        <w:rPr>
          <w:rFonts w:ascii="Arial" w:hAnsi="Arial" w:cs="Arial"/>
          <w:lang w:val="en-US"/>
        </w:rPr>
        <w:t xml:space="preserve"> in many areas</w:t>
      </w:r>
      <w:r w:rsidR="005608E7">
        <w:rPr>
          <w:rFonts w:ascii="Arial" w:hAnsi="Arial" w:cs="Arial"/>
          <w:lang w:val="en-US"/>
        </w:rPr>
        <w:t>.</w:t>
      </w:r>
    </w:p>
    <w:p w:rsidR="00CA663B" w:rsidRPr="00236906" w:rsidRDefault="00CA663B" w:rsidP="00236906">
      <w:pPr>
        <w:pStyle w:val="ListParagraph"/>
        <w:numPr>
          <w:ilvl w:val="0"/>
          <w:numId w:val="1"/>
        </w:numPr>
        <w:contextualSpacing w:val="0"/>
        <w:rPr>
          <w:rFonts w:ascii="Arial" w:hAnsi="Arial" w:cs="Arial"/>
          <w:b/>
          <w:sz w:val="24"/>
          <w:szCs w:val="24"/>
          <w:lang w:val="en-US"/>
        </w:rPr>
      </w:pPr>
      <w:r w:rsidRPr="00236906">
        <w:rPr>
          <w:rFonts w:ascii="Arial" w:hAnsi="Arial" w:cs="Arial"/>
          <w:b/>
          <w:sz w:val="24"/>
          <w:szCs w:val="24"/>
          <w:lang w:val="en-US"/>
        </w:rPr>
        <w:t>Progress towards specific GVAP goals (issues/challenges/successes)</w:t>
      </w:r>
    </w:p>
    <w:p w:rsidR="00236906" w:rsidRDefault="00CA663B" w:rsidP="00236906">
      <w:pPr>
        <w:rPr>
          <w:rFonts w:ascii="Arial" w:hAnsi="Arial" w:cs="Arial"/>
          <w:b/>
          <w:lang w:val="en-US"/>
        </w:rPr>
      </w:pPr>
      <w:r w:rsidRPr="00EA6F8C">
        <w:rPr>
          <w:rFonts w:ascii="Arial" w:hAnsi="Arial" w:cs="Arial"/>
          <w:b/>
          <w:lang w:val="en-US"/>
        </w:rPr>
        <w:t xml:space="preserve">3.1 Goal </w:t>
      </w:r>
      <w:r w:rsidR="00236906">
        <w:rPr>
          <w:rFonts w:ascii="Arial" w:hAnsi="Arial" w:cs="Arial"/>
          <w:b/>
          <w:lang w:val="en-US"/>
        </w:rPr>
        <w:t>1: Achieve a world free of p</w:t>
      </w:r>
      <w:r w:rsidR="00236906" w:rsidRPr="00EA6F8C">
        <w:rPr>
          <w:rFonts w:ascii="Arial" w:hAnsi="Arial" w:cs="Arial"/>
          <w:b/>
          <w:lang w:val="en-US"/>
        </w:rPr>
        <w:t>oliomyelitis</w:t>
      </w:r>
    </w:p>
    <w:p w:rsidR="00236906" w:rsidRPr="009D7CB0" w:rsidRDefault="009D7CB0" w:rsidP="00236906">
      <w:pPr>
        <w:rPr>
          <w:rFonts w:ascii="Arial" w:hAnsi="Arial" w:cs="Arial"/>
          <w:u w:val="single"/>
          <w:lang w:val="en-US"/>
        </w:rPr>
      </w:pPr>
      <w:r w:rsidRPr="009D7CB0">
        <w:rPr>
          <w:rFonts w:ascii="Arial" w:hAnsi="Arial" w:cs="Arial"/>
          <w:u w:val="single"/>
          <w:lang w:val="en-US"/>
        </w:rPr>
        <w:t>Has Nigeria interrupted polio transmission?</w:t>
      </w:r>
    </w:p>
    <w:p w:rsidR="009D7CB0" w:rsidRDefault="009D7CB0" w:rsidP="00236906">
      <w:pPr>
        <w:rPr>
          <w:rFonts w:ascii="Arial" w:hAnsi="Arial" w:cs="Arial"/>
          <w:lang w:val="en-US"/>
        </w:rPr>
      </w:pPr>
      <w:r>
        <w:rPr>
          <w:rFonts w:ascii="Arial" w:hAnsi="Arial" w:cs="Arial"/>
          <w:lang w:val="en-US"/>
        </w:rPr>
        <w:t>Official data from the country’s extensive AFP/polio surveillance system showed that transmission of wild polio virus (WPV) had been interrupted by the first quarter of 2015 – with the last case reported in July 2014.</w:t>
      </w:r>
      <w:r>
        <w:rPr>
          <w:rStyle w:val="FootnoteReference"/>
          <w:rFonts w:ascii="Arial" w:hAnsi="Arial" w:cs="Arial"/>
          <w:lang w:val="en-US"/>
        </w:rPr>
        <w:footnoteReference w:id="5"/>
      </w:r>
      <w:r>
        <w:rPr>
          <w:rFonts w:ascii="Arial" w:hAnsi="Arial" w:cs="Arial"/>
          <w:lang w:val="en-US"/>
        </w:rPr>
        <w:t xml:space="preserve"> WP incidence had been decreasing each year since 2012 (when 122 cases were confirmed) to only six cases in 2014, and the map of the disease had narrowed to two remote states with security problems (Kano and Yobe) (Figure 1). </w:t>
      </w:r>
      <w:r w:rsidR="009A785D">
        <w:rPr>
          <w:rFonts w:ascii="Arial" w:hAnsi="Arial" w:cs="Arial"/>
          <w:lang w:val="en-US"/>
        </w:rPr>
        <w:t>The i</w:t>
      </w:r>
      <w:r>
        <w:rPr>
          <w:rFonts w:ascii="Arial" w:hAnsi="Arial" w:cs="Arial"/>
          <w:lang w:val="en-US"/>
        </w:rPr>
        <w:t>ncidence of vaccine-derived polio virus (VDPV) – reported since 2005 – has also declined from a peak of 155 cases in 2009 to only one case in 2015.</w:t>
      </w:r>
    </w:p>
    <w:p w:rsidR="009D7CB0" w:rsidRDefault="009D7CB0" w:rsidP="00236906">
      <w:pPr>
        <w:rPr>
          <w:rFonts w:ascii="Arial" w:hAnsi="Arial" w:cs="Arial"/>
          <w:lang w:val="en-US"/>
        </w:rPr>
      </w:pPr>
      <w:r>
        <w:rPr>
          <w:rFonts w:ascii="Arial" w:hAnsi="Arial" w:cs="Arial"/>
          <w:lang w:val="en-US"/>
        </w:rPr>
        <w:t>There has been a recent setback, however, with the detection of two cases of WPV type 1 in July 2016 in Borno state in the extreme Northeast corner of the country, a remote area where Boko Haram is centered. The strain was found to be closely linked to the last WPV1 cases reported from Borno state in 2011, indicating that the virus has been circulating undetected in the state for five years. This is clearly a setback to the country’s plans to achieve certification of cessation of all types of WPV by 2018, as stated in the immunization program’s multi-year plan (cMYP).</w:t>
      </w:r>
    </w:p>
    <w:p w:rsidR="009D7CB0" w:rsidRDefault="009D7CB0" w:rsidP="00236906">
      <w:pPr>
        <w:rPr>
          <w:rFonts w:ascii="Arial" w:hAnsi="Arial" w:cs="Arial"/>
          <w:lang w:val="en-US"/>
        </w:rPr>
      </w:pPr>
      <w:r>
        <w:rPr>
          <w:rFonts w:ascii="Arial" w:hAnsi="Arial" w:cs="Arial"/>
          <w:lang w:val="en-US"/>
        </w:rPr>
        <w:t xml:space="preserve">The Nigeria Government – with partner support and under the direction of the National Polio Emergency Operations Centre (EOC) – has been conducting a series of polio vaccination campaigns for several years to </w:t>
      </w:r>
      <w:r w:rsidR="009A785D">
        <w:rPr>
          <w:rFonts w:ascii="Arial" w:hAnsi="Arial" w:cs="Arial"/>
          <w:lang w:val="en-US"/>
        </w:rPr>
        <w:t>halt</w:t>
      </w:r>
      <w:r>
        <w:rPr>
          <w:rFonts w:ascii="Arial" w:hAnsi="Arial" w:cs="Arial"/>
          <w:lang w:val="en-US"/>
        </w:rPr>
        <w:t xml:space="preserve"> transmission of the disease</w:t>
      </w:r>
      <w:r w:rsidR="003E68D8">
        <w:rPr>
          <w:rFonts w:ascii="Arial" w:hAnsi="Arial" w:cs="Arial"/>
          <w:lang w:val="en-US"/>
        </w:rPr>
        <w:t>. The country has held two or three rounds of national immunization days (NIDs) and six or seven round of sub-national immunization days (SNIDs)</w:t>
      </w:r>
      <w:r w:rsidR="009A785D" w:rsidRPr="009A785D">
        <w:rPr>
          <w:rFonts w:ascii="Arial" w:hAnsi="Arial" w:cs="Arial"/>
          <w:lang w:val="en-US"/>
        </w:rPr>
        <w:t xml:space="preserve"> </w:t>
      </w:r>
      <w:r w:rsidR="009A785D">
        <w:rPr>
          <w:rFonts w:ascii="Arial" w:hAnsi="Arial" w:cs="Arial"/>
          <w:lang w:val="en-US"/>
        </w:rPr>
        <w:t>per year</w:t>
      </w:r>
      <w:r w:rsidR="003E68D8">
        <w:rPr>
          <w:rFonts w:ascii="Arial" w:hAnsi="Arial" w:cs="Arial"/>
          <w:lang w:val="en-US"/>
        </w:rPr>
        <w:t xml:space="preserve">, including in reaction to cases. In response to the two recent WPV cases, three large-scale SIAs using the bivalent OPV are currently being planned in Borno state. </w:t>
      </w:r>
    </w:p>
    <w:p w:rsidR="001A1767" w:rsidRDefault="001A1767" w:rsidP="001A1767">
      <w:pPr>
        <w:pStyle w:val="Caption"/>
      </w:pPr>
    </w:p>
    <w:p w:rsidR="009D7CB0" w:rsidRPr="001A1767" w:rsidRDefault="001A1767" w:rsidP="001A1767">
      <w:pPr>
        <w:pStyle w:val="Caption"/>
        <w:rPr>
          <w:rFonts w:ascii="Arial" w:hAnsi="Arial" w:cs="Arial"/>
          <w:color w:val="auto"/>
          <w:sz w:val="22"/>
          <w:szCs w:val="22"/>
          <w:lang w:val="en-US"/>
        </w:rPr>
      </w:pPr>
      <w:r w:rsidRPr="001A1767">
        <w:rPr>
          <w:rFonts w:ascii="Arial" w:hAnsi="Arial" w:cs="Arial"/>
          <w:color w:val="auto"/>
          <w:sz w:val="22"/>
          <w:szCs w:val="22"/>
        </w:rPr>
        <w:lastRenderedPageBreak/>
        <w:t xml:space="preserve">Figure </w:t>
      </w:r>
      <w:r w:rsidRPr="001A1767">
        <w:rPr>
          <w:rFonts w:ascii="Arial" w:hAnsi="Arial" w:cs="Arial"/>
          <w:color w:val="auto"/>
          <w:sz w:val="22"/>
          <w:szCs w:val="22"/>
        </w:rPr>
        <w:fldChar w:fldCharType="begin"/>
      </w:r>
      <w:r w:rsidRPr="001A1767">
        <w:rPr>
          <w:rFonts w:ascii="Arial" w:hAnsi="Arial" w:cs="Arial"/>
          <w:color w:val="auto"/>
          <w:sz w:val="22"/>
          <w:szCs w:val="22"/>
        </w:rPr>
        <w:instrText xml:space="preserve"> SEQ Figure \* ARABIC </w:instrText>
      </w:r>
      <w:r w:rsidRPr="001A1767">
        <w:rPr>
          <w:rFonts w:ascii="Arial" w:hAnsi="Arial" w:cs="Arial"/>
          <w:color w:val="auto"/>
          <w:sz w:val="22"/>
          <w:szCs w:val="22"/>
        </w:rPr>
        <w:fldChar w:fldCharType="separate"/>
      </w:r>
      <w:r w:rsidR="00D91889">
        <w:rPr>
          <w:rFonts w:ascii="Arial" w:hAnsi="Arial" w:cs="Arial"/>
          <w:noProof/>
          <w:color w:val="auto"/>
          <w:sz w:val="22"/>
          <w:szCs w:val="22"/>
        </w:rPr>
        <w:t>1</w:t>
      </w:r>
      <w:r w:rsidRPr="001A1767">
        <w:rPr>
          <w:rFonts w:ascii="Arial" w:hAnsi="Arial" w:cs="Arial"/>
          <w:color w:val="auto"/>
          <w:sz w:val="22"/>
          <w:szCs w:val="22"/>
        </w:rPr>
        <w:fldChar w:fldCharType="end"/>
      </w:r>
      <w:r w:rsidRPr="001A1767">
        <w:rPr>
          <w:rFonts w:ascii="Arial" w:hAnsi="Arial" w:cs="Arial"/>
          <w:color w:val="auto"/>
          <w:sz w:val="22"/>
          <w:szCs w:val="22"/>
        </w:rPr>
        <w:t xml:space="preserve">: </w:t>
      </w:r>
      <w:r w:rsidR="009D7CB0" w:rsidRPr="001A1767">
        <w:rPr>
          <w:rFonts w:ascii="Arial" w:hAnsi="Arial" w:cs="Arial"/>
          <w:color w:val="auto"/>
          <w:sz w:val="22"/>
          <w:szCs w:val="22"/>
          <w:lang w:val="en-US"/>
        </w:rPr>
        <w:t>Trends in incidence of confirmed wild polio virus and vaccine-derived disease in Nigeria</w:t>
      </w:r>
    </w:p>
    <w:p w:rsidR="009D7CB0" w:rsidRDefault="009D7CB0" w:rsidP="009A785D">
      <w:pPr>
        <w:spacing w:after="0"/>
        <w:jc w:val="center"/>
        <w:rPr>
          <w:rFonts w:ascii="Arial" w:hAnsi="Arial" w:cs="Arial"/>
          <w:lang w:val="en-US"/>
        </w:rPr>
      </w:pPr>
      <w:r>
        <w:rPr>
          <w:noProof/>
          <w:lang w:eastAsia="zh-CN"/>
        </w:rPr>
        <w:drawing>
          <wp:inline distT="0" distB="0" distL="0" distR="0" wp14:anchorId="54DA7C5A" wp14:editId="7BFCF704">
            <wp:extent cx="3743325" cy="2200275"/>
            <wp:effectExtent l="0" t="0" r="9525" b="9525"/>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05184D" w:rsidRPr="009A785D" w:rsidRDefault="0005184D" w:rsidP="009A785D">
      <w:pPr>
        <w:ind w:left="1440" w:hanging="1440"/>
        <w:rPr>
          <w:rFonts w:ascii="Arial" w:hAnsi="Arial" w:cs="Arial"/>
          <w:sz w:val="18"/>
          <w:szCs w:val="18"/>
          <w:lang w:val="en-US"/>
        </w:rPr>
      </w:pPr>
      <w:r w:rsidRPr="009A785D">
        <w:rPr>
          <w:rFonts w:ascii="Arial" w:hAnsi="Arial" w:cs="Arial"/>
          <w:sz w:val="18"/>
          <w:szCs w:val="18"/>
          <w:lang w:val="en-US"/>
        </w:rPr>
        <w:tab/>
        <w:t xml:space="preserve">Source: </w:t>
      </w:r>
      <w:r w:rsidR="009A785D" w:rsidRPr="009A785D">
        <w:rPr>
          <w:rFonts w:ascii="Arial" w:hAnsi="Arial" w:cs="Arial"/>
          <w:sz w:val="18"/>
          <w:szCs w:val="18"/>
          <w:lang w:val="en-US"/>
        </w:rPr>
        <w:t>WHO, Highlights of new wild poliovirus and cVDPV cases reported globally, week of August 9, 2016 (presentation)</w:t>
      </w:r>
    </w:p>
    <w:p w:rsidR="003E68D8" w:rsidRDefault="003E68D8" w:rsidP="003E68D8">
      <w:pPr>
        <w:rPr>
          <w:rFonts w:ascii="Arial" w:hAnsi="Arial" w:cs="Arial"/>
          <w:lang w:val="en-US"/>
        </w:rPr>
      </w:pPr>
      <w:r>
        <w:rPr>
          <w:rFonts w:ascii="Arial" w:hAnsi="Arial" w:cs="Arial"/>
          <w:lang w:val="en-US"/>
        </w:rPr>
        <w:t>The quality of the SIAs has improved in recent years, with the Government funding innovative ways and making special efforts to reach under-served and hard-to-reach areas. These include:</w:t>
      </w:r>
    </w:p>
    <w:p w:rsidR="003E68D8" w:rsidRDefault="003E68D8" w:rsidP="003E68D8">
      <w:pPr>
        <w:pStyle w:val="ListParagraph"/>
        <w:numPr>
          <w:ilvl w:val="0"/>
          <w:numId w:val="29"/>
        </w:numPr>
        <w:contextualSpacing w:val="0"/>
        <w:rPr>
          <w:rFonts w:ascii="Arial" w:hAnsi="Arial" w:cs="Arial"/>
          <w:lang w:val="en-US"/>
        </w:rPr>
      </w:pPr>
      <w:r>
        <w:rPr>
          <w:rFonts w:ascii="Arial" w:hAnsi="Arial" w:cs="Arial"/>
          <w:lang w:val="en-US"/>
        </w:rPr>
        <w:t>Vaccination campaigns in registered IDP camps in four states (Adamawa, Borno, Gombe and Taraba) that, despite the insurgency, was able to vaccinate nearly 58,000 children 0-59 months old in one month in 2014;</w:t>
      </w:r>
    </w:p>
    <w:p w:rsidR="003E68D8" w:rsidRDefault="003E68D8" w:rsidP="003E68D8">
      <w:pPr>
        <w:pStyle w:val="ListParagraph"/>
        <w:numPr>
          <w:ilvl w:val="0"/>
          <w:numId w:val="29"/>
        </w:numPr>
        <w:contextualSpacing w:val="0"/>
        <w:rPr>
          <w:rFonts w:ascii="Arial" w:hAnsi="Arial" w:cs="Arial"/>
          <w:lang w:val="en-US"/>
        </w:rPr>
      </w:pPr>
      <w:r>
        <w:rPr>
          <w:rFonts w:ascii="Arial" w:hAnsi="Arial" w:cs="Arial"/>
          <w:lang w:val="en-US"/>
        </w:rPr>
        <w:t>Health camps in 2013 and 2014 in areas with low utilization of routine immunization and health services. In three state where health camps were used to introduce IPV (Borno, Yobe and Kano), three million children were vaccinated in 2013.</w:t>
      </w:r>
    </w:p>
    <w:p w:rsidR="003E68D8" w:rsidRDefault="00111D50" w:rsidP="003E68D8">
      <w:pPr>
        <w:rPr>
          <w:rFonts w:ascii="Arial" w:hAnsi="Arial" w:cs="Arial"/>
          <w:lang w:val="en-US"/>
        </w:rPr>
      </w:pPr>
      <w:r>
        <w:rPr>
          <w:rFonts w:ascii="Arial" w:hAnsi="Arial" w:cs="Arial"/>
          <w:lang w:val="en-US"/>
        </w:rPr>
        <w:t>Official data show high coverage of these campaigns (e.g., 95% of more), but given issues with data quality (often showing coverage of &gt;100%), the numbers of children being missed by polio SIAs is uncertain.</w:t>
      </w:r>
    </w:p>
    <w:p w:rsidR="00111D50" w:rsidRPr="00111D50" w:rsidRDefault="00111D50" w:rsidP="003E68D8">
      <w:pPr>
        <w:rPr>
          <w:rFonts w:ascii="Arial" w:hAnsi="Arial" w:cs="Arial"/>
          <w:u w:val="single"/>
          <w:lang w:val="en-US"/>
        </w:rPr>
      </w:pPr>
      <w:r w:rsidRPr="00111D50">
        <w:rPr>
          <w:rFonts w:ascii="Arial" w:hAnsi="Arial" w:cs="Arial"/>
          <w:u w:val="single"/>
          <w:lang w:val="en-US"/>
        </w:rPr>
        <w:t>Key problems contributing to the continual risk of polio transmission in Nigeria</w:t>
      </w:r>
    </w:p>
    <w:p w:rsidR="00111D50" w:rsidRDefault="00111D50" w:rsidP="00B50567">
      <w:pPr>
        <w:pStyle w:val="ListParagraph"/>
        <w:numPr>
          <w:ilvl w:val="0"/>
          <w:numId w:val="30"/>
        </w:numPr>
        <w:contextualSpacing w:val="0"/>
        <w:rPr>
          <w:rFonts w:ascii="Arial" w:hAnsi="Arial" w:cs="Arial"/>
          <w:lang w:val="en-US"/>
        </w:rPr>
      </w:pPr>
      <w:r w:rsidRPr="00111D50">
        <w:rPr>
          <w:rFonts w:ascii="Arial" w:hAnsi="Arial" w:cs="Arial"/>
          <w:b/>
          <w:lang w:val="en-US"/>
        </w:rPr>
        <w:t>Gaps in AFP/polio surveillance</w:t>
      </w:r>
      <w:r>
        <w:rPr>
          <w:rFonts w:ascii="Arial" w:hAnsi="Arial" w:cs="Arial"/>
          <w:lang w:val="en-US"/>
        </w:rPr>
        <w:t>. Nigeria’s AFP surveillance system – implemented by Disease Surveillance and Notification Officers in all 774 LGAs, State Epidemiologists and the polio “surge” staff – has met the global performance targets for more than 10 years, with a c</w:t>
      </w:r>
      <w:r w:rsidR="009A785D">
        <w:rPr>
          <w:rFonts w:ascii="Arial" w:hAnsi="Arial" w:cs="Arial"/>
          <w:lang w:val="en-US"/>
        </w:rPr>
        <w:t xml:space="preserve">urrent AFP detection rate of 18 per </w:t>
      </w:r>
      <w:r>
        <w:rPr>
          <w:rFonts w:ascii="Arial" w:hAnsi="Arial" w:cs="Arial"/>
          <w:lang w:val="en-US"/>
        </w:rPr>
        <w:t>100,000 children under 15 years of age (up from 13</w:t>
      </w:r>
      <w:r w:rsidR="00B50567">
        <w:rPr>
          <w:rFonts w:ascii="Arial" w:hAnsi="Arial" w:cs="Arial"/>
          <w:lang w:val="en-US"/>
        </w:rPr>
        <w:t>/100,000</w:t>
      </w:r>
      <w:r>
        <w:rPr>
          <w:rFonts w:ascii="Arial" w:hAnsi="Arial" w:cs="Arial"/>
          <w:lang w:val="en-US"/>
        </w:rPr>
        <w:t xml:space="preserve"> in 2014) and a 99% rate of adequate stool specimens. The system is supported by two national laboratories, a reference lab and specialized lab in the U.S. Nonetheless, both the two recent cases found in Borno state and orphan viruses detected in 2014 through genetic sequencing suggest that the virus has been circulating undetected in certain areas – for five years in the case of WPV1 in Borno state – and thus</w:t>
      </w:r>
      <w:r w:rsidR="00B50567">
        <w:rPr>
          <w:rFonts w:ascii="Arial" w:hAnsi="Arial" w:cs="Arial"/>
          <w:lang w:val="en-US"/>
        </w:rPr>
        <w:t xml:space="preserve"> there remain gaps in the surveillance system. The challenge in conducting consistent, high-quality surveillance in inaccessible and insecure areas like Borno state is likely a key reason for this gap.</w:t>
      </w:r>
    </w:p>
    <w:p w:rsidR="00D744D3" w:rsidRDefault="00B50567" w:rsidP="00B50567">
      <w:pPr>
        <w:pStyle w:val="ListParagraph"/>
        <w:numPr>
          <w:ilvl w:val="0"/>
          <w:numId w:val="30"/>
        </w:numPr>
        <w:contextualSpacing w:val="0"/>
        <w:rPr>
          <w:rFonts w:ascii="Arial" w:hAnsi="Arial" w:cs="Arial"/>
          <w:lang w:val="en-US"/>
        </w:rPr>
      </w:pPr>
      <w:r w:rsidRPr="00B50567">
        <w:rPr>
          <w:rFonts w:ascii="Arial" w:hAnsi="Arial" w:cs="Arial"/>
          <w:b/>
          <w:lang w:val="en-US"/>
        </w:rPr>
        <w:t>Continued low performance of the routine immunization program</w:t>
      </w:r>
      <w:r>
        <w:rPr>
          <w:rFonts w:ascii="Arial" w:hAnsi="Arial" w:cs="Arial"/>
          <w:lang w:val="en-US"/>
        </w:rPr>
        <w:t xml:space="preserve">. </w:t>
      </w:r>
      <w:r w:rsidR="00361F07">
        <w:rPr>
          <w:rFonts w:ascii="Arial" w:hAnsi="Arial" w:cs="Arial"/>
          <w:lang w:val="en-US"/>
        </w:rPr>
        <w:t xml:space="preserve">The </w:t>
      </w:r>
      <w:r>
        <w:rPr>
          <w:rFonts w:ascii="Arial" w:hAnsi="Arial" w:cs="Arial"/>
          <w:lang w:val="en-US"/>
        </w:rPr>
        <w:t>WHO-UNICEF</w:t>
      </w:r>
      <w:r w:rsidR="00361F07">
        <w:rPr>
          <w:rFonts w:ascii="Arial" w:hAnsi="Arial" w:cs="Arial"/>
          <w:lang w:val="en-US"/>
        </w:rPr>
        <w:t xml:space="preserve"> </w:t>
      </w:r>
      <w:r>
        <w:rPr>
          <w:rFonts w:ascii="Arial" w:hAnsi="Arial" w:cs="Arial"/>
          <w:lang w:val="en-US"/>
        </w:rPr>
        <w:t xml:space="preserve">estimated </w:t>
      </w:r>
      <w:r w:rsidR="002B09F1">
        <w:rPr>
          <w:rFonts w:ascii="Arial" w:hAnsi="Arial" w:cs="Arial"/>
          <w:lang w:val="en-US"/>
        </w:rPr>
        <w:t xml:space="preserve">routine vaccination </w:t>
      </w:r>
      <w:r>
        <w:rPr>
          <w:rFonts w:ascii="Arial" w:hAnsi="Arial" w:cs="Arial"/>
          <w:lang w:val="en-US"/>
        </w:rPr>
        <w:t xml:space="preserve">coverage rate for three doses of polio vaccine </w:t>
      </w:r>
      <w:r>
        <w:rPr>
          <w:rFonts w:ascii="Arial" w:hAnsi="Arial" w:cs="Arial"/>
          <w:lang w:val="en-US"/>
        </w:rPr>
        <w:lastRenderedPageBreak/>
        <w:t>was only 55% nationally in 2015 and 49% in 2014.</w:t>
      </w:r>
      <w:r>
        <w:rPr>
          <w:rStyle w:val="FootnoteReference"/>
          <w:rFonts w:ascii="Arial" w:hAnsi="Arial" w:cs="Arial"/>
          <w:lang w:val="en-US"/>
        </w:rPr>
        <w:footnoteReference w:id="6"/>
      </w:r>
      <w:r>
        <w:rPr>
          <w:rFonts w:ascii="Arial" w:hAnsi="Arial" w:cs="Arial"/>
          <w:lang w:val="en-US"/>
        </w:rPr>
        <w:t xml:space="preserve"> Coverage in remote and unsafe areas is l</w:t>
      </w:r>
      <w:r w:rsidR="0098318B">
        <w:rPr>
          <w:rFonts w:ascii="Arial" w:hAnsi="Arial" w:cs="Arial"/>
          <w:lang w:val="en-US"/>
        </w:rPr>
        <w:t>ikely considerably lower than these rates</w:t>
      </w:r>
      <w:r>
        <w:rPr>
          <w:rFonts w:ascii="Arial" w:hAnsi="Arial" w:cs="Arial"/>
          <w:lang w:val="en-US"/>
        </w:rPr>
        <w:t xml:space="preserve">. This points to a failure of the routine program to reach children with all required vaccine doses. </w:t>
      </w:r>
      <w:r w:rsidRPr="00B50567">
        <w:rPr>
          <w:rFonts w:ascii="Arial" w:hAnsi="Arial" w:cs="Arial"/>
          <w:lang w:val="en-US"/>
        </w:rPr>
        <w:t xml:space="preserve">While issues affecting routine immunization coverage are covered in detail in Section 3.3 below, </w:t>
      </w:r>
      <w:r>
        <w:rPr>
          <w:rFonts w:ascii="Arial" w:hAnsi="Arial" w:cs="Arial"/>
          <w:lang w:val="en-US"/>
        </w:rPr>
        <w:t>two</w:t>
      </w:r>
      <w:r w:rsidRPr="00B50567">
        <w:rPr>
          <w:rFonts w:ascii="Arial" w:hAnsi="Arial" w:cs="Arial"/>
          <w:lang w:val="en-US"/>
        </w:rPr>
        <w:t xml:space="preserve"> main factors for the poor OPV coverage we ca</w:t>
      </w:r>
      <w:r>
        <w:rPr>
          <w:rFonts w:ascii="Arial" w:hAnsi="Arial" w:cs="Arial"/>
          <w:lang w:val="en-US"/>
        </w:rPr>
        <w:t>n mention here are the insufficient availability of health services and low population utilization rates, especially in remote areas; and the shortage of health workers in many areas. The insecurity caused by Boko Haram</w:t>
      </w:r>
      <w:r w:rsidR="00D744D3">
        <w:rPr>
          <w:rFonts w:ascii="Arial" w:hAnsi="Arial" w:cs="Arial"/>
          <w:lang w:val="en-US"/>
        </w:rPr>
        <w:t xml:space="preserve"> in the North and militants in the South contribute to both of these problems.</w:t>
      </w:r>
    </w:p>
    <w:p w:rsidR="00D744D3" w:rsidRDefault="00D744D3" w:rsidP="00D744D3">
      <w:pPr>
        <w:pStyle w:val="ListParagraph"/>
        <w:numPr>
          <w:ilvl w:val="1"/>
          <w:numId w:val="18"/>
        </w:numPr>
        <w:contextualSpacing w:val="0"/>
        <w:rPr>
          <w:rFonts w:ascii="Arial" w:hAnsi="Arial" w:cs="Arial"/>
          <w:b/>
          <w:lang w:val="en-US"/>
        </w:rPr>
      </w:pPr>
      <w:r>
        <w:rPr>
          <w:rFonts w:ascii="Arial" w:hAnsi="Arial" w:cs="Arial"/>
          <w:lang w:val="en-US"/>
        </w:rPr>
        <w:t xml:space="preserve"> </w:t>
      </w:r>
      <w:r w:rsidR="00B50567" w:rsidRPr="00D744D3">
        <w:rPr>
          <w:rFonts w:ascii="Arial" w:hAnsi="Arial" w:cs="Arial"/>
          <w:lang w:val="en-US"/>
        </w:rPr>
        <w:t xml:space="preserve"> </w:t>
      </w:r>
      <w:r w:rsidRPr="00EA6F8C">
        <w:rPr>
          <w:rFonts w:ascii="Arial" w:hAnsi="Arial" w:cs="Arial"/>
          <w:b/>
          <w:lang w:val="en-US"/>
        </w:rPr>
        <w:t>Goal 2 : Meet global and regional elimination targets</w:t>
      </w:r>
    </w:p>
    <w:p w:rsidR="00B50567" w:rsidRDefault="00D744D3" w:rsidP="00D744D3">
      <w:pPr>
        <w:pStyle w:val="ListParagraph"/>
        <w:numPr>
          <w:ilvl w:val="2"/>
          <w:numId w:val="18"/>
        </w:numPr>
        <w:contextualSpacing w:val="0"/>
        <w:rPr>
          <w:rFonts w:ascii="Arial" w:hAnsi="Arial" w:cs="Arial"/>
          <w:b/>
          <w:lang w:val="en-US"/>
        </w:rPr>
      </w:pPr>
      <w:r w:rsidRPr="00D744D3">
        <w:rPr>
          <w:rFonts w:ascii="Arial" w:hAnsi="Arial" w:cs="Arial"/>
          <w:b/>
          <w:lang w:val="en-US"/>
        </w:rPr>
        <w:t xml:space="preserve">Achieve maternal and neonatal tetanus </w:t>
      </w:r>
      <w:r>
        <w:rPr>
          <w:rFonts w:ascii="Arial" w:hAnsi="Arial" w:cs="Arial"/>
          <w:b/>
          <w:lang w:val="en-US"/>
        </w:rPr>
        <w:t xml:space="preserve">(MNT) </w:t>
      </w:r>
      <w:r w:rsidRPr="00D744D3">
        <w:rPr>
          <w:rFonts w:ascii="Arial" w:hAnsi="Arial" w:cs="Arial"/>
          <w:b/>
          <w:lang w:val="en-US"/>
        </w:rPr>
        <w:t>elimination</w:t>
      </w:r>
    </w:p>
    <w:p w:rsidR="00D744D3" w:rsidRDefault="00D744D3" w:rsidP="00D744D3">
      <w:pPr>
        <w:rPr>
          <w:rFonts w:ascii="Arial" w:hAnsi="Arial" w:cs="Arial"/>
          <w:lang w:val="en-US"/>
        </w:rPr>
      </w:pPr>
      <w:r w:rsidRPr="00D744D3">
        <w:rPr>
          <w:rFonts w:ascii="Arial" w:hAnsi="Arial" w:cs="Arial"/>
          <w:lang w:val="en-US"/>
        </w:rPr>
        <w:t>Nigeria</w:t>
      </w:r>
      <w:r>
        <w:rPr>
          <w:rFonts w:ascii="Arial" w:hAnsi="Arial" w:cs="Arial"/>
          <w:lang w:val="en-US"/>
        </w:rPr>
        <w:t xml:space="preserve"> has the goal of eliminating MNT by 2020 and an intermediate goal of more than 70% of LGAs having less than one case per 1,000 live births by 2018.</w:t>
      </w:r>
      <w:r>
        <w:rPr>
          <w:rStyle w:val="FootnoteReference"/>
          <w:rFonts w:ascii="Arial" w:hAnsi="Arial" w:cs="Arial"/>
          <w:lang w:val="en-US"/>
        </w:rPr>
        <w:footnoteReference w:id="7"/>
      </w:r>
      <w:r>
        <w:rPr>
          <w:rFonts w:ascii="Arial" w:hAnsi="Arial" w:cs="Arial"/>
          <w:lang w:val="en-US"/>
        </w:rPr>
        <w:t xml:space="preserve"> As of 2014, 17 states (46%) still reported more than one MNT per 100,000, though this represents considerable progress since 2010, when 27 states </w:t>
      </w:r>
      <w:r w:rsidR="003D6F13">
        <w:rPr>
          <w:rFonts w:ascii="Arial" w:hAnsi="Arial" w:cs="Arial"/>
          <w:lang w:val="en-US"/>
        </w:rPr>
        <w:t>were over this threshold.</w:t>
      </w:r>
      <w:r w:rsidR="003D6F13">
        <w:rPr>
          <w:rStyle w:val="FootnoteReference"/>
          <w:rFonts w:ascii="Arial" w:hAnsi="Arial" w:cs="Arial"/>
          <w:lang w:val="en-US"/>
        </w:rPr>
        <w:footnoteReference w:id="8"/>
      </w:r>
      <w:r w:rsidR="003D6F13">
        <w:rPr>
          <w:rFonts w:ascii="Arial" w:hAnsi="Arial" w:cs="Arial"/>
          <w:lang w:val="en-US"/>
        </w:rPr>
        <w:t xml:space="preserve"> In addition, case-based MNT surveillance has improved since 2008, when it was added to the AFP/measles surveillance platform. However, according to the cMYP, there is still a high level of under-</w:t>
      </w:r>
      <w:r>
        <w:rPr>
          <w:rFonts w:ascii="Arial" w:hAnsi="Arial" w:cs="Arial"/>
          <w:lang w:val="en-US"/>
        </w:rPr>
        <w:t>report</w:t>
      </w:r>
      <w:r w:rsidR="003D6F13">
        <w:rPr>
          <w:rFonts w:ascii="Arial" w:hAnsi="Arial" w:cs="Arial"/>
          <w:lang w:val="en-US"/>
        </w:rPr>
        <w:t xml:space="preserve">ing of the disease. </w:t>
      </w:r>
    </w:p>
    <w:p w:rsidR="003D6F13" w:rsidRDefault="003D6F13" w:rsidP="00D744D3">
      <w:pPr>
        <w:rPr>
          <w:rFonts w:ascii="Arial" w:hAnsi="Arial" w:cs="Arial"/>
          <w:lang w:val="en-US"/>
        </w:rPr>
      </w:pPr>
      <w:r>
        <w:rPr>
          <w:rFonts w:ascii="Arial" w:hAnsi="Arial" w:cs="Arial"/>
          <w:lang w:val="en-US"/>
        </w:rPr>
        <w:t>Nigeria faces two main challenges to meeting its MNT elimination goal:</w:t>
      </w:r>
    </w:p>
    <w:p w:rsidR="003D6F13" w:rsidRDefault="003D6F13" w:rsidP="003D6F13">
      <w:pPr>
        <w:pStyle w:val="ListParagraph"/>
        <w:numPr>
          <w:ilvl w:val="0"/>
          <w:numId w:val="31"/>
        </w:numPr>
        <w:contextualSpacing w:val="0"/>
        <w:rPr>
          <w:rFonts w:ascii="Arial" w:hAnsi="Arial" w:cs="Arial"/>
          <w:lang w:val="en-US"/>
        </w:rPr>
      </w:pPr>
      <w:r>
        <w:rPr>
          <w:rFonts w:ascii="Arial" w:hAnsi="Arial" w:cs="Arial"/>
          <w:lang w:val="en-US"/>
        </w:rPr>
        <w:t>Relatively low rates of utilization of maternal health services. According to the 2013 Nigeria Demographic and Health Survey (DHS), just more than half (51%) of women made four or more antenatal care (ANC) visits during their last pregnancy, 48% received two or more TT injections, and 36% delivered their babies in a health facility.</w:t>
      </w:r>
      <w:r>
        <w:rPr>
          <w:rStyle w:val="FootnoteReference"/>
          <w:rFonts w:ascii="Arial" w:hAnsi="Arial" w:cs="Arial"/>
          <w:lang w:val="en-US"/>
        </w:rPr>
        <w:footnoteReference w:id="9"/>
      </w:r>
      <w:r>
        <w:rPr>
          <w:rFonts w:ascii="Arial" w:hAnsi="Arial" w:cs="Arial"/>
          <w:lang w:val="en-US"/>
        </w:rPr>
        <w:t xml:space="preserve"> Many areas have much lower rates of maternal health utilization. Nearly half (47%) of women in rural areas reported no ANC visits during their last pregnancy compared to 11% in urban areas, and eight states – all in the Northeast and Northwest regions – had protection at birth (PAB) rates of less than 40%, with some states (Kebbi, Sokoto, Zamfara) as low as 14-17%</w:t>
      </w:r>
      <w:r w:rsidR="00EA06D2">
        <w:rPr>
          <w:rFonts w:ascii="Arial" w:hAnsi="Arial" w:cs="Arial"/>
          <w:lang w:val="en-US"/>
        </w:rPr>
        <w:t>. The national PAB rate – which WHO and UNICEF estimated at 55% in 2015 – has changed little since 2000, when it was 57%. While the cMYP has the goal of reaching more than 80% national coverage with two or more doses of TT vaccine, the lack of improvement in routine TT coverage remains a key impediment to Nigeria achieving MNT elimination;</w:t>
      </w:r>
    </w:p>
    <w:p w:rsidR="00EA06D2" w:rsidRPr="003D6F13" w:rsidRDefault="00F54563" w:rsidP="002B09F1">
      <w:pPr>
        <w:pStyle w:val="ListParagraph"/>
        <w:numPr>
          <w:ilvl w:val="0"/>
          <w:numId w:val="31"/>
        </w:numPr>
        <w:contextualSpacing w:val="0"/>
        <w:rPr>
          <w:rFonts w:ascii="Arial" w:hAnsi="Arial" w:cs="Arial"/>
          <w:lang w:val="en-US"/>
        </w:rPr>
      </w:pPr>
      <w:r>
        <w:rPr>
          <w:rFonts w:ascii="Arial" w:hAnsi="Arial" w:cs="Arial"/>
          <w:lang w:val="en-US"/>
        </w:rPr>
        <w:t>Delays in conducting TT campaigns in high-risk areas. SIAs for women aged 15 to 49 years and pregnant women began on a pilot bases in 2009 in five states, with the aim of providing three TT doses (through three rounds). However, only three states were able to complete all three rounds, resulting in an overall coverage rate in the pilot states of 49% for TT3.</w:t>
      </w:r>
      <w:r>
        <w:rPr>
          <w:rStyle w:val="FootnoteReference"/>
          <w:rFonts w:ascii="Arial" w:hAnsi="Arial" w:cs="Arial"/>
          <w:lang w:val="en-US"/>
        </w:rPr>
        <w:footnoteReference w:id="10"/>
      </w:r>
      <w:r>
        <w:rPr>
          <w:rFonts w:ascii="Arial" w:hAnsi="Arial" w:cs="Arial"/>
          <w:lang w:val="en-US"/>
        </w:rPr>
        <w:t xml:space="preserve"> Subsequently, targeting by states was abandoned and 61 LGAs were identified as high-risk areas. Plans were made to conduct three rounds of SIAs from 2014 to 2016 in these areas. The first round took place as planned in 2014, but the </w:t>
      </w:r>
      <w:r>
        <w:rPr>
          <w:rFonts w:ascii="Arial" w:hAnsi="Arial" w:cs="Arial"/>
          <w:lang w:val="en-US"/>
        </w:rPr>
        <w:lastRenderedPageBreak/>
        <w:t>second round</w:t>
      </w:r>
      <w:r w:rsidR="003B290A">
        <w:rPr>
          <w:rFonts w:ascii="Arial" w:hAnsi="Arial" w:cs="Arial"/>
          <w:lang w:val="en-US"/>
        </w:rPr>
        <w:t xml:space="preserve">, originally </w:t>
      </w:r>
      <w:r>
        <w:rPr>
          <w:rFonts w:ascii="Arial" w:hAnsi="Arial" w:cs="Arial"/>
          <w:lang w:val="en-US"/>
        </w:rPr>
        <w:t>scheduled for 2015</w:t>
      </w:r>
      <w:r w:rsidR="003B290A">
        <w:rPr>
          <w:rFonts w:ascii="Arial" w:hAnsi="Arial" w:cs="Arial"/>
          <w:lang w:val="en-US"/>
        </w:rPr>
        <w:t>,</w:t>
      </w:r>
      <w:r>
        <w:rPr>
          <w:rFonts w:ascii="Arial" w:hAnsi="Arial" w:cs="Arial"/>
          <w:lang w:val="en-US"/>
        </w:rPr>
        <w:t xml:space="preserve"> was delayed </w:t>
      </w:r>
      <w:r w:rsidR="0098318B">
        <w:rPr>
          <w:rFonts w:ascii="Arial" w:hAnsi="Arial" w:cs="Arial"/>
          <w:lang w:val="en-US"/>
        </w:rPr>
        <w:t xml:space="preserve">until early 2016, </w:t>
      </w:r>
      <w:r>
        <w:rPr>
          <w:rFonts w:ascii="Arial" w:hAnsi="Arial" w:cs="Arial"/>
          <w:lang w:val="en-US"/>
        </w:rPr>
        <w:t xml:space="preserve">due to a lack of funding as a result of the suspension of GAVI </w:t>
      </w:r>
      <w:r w:rsidR="002B09F1">
        <w:rPr>
          <w:rFonts w:ascii="Arial" w:hAnsi="Arial" w:cs="Arial"/>
          <w:lang w:val="en-US"/>
        </w:rPr>
        <w:t xml:space="preserve">operational cash support </w:t>
      </w:r>
      <w:r>
        <w:rPr>
          <w:rFonts w:ascii="Arial" w:hAnsi="Arial" w:cs="Arial"/>
          <w:lang w:val="en-US"/>
        </w:rPr>
        <w:t xml:space="preserve">and to competition with planning for national measles campaigns. The </w:t>
      </w:r>
      <w:r w:rsidR="0098318B">
        <w:rPr>
          <w:rFonts w:ascii="Arial" w:hAnsi="Arial" w:cs="Arial"/>
          <w:lang w:val="en-US"/>
        </w:rPr>
        <w:t>third</w:t>
      </w:r>
      <w:r>
        <w:rPr>
          <w:rFonts w:ascii="Arial" w:hAnsi="Arial" w:cs="Arial"/>
          <w:lang w:val="en-US"/>
        </w:rPr>
        <w:t xml:space="preserve"> round is now scheduled for 2017.</w:t>
      </w:r>
    </w:p>
    <w:p w:rsidR="00D744D3" w:rsidRDefault="00D744D3" w:rsidP="00D744D3">
      <w:pPr>
        <w:pStyle w:val="ListParagraph"/>
        <w:numPr>
          <w:ilvl w:val="2"/>
          <w:numId w:val="18"/>
        </w:numPr>
        <w:contextualSpacing w:val="0"/>
        <w:rPr>
          <w:rFonts w:ascii="Arial" w:hAnsi="Arial" w:cs="Arial"/>
          <w:b/>
          <w:lang w:val="en-US"/>
        </w:rPr>
      </w:pPr>
      <w:r w:rsidRPr="00D744D3">
        <w:rPr>
          <w:rFonts w:ascii="Arial" w:hAnsi="Arial" w:cs="Arial"/>
          <w:b/>
          <w:lang w:val="en-US"/>
        </w:rPr>
        <w:t>Achieve measles elimination and rubella &amp; CRS elimination</w:t>
      </w:r>
    </w:p>
    <w:p w:rsidR="00D34A31" w:rsidRPr="00D34A31" w:rsidRDefault="00D34A31" w:rsidP="00F54563">
      <w:pPr>
        <w:rPr>
          <w:rFonts w:ascii="Arial" w:hAnsi="Arial" w:cs="Arial"/>
          <w:u w:val="single"/>
          <w:lang w:val="en-US"/>
        </w:rPr>
      </w:pPr>
      <w:r w:rsidRPr="00D34A31">
        <w:rPr>
          <w:rFonts w:ascii="Arial" w:hAnsi="Arial" w:cs="Arial"/>
          <w:u w:val="single"/>
          <w:lang w:val="en-US"/>
        </w:rPr>
        <w:t>Measles</w:t>
      </w:r>
    </w:p>
    <w:p w:rsidR="00F54563" w:rsidRDefault="00F54563" w:rsidP="00F54563">
      <w:pPr>
        <w:rPr>
          <w:rFonts w:ascii="Arial" w:hAnsi="Arial" w:cs="Arial"/>
          <w:lang w:val="en-US"/>
        </w:rPr>
      </w:pPr>
      <w:r>
        <w:rPr>
          <w:rFonts w:ascii="Arial" w:hAnsi="Arial" w:cs="Arial"/>
          <w:lang w:val="en-US"/>
        </w:rPr>
        <w:t>Nigeria has the goal of reducing measles morbidity by 90%</w:t>
      </w:r>
      <w:r w:rsidR="00A077C6">
        <w:rPr>
          <w:rFonts w:ascii="Arial" w:hAnsi="Arial" w:cs="Arial"/>
          <w:lang w:val="en-US"/>
        </w:rPr>
        <w:t xml:space="preserve"> </w:t>
      </w:r>
      <w:r w:rsidR="00361F07">
        <w:rPr>
          <w:rFonts w:ascii="Arial" w:hAnsi="Arial" w:cs="Arial"/>
          <w:lang w:val="en-US"/>
        </w:rPr>
        <w:t xml:space="preserve">mortality by 95% </w:t>
      </w:r>
      <w:r w:rsidR="00A077C6">
        <w:rPr>
          <w:rFonts w:ascii="Arial" w:hAnsi="Arial" w:cs="Arial"/>
          <w:lang w:val="en-US"/>
        </w:rPr>
        <w:t xml:space="preserve">from </w:t>
      </w:r>
      <w:r w:rsidR="00361F07">
        <w:rPr>
          <w:rFonts w:ascii="Arial" w:hAnsi="Arial" w:cs="Arial"/>
          <w:lang w:val="en-US"/>
        </w:rPr>
        <w:t>2014</w:t>
      </w:r>
      <w:r w:rsidR="00A077C6" w:rsidRPr="00A077C6">
        <w:rPr>
          <w:rFonts w:ascii="Arial" w:hAnsi="Arial" w:cs="Arial"/>
          <w:color w:val="FF0000"/>
          <w:lang w:val="en-US"/>
        </w:rPr>
        <w:t xml:space="preserve"> </w:t>
      </w:r>
      <w:r w:rsidR="00361F07">
        <w:rPr>
          <w:rFonts w:ascii="Arial" w:hAnsi="Arial" w:cs="Arial"/>
          <w:lang w:val="en-US"/>
        </w:rPr>
        <w:t>to 2020</w:t>
      </w:r>
      <w:r w:rsidR="00A077C6">
        <w:rPr>
          <w:rFonts w:ascii="Arial" w:hAnsi="Arial" w:cs="Arial"/>
          <w:lang w:val="en-US"/>
        </w:rPr>
        <w:t>.</w:t>
      </w:r>
      <w:r w:rsidR="00A077C6">
        <w:rPr>
          <w:rStyle w:val="FootnoteReference"/>
          <w:rFonts w:ascii="Arial" w:hAnsi="Arial" w:cs="Arial"/>
          <w:lang w:val="en-US"/>
        </w:rPr>
        <w:footnoteReference w:id="11"/>
      </w:r>
      <w:r w:rsidR="00A077C6">
        <w:rPr>
          <w:rFonts w:ascii="Arial" w:hAnsi="Arial" w:cs="Arial"/>
          <w:lang w:val="en-US"/>
        </w:rPr>
        <w:t xml:space="preserve"> The number of cases reported through the disease surveillance system in 2015 was more than 12,200, which is significantly down from nearly 53,000 cases in 2013 and more than 212,000 cases in the year 2000.</w:t>
      </w:r>
      <w:r w:rsidR="00A077C6">
        <w:rPr>
          <w:rStyle w:val="FootnoteReference"/>
          <w:rFonts w:ascii="Arial" w:hAnsi="Arial" w:cs="Arial"/>
          <w:lang w:val="en-US"/>
        </w:rPr>
        <w:footnoteReference w:id="12"/>
      </w:r>
      <w:r w:rsidR="00A077C6">
        <w:rPr>
          <w:rFonts w:ascii="Arial" w:hAnsi="Arial" w:cs="Arial"/>
          <w:lang w:val="en-US"/>
        </w:rPr>
        <w:t xml:space="preserve"> The number of reported measles outbreaks has similarly declined from 338 in 2010 to 133 in 2014.</w:t>
      </w:r>
      <w:r w:rsidR="00A077C6">
        <w:rPr>
          <w:rStyle w:val="FootnoteReference"/>
          <w:rFonts w:ascii="Arial" w:hAnsi="Arial" w:cs="Arial"/>
          <w:lang w:val="en-US"/>
        </w:rPr>
        <w:footnoteReference w:id="13"/>
      </w:r>
    </w:p>
    <w:p w:rsidR="00A077C6" w:rsidRDefault="00A077C6" w:rsidP="00F54563">
      <w:pPr>
        <w:rPr>
          <w:rFonts w:ascii="Arial" w:hAnsi="Arial" w:cs="Arial"/>
          <w:lang w:val="en-US"/>
        </w:rPr>
      </w:pPr>
      <w:r>
        <w:rPr>
          <w:rFonts w:ascii="Arial" w:hAnsi="Arial" w:cs="Arial"/>
          <w:lang w:val="en-US"/>
        </w:rPr>
        <w:t>To reduce measles incidence, the country developed a strategy of nation-wide measles vaccination campaigns, coupled with case-based surveillance, beginning with catch-up campaigns for children 9 months to 15 years that were conducted in two phases in 2005 and 2006. National follow-up campaigns for children under five have taken place with WHO and UNICEF support every two or three years since then (in 2008, 2011, 2013/14 and most recently in 2015/16</w:t>
      </w:r>
      <w:r w:rsidR="003B290A">
        <w:rPr>
          <w:rFonts w:ascii="Arial" w:hAnsi="Arial" w:cs="Arial"/>
          <w:lang w:val="en-US"/>
        </w:rPr>
        <w:t>)</w:t>
      </w:r>
      <w:r>
        <w:rPr>
          <w:rFonts w:ascii="Arial" w:hAnsi="Arial" w:cs="Arial"/>
          <w:lang w:val="en-US"/>
        </w:rPr>
        <w:t>. A coverage survey found that the 2013/14 campaign achieved a</w:t>
      </w:r>
      <w:r w:rsidR="003B290A">
        <w:rPr>
          <w:rFonts w:ascii="Arial" w:hAnsi="Arial" w:cs="Arial"/>
          <w:lang w:val="en-US"/>
        </w:rPr>
        <w:t>n overall</w:t>
      </w:r>
      <w:r>
        <w:rPr>
          <w:rFonts w:ascii="Arial" w:hAnsi="Arial" w:cs="Arial"/>
          <w:lang w:val="en-US"/>
        </w:rPr>
        <w:t xml:space="preserve"> coverage rate of 74.5%.</w:t>
      </w:r>
      <w:r>
        <w:rPr>
          <w:rStyle w:val="FootnoteReference"/>
          <w:rFonts w:ascii="Arial" w:hAnsi="Arial" w:cs="Arial"/>
          <w:lang w:val="en-US"/>
        </w:rPr>
        <w:footnoteReference w:id="14"/>
      </w:r>
      <w:r>
        <w:rPr>
          <w:rFonts w:ascii="Arial" w:hAnsi="Arial" w:cs="Arial"/>
          <w:lang w:val="en-US"/>
        </w:rPr>
        <w:t xml:space="preserve"> The Government plans to continue the SIAs every two or three years, as needed, based on surveillance reports</w:t>
      </w:r>
      <w:r w:rsidR="008F41EC">
        <w:rPr>
          <w:rFonts w:ascii="Arial" w:hAnsi="Arial" w:cs="Arial"/>
          <w:lang w:val="en-US"/>
        </w:rPr>
        <w:t>; SIAs are currently planned for 2017 and 2020</w:t>
      </w:r>
      <w:r>
        <w:rPr>
          <w:rFonts w:ascii="Arial" w:hAnsi="Arial" w:cs="Arial"/>
          <w:lang w:val="en-US"/>
        </w:rPr>
        <w:t>.</w:t>
      </w:r>
    </w:p>
    <w:p w:rsidR="00A077C6" w:rsidRDefault="00A077C6" w:rsidP="00F54563">
      <w:pPr>
        <w:rPr>
          <w:rFonts w:ascii="Arial" w:hAnsi="Arial" w:cs="Arial"/>
          <w:lang w:val="en-US"/>
        </w:rPr>
      </w:pPr>
      <w:r>
        <w:rPr>
          <w:rFonts w:ascii="Arial" w:hAnsi="Arial" w:cs="Arial"/>
          <w:lang w:val="en-US"/>
        </w:rPr>
        <w:t>Key challenges that need to be addressed to meet Nigeria’s measles reduction targets are:</w:t>
      </w:r>
    </w:p>
    <w:p w:rsidR="00A077C6" w:rsidRDefault="00A077C6" w:rsidP="00D34A31">
      <w:pPr>
        <w:pStyle w:val="ListParagraph"/>
        <w:numPr>
          <w:ilvl w:val="0"/>
          <w:numId w:val="32"/>
        </w:numPr>
        <w:contextualSpacing w:val="0"/>
        <w:rPr>
          <w:rFonts w:ascii="Arial" w:hAnsi="Arial" w:cs="Arial"/>
          <w:lang w:val="en-US"/>
        </w:rPr>
      </w:pPr>
      <w:r w:rsidRPr="00A077C6">
        <w:rPr>
          <w:rFonts w:ascii="Arial" w:hAnsi="Arial" w:cs="Arial"/>
          <w:b/>
          <w:lang w:val="en-US"/>
        </w:rPr>
        <w:t>The need to improve measles vaccination coverage rates</w:t>
      </w:r>
      <w:r>
        <w:rPr>
          <w:rFonts w:ascii="Arial" w:hAnsi="Arial" w:cs="Arial"/>
          <w:lang w:val="en-US"/>
        </w:rPr>
        <w:t xml:space="preserve">. </w:t>
      </w:r>
      <w:r w:rsidR="00361F07">
        <w:rPr>
          <w:rFonts w:ascii="Arial" w:hAnsi="Arial" w:cs="Arial"/>
          <w:lang w:val="en-US"/>
        </w:rPr>
        <w:t>R</w:t>
      </w:r>
      <w:r w:rsidR="00236A02">
        <w:rPr>
          <w:rFonts w:ascii="Arial" w:hAnsi="Arial" w:cs="Arial"/>
          <w:lang w:val="en-US"/>
        </w:rPr>
        <w:t xml:space="preserve">outine </w:t>
      </w:r>
      <w:r>
        <w:rPr>
          <w:rFonts w:ascii="Arial" w:hAnsi="Arial" w:cs="Arial"/>
          <w:lang w:val="en-US"/>
        </w:rPr>
        <w:t>measles coverage rates remain low and have risen very gradually in the past several years. The national rate was 49% in 2011, dipped to 42% in 2012 and then rose to 47% in 2013 and to 55% by 2015</w:t>
      </w:r>
      <w:r w:rsidR="007A2153">
        <w:rPr>
          <w:rFonts w:ascii="Arial" w:hAnsi="Arial" w:cs="Arial"/>
          <w:lang w:val="en-US"/>
        </w:rPr>
        <w:t>.</w:t>
      </w:r>
      <w:r w:rsidR="007A2153">
        <w:rPr>
          <w:rStyle w:val="FootnoteReference"/>
          <w:rFonts w:ascii="Arial" w:hAnsi="Arial" w:cs="Arial"/>
          <w:lang w:val="en-US"/>
        </w:rPr>
        <w:footnoteReference w:id="15"/>
      </w:r>
      <w:r w:rsidR="007A2153">
        <w:rPr>
          <w:rFonts w:ascii="Arial" w:hAnsi="Arial" w:cs="Arial"/>
          <w:lang w:val="en-US"/>
        </w:rPr>
        <w:t xml:space="preserve"> Large parts of the country – the Northeast and Northwest regions – have extremely low coverage rates. According to the 2015 National Nutrition and Health Survey (NNHS), which found a national measles vaccination coverage rate of 51% among 12-23 month olds – four states had rates of 4% to 7%, while seven other states had rates of 15-30%</w:t>
      </w:r>
      <w:r w:rsidR="007A2153">
        <w:rPr>
          <w:rStyle w:val="FootnoteReference"/>
          <w:rFonts w:ascii="Arial" w:hAnsi="Arial" w:cs="Arial"/>
          <w:lang w:val="en-US"/>
        </w:rPr>
        <w:footnoteReference w:id="16"/>
      </w:r>
      <w:r w:rsidR="007A2153">
        <w:rPr>
          <w:rFonts w:ascii="Arial" w:hAnsi="Arial" w:cs="Arial"/>
          <w:lang w:val="en-US"/>
        </w:rPr>
        <w:t xml:space="preserve"> (see Figure 2). These findings indicate that measles immunization through the routine program in these areas is almost non-existent</w:t>
      </w:r>
      <w:r w:rsidR="003B290A">
        <w:rPr>
          <w:rFonts w:ascii="Arial" w:hAnsi="Arial" w:cs="Arial"/>
          <w:lang w:val="en-US"/>
        </w:rPr>
        <w:t>, though the lack of retention of immunization cards could also have been a factor for the low rates</w:t>
      </w:r>
      <w:r w:rsidR="007A2153">
        <w:rPr>
          <w:rFonts w:ascii="Arial" w:hAnsi="Arial" w:cs="Arial"/>
          <w:lang w:val="en-US"/>
        </w:rPr>
        <w:t>. In all, only four states reached the country’s target measles vaccination coverage rate of 80% (the federal capital territory and three Southern states), 19 states achieved coverage between 50 and 80% and 14 states had rates of less than 50%.</w:t>
      </w:r>
      <w:r w:rsidR="00D34A31">
        <w:rPr>
          <w:rFonts w:ascii="Arial" w:hAnsi="Arial" w:cs="Arial"/>
          <w:lang w:val="en-US"/>
        </w:rPr>
        <w:t xml:space="preserve"> According to the cMYP, the</w:t>
      </w:r>
      <w:r w:rsidR="007A2153">
        <w:rPr>
          <w:rFonts w:ascii="Arial" w:hAnsi="Arial" w:cs="Arial"/>
          <w:lang w:val="en-US"/>
        </w:rPr>
        <w:t xml:space="preserve"> </w:t>
      </w:r>
      <w:r w:rsidR="00D34A31">
        <w:rPr>
          <w:rFonts w:ascii="Arial" w:hAnsi="Arial" w:cs="Arial"/>
          <w:lang w:val="en-US"/>
        </w:rPr>
        <w:t>EPI plans to add a second measles dose to the routine immunization schedule within the next several years.</w:t>
      </w:r>
    </w:p>
    <w:p w:rsidR="00D34A31" w:rsidRDefault="00D34A31" w:rsidP="00D34A31">
      <w:pPr>
        <w:pStyle w:val="ListParagraph"/>
        <w:numPr>
          <w:ilvl w:val="0"/>
          <w:numId w:val="32"/>
        </w:numPr>
        <w:contextualSpacing w:val="0"/>
        <w:rPr>
          <w:rFonts w:ascii="Arial" w:hAnsi="Arial" w:cs="Arial"/>
          <w:lang w:val="en-US"/>
        </w:rPr>
      </w:pPr>
      <w:r>
        <w:rPr>
          <w:rFonts w:ascii="Arial" w:hAnsi="Arial" w:cs="Arial"/>
          <w:b/>
          <w:lang w:val="en-US"/>
        </w:rPr>
        <w:lastRenderedPageBreak/>
        <w:t>The need to further improve measles surveillance</w:t>
      </w:r>
      <w:r w:rsidRPr="00D34A31">
        <w:rPr>
          <w:rFonts w:ascii="Arial" w:hAnsi="Arial" w:cs="Arial"/>
          <w:lang w:val="en-US"/>
        </w:rPr>
        <w:t>.</w:t>
      </w:r>
      <w:r>
        <w:rPr>
          <w:rFonts w:ascii="Arial" w:hAnsi="Arial" w:cs="Arial"/>
          <w:lang w:val="en-US"/>
        </w:rPr>
        <w:t xml:space="preserve"> Measles surveillance includes both passive surveillance (as part of the IDSR system) and case-based surveillance, using the same infrastructure as for AFP surveillance and support from four national labs. The system appears to be fairly sensitive, reporting a non-measles febrile rash illness rate of 2.7/100,000 children in 2014, surpassing the target of &lt;2/100,000. However, case-based surveillance still needs improvement, as 16% of LGAs did not report at least one suspected case in 2014 and only 75% of cases that year were investigated (with a blood sample obtained).</w:t>
      </w:r>
      <w:r>
        <w:rPr>
          <w:rStyle w:val="FootnoteReference"/>
          <w:rFonts w:ascii="Arial" w:hAnsi="Arial" w:cs="Arial"/>
          <w:lang w:val="en-US"/>
        </w:rPr>
        <w:footnoteReference w:id="17"/>
      </w:r>
    </w:p>
    <w:p w:rsidR="000D4A84" w:rsidRPr="00CD5CD2" w:rsidRDefault="00CD5CD2" w:rsidP="00CD5CD2">
      <w:pPr>
        <w:pStyle w:val="Caption"/>
        <w:rPr>
          <w:rFonts w:ascii="Arial" w:hAnsi="Arial" w:cs="Arial"/>
          <w:b w:val="0"/>
          <w:color w:val="auto"/>
          <w:sz w:val="22"/>
          <w:szCs w:val="22"/>
          <w:lang w:val="en-US"/>
        </w:rPr>
      </w:pPr>
      <w:r w:rsidRPr="00CD5CD2">
        <w:rPr>
          <w:rFonts w:ascii="Arial" w:hAnsi="Arial" w:cs="Arial"/>
          <w:color w:val="auto"/>
          <w:sz w:val="22"/>
          <w:szCs w:val="22"/>
        </w:rPr>
        <w:t xml:space="preserve">Figure </w:t>
      </w:r>
      <w:r w:rsidRPr="00CD5CD2">
        <w:rPr>
          <w:rFonts w:ascii="Arial" w:hAnsi="Arial" w:cs="Arial"/>
          <w:color w:val="auto"/>
          <w:sz w:val="22"/>
          <w:szCs w:val="22"/>
        </w:rPr>
        <w:fldChar w:fldCharType="begin"/>
      </w:r>
      <w:r w:rsidRPr="00CD5CD2">
        <w:rPr>
          <w:rFonts w:ascii="Arial" w:hAnsi="Arial" w:cs="Arial"/>
          <w:color w:val="auto"/>
          <w:sz w:val="22"/>
          <w:szCs w:val="22"/>
        </w:rPr>
        <w:instrText xml:space="preserve"> SEQ Figure \* ARABIC </w:instrText>
      </w:r>
      <w:r w:rsidRPr="00CD5CD2">
        <w:rPr>
          <w:rFonts w:ascii="Arial" w:hAnsi="Arial" w:cs="Arial"/>
          <w:color w:val="auto"/>
          <w:sz w:val="22"/>
          <w:szCs w:val="22"/>
        </w:rPr>
        <w:fldChar w:fldCharType="separate"/>
      </w:r>
      <w:r w:rsidR="00D91889">
        <w:rPr>
          <w:rFonts w:ascii="Arial" w:hAnsi="Arial" w:cs="Arial"/>
          <w:noProof/>
          <w:color w:val="auto"/>
          <w:sz w:val="22"/>
          <w:szCs w:val="22"/>
        </w:rPr>
        <w:t>2</w:t>
      </w:r>
      <w:r w:rsidRPr="00CD5CD2">
        <w:rPr>
          <w:rFonts w:ascii="Arial" w:hAnsi="Arial" w:cs="Arial"/>
          <w:color w:val="auto"/>
          <w:sz w:val="22"/>
          <w:szCs w:val="22"/>
        </w:rPr>
        <w:fldChar w:fldCharType="end"/>
      </w:r>
      <w:r w:rsidRPr="00CD5CD2">
        <w:rPr>
          <w:rFonts w:ascii="Arial" w:hAnsi="Arial" w:cs="Arial"/>
          <w:color w:val="auto"/>
          <w:sz w:val="22"/>
          <w:szCs w:val="22"/>
        </w:rPr>
        <w:t xml:space="preserve">: </w:t>
      </w:r>
      <w:r w:rsidR="000D4A84" w:rsidRPr="00CD5CD2">
        <w:rPr>
          <w:rFonts w:ascii="Arial" w:hAnsi="Arial" w:cs="Arial"/>
          <w:color w:val="auto"/>
          <w:sz w:val="22"/>
          <w:szCs w:val="22"/>
          <w:lang w:val="en-US"/>
        </w:rPr>
        <w:t>Estimated coverage rates for three doses of pentavalent vaccine and measles vaccine among children 12-23 months of age, 2015 National Nutrition and Health Survey</w:t>
      </w:r>
    </w:p>
    <w:p w:rsidR="000D4A84" w:rsidRPr="000D4A84" w:rsidRDefault="00027E10" w:rsidP="00027E10">
      <w:pPr>
        <w:jc w:val="center"/>
        <w:rPr>
          <w:rFonts w:ascii="Arial" w:hAnsi="Arial" w:cs="Arial"/>
          <w:lang w:val="en-US"/>
        </w:rPr>
      </w:pPr>
      <w:r w:rsidRPr="00027E10">
        <w:rPr>
          <w:rFonts w:ascii="Arial" w:hAnsi="Arial" w:cs="Arial"/>
          <w:noProof/>
          <w:lang w:eastAsia="zh-CN"/>
        </w:rPr>
        <w:drawing>
          <wp:inline distT="0" distB="0" distL="0" distR="0" wp14:anchorId="30CDA10F" wp14:editId="750F3230">
            <wp:extent cx="4473883" cy="6057900"/>
            <wp:effectExtent l="19050" t="19050" r="22225"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87776" cy="6076712"/>
                    </a:xfrm>
                    <a:prstGeom prst="rect">
                      <a:avLst/>
                    </a:prstGeom>
                    <a:noFill/>
                    <a:ln>
                      <a:solidFill>
                        <a:schemeClr val="tx1"/>
                      </a:solidFill>
                    </a:ln>
                  </pic:spPr>
                </pic:pic>
              </a:graphicData>
            </a:graphic>
          </wp:inline>
        </w:drawing>
      </w:r>
    </w:p>
    <w:p w:rsidR="000D4A84" w:rsidRPr="000D4A84" w:rsidRDefault="000D4A84" w:rsidP="000D4A84">
      <w:pPr>
        <w:rPr>
          <w:rFonts w:ascii="Arial" w:hAnsi="Arial" w:cs="Arial"/>
          <w:u w:val="single"/>
          <w:lang w:val="en-US"/>
        </w:rPr>
      </w:pPr>
      <w:r w:rsidRPr="000D4A84">
        <w:rPr>
          <w:rFonts w:ascii="Arial" w:hAnsi="Arial" w:cs="Arial"/>
          <w:u w:val="single"/>
          <w:lang w:val="en-US"/>
        </w:rPr>
        <w:lastRenderedPageBreak/>
        <w:t>Rubella</w:t>
      </w:r>
    </w:p>
    <w:p w:rsidR="000D4A84" w:rsidRPr="00361F07" w:rsidRDefault="00361F07" w:rsidP="000D4A84">
      <w:pPr>
        <w:rPr>
          <w:rFonts w:ascii="Arial" w:hAnsi="Arial" w:cs="Arial"/>
          <w:lang w:val="en-US"/>
        </w:rPr>
      </w:pPr>
      <w:r w:rsidRPr="00361F07">
        <w:rPr>
          <w:rFonts w:ascii="Arial" w:hAnsi="Arial" w:cs="Arial"/>
          <w:lang w:val="en-US"/>
        </w:rPr>
        <w:t xml:space="preserve">There are as yet to firm plans to introduce rubella vaccination (MR vaccine) into the routine immunization schedule, nor any plans to conduct mass MR campaigns. Rubella surveillance has also not yet been established in Nigeria. </w:t>
      </w:r>
    </w:p>
    <w:p w:rsidR="00CA663B" w:rsidRPr="00EA6F8C" w:rsidRDefault="00CA663B" w:rsidP="00236906">
      <w:pPr>
        <w:rPr>
          <w:rFonts w:ascii="Arial" w:hAnsi="Arial" w:cs="Arial"/>
          <w:b/>
          <w:lang w:val="en-US"/>
        </w:rPr>
      </w:pPr>
      <w:r w:rsidRPr="00EA6F8C">
        <w:rPr>
          <w:rFonts w:ascii="Arial" w:hAnsi="Arial" w:cs="Arial"/>
          <w:b/>
          <w:lang w:val="en-US"/>
        </w:rPr>
        <w:t>3</w:t>
      </w:r>
      <w:r w:rsidR="000D4A84">
        <w:rPr>
          <w:rFonts w:ascii="Arial" w:hAnsi="Arial" w:cs="Arial"/>
          <w:b/>
          <w:lang w:val="en-US"/>
        </w:rPr>
        <w:t>.3. Goal 3</w:t>
      </w:r>
      <w:r w:rsidRPr="00EA6F8C">
        <w:rPr>
          <w:rFonts w:ascii="Arial" w:hAnsi="Arial" w:cs="Arial"/>
          <w:b/>
          <w:lang w:val="en-US"/>
        </w:rPr>
        <w:t>: Meet vaccination coverage targets</w:t>
      </w:r>
    </w:p>
    <w:p w:rsidR="00CA663B" w:rsidRPr="000D4A84" w:rsidRDefault="000D4A84" w:rsidP="000D4A84">
      <w:pPr>
        <w:pStyle w:val="ListParagraph"/>
        <w:numPr>
          <w:ilvl w:val="0"/>
          <w:numId w:val="33"/>
        </w:numPr>
        <w:contextualSpacing w:val="0"/>
        <w:rPr>
          <w:rFonts w:ascii="Arial" w:hAnsi="Arial" w:cs="Arial"/>
          <w:b/>
          <w:lang w:val="en-US"/>
        </w:rPr>
      </w:pPr>
      <w:r>
        <w:rPr>
          <w:rFonts w:ascii="Arial" w:hAnsi="Arial" w:cs="Arial"/>
          <w:b/>
          <w:lang w:val="en-US"/>
        </w:rPr>
        <w:t>Achieve 90% n</w:t>
      </w:r>
      <w:r w:rsidR="00CA663B" w:rsidRPr="000D4A84">
        <w:rPr>
          <w:rFonts w:ascii="Arial" w:hAnsi="Arial" w:cs="Arial"/>
          <w:b/>
          <w:lang w:val="en-US"/>
        </w:rPr>
        <w:t xml:space="preserve">ational coverage and 80% </w:t>
      </w:r>
      <w:r>
        <w:rPr>
          <w:rFonts w:ascii="Arial" w:hAnsi="Arial" w:cs="Arial"/>
          <w:b/>
          <w:lang w:val="en-US"/>
        </w:rPr>
        <w:t xml:space="preserve">coverage </w:t>
      </w:r>
      <w:r w:rsidR="00CA663B" w:rsidRPr="000D4A84">
        <w:rPr>
          <w:rFonts w:ascii="Arial" w:hAnsi="Arial" w:cs="Arial"/>
          <w:b/>
          <w:lang w:val="en-US"/>
        </w:rPr>
        <w:t xml:space="preserve">in every district with </w:t>
      </w:r>
      <w:r>
        <w:rPr>
          <w:rFonts w:ascii="Arial" w:hAnsi="Arial" w:cs="Arial"/>
          <w:b/>
          <w:lang w:val="en-US"/>
        </w:rPr>
        <w:t>three</w:t>
      </w:r>
      <w:r w:rsidR="00CA663B" w:rsidRPr="000D4A84">
        <w:rPr>
          <w:rFonts w:ascii="Arial" w:hAnsi="Arial" w:cs="Arial"/>
          <w:b/>
          <w:lang w:val="en-US"/>
        </w:rPr>
        <w:t xml:space="preserve"> doses of </w:t>
      </w:r>
      <w:r w:rsidRPr="000D4A84">
        <w:rPr>
          <w:rFonts w:ascii="Arial" w:hAnsi="Arial" w:cs="Arial"/>
          <w:b/>
          <w:lang w:val="en-US"/>
        </w:rPr>
        <w:t>diphtheria</w:t>
      </w:r>
      <w:r w:rsidR="00CA663B" w:rsidRPr="000D4A84">
        <w:rPr>
          <w:rFonts w:ascii="Arial" w:hAnsi="Arial" w:cs="Arial"/>
          <w:b/>
          <w:lang w:val="en-US"/>
        </w:rPr>
        <w:t>-tetanus-pertussis containing vaccines</w:t>
      </w:r>
    </w:p>
    <w:p w:rsidR="00CA663B" w:rsidRPr="000D4A84" w:rsidRDefault="000D4A84" w:rsidP="000D4A84">
      <w:pPr>
        <w:pStyle w:val="ListParagraph"/>
        <w:numPr>
          <w:ilvl w:val="0"/>
          <w:numId w:val="33"/>
        </w:numPr>
        <w:contextualSpacing w:val="0"/>
        <w:rPr>
          <w:rFonts w:ascii="Arial" w:hAnsi="Arial" w:cs="Arial"/>
          <w:b/>
          <w:lang w:val="en-US"/>
        </w:rPr>
      </w:pPr>
      <w:r>
        <w:rPr>
          <w:rFonts w:ascii="Arial" w:hAnsi="Arial" w:cs="Arial"/>
          <w:b/>
          <w:lang w:val="en-US"/>
        </w:rPr>
        <w:t>Achieve 90% n</w:t>
      </w:r>
      <w:r w:rsidR="00CA663B" w:rsidRPr="000D4A84">
        <w:rPr>
          <w:rFonts w:ascii="Arial" w:hAnsi="Arial" w:cs="Arial"/>
          <w:b/>
          <w:lang w:val="en-US"/>
        </w:rPr>
        <w:t xml:space="preserve">ational coverage and 80% </w:t>
      </w:r>
      <w:r>
        <w:rPr>
          <w:rFonts w:ascii="Arial" w:hAnsi="Arial" w:cs="Arial"/>
          <w:b/>
          <w:lang w:val="en-US"/>
        </w:rPr>
        <w:t xml:space="preserve">coverage </w:t>
      </w:r>
      <w:r w:rsidR="00CA663B" w:rsidRPr="000D4A84">
        <w:rPr>
          <w:rFonts w:ascii="Arial" w:hAnsi="Arial" w:cs="Arial"/>
          <w:b/>
          <w:lang w:val="en-US"/>
        </w:rPr>
        <w:t>in every district with all vaccines included in the national schedule</w:t>
      </w:r>
    </w:p>
    <w:p w:rsidR="00CA663B" w:rsidRDefault="000D4A84" w:rsidP="00CA663B">
      <w:pPr>
        <w:rPr>
          <w:rFonts w:ascii="Arial" w:hAnsi="Arial" w:cs="Arial"/>
          <w:lang w:val="en-US"/>
        </w:rPr>
      </w:pPr>
      <w:r>
        <w:rPr>
          <w:rFonts w:ascii="Arial" w:hAnsi="Arial" w:cs="Arial"/>
          <w:lang w:val="en-US"/>
        </w:rPr>
        <w:t>The WHO-UNICEF estimated coverage rate for the third dose of DPT-containing vaccine</w:t>
      </w:r>
      <w:r w:rsidR="00027E10">
        <w:rPr>
          <w:rFonts w:ascii="Arial" w:hAnsi="Arial" w:cs="Arial"/>
          <w:lang w:val="en-US"/>
        </w:rPr>
        <w:t xml:space="preserve"> (pentavalent) in 2015, which was recently revised downward following the 2015 NNHS, was 56% among children 12-23 months of age, with a dropout rate between the first and third doses of 20% (from 70% to 56%). According to the 2015 NHHS, five of the country’s 37 states (14%) reached the target of at least 80% coverage for DPT3, 15 states (40%) </w:t>
      </w:r>
      <w:r w:rsidR="00805A3A">
        <w:rPr>
          <w:rFonts w:ascii="Arial" w:hAnsi="Arial" w:cs="Arial"/>
          <w:lang w:val="en-US"/>
        </w:rPr>
        <w:t>achieved coverage</w:t>
      </w:r>
      <w:r w:rsidR="00027E10">
        <w:rPr>
          <w:rFonts w:ascii="Arial" w:hAnsi="Arial" w:cs="Arial"/>
          <w:lang w:val="en-US"/>
        </w:rPr>
        <w:t xml:space="preserve"> rates of between 50% and 75%, and 16 states (43%) had coverage of less than 50%</w:t>
      </w:r>
      <w:r w:rsidR="00805A3A">
        <w:rPr>
          <w:rFonts w:ascii="Arial" w:hAnsi="Arial" w:cs="Arial"/>
          <w:lang w:val="en-US"/>
        </w:rPr>
        <w:t>. As with measles vaccination, the range of DPT3 coverage by state</w:t>
      </w:r>
      <w:r w:rsidR="00CA663B" w:rsidRPr="00EA6F8C">
        <w:rPr>
          <w:rFonts w:ascii="Arial" w:hAnsi="Arial" w:cs="Arial"/>
          <w:lang w:val="en-US"/>
        </w:rPr>
        <w:t xml:space="preserve"> </w:t>
      </w:r>
      <w:r w:rsidR="00805A3A">
        <w:rPr>
          <w:rFonts w:ascii="Arial" w:hAnsi="Arial" w:cs="Arial"/>
          <w:lang w:val="en-US"/>
        </w:rPr>
        <w:t>is enormous – from 4.4% in Sokoto state to 91% in the Southeastern state of Imo (see Figure 2 above). There are also vast inequities in rates by rural vs. urban location and by household wealth. According to the 2013 DHS, DPT3 coverage in rural areas was only 40% of that of urban areas (25% vs. 62%) and thee was an eleven-fold increase in rates from the lowest wealth quintile (7%) to the highest (79.5%).</w:t>
      </w:r>
      <w:r w:rsidR="00805A3A">
        <w:rPr>
          <w:rStyle w:val="FootnoteReference"/>
          <w:rFonts w:ascii="Arial" w:hAnsi="Arial" w:cs="Arial"/>
          <w:lang w:val="en-US"/>
        </w:rPr>
        <w:footnoteReference w:id="18"/>
      </w:r>
      <w:r w:rsidR="004C4AD6">
        <w:rPr>
          <w:rFonts w:ascii="Arial" w:hAnsi="Arial" w:cs="Arial"/>
          <w:lang w:val="en-US"/>
        </w:rPr>
        <w:t xml:space="preserve"> The NNHS also found that 21% of 12-23 month olds had not received a single vaccination. A more in-depth equity assessment will be conducted as a condition of Nigeria applying for GAVI support for rotavirus vaccine introduction (currently planned for 2018), along with preparation of a plan to address this problem.</w:t>
      </w:r>
    </w:p>
    <w:p w:rsidR="004C4AD6" w:rsidRDefault="004C4AD6" w:rsidP="00CA663B">
      <w:pPr>
        <w:rPr>
          <w:rFonts w:ascii="Arial" w:hAnsi="Arial" w:cs="Arial"/>
          <w:lang w:val="en-US"/>
        </w:rPr>
      </w:pPr>
      <w:r>
        <w:rPr>
          <w:rFonts w:ascii="Arial" w:hAnsi="Arial" w:cs="Arial"/>
          <w:lang w:val="en-US"/>
        </w:rPr>
        <w:t>Nigeria has also not been able to meet these targets for other vaccines in the immunization schedule – with national coverage for measles, three doses of polio and yellow fever vaccines all at 54-55%, and BCG at the highest at 68%, according to the revised WHO-UNICEF estimates. Unimmunized children in Nigeria account for one in three of all unimmunized children in Sub-Saharan Africa and for one in six of all of those in GAVI-supported countries.</w:t>
      </w:r>
      <w:r>
        <w:rPr>
          <w:rStyle w:val="FootnoteReference"/>
          <w:rFonts w:ascii="Arial" w:hAnsi="Arial" w:cs="Arial"/>
          <w:lang w:val="en-US"/>
        </w:rPr>
        <w:footnoteReference w:id="19"/>
      </w:r>
    </w:p>
    <w:p w:rsidR="00CA663B" w:rsidRDefault="004C4AD6" w:rsidP="00AF71FB">
      <w:pPr>
        <w:rPr>
          <w:rFonts w:ascii="Arial" w:hAnsi="Arial" w:cs="Arial"/>
          <w:lang w:val="en-US"/>
        </w:rPr>
      </w:pPr>
      <w:r>
        <w:rPr>
          <w:rFonts w:ascii="Arial" w:hAnsi="Arial" w:cs="Arial"/>
          <w:lang w:val="en-US"/>
        </w:rPr>
        <w:t>The country has made progress, however, with immunization coverage rates over the past five years, especially in the past two years. According to the WUENIC estimates, BCG coverage climbed 11 percentage points from 2011 to 2015 (from 57% to 68%), DPT 3 coverage rose eight percentage points (from 48% in 2011 to 56% in 2015), yellow fever vaccine coverage increased by 16 points – from 38% to 54% (a 42% increase), and measles by five points (from 49% to 54%). Among the reasons</w:t>
      </w:r>
      <w:r w:rsidR="00AF71FB">
        <w:rPr>
          <w:rFonts w:ascii="Arial" w:hAnsi="Arial" w:cs="Arial"/>
          <w:lang w:val="en-US"/>
        </w:rPr>
        <w:t xml:space="preserve"> given by informants</w:t>
      </w:r>
      <w:r>
        <w:rPr>
          <w:rFonts w:ascii="Arial" w:hAnsi="Arial" w:cs="Arial"/>
          <w:lang w:val="en-US"/>
        </w:rPr>
        <w:t xml:space="preserve"> for these gains are increased population awareness of and thus demand for vaccination as a result of the recent introduction of pentavalent vaccine and on-going introduction of PCV and accompanying communications and social mobilization activities</w:t>
      </w:r>
      <w:r w:rsidR="00AF71FB">
        <w:rPr>
          <w:rFonts w:ascii="Arial" w:hAnsi="Arial" w:cs="Arial"/>
          <w:lang w:val="en-US"/>
        </w:rPr>
        <w:t>,</w:t>
      </w:r>
      <w:r>
        <w:rPr>
          <w:rFonts w:ascii="Arial" w:hAnsi="Arial" w:cs="Arial"/>
          <w:lang w:val="en-US"/>
        </w:rPr>
        <w:t xml:space="preserve"> greater involvement of </w:t>
      </w:r>
      <w:r>
        <w:rPr>
          <w:rFonts w:ascii="Arial" w:hAnsi="Arial" w:cs="Arial"/>
          <w:lang w:val="en-US"/>
        </w:rPr>
        <w:lastRenderedPageBreak/>
        <w:t>traditional and political leaders in informi</w:t>
      </w:r>
      <w:r w:rsidR="00AF71FB">
        <w:rPr>
          <w:rFonts w:ascii="Arial" w:hAnsi="Arial" w:cs="Arial"/>
          <w:lang w:val="en-US"/>
        </w:rPr>
        <w:t>ng the public about vaccination,</w:t>
      </w:r>
      <w:r>
        <w:rPr>
          <w:rFonts w:ascii="Arial" w:hAnsi="Arial" w:cs="Arial"/>
          <w:lang w:val="en-US"/>
        </w:rPr>
        <w:t xml:space="preserve"> and the improved regul</w:t>
      </w:r>
      <w:r w:rsidR="00AF71FB">
        <w:rPr>
          <w:rFonts w:ascii="Arial" w:hAnsi="Arial" w:cs="Arial"/>
          <w:lang w:val="en-US"/>
        </w:rPr>
        <w:t>arity of the vaccine supply, especially at the national level (as there has not been a national vaccine stockout since 2013).</w:t>
      </w:r>
    </w:p>
    <w:p w:rsidR="00AF71FB" w:rsidRDefault="00AF71FB" w:rsidP="00AF71FB">
      <w:pPr>
        <w:rPr>
          <w:rFonts w:ascii="Arial" w:hAnsi="Arial" w:cs="Arial"/>
          <w:lang w:val="en-US"/>
        </w:rPr>
      </w:pPr>
      <w:r>
        <w:rPr>
          <w:rFonts w:ascii="Arial" w:hAnsi="Arial" w:cs="Arial"/>
          <w:lang w:val="en-US"/>
        </w:rPr>
        <w:t xml:space="preserve">The most prominent factors </w:t>
      </w:r>
      <w:r w:rsidR="00A53678">
        <w:rPr>
          <w:rFonts w:ascii="Arial" w:hAnsi="Arial" w:cs="Arial"/>
          <w:lang w:val="en-US"/>
        </w:rPr>
        <w:t>contributing to</w:t>
      </w:r>
      <w:r>
        <w:rPr>
          <w:rFonts w:ascii="Arial" w:hAnsi="Arial" w:cs="Arial"/>
          <w:lang w:val="en-US"/>
        </w:rPr>
        <w:t xml:space="preserve"> the country’s low immunization coverage rates are the following:</w:t>
      </w:r>
    </w:p>
    <w:p w:rsidR="00AF71FB" w:rsidRDefault="00AF71FB" w:rsidP="00A53678">
      <w:pPr>
        <w:pStyle w:val="ListParagraph"/>
        <w:numPr>
          <w:ilvl w:val="0"/>
          <w:numId w:val="34"/>
        </w:numPr>
        <w:ind w:left="360"/>
        <w:contextualSpacing w:val="0"/>
        <w:rPr>
          <w:rFonts w:ascii="Arial" w:hAnsi="Arial" w:cs="Arial"/>
          <w:lang w:val="en-US"/>
        </w:rPr>
      </w:pPr>
      <w:r w:rsidRPr="00AF71FB">
        <w:rPr>
          <w:rFonts w:ascii="Arial" w:hAnsi="Arial" w:cs="Arial"/>
          <w:b/>
          <w:lang w:val="en-US"/>
        </w:rPr>
        <w:t>The shortage of health personnel in the public sector</w:t>
      </w:r>
      <w:r>
        <w:rPr>
          <w:rFonts w:ascii="Arial" w:hAnsi="Arial" w:cs="Arial"/>
          <w:lang w:val="en-US"/>
        </w:rPr>
        <w:t>. As mentioned in Section 2.3 above, there are insufficient numbers of frontline health workers in many areas in Nigeria, due to high attrition and transfer rates and the difficulty of recruiting workers for remote, rural areas. The frequent health worker strikes in recent years in several states have exacerbated the problem, making immunization and other health services unavailable for months at a time in these areas and increasing the pool of unimmunized children. With the continued poor economy in the country, more states are facing severe financing problems, resulting in non-payment of health workers’ salaries – a major reason for the strikes.</w:t>
      </w:r>
    </w:p>
    <w:p w:rsidR="00AF71FB" w:rsidRDefault="00AF71FB" w:rsidP="00A53678">
      <w:pPr>
        <w:pStyle w:val="ListParagraph"/>
        <w:numPr>
          <w:ilvl w:val="0"/>
          <w:numId w:val="34"/>
        </w:numPr>
        <w:ind w:left="360"/>
        <w:contextualSpacing w:val="0"/>
        <w:rPr>
          <w:rFonts w:ascii="Arial" w:hAnsi="Arial" w:cs="Arial"/>
          <w:lang w:val="en-US"/>
        </w:rPr>
      </w:pPr>
      <w:r w:rsidRPr="00AF71FB">
        <w:rPr>
          <w:rFonts w:ascii="Arial" w:hAnsi="Arial" w:cs="Arial"/>
          <w:b/>
          <w:lang w:val="en-US"/>
        </w:rPr>
        <w:t>Lack of security in several parts of the country</w:t>
      </w:r>
      <w:r>
        <w:rPr>
          <w:rFonts w:ascii="Arial" w:hAnsi="Arial" w:cs="Arial"/>
          <w:lang w:val="en-US"/>
        </w:rPr>
        <w:t>. The Boko Haram insurgency that has been going on for several years – causing tens of thousands of people to flee to IDP camps and more secure areas – has made it difficult to provide</w:t>
      </w:r>
      <w:r w:rsidR="00A30557">
        <w:rPr>
          <w:rFonts w:ascii="Arial" w:hAnsi="Arial" w:cs="Arial"/>
          <w:lang w:val="en-US"/>
        </w:rPr>
        <w:t xml:space="preserve"> immunization and other health services in parts of the North. There have also been multiple attempts – some successful – to attack health workers engaged in immunization. It is not surprising that the recently found cases of wild polio virus were in Borno State, where Boko Haram has its headquarters and where immunization coverage rates are low (28% for measles and 32% for DPT3, according to the 2015 NNHS). At the same time, the Niger Delta has experienced a series of bombings and kidnappings to “Delta avengers”, militants who are rebelling against the Government’s decision to end “amnesty fee” payments to communities damaged by oil drilling and production. These security problems limit the free movement of the population to seek services and of health workers to provide outreach and mobile services, as well as the Government’s ability to recruit health workers to these areas.</w:t>
      </w:r>
    </w:p>
    <w:p w:rsidR="00A30557" w:rsidRDefault="00A30557" w:rsidP="00A53678">
      <w:pPr>
        <w:pStyle w:val="ListParagraph"/>
        <w:numPr>
          <w:ilvl w:val="0"/>
          <w:numId w:val="34"/>
        </w:numPr>
        <w:ind w:left="360"/>
        <w:contextualSpacing w:val="0"/>
        <w:rPr>
          <w:rFonts w:ascii="Arial" w:hAnsi="Arial" w:cs="Arial"/>
          <w:lang w:val="en-US"/>
        </w:rPr>
      </w:pPr>
      <w:r w:rsidRPr="00A30557">
        <w:rPr>
          <w:rFonts w:ascii="Arial" w:hAnsi="Arial" w:cs="Arial"/>
          <w:b/>
          <w:lang w:val="en-US"/>
        </w:rPr>
        <w:t>Uneven availability of immunization services</w:t>
      </w:r>
      <w:r>
        <w:rPr>
          <w:rFonts w:ascii="Arial" w:hAnsi="Arial" w:cs="Arial"/>
          <w:lang w:val="en-US"/>
        </w:rPr>
        <w:t xml:space="preserve">. There are around 25,000 PHC facilities in the country, including more than 1,150 health centers and 228 maternities recently built as part of the Government’s plan to increase the accessibility of PHC services to all communities throughout the country. According to the cMYP, most states and LGAs follow the “1-2-3 strategy”, which entails at least one immunization session at the facility per week, two outreaches per month, and three supportive supervision visits per month. However, many health facilities have trouble adhering to this strategy, due to a lack of personnel, a lack of transportation for outreaches or to collect vaccines from the LGA stores (in health centers without functioning cold chain equipment), and a general lack of funds for operational expenses. Those with functioning refrigerators are more likely to conduct immunization sessions on a weekly or more frequent basis. </w:t>
      </w:r>
    </w:p>
    <w:p w:rsidR="00350FD0" w:rsidRDefault="00A30557" w:rsidP="00A53678">
      <w:pPr>
        <w:pStyle w:val="ListParagraph"/>
        <w:numPr>
          <w:ilvl w:val="0"/>
          <w:numId w:val="34"/>
        </w:numPr>
        <w:ind w:left="360"/>
        <w:contextualSpacing w:val="0"/>
        <w:rPr>
          <w:rFonts w:ascii="Arial" w:hAnsi="Arial" w:cs="Arial"/>
          <w:lang w:val="en-US"/>
        </w:rPr>
      </w:pPr>
      <w:r w:rsidRPr="00D139EF">
        <w:rPr>
          <w:rFonts w:ascii="Arial" w:hAnsi="Arial" w:cs="Arial"/>
          <w:b/>
          <w:lang w:val="en-US"/>
        </w:rPr>
        <w:t xml:space="preserve">Insufficient communications and social mobilization </w:t>
      </w:r>
      <w:r w:rsidR="00D139EF" w:rsidRPr="00D139EF">
        <w:rPr>
          <w:rFonts w:ascii="Arial" w:hAnsi="Arial" w:cs="Arial"/>
          <w:b/>
          <w:lang w:val="en-US"/>
        </w:rPr>
        <w:t xml:space="preserve">activities for routine immunization services </w:t>
      </w:r>
      <w:r w:rsidR="005F4B52">
        <w:rPr>
          <w:rFonts w:ascii="Arial" w:hAnsi="Arial" w:cs="Arial"/>
          <w:b/>
          <w:lang w:val="en-US"/>
        </w:rPr>
        <w:t xml:space="preserve">and </w:t>
      </w:r>
      <w:r w:rsidR="00D139EF" w:rsidRPr="00D139EF">
        <w:rPr>
          <w:rFonts w:ascii="Arial" w:hAnsi="Arial" w:cs="Arial"/>
          <w:b/>
          <w:lang w:val="en-US"/>
        </w:rPr>
        <w:t>inadequate community participation</w:t>
      </w:r>
      <w:r w:rsidR="00D139EF">
        <w:rPr>
          <w:rFonts w:ascii="Arial" w:hAnsi="Arial" w:cs="Arial"/>
          <w:lang w:val="en-US"/>
        </w:rPr>
        <w:t xml:space="preserve">. </w:t>
      </w:r>
      <w:r w:rsidR="005F4B52">
        <w:rPr>
          <w:rFonts w:ascii="Arial" w:hAnsi="Arial" w:cs="Arial"/>
          <w:lang w:val="en-US"/>
        </w:rPr>
        <w:t xml:space="preserve">Nigeria has a structure for promoting immunization and other health services through social mobilization committees in each LGA, guided by the National Social Mobilization Working Group of the ICC. There is also a network of around 10,000 volunteer </w:t>
      </w:r>
      <w:r w:rsidR="005F4B52">
        <w:rPr>
          <w:rFonts w:ascii="Arial" w:hAnsi="Arial" w:cs="Arial"/>
          <w:lang w:val="en-US"/>
        </w:rPr>
        <w:lastRenderedPageBreak/>
        <w:t xml:space="preserve">community mobilizers, supported with polio funding, who help with social mobilization for SIAs, track pregnancies, refer parents for routine immunization and so forth through home visits. These efforts have reportedly been important for polio and other SIAs, but are less focused on routine immunization. In many areas in the North, there has been a low demand for and lack of trust in immunization and other health services, including past resistance to polio vaccination. </w:t>
      </w:r>
    </w:p>
    <w:p w:rsidR="00A30557" w:rsidRDefault="005F4B52" w:rsidP="00A53678">
      <w:pPr>
        <w:pStyle w:val="ListParagraph"/>
        <w:ind w:left="360"/>
        <w:contextualSpacing w:val="0"/>
        <w:rPr>
          <w:rFonts w:ascii="Arial" w:hAnsi="Arial" w:cs="Arial"/>
          <w:lang w:val="en-US"/>
        </w:rPr>
      </w:pPr>
      <w:r>
        <w:rPr>
          <w:rFonts w:ascii="Arial" w:hAnsi="Arial" w:cs="Arial"/>
          <w:lang w:val="en-US"/>
        </w:rPr>
        <w:t>To address this problem and increase demand, the country, with HSS and ISS funding, established and trained more than 700 ward or village development committees (WCDs/VCDs) in 13 states in 2010 to promote health services in the community and build transparency and accountability into the management of PHC activities</w:t>
      </w:r>
      <w:r w:rsidR="00A30557">
        <w:rPr>
          <w:rFonts w:ascii="Arial" w:hAnsi="Arial" w:cs="Arial"/>
          <w:lang w:val="en-US"/>
        </w:rPr>
        <w:t>.</w:t>
      </w:r>
      <w:r>
        <w:rPr>
          <w:rFonts w:ascii="Arial" w:hAnsi="Arial" w:cs="Arial"/>
          <w:lang w:val="en-US"/>
        </w:rPr>
        <w:t xml:space="preserve"> The WDCs are involved in planning community-based health activities, educating the community about health, including immunization, tracking immunization defaulters, and co-managing the health facilities. A study found that the increase in DPT3 coverage rates was significantly greater in wards with GAVI-supported WCDs than in those without.</w:t>
      </w:r>
      <w:r>
        <w:rPr>
          <w:rStyle w:val="FootnoteReference"/>
          <w:rFonts w:ascii="Arial" w:hAnsi="Arial" w:cs="Arial"/>
          <w:lang w:val="en-US"/>
        </w:rPr>
        <w:footnoteReference w:id="20"/>
      </w:r>
      <w:r>
        <w:rPr>
          <w:rFonts w:ascii="Arial" w:hAnsi="Arial" w:cs="Arial"/>
          <w:lang w:val="en-US"/>
        </w:rPr>
        <w:t xml:space="preserve"> However, this is a partner-driven activity and the 2015 Joint Appraisal report found that only around 40% of the targeted wards had established WDCs and 20% of these were not functional. Many also lacked a sense of community ownership and were not very engaged with the health facilities. Since then, many more are likely to be inactive, because of the suspension of GAVI HSS funds since 2014.</w:t>
      </w:r>
    </w:p>
    <w:p w:rsidR="003B59D3" w:rsidRDefault="003B59D3" w:rsidP="00A53678">
      <w:pPr>
        <w:pStyle w:val="ListParagraph"/>
        <w:numPr>
          <w:ilvl w:val="0"/>
          <w:numId w:val="34"/>
        </w:numPr>
        <w:ind w:left="360"/>
        <w:contextualSpacing w:val="0"/>
        <w:rPr>
          <w:rFonts w:ascii="Arial" w:hAnsi="Arial" w:cs="Arial"/>
          <w:lang w:val="en-US"/>
        </w:rPr>
      </w:pPr>
      <w:r>
        <w:rPr>
          <w:rFonts w:ascii="Arial" w:hAnsi="Arial" w:cs="Arial"/>
          <w:b/>
          <w:lang w:val="en-US"/>
        </w:rPr>
        <w:t xml:space="preserve">Lack of funds for routine immunization and Reach Every Ward (REW) activities at the local level. </w:t>
      </w:r>
      <w:r>
        <w:rPr>
          <w:rFonts w:ascii="Arial" w:hAnsi="Arial" w:cs="Arial"/>
          <w:lang w:val="en-US"/>
        </w:rPr>
        <w:t>Nigeria has a national policy of Reach Every Ward and there has been a series of trainings on this strategy, using GAVI HSS and ISS funds. This has led to all LGAs developing microplans and improving other aspects of planning (e.g., vaccine forecasting, supervision plans). However, the lack of operational funds at the local level has affected the ability of many LGAs and health facilities to implement key components of REW, especially communications, activities to involve the community in planning, supportive supervision, and monitoring for action. According to the 2015 Joint Appraisal report, LGAs also often lack funding for essential operational expenses for routine immunization, such as cold chain maintenance and fuel costs, and transport for vaccine deliveries, outreach</w:t>
      </w:r>
      <w:r w:rsidRPr="003B59D3">
        <w:rPr>
          <w:rFonts w:ascii="Arial" w:hAnsi="Arial" w:cs="Arial"/>
          <w:lang w:val="en-US"/>
        </w:rPr>
        <w:t xml:space="preserve"> </w:t>
      </w:r>
      <w:r>
        <w:rPr>
          <w:rFonts w:ascii="Arial" w:hAnsi="Arial" w:cs="Arial"/>
          <w:lang w:val="en-US"/>
        </w:rPr>
        <w:t xml:space="preserve">activities and supervision visits. This is due to inadequate budgets at the state and LGA levels for such routine expenses, as well as the slow release of GAVI ISS funds available to the states. In the </w:t>
      </w:r>
      <w:r w:rsidR="00350FD0">
        <w:rPr>
          <w:rFonts w:ascii="Arial" w:hAnsi="Arial" w:cs="Arial"/>
          <w:lang w:val="en-US"/>
        </w:rPr>
        <w:t>combined</w:t>
      </w:r>
      <w:r>
        <w:rPr>
          <w:rFonts w:ascii="Arial" w:hAnsi="Arial" w:cs="Arial"/>
          <w:lang w:val="en-US"/>
        </w:rPr>
        <w:t xml:space="preserve"> post introduction evaluation </w:t>
      </w:r>
      <w:r w:rsidR="00350FD0">
        <w:rPr>
          <w:rFonts w:ascii="Arial" w:hAnsi="Arial" w:cs="Arial"/>
          <w:lang w:val="en-US"/>
        </w:rPr>
        <w:t xml:space="preserve">(PIE) </w:t>
      </w:r>
      <w:r>
        <w:rPr>
          <w:rFonts w:ascii="Arial" w:hAnsi="Arial" w:cs="Arial"/>
          <w:lang w:val="en-US"/>
        </w:rPr>
        <w:t>report for the introductions of PCV and IPV, 85% of health facilities reported having had a supportive supervision visit in the previous six months. However, the majority of these visits were conducted not by government officials, but by partners.</w:t>
      </w:r>
      <w:r>
        <w:rPr>
          <w:rStyle w:val="FootnoteReference"/>
          <w:rFonts w:ascii="Arial" w:hAnsi="Arial" w:cs="Arial"/>
          <w:lang w:val="en-US"/>
        </w:rPr>
        <w:footnoteReference w:id="21"/>
      </w:r>
    </w:p>
    <w:p w:rsidR="00350FD0" w:rsidRDefault="00350FD0" w:rsidP="00A53678">
      <w:pPr>
        <w:pStyle w:val="ListParagraph"/>
        <w:ind w:left="360"/>
        <w:contextualSpacing w:val="0"/>
        <w:rPr>
          <w:rFonts w:ascii="Arial" w:hAnsi="Arial" w:cs="Arial"/>
          <w:lang w:val="en-US"/>
        </w:rPr>
      </w:pPr>
      <w:r w:rsidRPr="00350FD0">
        <w:rPr>
          <w:rFonts w:ascii="Arial" w:hAnsi="Arial" w:cs="Arial"/>
          <w:lang w:val="en-US"/>
        </w:rPr>
        <w:t>The lack of</w:t>
      </w:r>
      <w:r>
        <w:rPr>
          <w:rFonts w:ascii="Arial" w:hAnsi="Arial" w:cs="Arial"/>
          <w:lang w:val="en-US"/>
        </w:rPr>
        <w:t xml:space="preserve"> funds at the local level may at least partially explain the finding during pentavalent vaccine PIE that 8-55% of mothers interviewed in six out of the first 14 states to introduce the vaccine reported having to pay for the immunizations their children received that day.</w:t>
      </w:r>
      <w:r>
        <w:rPr>
          <w:rStyle w:val="FootnoteReference"/>
          <w:rFonts w:ascii="Arial" w:hAnsi="Arial" w:cs="Arial"/>
          <w:lang w:val="en-US"/>
        </w:rPr>
        <w:footnoteReference w:id="22"/>
      </w:r>
      <w:r>
        <w:rPr>
          <w:rFonts w:ascii="Arial" w:hAnsi="Arial" w:cs="Arial"/>
          <w:lang w:val="en-US"/>
        </w:rPr>
        <w:t xml:space="preserve"> A summary of the impact of limited funds for operational expenses at the local level is shown in Figure 3.</w:t>
      </w:r>
    </w:p>
    <w:p w:rsidR="00350FD0" w:rsidRPr="00CD5CD2" w:rsidRDefault="00CD5CD2" w:rsidP="00CD5CD2">
      <w:pPr>
        <w:pStyle w:val="Caption"/>
        <w:rPr>
          <w:rFonts w:ascii="Arial" w:hAnsi="Arial" w:cs="Arial"/>
          <w:b w:val="0"/>
          <w:color w:val="auto"/>
          <w:sz w:val="22"/>
          <w:szCs w:val="22"/>
          <w:lang w:val="en-US"/>
        </w:rPr>
      </w:pPr>
      <w:r w:rsidRPr="00CD5CD2">
        <w:rPr>
          <w:rFonts w:ascii="Arial" w:hAnsi="Arial" w:cs="Arial"/>
          <w:color w:val="auto"/>
          <w:sz w:val="22"/>
          <w:szCs w:val="22"/>
        </w:rPr>
        <w:lastRenderedPageBreak/>
        <w:t xml:space="preserve">Figure </w:t>
      </w:r>
      <w:r w:rsidRPr="00CD5CD2">
        <w:rPr>
          <w:rFonts w:ascii="Arial" w:hAnsi="Arial" w:cs="Arial"/>
          <w:color w:val="auto"/>
          <w:sz w:val="22"/>
          <w:szCs w:val="22"/>
        </w:rPr>
        <w:fldChar w:fldCharType="begin"/>
      </w:r>
      <w:r w:rsidRPr="00CD5CD2">
        <w:rPr>
          <w:rFonts w:ascii="Arial" w:hAnsi="Arial" w:cs="Arial"/>
          <w:color w:val="auto"/>
          <w:sz w:val="22"/>
          <w:szCs w:val="22"/>
        </w:rPr>
        <w:instrText xml:space="preserve"> SEQ Figure \* ARABIC </w:instrText>
      </w:r>
      <w:r w:rsidRPr="00CD5CD2">
        <w:rPr>
          <w:rFonts w:ascii="Arial" w:hAnsi="Arial" w:cs="Arial"/>
          <w:color w:val="auto"/>
          <w:sz w:val="22"/>
          <w:szCs w:val="22"/>
        </w:rPr>
        <w:fldChar w:fldCharType="separate"/>
      </w:r>
      <w:r w:rsidR="00D91889">
        <w:rPr>
          <w:rFonts w:ascii="Arial" w:hAnsi="Arial" w:cs="Arial"/>
          <w:noProof/>
          <w:color w:val="auto"/>
          <w:sz w:val="22"/>
          <w:szCs w:val="22"/>
        </w:rPr>
        <w:t>3</w:t>
      </w:r>
      <w:r w:rsidRPr="00CD5CD2">
        <w:rPr>
          <w:rFonts w:ascii="Arial" w:hAnsi="Arial" w:cs="Arial"/>
          <w:color w:val="auto"/>
          <w:sz w:val="22"/>
          <w:szCs w:val="22"/>
        </w:rPr>
        <w:fldChar w:fldCharType="end"/>
      </w:r>
      <w:r w:rsidRPr="00CD5CD2">
        <w:rPr>
          <w:rFonts w:ascii="Arial" w:hAnsi="Arial" w:cs="Arial"/>
          <w:color w:val="auto"/>
          <w:sz w:val="22"/>
          <w:szCs w:val="22"/>
        </w:rPr>
        <w:t xml:space="preserve">: </w:t>
      </w:r>
      <w:r w:rsidR="00350FD0" w:rsidRPr="00CD5CD2">
        <w:rPr>
          <w:rFonts w:ascii="Arial" w:hAnsi="Arial" w:cs="Arial"/>
          <w:color w:val="auto"/>
          <w:sz w:val="22"/>
          <w:szCs w:val="22"/>
          <w:lang w:val="en-US"/>
        </w:rPr>
        <w:t>Summary of the impact of limited funds for immunization operational expenses</w:t>
      </w:r>
    </w:p>
    <w:p w:rsidR="00F87D4C" w:rsidRPr="00350FD0" w:rsidRDefault="00F87D4C" w:rsidP="00F87D4C">
      <w:pPr>
        <w:spacing w:after="0"/>
        <w:jc w:val="center"/>
        <w:rPr>
          <w:rFonts w:ascii="Arial" w:hAnsi="Arial" w:cs="Arial"/>
          <w:lang w:val="en-US"/>
        </w:rPr>
      </w:pPr>
      <w:r w:rsidRPr="00F87D4C">
        <w:rPr>
          <w:rFonts w:ascii="Arial" w:hAnsi="Arial" w:cs="Arial"/>
          <w:noProof/>
          <w:lang w:eastAsia="zh-CN"/>
        </w:rPr>
        <w:drawing>
          <wp:inline distT="0" distB="0" distL="0" distR="0" wp14:anchorId="255601C5" wp14:editId="6A3FF5B0">
            <wp:extent cx="5262769" cy="3724275"/>
            <wp:effectExtent l="19050" t="19050" r="1460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95426" cy="3747385"/>
                    </a:xfrm>
                    <a:prstGeom prst="rect">
                      <a:avLst/>
                    </a:prstGeom>
                    <a:ln>
                      <a:solidFill>
                        <a:schemeClr val="tx1"/>
                      </a:solidFill>
                    </a:ln>
                  </pic:spPr>
                </pic:pic>
              </a:graphicData>
            </a:graphic>
          </wp:inline>
        </w:drawing>
      </w:r>
    </w:p>
    <w:p w:rsidR="00CA663B" w:rsidRDefault="00F87D4C" w:rsidP="00CA663B">
      <w:pPr>
        <w:rPr>
          <w:rFonts w:ascii="Arial" w:hAnsi="Arial" w:cs="Arial"/>
          <w:sz w:val="18"/>
          <w:szCs w:val="18"/>
          <w:lang w:val="en-US"/>
        </w:rPr>
      </w:pPr>
      <w:r w:rsidRPr="00F87D4C">
        <w:rPr>
          <w:rFonts w:ascii="Arial" w:hAnsi="Arial" w:cs="Arial"/>
          <w:sz w:val="18"/>
          <w:szCs w:val="18"/>
          <w:lang w:val="en-US"/>
        </w:rPr>
        <w:tab/>
        <w:t xml:space="preserve">Source: </w:t>
      </w:r>
      <w:r>
        <w:rPr>
          <w:rFonts w:ascii="Arial" w:hAnsi="Arial" w:cs="Arial"/>
          <w:sz w:val="18"/>
          <w:szCs w:val="18"/>
          <w:lang w:val="en-US"/>
        </w:rPr>
        <w:t>Pentavalent PIE presentation, March 2013.</w:t>
      </w:r>
    </w:p>
    <w:p w:rsidR="00A53678" w:rsidRDefault="00F87D4C" w:rsidP="00A53678">
      <w:pPr>
        <w:pStyle w:val="ListParagraph"/>
        <w:numPr>
          <w:ilvl w:val="0"/>
          <w:numId w:val="34"/>
        </w:numPr>
        <w:rPr>
          <w:rFonts w:ascii="Arial" w:hAnsi="Arial" w:cs="Arial"/>
          <w:lang w:val="en-US"/>
        </w:rPr>
      </w:pPr>
      <w:r w:rsidRPr="00F87D4C">
        <w:rPr>
          <w:rFonts w:ascii="Arial" w:hAnsi="Arial" w:cs="Arial"/>
          <w:b/>
          <w:lang w:val="en-US"/>
        </w:rPr>
        <w:t>Poor quality of immunization data</w:t>
      </w:r>
      <w:r>
        <w:rPr>
          <w:rFonts w:ascii="Arial" w:hAnsi="Arial" w:cs="Arial"/>
          <w:lang w:val="en-US"/>
        </w:rPr>
        <w:t xml:space="preserve">. Administrative coverage data show immunization rates of </w:t>
      </w:r>
      <w:r w:rsidR="00B47D53">
        <w:rPr>
          <w:rFonts w:ascii="Arial" w:hAnsi="Arial" w:cs="Arial"/>
          <w:lang w:val="en-US"/>
        </w:rPr>
        <w:t xml:space="preserve">more than </w:t>
      </w:r>
      <w:r>
        <w:rPr>
          <w:rFonts w:ascii="Arial" w:hAnsi="Arial" w:cs="Arial"/>
          <w:lang w:val="en-US"/>
        </w:rPr>
        <w:t xml:space="preserve">80% for all vaccines in most locations, while data from multiple surveys conducted in recent years (SMART, DHS, NNHS) consistently provide estimates of 20 or </w:t>
      </w:r>
      <w:r w:rsidR="00B47D53">
        <w:rPr>
          <w:rFonts w:ascii="Arial" w:hAnsi="Arial" w:cs="Arial"/>
          <w:lang w:val="en-US"/>
        </w:rPr>
        <w:t>30</w:t>
      </w:r>
      <w:r>
        <w:rPr>
          <w:rFonts w:ascii="Arial" w:hAnsi="Arial" w:cs="Arial"/>
          <w:lang w:val="en-US"/>
        </w:rPr>
        <w:t xml:space="preserve"> percentage points lower. A key reason is inaccurate denominators used for administrative data. The PCV/IPV PIE found most health facilities us</w:t>
      </w:r>
      <w:r w:rsidR="00B47D53">
        <w:rPr>
          <w:rFonts w:ascii="Arial" w:hAnsi="Arial" w:cs="Arial"/>
          <w:lang w:val="en-US"/>
        </w:rPr>
        <w:t>ing</w:t>
      </w:r>
      <w:r>
        <w:rPr>
          <w:rFonts w:ascii="Arial" w:hAnsi="Arial" w:cs="Arial"/>
          <w:lang w:val="en-US"/>
        </w:rPr>
        <w:t xml:space="preserve"> unrealistically low estimates for the target population. Different population data are often used for routine immunization and vaccine campaigns for the same population, making planning and reporting difficult.</w:t>
      </w:r>
      <w:r>
        <w:rPr>
          <w:rStyle w:val="FootnoteReference"/>
          <w:rFonts w:ascii="Arial" w:hAnsi="Arial" w:cs="Arial"/>
          <w:lang w:val="en-US"/>
        </w:rPr>
        <w:footnoteReference w:id="23"/>
      </w:r>
      <w:r>
        <w:rPr>
          <w:rFonts w:ascii="Arial" w:hAnsi="Arial" w:cs="Arial"/>
          <w:lang w:val="en-US"/>
        </w:rPr>
        <w:t xml:space="preserve"> The study also found that knowledge among health workers on how to calculate immunization coverage and dropout rates was almost universally poor, resulting in negative dropout rates at some health facilities the assessment team visited. This lack of knowledge, coupled with inadequate data management, make it difficult for program managers to monitor program performance and for health workers at the frontlines to use data for action. Data quality issues could therefore be a major contributor to the continual high dropout rates in Nigeria. </w:t>
      </w:r>
    </w:p>
    <w:p w:rsidR="00437FD4" w:rsidRDefault="00437FD4" w:rsidP="00437FD4">
      <w:pPr>
        <w:pStyle w:val="ListParagraph"/>
        <w:rPr>
          <w:rFonts w:ascii="Arial" w:hAnsi="Arial" w:cs="Arial"/>
          <w:lang w:val="en-US"/>
        </w:rPr>
      </w:pPr>
    </w:p>
    <w:p w:rsidR="00CA663B" w:rsidRPr="00B47D53" w:rsidRDefault="00B47D53" w:rsidP="00B47D53">
      <w:pPr>
        <w:pStyle w:val="ListParagraph"/>
        <w:numPr>
          <w:ilvl w:val="1"/>
          <w:numId w:val="35"/>
        </w:numPr>
        <w:rPr>
          <w:rFonts w:ascii="Arial" w:hAnsi="Arial" w:cs="Arial"/>
          <w:b/>
          <w:lang w:val="en-US"/>
        </w:rPr>
      </w:pPr>
      <w:r>
        <w:rPr>
          <w:rFonts w:ascii="Arial" w:hAnsi="Arial" w:cs="Arial"/>
          <w:b/>
          <w:lang w:val="en-US"/>
        </w:rPr>
        <w:t xml:space="preserve"> </w:t>
      </w:r>
      <w:r w:rsidR="00F87D4C" w:rsidRPr="00B47D53">
        <w:rPr>
          <w:rFonts w:ascii="Arial" w:hAnsi="Arial" w:cs="Arial"/>
          <w:b/>
          <w:lang w:val="en-US"/>
        </w:rPr>
        <w:t xml:space="preserve">Goal 4: </w:t>
      </w:r>
      <w:r w:rsidR="00CA663B" w:rsidRPr="00B47D53">
        <w:rPr>
          <w:rFonts w:ascii="Arial" w:hAnsi="Arial" w:cs="Arial"/>
          <w:b/>
          <w:lang w:val="en-US"/>
        </w:rPr>
        <w:t>Introduce new and improved vaccines and technologies</w:t>
      </w:r>
    </w:p>
    <w:p w:rsidR="00A53678" w:rsidRPr="00A53678" w:rsidRDefault="00B47D53" w:rsidP="00A53678">
      <w:pPr>
        <w:rPr>
          <w:rFonts w:ascii="Arial" w:hAnsi="Arial" w:cs="Arial"/>
          <w:lang w:val="en-US"/>
        </w:rPr>
      </w:pPr>
      <w:r w:rsidRPr="00B47D53">
        <w:rPr>
          <w:rFonts w:ascii="Arial" w:hAnsi="Arial" w:cs="Arial"/>
          <w:lang w:val="en-US"/>
        </w:rPr>
        <w:t>Niger</w:t>
      </w:r>
      <w:r>
        <w:rPr>
          <w:rFonts w:ascii="Arial" w:hAnsi="Arial" w:cs="Arial"/>
          <w:lang w:val="en-US"/>
        </w:rPr>
        <w:t xml:space="preserve">ia has been slower to introduce new vaccines than a number of other countries in the region, </w:t>
      </w:r>
      <w:r w:rsidR="003B290A">
        <w:rPr>
          <w:rFonts w:ascii="Arial" w:hAnsi="Arial" w:cs="Arial"/>
          <w:lang w:val="en-US"/>
        </w:rPr>
        <w:t xml:space="preserve">in large measure because of GAVI’s policy for many years that required that countries achieve a national DPT3 coverage rate of at least 70% before being able to apply for support for new vaccine introductions. </w:t>
      </w:r>
      <w:r>
        <w:rPr>
          <w:rFonts w:ascii="Arial" w:hAnsi="Arial" w:cs="Arial"/>
          <w:lang w:val="en-US"/>
        </w:rPr>
        <w:t xml:space="preserve">All </w:t>
      </w:r>
      <w:r w:rsidR="007348D9">
        <w:rPr>
          <w:rFonts w:ascii="Arial" w:hAnsi="Arial" w:cs="Arial"/>
          <w:lang w:val="en-US"/>
        </w:rPr>
        <w:t xml:space="preserve">vaccine introductions have </w:t>
      </w:r>
      <w:r w:rsidR="003B290A">
        <w:rPr>
          <w:rFonts w:ascii="Arial" w:hAnsi="Arial" w:cs="Arial"/>
          <w:lang w:val="en-US"/>
        </w:rPr>
        <w:t xml:space="preserve">received GAVI </w:t>
      </w:r>
      <w:r w:rsidR="003B290A">
        <w:rPr>
          <w:rFonts w:ascii="Arial" w:hAnsi="Arial" w:cs="Arial"/>
          <w:lang w:val="en-US"/>
        </w:rPr>
        <w:lastRenderedPageBreak/>
        <w:t>financial support, as well as</w:t>
      </w:r>
      <w:r w:rsidR="007348D9">
        <w:rPr>
          <w:rFonts w:ascii="Arial" w:hAnsi="Arial" w:cs="Arial"/>
          <w:lang w:val="en-US"/>
        </w:rPr>
        <w:t xml:space="preserve"> technical support from several partners. The</w:t>
      </w:r>
      <w:r w:rsidR="003B290A">
        <w:rPr>
          <w:rFonts w:ascii="Arial" w:hAnsi="Arial" w:cs="Arial"/>
          <w:lang w:val="en-US"/>
        </w:rPr>
        <w:t>se vaccine introductions</w:t>
      </w:r>
      <w:r w:rsidR="007348D9">
        <w:rPr>
          <w:rFonts w:ascii="Arial" w:hAnsi="Arial" w:cs="Arial"/>
          <w:lang w:val="en-US"/>
        </w:rPr>
        <w:t xml:space="preserve"> have also all been </w:t>
      </w:r>
      <w:r>
        <w:rPr>
          <w:rFonts w:ascii="Arial" w:hAnsi="Arial" w:cs="Arial"/>
          <w:lang w:val="en-US"/>
        </w:rPr>
        <w:t xml:space="preserve">phased in by state – taking eight months to one and a half years. The phased-in introductions have allowed for the variation among states in their readiness to introduce a new vaccine, including their cold chain capacity, and for </w:t>
      </w:r>
      <w:r w:rsidR="00D34193">
        <w:rPr>
          <w:rFonts w:ascii="Arial" w:hAnsi="Arial" w:cs="Arial"/>
          <w:lang w:val="en-US"/>
        </w:rPr>
        <w:t xml:space="preserve">the </w:t>
      </w:r>
      <w:r>
        <w:rPr>
          <w:rFonts w:ascii="Arial" w:hAnsi="Arial" w:cs="Arial"/>
          <w:lang w:val="en-US"/>
        </w:rPr>
        <w:t xml:space="preserve">time needed to expand </w:t>
      </w:r>
      <w:r w:rsidR="00D34193">
        <w:rPr>
          <w:rFonts w:ascii="Arial" w:hAnsi="Arial" w:cs="Arial"/>
          <w:lang w:val="en-US"/>
        </w:rPr>
        <w:t>their cold chain and logistics system to accommodate the new vaccine</w:t>
      </w:r>
      <w:r>
        <w:rPr>
          <w:rFonts w:ascii="Arial" w:hAnsi="Arial" w:cs="Arial"/>
          <w:lang w:val="en-US"/>
        </w:rPr>
        <w:t xml:space="preserve">. In the case of pentavalent vaccine, the phased introduction was also due to the limited global availability of the vaccine. The following vaccine introductions have taken place in the </w:t>
      </w:r>
      <w:r w:rsidR="00A53678">
        <w:rPr>
          <w:rFonts w:ascii="Arial" w:hAnsi="Arial" w:cs="Arial"/>
          <w:lang w:val="en-US"/>
        </w:rPr>
        <w:t>past four years:</w:t>
      </w:r>
    </w:p>
    <w:p w:rsidR="007348D9" w:rsidRPr="008829D8" w:rsidRDefault="007348D9" w:rsidP="00010003">
      <w:pPr>
        <w:rPr>
          <w:rFonts w:ascii="Arial" w:hAnsi="Arial" w:cs="Arial"/>
          <w:u w:val="single"/>
          <w:lang w:val="en-US"/>
        </w:rPr>
      </w:pPr>
      <w:r w:rsidRPr="008829D8">
        <w:rPr>
          <w:rFonts w:ascii="Arial" w:hAnsi="Arial" w:cs="Arial"/>
          <w:u w:val="single"/>
          <w:lang w:val="en-US"/>
        </w:rPr>
        <w:t>Meningitis A vaccine in mass campaigns</w:t>
      </w:r>
    </w:p>
    <w:p w:rsidR="007348D9" w:rsidRPr="007348D9" w:rsidRDefault="007348D9" w:rsidP="00010003">
      <w:pPr>
        <w:rPr>
          <w:rFonts w:ascii="Arial" w:hAnsi="Arial" w:cs="Arial"/>
          <w:lang w:val="en-US"/>
        </w:rPr>
      </w:pPr>
      <w:r>
        <w:rPr>
          <w:rFonts w:ascii="Arial" w:hAnsi="Arial" w:cs="Arial"/>
          <w:lang w:val="en-US"/>
        </w:rPr>
        <w:t>Campaigns for 1-29 year olds were conducted in four phases – one per year – between 2011 and 2014 in the country’s 23 states at high risk for meningitis. A post campaign survey conducted in the Phase 4 states in 2014 estimated a coverage rate of 88% for that phase, indicating good quality of the campaigns and high population demand for the vaccine.</w:t>
      </w:r>
      <w:r>
        <w:rPr>
          <w:rStyle w:val="FootnoteReference"/>
          <w:rFonts w:ascii="Arial" w:hAnsi="Arial" w:cs="Arial"/>
          <w:lang w:val="en-US"/>
        </w:rPr>
        <w:footnoteReference w:id="24"/>
      </w:r>
    </w:p>
    <w:p w:rsidR="00010003" w:rsidRPr="008829D8" w:rsidRDefault="00B47D53" w:rsidP="00010003">
      <w:pPr>
        <w:rPr>
          <w:rFonts w:ascii="Arial" w:hAnsi="Arial" w:cs="Arial"/>
          <w:u w:val="single"/>
          <w:lang w:val="en-US"/>
        </w:rPr>
      </w:pPr>
      <w:r w:rsidRPr="008829D8">
        <w:rPr>
          <w:rFonts w:ascii="Arial" w:hAnsi="Arial" w:cs="Arial"/>
          <w:u w:val="single"/>
          <w:lang w:val="en-US"/>
        </w:rPr>
        <w:t>Pentavalent (DPT-HepB-Hib) vaccine</w:t>
      </w:r>
    </w:p>
    <w:p w:rsidR="00B47D53" w:rsidRPr="00010003" w:rsidRDefault="00A53678" w:rsidP="00010003">
      <w:pPr>
        <w:rPr>
          <w:rFonts w:ascii="Arial" w:hAnsi="Arial" w:cs="Arial"/>
          <w:lang w:val="en-US"/>
        </w:rPr>
      </w:pPr>
      <w:r w:rsidRPr="00010003">
        <w:rPr>
          <w:rFonts w:ascii="Arial" w:hAnsi="Arial" w:cs="Arial"/>
          <w:lang w:val="en-US"/>
        </w:rPr>
        <w:t>This vaccine was introduced in three phase</w:t>
      </w:r>
      <w:r w:rsidR="00D34193">
        <w:rPr>
          <w:rFonts w:ascii="Arial" w:hAnsi="Arial" w:cs="Arial"/>
          <w:lang w:val="en-US"/>
        </w:rPr>
        <w:t xml:space="preserve"> from May 2012 to December 2013</w:t>
      </w:r>
      <w:r w:rsidRPr="00010003">
        <w:rPr>
          <w:rFonts w:ascii="Arial" w:hAnsi="Arial" w:cs="Arial"/>
          <w:lang w:val="en-US"/>
        </w:rPr>
        <w:t>. A post-introduction evaluation was conducted in the 14 Phase 1 states in March 2013 to provide lessons learned and inform the introduction for the two remaining phases. According to the evaluation, the introduction generally went well, with a good training program in which at least one health worker per health facility had been trained; extensive publicity about the introduction, including launch ceremonies; good population acceptance of the vaccine and high demand; and the availability of updated data collection tools in all states.</w:t>
      </w:r>
      <w:r>
        <w:rPr>
          <w:rStyle w:val="FootnoteReference"/>
          <w:rFonts w:ascii="Arial" w:hAnsi="Arial" w:cs="Arial"/>
          <w:lang w:val="en-US"/>
        </w:rPr>
        <w:footnoteReference w:id="25"/>
      </w:r>
      <w:r w:rsidRPr="00010003">
        <w:rPr>
          <w:rFonts w:ascii="Arial" w:hAnsi="Arial" w:cs="Arial"/>
          <w:lang w:val="en-US"/>
        </w:rPr>
        <w:t xml:space="preserve"> The main weaknesses were the lack of introduction plans at the LGA level; insufficient funds at the LGA and health facility levels to transport vaccine, repair or replace broken refrigerators or to conduct supervisory visits; and the absence of adverse events following immunization (AEFI) surveillance. </w:t>
      </w:r>
    </w:p>
    <w:p w:rsidR="00010003" w:rsidRPr="008829D8" w:rsidRDefault="00010003" w:rsidP="00010003">
      <w:pPr>
        <w:rPr>
          <w:rFonts w:ascii="Arial" w:hAnsi="Arial" w:cs="Arial"/>
          <w:u w:val="single"/>
          <w:lang w:val="en-US"/>
        </w:rPr>
      </w:pPr>
      <w:r w:rsidRPr="008829D8">
        <w:rPr>
          <w:rFonts w:ascii="Arial" w:hAnsi="Arial" w:cs="Arial"/>
          <w:u w:val="single"/>
          <w:lang w:val="en-US"/>
        </w:rPr>
        <w:t>PCV-10 vaccine</w:t>
      </w:r>
    </w:p>
    <w:p w:rsidR="00010003" w:rsidRPr="00010003" w:rsidRDefault="00010003" w:rsidP="00010003">
      <w:pPr>
        <w:rPr>
          <w:rFonts w:ascii="Arial" w:hAnsi="Arial" w:cs="Arial"/>
          <w:lang w:val="en-US"/>
        </w:rPr>
      </w:pPr>
      <w:r w:rsidRPr="00010003">
        <w:rPr>
          <w:rFonts w:ascii="Arial" w:hAnsi="Arial" w:cs="Arial"/>
          <w:lang w:val="en-US"/>
        </w:rPr>
        <w:t>PCV introduction was approved by GAVI in 2013 and slated to begin later that year in most of the same Phase 1 states as for pentavalent vaccine introduction. Phase 1 was delayed until December 2014 due to a global shortage of the vaccine and to delays in finalizing an agreement between the Government and UNICEF to allow UNICEF to serve as the fiduciary agent (or “pass through”) for GAVI vaccine introduction grant funds after GAVI HSS funds were frozen in early 2014, as described above. Phase 2, in nine more states, was scheduled for October 2015, but delayed till January 2016, and Phase 3 (originally planned for January 2016) took place in July. A key reason for the delays in the later phases was the failure of several states to pass the readiness assessment required for PCV-10 introduction to ensure proper handling by health workers of this vaccine, which is presented in two-dose vials without preservative and requires and open vials be discarded within six hours.</w:t>
      </w:r>
    </w:p>
    <w:p w:rsidR="00010003" w:rsidRDefault="00010003" w:rsidP="00010003">
      <w:pPr>
        <w:rPr>
          <w:rFonts w:ascii="Arial" w:hAnsi="Arial" w:cs="Arial"/>
          <w:lang w:val="en-US"/>
        </w:rPr>
      </w:pPr>
      <w:r>
        <w:rPr>
          <w:rFonts w:ascii="Arial" w:hAnsi="Arial" w:cs="Arial"/>
          <w:lang w:val="en-US"/>
        </w:rPr>
        <w:t xml:space="preserve">A PIE conducted in the Phase 1 states found a generally successful introduction, with early and strong planning, strong buy-in from some state political leaders (who participated in </w:t>
      </w:r>
      <w:r>
        <w:rPr>
          <w:rFonts w:ascii="Arial" w:hAnsi="Arial" w:cs="Arial"/>
          <w:lang w:val="en-US"/>
        </w:rPr>
        <w:lastRenderedPageBreak/>
        <w:t>launch ceremonies), training of at least two health workers per facility, which included refresher training and was well-received; and no major issues with vaccine logistics or distribution.</w:t>
      </w:r>
      <w:r>
        <w:rPr>
          <w:rStyle w:val="FootnoteReference"/>
          <w:rFonts w:ascii="Arial" w:hAnsi="Arial" w:cs="Arial"/>
          <w:lang w:val="en-US"/>
        </w:rPr>
        <w:footnoteReference w:id="26"/>
      </w:r>
      <w:r w:rsidR="007348D9">
        <w:rPr>
          <w:rFonts w:ascii="Arial" w:hAnsi="Arial" w:cs="Arial"/>
          <w:lang w:val="en-US"/>
        </w:rPr>
        <w:t xml:space="preserve"> The main problems identified were:</w:t>
      </w:r>
    </w:p>
    <w:p w:rsidR="007348D9" w:rsidRPr="00437FD4" w:rsidRDefault="007348D9" w:rsidP="00437FD4">
      <w:pPr>
        <w:pStyle w:val="ListParagraph"/>
        <w:numPr>
          <w:ilvl w:val="0"/>
          <w:numId w:val="41"/>
        </w:numPr>
        <w:ind w:left="360"/>
        <w:contextualSpacing w:val="0"/>
        <w:rPr>
          <w:rFonts w:ascii="Arial" w:hAnsi="Arial" w:cs="Arial"/>
          <w:lang w:val="en-US"/>
        </w:rPr>
      </w:pPr>
      <w:r w:rsidRPr="00437FD4">
        <w:rPr>
          <w:rFonts w:ascii="Arial" w:hAnsi="Arial" w:cs="Arial"/>
          <w:lang w:val="en-US"/>
        </w:rPr>
        <w:t>A lag of around two months between the training of health workers and introduction of the vaccine in some states because of health workers strikes and security issues;</w:t>
      </w:r>
    </w:p>
    <w:p w:rsidR="007348D9" w:rsidRPr="00437FD4" w:rsidRDefault="007348D9" w:rsidP="00437FD4">
      <w:pPr>
        <w:pStyle w:val="ListParagraph"/>
        <w:numPr>
          <w:ilvl w:val="0"/>
          <w:numId w:val="40"/>
        </w:numPr>
        <w:ind w:left="360"/>
        <w:contextualSpacing w:val="0"/>
        <w:rPr>
          <w:rFonts w:ascii="Arial" w:hAnsi="Arial" w:cs="Arial"/>
          <w:lang w:val="en-US"/>
        </w:rPr>
      </w:pPr>
      <w:r w:rsidRPr="00437FD4">
        <w:rPr>
          <w:rFonts w:ascii="Arial" w:hAnsi="Arial" w:cs="Arial"/>
          <w:lang w:val="en-US"/>
        </w:rPr>
        <w:t>Gaps in communication about the vaccine due to a lack of funds for local social mobilization activities, insufficient availability of IEC materials and inadequate inter-personal communications between health workers and parents. Consequently, 60% of caregivers interviewed for the evaluation were not aware of which vaccines their child had just received, and 24% overall (and 85-90% in two states) weren’t aware of the date for the next visit for subsequent doses;</w:t>
      </w:r>
    </w:p>
    <w:p w:rsidR="007348D9" w:rsidRPr="00437FD4" w:rsidRDefault="007348D9" w:rsidP="00437FD4">
      <w:pPr>
        <w:pStyle w:val="ListParagraph"/>
        <w:numPr>
          <w:ilvl w:val="0"/>
          <w:numId w:val="40"/>
        </w:numPr>
        <w:ind w:left="360"/>
        <w:contextualSpacing w:val="0"/>
        <w:rPr>
          <w:rFonts w:ascii="Arial" w:hAnsi="Arial" w:cs="Arial"/>
          <w:lang w:val="en-US"/>
        </w:rPr>
      </w:pPr>
      <w:r w:rsidRPr="00437FD4">
        <w:rPr>
          <w:rFonts w:ascii="Arial" w:hAnsi="Arial" w:cs="Arial"/>
          <w:lang w:val="en-US"/>
        </w:rPr>
        <w:t>The reluctance among 15% of health workers overall – and 40% in three states – to administer three injections (for pentavalent, IPV and PCV) to a child during the same visit, potentially resulting in missed opportunities and increased dropout rates.</w:t>
      </w:r>
    </w:p>
    <w:p w:rsidR="008829D8" w:rsidRDefault="008829D8" w:rsidP="008829D8">
      <w:pPr>
        <w:rPr>
          <w:rFonts w:ascii="Arial" w:hAnsi="Arial" w:cs="Arial"/>
          <w:lang w:val="en-US"/>
        </w:rPr>
      </w:pPr>
      <w:r>
        <w:rPr>
          <w:rFonts w:ascii="Arial" w:hAnsi="Arial" w:cs="Arial"/>
          <w:lang w:val="en-US"/>
        </w:rPr>
        <w:t>Despite these issues, the introduction of PCV, as well as pentavalent vaccine, did not appear to disrupt the routine program or negatively impact coverage rates of other vaccines in the schedule, since the WUENIC coverage rate estimates of all vaccines have increased each year since these vaccine introductions began.</w:t>
      </w:r>
    </w:p>
    <w:p w:rsidR="008829D8" w:rsidRPr="008829D8" w:rsidRDefault="008829D8" w:rsidP="008829D8">
      <w:pPr>
        <w:rPr>
          <w:rFonts w:ascii="Arial" w:hAnsi="Arial" w:cs="Arial"/>
          <w:u w:val="single"/>
          <w:lang w:val="en-US"/>
        </w:rPr>
      </w:pPr>
      <w:r w:rsidRPr="008829D8">
        <w:rPr>
          <w:rFonts w:ascii="Arial" w:hAnsi="Arial" w:cs="Arial"/>
          <w:u w:val="single"/>
          <w:lang w:val="en-US"/>
        </w:rPr>
        <w:t>Inactivated polio vaccine (IPV)</w:t>
      </w:r>
    </w:p>
    <w:p w:rsidR="008829D8" w:rsidRDefault="008829D8" w:rsidP="008829D8">
      <w:pPr>
        <w:rPr>
          <w:rFonts w:ascii="Arial" w:hAnsi="Arial" w:cs="Arial"/>
          <w:lang w:val="en-US"/>
        </w:rPr>
      </w:pPr>
      <w:r>
        <w:rPr>
          <w:rFonts w:ascii="Arial" w:hAnsi="Arial" w:cs="Arial"/>
          <w:lang w:val="en-US"/>
        </w:rPr>
        <w:t>This vaccine was introduced over an eight-month period in 2015 in six phases, with delays in some states due to a delay in GAVI approval of the vaccine introduction grant and to health worker strikes. All accounts are that the introduction was well implemented.</w:t>
      </w:r>
    </w:p>
    <w:p w:rsidR="008829D8" w:rsidRDefault="008829D8" w:rsidP="008829D8">
      <w:pPr>
        <w:rPr>
          <w:rFonts w:ascii="Arial" w:hAnsi="Arial" w:cs="Arial"/>
          <w:lang w:val="en-US"/>
        </w:rPr>
      </w:pPr>
      <w:r>
        <w:rPr>
          <w:rFonts w:ascii="Arial" w:hAnsi="Arial" w:cs="Arial"/>
          <w:lang w:val="en-US"/>
        </w:rPr>
        <w:t xml:space="preserve">Concerning future vaccine introductions, Nigeria is graduating as a GAVI country in </w:t>
      </w:r>
      <w:r w:rsidR="00D34193">
        <w:rPr>
          <w:rFonts w:ascii="Arial" w:hAnsi="Arial" w:cs="Arial"/>
          <w:lang w:val="en-US"/>
        </w:rPr>
        <w:t xml:space="preserve">December </w:t>
      </w:r>
      <w:r>
        <w:rPr>
          <w:rFonts w:ascii="Arial" w:hAnsi="Arial" w:cs="Arial"/>
          <w:lang w:val="en-US"/>
        </w:rPr>
        <w:t>202</w:t>
      </w:r>
      <w:r w:rsidR="00D34193">
        <w:rPr>
          <w:rFonts w:ascii="Arial" w:hAnsi="Arial" w:cs="Arial"/>
          <w:lang w:val="en-US"/>
        </w:rPr>
        <w:t>1</w:t>
      </w:r>
      <w:r>
        <w:rPr>
          <w:rFonts w:ascii="Arial" w:hAnsi="Arial" w:cs="Arial"/>
          <w:lang w:val="en-US"/>
        </w:rPr>
        <w:t>,</w:t>
      </w:r>
      <w:r w:rsidR="00D34193">
        <w:rPr>
          <w:rFonts w:ascii="Arial" w:hAnsi="Arial" w:cs="Arial"/>
          <w:lang w:val="en-US"/>
        </w:rPr>
        <w:t xml:space="preserve"> and has up to the end of 2017 to apply for GAVI support for any other vaccine introductions</w:t>
      </w:r>
      <w:r>
        <w:rPr>
          <w:rFonts w:ascii="Arial" w:hAnsi="Arial" w:cs="Arial"/>
          <w:lang w:val="en-US"/>
        </w:rPr>
        <w:t>. Its plans call for meningitis A vaccine to be introduced into the routine schedule in 2017 in the 23 high-risk states, followed by rotavirus</w:t>
      </w:r>
      <w:r w:rsidR="00815D92">
        <w:rPr>
          <w:rFonts w:ascii="Arial" w:hAnsi="Arial" w:cs="Arial"/>
          <w:lang w:val="en-US"/>
        </w:rPr>
        <w:t xml:space="preserve"> vaccine introduction in 2018. The country’s application for GAVI for rotavirus vaccine, first submitted in 2014, </w:t>
      </w:r>
      <w:r w:rsidR="00D34193">
        <w:rPr>
          <w:rFonts w:ascii="Arial" w:hAnsi="Arial" w:cs="Arial"/>
          <w:lang w:val="en-US"/>
        </w:rPr>
        <w:t>has recently been resubmitted (</w:t>
      </w:r>
      <w:r w:rsidR="00815D92">
        <w:rPr>
          <w:rFonts w:ascii="Arial" w:hAnsi="Arial" w:cs="Arial"/>
          <w:lang w:val="en-US"/>
        </w:rPr>
        <w:t>with revisions to address the review committe</w:t>
      </w:r>
      <w:r w:rsidR="00D34193">
        <w:rPr>
          <w:rFonts w:ascii="Arial" w:hAnsi="Arial" w:cs="Arial"/>
          <w:lang w:val="en-US"/>
        </w:rPr>
        <w:t>e’s comments) and approved (with clarifications). Introduction of the vaccine is planned to begin</w:t>
      </w:r>
      <w:r w:rsidR="00815D92">
        <w:rPr>
          <w:rFonts w:ascii="Arial" w:hAnsi="Arial" w:cs="Arial"/>
          <w:lang w:val="en-US"/>
        </w:rPr>
        <w:t xml:space="preserve"> in 2018.</w:t>
      </w:r>
    </w:p>
    <w:p w:rsidR="00815D92" w:rsidRDefault="00815D92" w:rsidP="008829D8">
      <w:pPr>
        <w:rPr>
          <w:rFonts w:ascii="Arial" w:hAnsi="Arial" w:cs="Arial"/>
          <w:lang w:val="en-US"/>
        </w:rPr>
      </w:pPr>
      <w:r>
        <w:rPr>
          <w:rFonts w:ascii="Arial" w:hAnsi="Arial" w:cs="Arial"/>
          <w:lang w:val="en-US"/>
        </w:rPr>
        <w:t>The addition of a second measles dose, MR campaigns and a pilot HPV project are also mentioned in the 2016-2020 cMYP. However, these introductions are still in the discussion stage</w:t>
      </w:r>
      <w:r w:rsidR="00D34193">
        <w:rPr>
          <w:rFonts w:ascii="Arial" w:hAnsi="Arial" w:cs="Arial"/>
          <w:lang w:val="en-US"/>
        </w:rPr>
        <w:t>.</w:t>
      </w:r>
    </w:p>
    <w:p w:rsidR="00CA663B" w:rsidRPr="00EA6F8C" w:rsidRDefault="00CA663B" w:rsidP="00CA663B">
      <w:pPr>
        <w:pStyle w:val="ListParagraph"/>
        <w:numPr>
          <w:ilvl w:val="0"/>
          <w:numId w:val="3"/>
        </w:numPr>
        <w:rPr>
          <w:rFonts w:ascii="Arial" w:hAnsi="Arial" w:cs="Arial"/>
          <w:b/>
          <w:sz w:val="24"/>
          <w:lang w:val="en-US"/>
        </w:rPr>
      </w:pPr>
      <w:r w:rsidRPr="00EA6F8C">
        <w:rPr>
          <w:rFonts w:ascii="Arial" w:hAnsi="Arial" w:cs="Arial"/>
          <w:b/>
          <w:sz w:val="24"/>
          <w:lang w:val="en-US"/>
        </w:rPr>
        <w:t>Partner support to address remaining challenges to meet the GVAP goals and targets</w:t>
      </w:r>
    </w:p>
    <w:p w:rsidR="00BA09BC" w:rsidRDefault="00BA09BC" w:rsidP="00CA663B">
      <w:pPr>
        <w:rPr>
          <w:rFonts w:ascii="Arial" w:hAnsi="Arial" w:cs="Arial"/>
          <w:lang w:val="en-US"/>
        </w:rPr>
      </w:pPr>
      <w:r>
        <w:rPr>
          <w:rFonts w:ascii="Arial" w:hAnsi="Arial" w:cs="Arial"/>
          <w:lang w:val="en-US"/>
        </w:rPr>
        <w:t xml:space="preserve">As in other countries, development partners have played a key role in Nigeria’s efforts to eradicate polio – by helping to build a robust AFP/polio surveillance system and conduct polio vaccination campaigns, as well as to control other epidemic-prone diseases (measles, yellow fever, meningitis A) through case-based disease surveillance and vaccination </w:t>
      </w:r>
      <w:r>
        <w:rPr>
          <w:rFonts w:ascii="Arial" w:hAnsi="Arial" w:cs="Arial"/>
          <w:lang w:val="en-US"/>
        </w:rPr>
        <w:lastRenderedPageBreak/>
        <w:t>campaigns. The more than 11,000 health workers supported by WHO and UNICEF with policy eradication program funds have been critical to these efforts, as well as to helping with improvements to the routine immunization program. Technical and financial support from partners, including GAVI funding, has also played an important role in the country’s successful introduction of three new vaccines in the past four years.</w:t>
      </w:r>
    </w:p>
    <w:p w:rsidR="009B10F7" w:rsidRDefault="00BA09BC" w:rsidP="00CA663B">
      <w:pPr>
        <w:rPr>
          <w:rFonts w:ascii="Arial" w:hAnsi="Arial" w:cs="Arial"/>
          <w:lang w:val="en-US"/>
        </w:rPr>
      </w:pPr>
      <w:r>
        <w:rPr>
          <w:rFonts w:ascii="Arial" w:hAnsi="Arial" w:cs="Arial"/>
          <w:lang w:val="en-US"/>
        </w:rPr>
        <w:t>Below we highlight three areas of partner support that are addressing key</w:t>
      </w:r>
      <w:r w:rsidR="009B10F7">
        <w:rPr>
          <w:rFonts w:ascii="Arial" w:hAnsi="Arial" w:cs="Arial"/>
          <w:lang w:val="en-US"/>
        </w:rPr>
        <w:t xml:space="preserve"> issues that have been discussed above.</w:t>
      </w:r>
    </w:p>
    <w:p w:rsidR="009B10F7" w:rsidRPr="009B10F7" w:rsidRDefault="009B10F7" w:rsidP="00CA663B">
      <w:pPr>
        <w:rPr>
          <w:rFonts w:ascii="Arial" w:hAnsi="Arial" w:cs="Arial"/>
          <w:u w:val="single"/>
          <w:lang w:val="en-US"/>
        </w:rPr>
      </w:pPr>
      <w:r w:rsidRPr="009B10F7">
        <w:rPr>
          <w:rFonts w:ascii="Arial" w:hAnsi="Arial" w:cs="Arial"/>
          <w:u w:val="single"/>
          <w:lang w:val="en-US"/>
        </w:rPr>
        <w:t>Expansion of the cold chain system and improving vaccine management</w:t>
      </w:r>
    </w:p>
    <w:p w:rsidR="009B10F7" w:rsidRDefault="009B10F7" w:rsidP="00CA663B">
      <w:pPr>
        <w:rPr>
          <w:rFonts w:ascii="Arial" w:hAnsi="Arial" w:cs="Arial"/>
          <w:lang w:val="en-US"/>
        </w:rPr>
      </w:pPr>
      <w:r>
        <w:rPr>
          <w:rFonts w:ascii="Arial" w:hAnsi="Arial" w:cs="Arial"/>
          <w:lang w:val="en-US"/>
        </w:rPr>
        <w:t xml:space="preserve">The ability of health facilities to provide immunization services on a weekly or more frequent basis has been hampered in the past by inadequate cold chain capacity at state and LGA stores and a lack of refrigerators in many health centers. This problem has been compounded by inadequate vaccine stock management, resulting in frequent stockouts of vaccines at sub-national levels. In the PCV/IPV post-introduction evaluation, for instance, 36% of health facilities visited reports stockouts of vaccines (BCG, IPV, yellow fever) in the past six months. </w:t>
      </w:r>
    </w:p>
    <w:p w:rsidR="00AE591E" w:rsidRDefault="009B10F7" w:rsidP="00CA663B">
      <w:pPr>
        <w:rPr>
          <w:rFonts w:ascii="Arial" w:hAnsi="Arial" w:cs="Arial"/>
          <w:lang w:val="en-US"/>
        </w:rPr>
      </w:pPr>
      <w:r>
        <w:rPr>
          <w:rFonts w:ascii="Arial" w:hAnsi="Arial" w:cs="Arial"/>
          <w:lang w:val="en-US"/>
        </w:rPr>
        <w:t>To address this problem, a major activity of partners in the past several years has been to strengthen the cold chain system and vaccine management, using funds from the GAVI HSS grant and other partner support. Two sub-national hubs were established to store and distribute vaccine and devices, in addition to the central stores in Abuja. In the past few years, more than 1,600 solar direct drive (SDD) refrigerators have been procured and installed in health facilities in wards with large populations, as well as other cold chain equipment. There has also been a series of national and state-level trainings in cold chain maintenance and operations for cold officers and technicians. To address the issue of vaccine management and to prevent unnecessary local stockouts, partners</w:t>
      </w:r>
      <w:r w:rsidR="007F2339">
        <w:rPr>
          <w:rFonts w:ascii="Arial" w:hAnsi="Arial" w:cs="Arial"/>
          <w:lang w:val="en-US"/>
        </w:rPr>
        <w:t xml:space="preserve"> (WHO, UNICEF and CHAI),</w:t>
      </w:r>
      <w:r w:rsidRPr="009B10F7">
        <w:rPr>
          <w:rFonts w:ascii="Arial" w:hAnsi="Arial" w:cs="Arial"/>
          <w:color w:val="FF0000"/>
          <w:lang w:val="en-US"/>
        </w:rPr>
        <w:t xml:space="preserve"> </w:t>
      </w:r>
      <w:r>
        <w:rPr>
          <w:rFonts w:ascii="Arial" w:hAnsi="Arial" w:cs="Arial"/>
          <w:lang w:val="en-US"/>
        </w:rPr>
        <w:t>worked with the Government to set up a vaccine stock management “dashboard” in 2015. This is an Excel-based tool that provides a snapshot of the vaccine inventory at all levels of the system, based on weekly reports sent By LGAs to the states, which are then passed on to the National Logistics Working Group. Th</w:t>
      </w:r>
      <w:r w:rsidR="007F2339">
        <w:rPr>
          <w:rFonts w:ascii="Arial" w:hAnsi="Arial" w:cs="Arial"/>
          <w:lang w:val="en-US"/>
        </w:rPr>
        <w:t>e dashboard</w:t>
      </w:r>
      <w:r>
        <w:rPr>
          <w:rFonts w:ascii="Arial" w:hAnsi="Arial" w:cs="Arial"/>
          <w:lang w:val="en-US"/>
        </w:rPr>
        <w:t xml:space="preserve"> has greatly increased the ability of the national and state logistics personnel to monitor vaccine stock levels at the lower levels </w:t>
      </w:r>
      <w:r w:rsidR="00AE591E">
        <w:rPr>
          <w:rFonts w:ascii="Arial" w:hAnsi="Arial" w:cs="Arial"/>
          <w:lang w:val="en-US"/>
        </w:rPr>
        <w:t xml:space="preserve">on a weekly basis </w:t>
      </w:r>
      <w:r>
        <w:rPr>
          <w:rFonts w:ascii="Arial" w:hAnsi="Arial" w:cs="Arial"/>
          <w:lang w:val="en-US"/>
        </w:rPr>
        <w:t>and to act accordingly.</w:t>
      </w:r>
      <w:r w:rsidR="00AE591E">
        <w:rPr>
          <w:rFonts w:ascii="Arial" w:hAnsi="Arial" w:cs="Arial"/>
          <w:lang w:val="en-US"/>
        </w:rPr>
        <w:t xml:space="preserve"> According to one source, many LGAs that were chronically under-supplied with several vaccines in the past have not experienced a single stockout </w:t>
      </w:r>
      <w:r w:rsidR="007F2339">
        <w:rPr>
          <w:rFonts w:ascii="Arial" w:hAnsi="Arial" w:cs="Arial"/>
          <w:lang w:val="en-US"/>
        </w:rPr>
        <w:t>during</w:t>
      </w:r>
      <w:r w:rsidR="00AE591E">
        <w:rPr>
          <w:rFonts w:ascii="Arial" w:hAnsi="Arial" w:cs="Arial"/>
          <w:lang w:val="en-US"/>
        </w:rPr>
        <w:t xml:space="preserve"> the first half of 2016.</w:t>
      </w:r>
      <w:r w:rsidR="00AE591E">
        <w:rPr>
          <w:rStyle w:val="FootnoteReference"/>
          <w:rFonts w:ascii="Arial" w:hAnsi="Arial" w:cs="Arial"/>
          <w:lang w:val="en-US"/>
        </w:rPr>
        <w:footnoteReference w:id="27"/>
      </w:r>
    </w:p>
    <w:p w:rsidR="00AE591E" w:rsidRPr="00AE591E" w:rsidRDefault="00680885" w:rsidP="00CA663B">
      <w:pPr>
        <w:rPr>
          <w:rFonts w:ascii="Arial" w:hAnsi="Arial" w:cs="Arial"/>
          <w:u w:val="single"/>
          <w:lang w:val="en-US"/>
        </w:rPr>
      </w:pPr>
      <w:r>
        <w:rPr>
          <w:rFonts w:ascii="Arial" w:hAnsi="Arial" w:cs="Arial"/>
          <w:u w:val="single"/>
          <w:lang w:val="en-US"/>
        </w:rPr>
        <w:t>Ensuring</w:t>
      </w:r>
      <w:r w:rsidR="00AE591E" w:rsidRPr="00AE591E">
        <w:rPr>
          <w:rFonts w:ascii="Arial" w:hAnsi="Arial" w:cs="Arial"/>
          <w:u w:val="single"/>
          <w:lang w:val="en-US"/>
        </w:rPr>
        <w:t xml:space="preserve"> sustainable financing for routine immunization</w:t>
      </w:r>
    </w:p>
    <w:p w:rsidR="00680885" w:rsidRDefault="00AE591E" w:rsidP="00CA663B">
      <w:pPr>
        <w:rPr>
          <w:rFonts w:ascii="Arial" w:hAnsi="Arial" w:cs="Arial"/>
          <w:lang w:val="en-US"/>
        </w:rPr>
      </w:pPr>
      <w:r>
        <w:rPr>
          <w:rFonts w:ascii="Arial" w:hAnsi="Arial" w:cs="Arial"/>
          <w:lang w:val="en-US"/>
        </w:rPr>
        <w:t xml:space="preserve">As described above, a lack of funds for operational costs at the local level has been a key bottleneck in improving immunization coverage rates in Nigeria. A major reason for the lack of funds is that such expenditures are not included in the states’ recurrent budgets – which are guaranteed – but are instead often included under </w:t>
      </w:r>
      <w:r w:rsidRPr="00AE591E">
        <w:rPr>
          <w:rFonts w:ascii="Arial" w:hAnsi="Arial" w:cs="Arial"/>
          <w:i/>
          <w:lang w:val="en-US"/>
        </w:rPr>
        <w:t>ad hoc</w:t>
      </w:r>
      <w:r>
        <w:rPr>
          <w:rFonts w:ascii="Arial" w:hAnsi="Arial" w:cs="Arial"/>
          <w:lang w:val="en-US"/>
        </w:rPr>
        <w:t xml:space="preserve">, unprotected budgets. To ensure more adequate funding for routine immunization activities, the Gates Foundation and the local Dangote Foundation have entered into three-year agreements with two Northern states, Kano and Bauchi, which require the states to include all operational costs for routine immunization in their recurrent budgets. Each state has also set up a routine immunization basket into which the state funds are placed, along with contributions from both foundations. </w:t>
      </w:r>
      <w:r>
        <w:rPr>
          <w:rFonts w:ascii="Arial" w:hAnsi="Arial" w:cs="Arial"/>
          <w:lang w:val="en-US"/>
        </w:rPr>
        <w:lastRenderedPageBreak/>
        <w:t>The share of the budget paid by the foundations is 75% in the first year (and includes capital costs for refrigerators to ensure that at least one health facility per ward is able to store vaccines), and 50% in the second year. By year 3, the states will cover all costs. The partners, which also include USAID, are providing technical support under this initiative in microplanning, data management, supportive supervision, M&amp;E and community engagement.</w:t>
      </w:r>
      <w:r>
        <w:rPr>
          <w:rStyle w:val="FootnoteReference"/>
          <w:rFonts w:ascii="Arial" w:hAnsi="Arial" w:cs="Arial"/>
          <w:lang w:val="en-US"/>
        </w:rPr>
        <w:footnoteReference w:id="28"/>
      </w:r>
      <w:r w:rsidR="00680885">
        <w:rPr>
          <w:rFonts w:ascii="Arial" w:hAnsi="Arial" w:cs="Arial"/>
          <w:lang w:val="en-US"/>
        </w:rPr>
        <w:t xml:space="preserve"> The plan is to establish similar agreements and routine immunization basket funding in four additional Northern states.</w:t>
      </w:r>
    </w:p>
    <w:p w:rsidR="00680885" w:rsidRPr="00680885" w:rsidRDefault="00680885" w:rsidP="00CA663B">
      <w:pPr>
        <w:rPr>
          <w:rFonts w:ascii="Arial" w:hAnsi="Arial" w:cs="Arial"/>
          <w:u w:val="single"/>
          <w:lang w:val="en-US"/>
        </w:rPr>
      </w:pPr>
      <w:r w:rsidRPr="00680885">
        <w:rPr>
          <w:rFonts w:ascii="Arial" w:hAnsi="Arial" w:cs="Arial"/>
          <w:u w:val="single"/>
          <w:lang w:val="en-US"/>
        </w:rPr>
        <w:t xml:space="preserve">Development of a single, integrated data management system for immunization program data </w:t>
      </w:r>
    </w:p>
    <w:p w:rsidR="004C322B" w:rsidRDefault="00680885" w:rsidP="00FE5EA1">
      <w:pPr>
        <w:rPr>
          <w:rFonts w:ascii="Arial" w:hAnsi="Arial" w:cs="Arial"/>
          <w:lang w:val="en-US"/>
        </w:rPr>
      </w:pPr>
      <w:r>
        <w:rPr>
          <w:rFonts w:ascii="Arial" w:hAnsi="Arial" w:cs="Arial"/>
          <w:lang w:val="en-US"/>
        </w:rPr>
        <w:t>As mentioned above, there are currently two parallel systems for collecting immunization data – the EPI’s system in the NPHCDA that uses the DV</w:t>
      </w:r>
      <w:r w:rsidR="00FE5EA1">
        <w:rPr>
          <w:rFonts w:ascii="Arial" w:hAnsi="Arial" w:cs="Arial"/>
          <w:lang w:val="en-US"/>
        </w:rPr>
        <w:t>D</w:t>
      </w:r>
      <w:r>
        <w:rPr>
          <w:rFonts w:ascii="Arial" w:hAnsi="Arial" w:cs="Arial"/>
          <w:lang w:val="en-US"/>
        </w:rPr>
        <w:t>-MT platform, and the FMOH’s HMIS, which uses the DHIS2 platform. Each system at present uses different population data and produces different coverage estimates. Partners, including CDC, are assisting the Government to improve the immunization component of the HMIS in the aim of creating a single immunization data management system (the DV</w:t>
      </w:r>
      <w:r w:rsidR="00FE5EA1">
        <w:rPr>
          <w:rFonts w:ascii="Arial" w:hAnsi="Arial" w:cs="Arial"/>
          <w:lang w:val="en-US"/>
        </w:rPr>
        <w:t>D</w:t>
      </w:r>
      <w:r>
        <w:rPr>
          <w:rFonts w:ascii="Arial" w:hAnsi="Arial" w:cs="Arial"/>
          <w:lang w:val="en-US"/>
        </w:rPr>
        <w:t xml:space="preserve">-MT system will be phased out over time). </w:t>
      </w:r>
    </w:p>
    <w:p w:rsidR="004C322B" w:rsidRPr="004C322B" w:rsidRDefault="004C322B" w:rsidP="00CA663B">
      <w:pPr>
        <w:rPr>
          <w:rFonts w:ascii="Arial" w:hAnsi="Arial" w:cs="Arial"/>
          <w:b/>
          <w:lang w:val="en-US"/>
        </w:rPr>
      </w:pPr>
      <w:r w:rsidRPr="004C322B">
        <w:rPr>
          <w:rFonts w:ascii="Arial" w:hAnsi="Arial" w:cs="Arial"/>
          <w:b/>
          <w:lang w:val="en-US"/>
        </w:rPr>
        <w:t>Acknowledgments</w:t>
      </w:r>
    </w:p>
    <w:p w:rsidR="004C322B" w:rsidRDefault="0062336D" w:rsidP="00CA663B">
      <w:pPr>
        <w:rPr>
          <w:rFonts w:ascii="Arial" w:hAnsi="Arial" w:cs="Arial"/>
          <w:lang w:val="en-US"/>
        </w:rPr>
      </w:pPr>
      <w:r>
        <w:rPr>
          <w:rFonts w:ascii="Arial" w:hAnsi="Arial" w:cs="Arial"/>
          <w:lang w:val="en-US"/>
        </w:rPr>
        <w:t>We would like to thank the</w:t>
      </w:r>
      <w:r w:rsidR="004C322B">
        <w:rPr>
          <w:rFonts w:ascii="Arial" w:hAnsi="Arial" w:cs="Arial"/>
          <w:lang w:val="en-US"/>
        </w:rPr>
        <w:t xml:space="preserve"> following people </w:t>
      </w:r>
      <w:r>
        <w:rPr>
          <w:rFonts w:ascii="Arial" w:hAnsi="Arial" w:cs="Arial"/>
          <w:lang w:val="en-US"/>
        </w:rPr>
        <w:t xml:space="preserve">who </w:t>
      </w:r>
      <w:r w:rsidR="004C322B">
        <w:rPr>
          <w:rFonts w:ascii="Arial" w:hAnsi="Arial" w:cs="Arial"/>
          <w:lang w:val="en-US"/>
        </w:rPr>
        <w:t>were interviewed for this report:</w:t>
      </w:r>
    </w:p>
    <w:p w:rsidR="0062336D" w:rsidRDefault="0062336D" w:rsidP="0062336D">
      <w:pPr>
        <w:pStyle w:val="ListParagraph"/>
        <w:numPr>
          <w:ilvl w:val="0"/>
          <w:numId w:val="39"/>
        </w:numPr>
        <w:rPr>
          <w:rFonts w:ascii="Arial" w:hAnsi="Arial" w:cs="Arial"/>
          <w:lang w:val="en-US"/>
        </w:rPr>
      </w:pPr>
      <w:r>
        <w:rPr>
          <w:rFonts w:ascii="Arial" w:hAnsi="Arial" w:cs="Arial"/>
          <w:lang w:val="en-US"/>
        </w:rPr>
        <w:t>Thomas Cherian, WHO headquarters</w:t>
      </w:r>
    </w:p>
    <w:p w:rsidR="0062336D" w:rsidRDefault="0062336D" w:rsidP="0062336D">
      <w:pPr>
        <w:pStyle w:val="ListParagraph"/>
        <w:numPr>
          <w:ilvl w:val="0"/>
          <w:numId w:val="39"/>
        </w:numPr>
        <w:rPr>
          <w:rFonts w:ascii="Arial" w:hAnsi="Arial" w:cs="Arial"/>
          <w:lang w:val="en-US"/>
        </w:rPr>
      </w:pPr>
      <w:r>
        <w:rPr>
          <w:rFonts w:ascii="Arial" w:hAnsi="Arial" w:cs="Arial"/>
          <w:lang w:val="en-US"/>
        </w:rPr>
        <w:t>Rachel Seruyange, immunization officer, WHO/Nigeria country office</w:t>
      </w:r>
    </w:p>
    <w:p w:rsidR="0062336D" w:rsidRDefault="0062336D" w:rsidP="0062336D">
      <w:pPr>
        <w:pStyle w:val="ListParagraph"/>
        <w:numPr>
          <w:ilvl w:val="0"/>
          <w:numId w:val="39"/>
        </w:numPr>
        <w:rPr>
          <w:rFonts w:ascii="Arial" w:hAnsi="Arial" w:cs="Arial"/>
          <w:lang w:val="en-US"/>
        </w:rPr>
      </w:pPr>
      <w:r>
        <w:rPr>
          <w:rFonts w:ascii="Arial" w:hAnsi="Arial" w:cs="Arial"/>
          <w:lang w:val="en-US"/>
        </w:rPr>
        <w:t>Jenny Sequeira, Gates Foundation</w:t>
      </w:r>
    </w:p>
    <w:p w:rsidR="00D83222" w:rsidRPr="00D83222" w:rsidRDefault="00D83222" w:rsidP="00D83222">
      <w:pPr>
        <w:rPr>
          <w:rFonts w:ascii="Arial" w:hAnsi="Arial" w:cs="Arial"/>
          <w:lang w:val="en-US"/>
        </w:rPr>
      </w:pPr>
      <w:r>
        <w:rPr>
          <w:rFonts w:ascii="Arial" w:hAnsi="Arial" w:cs="Arial"/>
          <w:lang w:val="en-US"/>
        </w:rPr>
        <w:t>Rudi Eggers at WHO headquarters also assisted with the review of this report.</w:t>
      </w:r>
    </w:p>
    <w:p w:rsidR="0062336D" w:rsidRPr="0062336D" w:rsidRDefault="0062336D" w:rsidP="0062336D">
      <w:pPr>
        <w:pStyle w:val="ListParagraph"/>
        <w:rPr>
          <w:rFonts w:ascii="Arial" w:hAnsi="Arial" w:cs="Arial"/>
          <w:lang w:val="en-US"/>
        </w:rPr>
      </w:pPr>
      <w:r w:rsidRPr="0062336D">
        <w:rPr>
          <w:rFonts w:ascii="Arial" w:hAnsi="Arial" w:cs="Arial"/>
          <w:lang w:val="en-US"/>
        </w:rPr>
        <w:t xml:space="preserve"> </w:t>
      </w:r>
    </w:p>
    <w:p w:rsidR="0062336D" w:rsidRDefault="0062336D" w:rsidP="0062336D">
      <w:pPr>
        <w:rPr>
          <w:rFonts w:ascii="Arial" w:hAnsi="Arial" w:cs="Arial"/>
          <w:lang w:val="en-US"/>
        </w:rPr>
      </w:pPr>
    </w:p>
    <w:p w:rsidR="00CA663B" w:rsidRPr="0062336D" w:rsidRDefault="00CA663B" w:rsidP="0062336D">
      <w:pPr>
        <w:rPr>
          <w:rFonts w:ascii="Arial" w:hAnsi="Arial" w:cs="Arial"/>
          <w:lang w:val="en-US"/>
        </w:rPr>
      </w:pPr>
      <w:r w:rsidRPr="0062336D">
        <w:rPr>
          <w:rFonts w:ascii="Arial" w:hAnsi="Arial" w:cs="Arial"/>
          <w:lang w:val="en-US"/>
        </w:rPr>
        <w:br w:type="page"/>
      </w:r>
    </w:p>
    <w:p w:rsidR="00EB5F5D" w:rsidRPr="00EA6F8C" w:rsidRDefault="00EB5F5D" w:rsidP="00EB5F5D">
      <w:pPr>
        <w:rPr>
          <w:rFonts w:ascii="Arial" w:hAnsi="Arial" w:cs="Arial"/>
          <w:b/>
          <w:sz w:val="24"/>
          <w:lang w:val="en-US"/>
        </w:rPr>
      </w:pPr>
      <w:r w:rsidRPr="00EA6F8C">
        <w:rPr>
          <w:rFonts w:ascii="Arial" w:hAnsi="Arial" w:cs="Arial"/>
          <w:b/>
          <w:sz w:val="24"/>
          <w:lang w:val="en-US"/>
        </w:rPr>
        <w:lastRenderedPageBreak/>
        <w:t>ANNEXES</w:t>
      </w:r>
    </w:p>
    <w:p w:rsidR="00EB5F5D" w:rsidRPr="00EA6F8C" w:rsidRDefault="00EB5F5D" w:rsidP="00EB5F5D">
      <w:pPr>
        <w:rPr>
          <w:rFonts w:ascii="Arial" w:hAnsi="Arial" w:cs="Arial"/>
          <w:b/>
          <w:sz w:val="24"/>
          <w:lang w:val="en-US"/>
        </w:rPr>
      </w:pPr>
      <w:r w:rsidRPr="00EA6F8C">
        <w:rPr>
          <w:rFonts w:ascii="Arial" w:hAnsi="Arial" w:cs="Arial"/>
          <w:b/>
          <w:sz w:val="24"/>
          <w:lang w:val="en-US"/>
        </w:rPr>
        <w:t>Annex 1: Country immunization profile</w:t>
      </w:r>
    </w:p>
    <w:p w:rsidR="00EB5F5D" w:rsidRPr="00EA6F8C" w:rsidRDefault="00EB5F5D" w:rsidP="00EB5F5D">
      <w:pPr>
        <w:rPr>
          <w:rFonts w:ascii="Arial" w:hAnsi="Arial" w:cs="Arial"/>
          <w:b/>
          <w:sz w:val="24"/>
          <w:lang w:val="en-US"/>
        </w:rPr>
      </w:pPr>
    </w:p>
    <w:p w:rsidR="00EB5F5D" w:rsidRPr="00EA6F8C" w:rsidRDefault="00EB5F5D" w:rsidP="00EB5F5D">
      <w:pPr>
        <w:pStyle w:val="ListParagraph"/>
        <w:numPr>
          <w:ilvl w:val="0"/>
          <w:numId w:val="22"/>
        </w:numPr>
        <w:rPr>
          <w:b/>
          <w:bCs/>
          <w:sz w:val="24"/>
          <w:szCs w:val="24"/>
          <w:lang w:val="en-US"/>
        </w:rPr>
      </w:pPr>
      <w:r w:rsidRPr="00EA6F8C">
        <w:rPr>
          <w:b/>
          <w:bCs/>
          <w:sz w:val="24"/>
          <w:szCs w:val="24"/>
          <w:lang w:val="en-US"/>
        </w:rPr>
        <w:t>General indicators</w:t>
      </w:r>
    </w:p>
    <w:p w:rsidR="00EB5F5D" w:rsidRPr="00EA6F8C" w:rsidRDefault="00EB5F5D" w:rsidP="00EB5F5D">
      <w:pPr>
        <w:pStyle w:val="ListParagraph"/>
        <w:numPr>
          <w:ilvl w:val="0"/>
          <w:numId w:val="23"/>
        </w:numPr>
        <w:rPr>
          <w:bCs/>
          <w:sz w:val="24"/>
          <w:szCs w:val="24"/>
          <w:lang w:val="en-US"/>
        </w:rPr>
      </w:pPr>
      <w:r w:rsidRPr="00EA6F8C">
        <w:rPr>
          <w:bCs/>
          <w:sz w:val="24"/>
          <w:szCs w:val="24"/>
          <w:lang w:val="en-US"/>
        </w:rPr>
        <w:t>GNI (USD): 2</w:t>
      </w:r>
      <w:r w:rsidR="00E9158F">
        <w:rPr>
          <w:bCs/>
          <w:sz w:val="24"/>
          <w:szCs w:val="24"/>
          <w:lang w:val="en-US"/>
        </w:rPr>
        <w:t>,</w:t>
      </w:r>
      <w:r w:rsidRPr="00EA6F8C">
        <w:rPr>
          <w:bCs/>
          <w:sz w:val="24"/>
          <w:szCs w:val="24"/>
          <w:lang w:val="en-US"/>
        </w:rPr>
        <w:t>950</w:t>
      </w:r>
    </w:p>
    <w:p w:rsidR="00EB5F5D" w:rsidRPr="00EA6F8C" w:rsidRDefault="00EB5F5D" w:rsidP="00EB5F5D">
      <w:pPr>
        <w:pStyle w:val="ListParagraph"/>
        <w:numPr>
          <w:ilvl w:val="0"/>
          <w:numId w:val="23"/>
        </w:numPr>
        <w:rPr>
          <w:bCs/>
          <w:sz w:val="24"/>
          <w:szCs w:val="24"/>
          <w:lang w:val="en-US"/>
        </w:rPr>
      </w:pPr>
      <w:r w:rsidRPr="00EA6F8C">
        <w:rPr>
          <w:bCs/>
          <w:sz w:val="24"/>
          <w:szCs w:val="24"/>
          <w:lang w:val="en-US"/>
        </w:rPr>
        <w:t>WB Status: Lower Middle Income</w:t>
      </w:r>
    </w:p>
    <w:p w:rsidR="00EB5F5D" w:rsidRPr="00EA6F8C" w:rsidRDefault="00EB5F5D" w:rsidP="00EB5F5D">
      <w:pPr>
        <w:pStyle w:val="ListParagraph"/>
        <w:numPr>
          <w:ilvl w:val="0"/>
          <w:numId w:val="23"/>
        </w:numPr>
        <w:rPr>
          <w:bCs/>
          <w:sz w:val="24"/>
          <w:szCs w:val="24"/>
          <w:lang w:val="en-US"/>
        </w:rPr>
      </w:pPr>
      <w:r w:rsidRPr="00EA6F8C">
        <w:rPr>
          <w:bCs/>
          <w:sz w:val="24"/>
          <w:szCs w:val="24"/>
          <w:lang w:val="en-US"/>
        </w:rPr>
        <w:t>Infant mortality (&lt;12 M) rate: 69</w:t>
      </w:r>
    </w:p>
    <w:p w:rsidR="00EB5F5D" w:rsidRPr="00EA6F8C" w:rsidRDefault="00EB5F5D" w:rsidP="008B7142">
      <w:pPr>
        <w:pStyle w:val="ListParagraph"/>
        <w:numPr>
          <w:ilvl w:val="0"/>
          <w:numId w:val="23"/>
        </w:numPr>
        <w:rPr>
          <w:bCs/>
          <w:sz w:val="24"/>
          <w:szCs w:val="24"/>
          <w:lang w:val="en-US"/>
        </w:rPr>
      </w:pPr>
      <w:r w:rsidRPr="00EA6F8C">
        <w:rPr>
          <w:bCs/>
          <w:sz w:val="24"/>
          <w:szCs w:val="24"/>
          <w:lang w:val="en-US"/>
        </w:rPr>
        <w:t xml:space="preserve">GAVI Status: </w:t>
      </w:r>
      <w:r w:rsidR="008B7142" w:rsidRPr="00EA6F8C">
        <w:rPr>
          <w:bCs/>
          <w:sz w:val="24"/>
          <w:szCs w:val="24"/>
          <w:lang w:val="en-US"/>
        </w:rPr>
        <w:t>Graduating</w:t>
      </w:r>
    </w:p>
    <w:p w:rsidR="00EB5F5D" w:rsidRPr="00EA6F8C" w:rsidRDefault="00EB5F5D" w:rsidP="00EB5F5D">
      <w:pPr>
        <w:pStyle w:val="ListParagraph"/>
        <w:numPr>
          <w:ilvl w:val="0"/>
          <w:numId w:val="23"/>
        </w:numPr>
        <w:rPr>
          <w:bCs/>
          <w:sz w:val="24"/>
          <w:szCs w:val="24"/>
          <w:lang w:val="en-US"/>
        </w:rPr>
      </w:pPr>
      <w:r w:rsidRPr="00EA6F8C">
        <w:rPr>
          <w:bCs/>
          <w:sz w:val="24"/>
          <w:szCs w:val="24"/>
          <w:lang w:val="en-US"/>
        </w:rPr>
        <w:t>Total Population: 182,202,000</w:t>
      </w:r>
    </w:p>
    <w:p w:rsidR="00EB5F5D" w:rsidRPr="00EA6F8C" w:rsidRDefault="00EB5F5D" w:rsidP="00EB5F5D">
      <w:pPr>
        <w:pStyle w:val="ListParagraph"/>
        <w:numPr>
          <w:ilvl w:val="0"/>
          <w:numId w:val="23"/>
        </w:numPr>
        <w:rPr>
          <w:bCs/>
          <w:sz w:val="24"/>
          <w:szCs w:val="24"/>
          <w:lang w:val="en-US"/>
        </w:rPr>
      </w:pPr>
      <w:r w:rsidRPr="00EA6F8C">
        <w:rPr>
          <w:bCs/>
          <w:sz w:val="24"/>
          <w:szCs w:val="24"/>
          <w:lang w:val="en-US"/>
        </w:rPr>
        <w:t>Birth Cohort: 7,133,000</w:t>
      </w:r>
    </w:p>
    <w:p w:rsidR="00EB5F5D" w:rsidRPr="00EA6F8C" w:rsidRDefault="00EB5F5D" w:rsidP="00EB5F5D">
      <w:pPr>
        <w:pStyle w:val="ListParagraph"/>
        <w:numPr>
          <w:ilvl w:val="0"/>
          <w:numId w:val="23"/>
        </w:numPr>
        <w:rPr>
          <w:bCs/>
          <w:sz w:val="24"/>
          <w:szCs w:val="24"/>
          <w:lang w:val="en-US"/>
        </w:rPr>
      </w:pPr>
      <w:r w:rsidRPr="00EA6F8C">
        <w:rPr>
          <w:bCs/>
          <w:sz w:val="24"/>
          <w:szCs w:val="24"/>
          <w:lang w:val="en-US"/>
        </w:rPr>
        <w:t>Surviving Infants: 6,622,000</w:t>
      </w:r>
    </w:p>
    <w:p w:rsidR="00EB5F5D" w:rsidRPr="00EA6F8C" w:rsidRDefault="00EB5F5D" w:rsidP="00E9158F">
      <w:pPr>
        <w:spacing w:after="0"/>
        <w:rPr>
          <w:b/>
          <w:bCs/>
          <w:sz w:val="32"/>
          <w:szCs w:val="32"/>
          <w:lang w:val="en-US"/>
        </w:rPr>
      </w:pPr>
    </w:p>
    <w:p w:rsidR="00EB5F5D" w:rsidRPr="00EA6F8C" w:rsidRDefault="00EB5F5D" w:rsidP="00EB5F5D">
      <w:pPr>
        <w:pStyle w:val="ListParagraph"/>
        <w:numPr>
          <w:ilvl w:val="0"/>
          <w:numId w:val="22"/>
        </w:numPr>
        <w:rPr>
          <w:b/>
          <w:bCs/>
          <w:sz w:val="24"/>
          <w:szCs w:val="24"/>
          <w:lang w:val="en-US"/>
        </w:rPr>
      </w:pPr>
      <w:r w:rsidRPr="00EA6F8C">
        <w:rPr>
          <w:b/>
          <w:bCs/>
          <w:sz w:val="24"/>
          <w:szCs w:val="24"/>
          <w:lang w:val="en-US"/>
        </w:rPr>
        <w:t>Polio</w:t>
      </w:r>
    </w:p>
    <w:p w:rsidR="00EB5F5D" w:rsidRPr="000D74F9" w:rsidRDefault="00EB5F5D" w:rsidP="00EB5F5D">
      <w:pPr>
        <w:pStyle w:val="ListParagraph"/>
        <w:numPr>
          <w:ilvl w:val="0"/>
          <w:numId w:val="24"/>
        </w:numPr>
        <w:rPr>
          <w:bCs/>
          <w:sz w:val="24"/>
          <w:szCs w:val="24"/>
          <w:lang w:val="en-US"/>
        </w:rPr>
      </w:pPr>
      <w:r w:rsidRPr="000D74F9">
        <w:rPr>
          <w:bCs/>
          <w:sz w:val="24"/>
          <w:szCs w:val="24"/>
          <w:lang w:val="en-US"/>
        </w:rPr>
        <w:t>Transmission stopped in</w:t>
      </w:r>
      <w:r w:rsidR="00E9158F" w:rsidRPr="000D74F9">
        <w:rPr>
          <w:bCs/>
          <w:sz w:val="24"/>
          <w:szCs w:val="24"/>
          <w:lang w:val="en-US"/>
        </w:rPr>
        <w:t xml:space="preserve"> 2014, but new </w:t>
      </w:r>
      <w:r w:rsidR="000D74F9">
        <w:rPr>
          <w:bCs/>
          <w:sz w:val="24"/>
          <w:szCs w:val="24"/>
          <w:lang w:val="en-US"/>
        </w:rPr>
        <w:t xml:space="preserve">WPV </w:t>
      </w:r>
      <w:r w:rsidR="00E9158F" w:rsidRPr="000D74F9">
        <w:rPr>
          <w:bCs/>
          <w:sz w:val="24"/>
          <w:szCs w:val="24"/>
          <w:lang w:val="en-US"/>
        </w:rPr>
        <w:t xml:space="preserve">cases have been detected in </w:t>
      </w:r>
      <w:r w:rsidR="000D74F9">
        <w:rPr>
          <w:bCs/>
          <w:sz w:val="24"/>
          <w:szCs w:val="24"/>
          <w:lang w:val="en-US"/>
        </w:rPr>
        <w:t xml:space="preserve">August </w:t>
      </w:r>
      <w:r w:rsidR="00E9158F" w:rsidRPr="000D74F9">
        <w:rPr>
          <w:bCs/>
          <w:sz w:val="24"/>
          <w:szCs w:val="24"/>
          <w:lang w:val="en-US"/>
        </w:rPr>
        <w:t>2016.</w:t>
      </w:r>
    </w:p>
    <w:p w:rsidR="00EB5F5D" w:rsidRPr="000D74F9" w:rsidRDefault="00EB5F5D" w:rsidP="00EB5F5D">
      <w:pPr>
        <w:pStyle w:val="ListParagraph"/>
        <w:numPr>
          <w:ilvl w:val="0"/>
          <w:numId w:val="24"/>
        </w:numPr>
        <w:rPr>
          <w:bCs/>
          <w:sz w:val="24"/>
          <w:szCs w:val="24"/>
          <w:lang w:val="en-US"/>
        </w:rPr>
      </w:pPr>
      <w:r w:rsidRPr="000D74F9">
        <w:rPr>
          <w:bCs/>
          <w:sz w:val="24"/>
          <w:szCs w:val="24"/>
          <w:lang w:val="en-US"/>
        </w:rPr>
        <w:t>Eradication certified</w:t>
      </w:r>
      <w:r w:rsidR="00E9158F" w:rsidRPr="000D74F9">
        <w:rPr>
          <w:bCs/>
          <w:sz w:val="24"/>
          <w:szCs w:val="24"/>
          <w:lang w:val="en-US"/>
        </w:rPr>
        <w:t xml:space="preserve"> (not yet).</w:t>
      </w:r>
    </w:p>
    <w:p w:rsidR="00EB5F5D" w:rsidRPr="00EA6F8C" w:rsidRDefault="00EB5F5D" w:rsidP="00EB5F5D">
      <w:pPr>
        <w:pStyle w:val="ListParagraph"/>
        <w:ind w:left="1080"/>
        <w:rPr>
          <w:b/>
          <w:bCs/>
          <w:sz w:val="24"/>
          <w:szCs w:val="24"/>
          <w:lang w:val="en-US"/>
        </w:rPr>
      </w:pPr>
    </w:p>
    <w:p w:rsidR="00EB5F5D" w:rsidRDefault="00EB5F5D" w:rsidP="00EB5F5D">
      <w:pPr>
        <w:pStyle w:val="ListParagraph"/>
        <w:numPr>
          <w:ilvl w:val="0"/>
          <w:numId w:val="22"/>
        </w:numPr>
        <w:rPr>
          <w:b/>
          <w:bCs/>
          <w:sz w:val="24"/>
          <w:szCs w:val="24"/>
          <w:lang w:val="en-US"/>
        </w:rPr>
      </w:pPr>
      <w:r w:rsidRPr="00EA6F8C">
        <w:rPr>
          <w:b/>
          <w:bCs/>
          <w:sz w:val="24"/>
          <w:szCs w:val="24"/>
          <w:lang w:val="en-US"/>
        </w:rPr>
        <w:t>Measles and rubella</w:t>
      </w:r>
    </w:p>
    <w:p w:rsidR="000D74F9" w:rsidRPr="000D74F9" w:rsidRDefault="000D74F9" w:rsidP="000D74F9">
      <w:pPr>
        <w:pStyle w:val="Caption"/>
        <w:rPr>
          <w:rFonts w:ascii="Arial" w:hAnsi="Arial" w:cs="Arial"/>
          <w:color w:val="auto"/>
          <w:sz w:val="22"/>
          <w:szCs w:val="22"/>
          <w:lang w:val="en-US"/>
        </w:rPr>
      </w:pPr>
      <w:r w:rsidRPr="000D74F9">
        <w:rPr>
          <w:rFonts w:ascii="Arial" w:hAnsi="Arial" w:cs="Arial"/>
          <w:color w:val="auto"/>
          <w:sz w:val="22"/>
          <w:szCs w:val="22"/>
        </w:rPr>
        <w:t xml:space="preserve">Figure </w:t>
      </w:r>
      <w:r w:rsidRPr="000D74F9">
        <w:rPr>
          <w:rFonts w:ascii="Arial" w:hAnsi="Arial" w:cs="Arial"/>
          <w:color w:val="auto"/>
          <w:sz w:val="22"/>
          <w:szCs w:val="22"/>
        </w:rPr>
        <w:fldChar w:fldCharType="begin"/>
      </w:r>
      <w:r w:rsidRPr="000D74F9">
        <w:rPr>
          <w:rFonts w:ascii="Arial" w:hAnsi="Arial" w:cs="Arial"/>
          <w:color w:val="auto"/>
          <w:sz w:val="22"/>
          <w:szCs w:val="22"/>
        </w:rPr>
        <w:instrText xml:space="preserve"> SEQ Figure \* ARABIC </w:instrText>
      </w:r>
      <w:r w:rsidRPr="000D74F9">
        <w:rPr>
          <w:rFonts w:ascii="Arial" w:hAnsi="Arial" w:cs="Arial"/>
          <w:color w:val="auto"/>
          <w:sz w:val="22"/>
          <w:szCs w:val="22"/>
        </w:rPr>
        <w:fldChar w:fldCharType="separate"/>
      </w:r>
      <w:r w:rsidR="00D91889">
        <w:rPr>
          <w:rFonts w:ascii="Arial" w:hAnsi="Arial" w:cs="Arial"/>
          <w:noProof/>
          <w:color w:val="auto"/>
          <w:sz w:val="22"/>
          <w:szCs w:val="22"/>
        </w:rPr>
        <w:t>4</w:t>
      </w:r>
      <w:r w:rsidRPr="000D74F9">
        <w:rPr>
          <w:rFonts w:ascii="Arial" w:hAnsi="Arial" w:cs="Arial"/>
          <w:color w:val="auto"/>
          <w:sz w:val="22"/>
          <w:szCs w:val="22"/>
        </w:rPr>
        <w:fldChar w:fldCharType="end"/>
      </w:r>
      <w:r w:rsidRPr="000D74F9">
        <w:rPr>
          <w:rFonts w:ascii="Arial" w:hAnsi="Arial" w:cs="Arial"/>
          <w:color w:val="auto"/>
          <w:sz w:val="22"/>
          <w:szCs w:val="22"/>
        </w:rPr>
        <w:t>: reported measles cases and MCV1 coverage, Nigeria, 1990-2015</w:t>
      </w:r>
    </w:p>
    <w:p w:rsidR="00EB5F5D" w:rsidRPr="00EA6F8C" w:rsidRDefault="00D952F2" w:rsidP="00EB5F5D">
      <w:pPr>
        <w:rPr>
          <w:b/>
          <w:bCs/>
          <w:sz w:val="32"/>
          <w:szCs w:val="32"/>
          <w:lang w:val="en-US"/>
        </w:rPr>
      </w:pPr>
      <w:r w:rsidRPr="00EA6F8C">
        <w:rPr>
          <w:noProof/>
          <w:lang w:eastAsia="zh-CN"/>
        </w:rPr>
        <w:drawing>
          <wp:inline distT="0" distB="0" distL="0" distR="0" wp14:anchorId="2877A1E8" wp14:editId="3F10CF60">
            <wp:extent cx="5724525" cy="3219450"/>
            <wp:effectExtent l="0" t="0" r="9525" b="0"/>
            <wp:docPr id="8" name="Picture 8" descr="Y:\GVAP\Priority_countries\NGAMCV1_MCV2_MEAS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Y:\GVAP\Priority_countries\NGAMCV1_MCV2_MEASLE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rsidR="00E9158F" w:rsidRDefault="00E9158F" w:rsidP="00D952F2">
      <w:pPr>
        <w:rPr>
          <w:b/>
          <w:lang w:val="en-US"/>
        </w:rPr>
      </w:pPr>
    </w:p>
    <w:p w:rsidR="00E9158F" w:rsidRDefault="00E9158F" w:rsidP="00D952F2">
      <w:pPr>
        <w:rPr>
          <w:b/>
          <w:lang w:val="en-US"/>
        </w:rPr>
      </w:pPr>
    </w:p>
    <w:p w:rsidR="00E9158F" w:rsidRDefault="00E9158F" w:rsidP="00D952F2">
      <w:pPr>
        <w:rPr>
          <w:b/>
          <w:lang w:val="en-US"/>
        </w:rPr>
      </w:pPr>
    </w:p>
    <w:p w:rsidR="00D952F2" w:rsidRPr="00D91889" w:rsidRDefault="00D91889" w:rsidP="00D91889">
      <w:pPr>
        <w:pStyle w:val="Caption"/>
        <w:rPr>
          <w:rFonts w:ascii="Arial" w:hAnsi="Arial" w:cs="Arial"/>
          <w:color w:val="auto"/>
          <w:sz w:val="22"/>
          <w:szCs w:val="22"/>
        </w:rPr>
      </w:pPr>
      <w:r w:rsidRPr="00D91889">
        <w:rPr>
          <w:rFonts w:ascii="Arial" w:hAnsi="Arial" w:cs="Arial"/>
          <w:color w:val="auto"/>
          <w:sz w:val="22"/>
          <w:szCs w:val="22"/>
        </w:rPr>
        <w:t xml:space="preserve">Table </w:t>
      </w:r>
      <w:r w:rsidRPr="00D91889">
        <w:rPr>
          <w:rFonts w:ascii="Arial" w:hAnsi="Arial" w:cs="Arial"/>
          <w:color w:val="auto"/>
          <w:sz w:val="22"/>
          <w:szCs w:val="22"/>
        </w:rPr>
        <w:fldChar w:fldCharType="begin"/>
      </w:r>
      <w:r w:rsidRPr="00D91889">
        <w:rPr>
          <w:rFonts w:ascii="Arial" w:hAnsi="Arial" w:cs="Arial"/>
          <w:color w:val="auto"/>
          <w:sz w:val="22"/>
          <w:szCs w:val="22"/>
        </w:rPr>
        <w:instrText xml:space="preserve"> SEQ Table \* ARABIC </w:instrText>
      </w:r>
      <w:r w:rsidRPr="00D91889">
        <w:rPr>
          <w:rFonts w:ascii="Arial" w:hAnsi="Arial" w:cs="Arial"/>
          <w:color w:val="auto"/>
          <w:sz w:val="22"/>
          <w:szCs w:val="22"/>
        </w:rPr>
        <w:fldChar w:fldCharType="separate"/>
      </w:r>
      <w:r w:rsidRPr="00D91889">
        <w:rPr>
          <w:rFonts w:ascii="Arial" w:hAnsi="Arial" w:cs="Arial"/>
          <w:color w:val="auto"/>
          <w:sz w:val="22"/>
          <w:szCs w:val="22"/>
        </w:rPr>
        <w:t>1</w:t>
      </w:r>
      <w:r w:rsidRPr="00D91889">
        <w:rPr>
          <w:rFonts w:ascii="Arial" w:hAnsi="Arial" w:cs="Arial"/>
          <w:color w:val="auto"/>
          <w:sz w:val="22"/>
          <w:szCs w:val="22"/>
        </w:rPr>
        <w:fldChar w:fldCharType="end"/>
      </w:r>
      <w:r w:rsidRPr="00D91889">
        <w:rPr>
          <w:rFonts w:ascii="Arial" w:hAnsi="Arial" w:cs="Arial"/>
          <w:color w:val="auto"/>
          <w:sz w:val="22"/>
          <w:szCs w:val="22"/>
        </w:rPr>
        <w:t xml:space="preserve">: </w:t>
      </w:r>
      <w:r w:rsidR="00EB5F5D" w:rsidRPr="00D91889">
        <w:rPr>
          <w:rFonts w:ascii="Arial" w:hAnsi="Arial" w:cs="Arial"/>
          <w:color w:val="auto"/>
          <w:sz w:val="22"/>
          <w:szCs w:val="22"/>
        </w:rPr>
        <w:t>SIA activities planned in 2016-2017</w:t>
      </w:r>
    </w:p>
    <w:tbl>
      <w:tblPr>
        <w:tblStyle w:val="TableGrid"/>
        <w:tblW w:w="9900" w:type="dxa"/>
        <w:tblInd w:w="-252" w:type="dxa"/>
        <w:tblLook w:val="04A0" w:firstRow="1" w:lastRow="0" w:firstColumn="1" w:lastColumn="0" w:noHBand="0" w:noVBand="1"/>
      </w:tblPr>
      <w:tblGrid>
        <w:gridCol w:w="1003"/>
        <w:gridCol w:w="1254"/>
        <w:gridCol w:w="757"/>
        <w:gridCol w:w="1194"/>
        <w:gridCol w:w="1209"/>
        <w:gridCol w:w="1167"/>
        <w:gridCol w:w="962"/>
        <w:gridCol w:w="1017"/>
        <w:gridCol w:w="1412"/>
      </w:tblGrid>
      <w:tr w:rsidR="00D952F2" w:rsidRPr="00E9158F" w:rsidTr="00E9158F">
        <w:trPr>
          <w:trHeight w:val="255"/>
        </w:trPr>
        <w:tc>
          <w:tcPr>
            <w:tcW w:w="1003" w:type="dxa"/>
            <w:noWrap/>
            <w:hideMark/>
          </w:tcPr>
          <w:p w:rsidR="00D952F2" w:rsidRPr="00E9158F" w:rsidRDefault="00D952F2" w:rsidP="00E9158F">
            <w:pPr>
              <w:jc w:val="center"/>
              <w:rPr>
                <w:b/>
                <w:sz w:val="20"/>
                <w:szCs w:val="20"/>
                <w:lang w:val="en-US"/>
              </w:rPr>
            </w:pPr>
            <w:r w:rsidRPr="00E9158F">
              <w:rPr>
                <w:b/>
                <w:sz w:val="20"/>
                <w:szCs w:val="20"/>
                <w:lang w:val="en-US"/>
              </w:rPr>
              <w:t>Activity</w:t>
            </w:r>
          </w:p>
        </w:tc>
        <w:tc>
          <w:tcPr>
            <w:tcW w:w="1200" w:type="dxa"/>
            <w:noWrap/>
            <w:hideMark/>
          </w:tcPr>
          <w:p w:rsidR="00D952F2" w:rsidRPr="00E9158F" w:rsidRDefault="00D952F2" w:rsidP="00E9158F">
            <w:pPr>
              <w:jc w:val="center"/>
              <w:rPr>
                <w:b/>
                <w:sz w:val="20"/>
                <w:szCs w:val="20"/>
                <w:lang w:val="en-US"/>
              </w:rPr>
            </w:pPr>
            <w:r w:rsidRPr="00E9158F">
              <w:rPr>
                <w:b/>
                <w:sz w:val="20"/>
                <w:szCs w:val="20"/>
                <w:lang w:val="en-US"/>
              </w:rPr>
              <w:t>Intervention</w:t>
            </w:r>
          </w:p>
        </w:tc>
        <w:tc>
          <w:tcPr>
            <w:tcW w:w="757" w:type="dxa"/>
            <w:noWrap/>
            <w:hideMark/>
          </w:tcPr>
          <w:p w:rsidR="00D952F2" w:rsidRPr="00E9158F" w:rsidRDefault="00D952F2" w:rsidP="00E9158F">
            <w:pPr>
              <w:jc w:val="center"/>
              <w:rPr>
                <w:b/>
                <w:sz w:val="20"/>
                <w:szCs w:val="20"/>
                <w:lang w:val="en-US"/>
              </w:rPr>
            </w:pPr>
            <w:r w:rsidRPr="00E9158F">
              <w:rPr>
                <w:b/>
                <w:sz w:val="20"/>
                <w:szCs w:val="20"/>
                <w:lang w:val="en-US"/>
              </w:rPr>
              <w:t>Year</w:t>
            </w:r>
          </w:p>
        </w:tc>
        <w:tc>
          <w:tcPr>
            <w:tcW w:w="1194" w:type="dxa"/>
            <w:noWrap/>
            <w:hideMark/>
          </w:tcPr>
          <w:p w:rsidR="00D952F2" w:rsidRPr="00E9158F" w:rsidRDefault="00D952F2" w:rsidP="00E9158F">
            <w:pPr>
              <w:jc w:val="center"/>
              <w:rPr>
                <w:b/>
                <w:sz w:val="20"/>
                <w:szCs w:val="20"/>
                <w:lang w:val="en-US"/>
              </w:rPr>
            </w:pPr>
            <w:r w:rsidRPr="00E9158F">
              <w:rPr>
                <w:b/>
                <w:sz w:val="20"/>
                <w:szCs w:val="20"/>
                <w:lang w:val="en-US"/>
              </w:rPr>
              <w:t>Start</w:t>
            </w:r>
            <w:r w:rsidR="00E9158F" w:rsidRPr="00E9158F">
              <w:rPr>
                <w:b/>
                <w:sz w:val="20"/>
                <w:szCs w:val="20"/>
                <w:lang w:val="en-US"/>
              </w:rPr>
              <w:t xml:space="preserve"> </w:t>
            </w:r>
            <w:r w:rsidRPr="00E9158F">
              <w:rPr>
                <w:b/>
                <w:sz w:val="20"/>
                <w:szCs w:val="20"/>
                <w:lang w:val="en-US"/>
              </w:rPr>
              <w:t>Date</w:t>
            </w:r>
          </w:p>
        </w:tc>
        <w:tc>
          <w:tcPr>
            <w:tcW w:w="1209" w:type="dxa"/>
            <w:noWrap/>
            <w:hideMark/>
          </w:tcPr>
          <w:p w:rsidR="00D952F2" w:rsidRPr="00E9158F" w:rsidRDefault="00D952F2" w:rsidP="00E9158F">
            <w:pPr>
              <w:jc w:val="center"/>
              <w:rPr>
                <w:b/>
                <w:sz w:val="20"/>
                <w:szCs w:val="20"/>
                <w:lang w:val="en-US"/>
              </w:rPr>
            </w:pPr>
            <w:r w:rsidRPr="00E9158F">
              <w:rPr>
                <w:b/>
                <w:sz w:val="20"/>
                <w:szCs w:val="20"/>
                <w:lang w:val="en-US"/>
              </w:rPr>
              <w:t>End</w:t>
            </w:r>
            <w:r w:rsidR="00E9158F" w:rsidRPr="00E9158F">
              <w:rPr>
                <w:b/>
                <w:sz w:val="20"/>
                <w:szCs w:val="20"/>
                <w:lang w:val="en-US"/>
              </w:rPr>
              <w:t xml:space="preserve"> </w:t>
            </w:r>
            <w:r w:rsidRPr="00E9158F">
              <w:rPr>
                <w:b/>
                <w:sz w:val="20"/>
                <w:szCs w:val="20"/>
                <w:lang w:val="en-US"/>
              </w:rPr>
              <w:t>Date</w:t>
            </w:r>
          </w:p>
        </w:tc>
        <w:tc>
          <w:tcPr>
            <w:tcW w:w="1167" w:type="dxa"/>
            <w:noWrap/>
            <w:hideMark/>
          </w:tcPr>
          <w:p w:rsidR="00D952F2" w:rsidRPr="00E9158F" w:rsidRDefault="00D952F2" w:rsidP="00E9158F">
            <w:pPr>
              <w:jc w:val="center"/>
              <w:rPr>
                <w:b/>
                <w:sz w:val="20"/>
                <w:szCs w:val="20"/>
                <w:lang w:val="en-US"/>
              </w:rPr>
            </w:pPr>
            <w:r w:rsidRPr="00E9158F">
              <w:rPr>
                <w:b/>
                <w:sz w:val="20"/>
                <w:szCs w:val="20"/>
                <w:lang w:val="en-US"/>
              </w:rPr>
              <w:t>Age</w:t>
            </w:r>
            <w:r w:rsidR="00E9158F" w:rsidRPr="00E9158F">
              <w:rPr>
                <w:b/>
                <w:sz w:val="20"/>
                <w:szCs w:val="20"/>
                <w:lang w:val="en-US"/>
              </w:rPr>
              <w:t xml:space="preserve"> </w:t>
            </w:r>
            <w:r w:rsidRPr="00E9158F">
              <w:rPr>
                <w:b/>
                <w:sz w:val="20"/>
                <w:szCs w:val="20"/>
                <w:lang w:val="en-US"/>
              </w:rPr>
              <w:t>Group</w:t>
            </w:r>
          </w:p>
        </w:tc>
        <w:tc>
          <w:tcPr>
            <w:tcW w:w="962" w:type="dxa"/>
            <w:noWrap/>
            <w:hideMark/>
          </w:tcPr>
          <w:p w:rsidR="00D952F2" w:rsidRPr="00E9158F" w:rsidRDefault="00D952F2" w:rsidP="00E9158F">
            <w:pPr>
              <w:jc w:val="center"/>
              <w:rPr>
                <w:b/>
                <w:sz w:val="20"/>
                <w:szCs w:val="20"/>
                <w:lang w:val="en-US"/>
              </w:rPr>
            </w:pPr>
            <w:r w:rsidRPr="00E9158F">
              <w:rPr>
                <w:b/>
                <w:sz w:val="20"/>
                <w:szCs w:val="20"/>
                <w:lang w:val="en-US"/>
              </w:rPr>
              <w:t>Extent</w:t>
            </w:r>
          </w:p>
        </w:tc>
        <w:tc>
          <w:tcPr>
            <w:tcW w:w="996" w:type="dxa"/>
            <w:noWrap/>
            <w:hideMark/>
          </w:tcPr>
          <w:p w:rsidR="00D952F2" w:rsidRPr="00E9158F" w:rsidRDefault="00D952F2" w:rsidP="00E9158F">
            <w:pPr>
              <w:jc w:val="center"/>
              <w:rPr>
                <w:b/>
                <w:sz w:val="20"/>
                <w:szCs w:val="20"/>
                <w:lang w:val="en-US"/>
              </w:rPr>
            </w:pPr>
            <w:r w:rsidRPr="00E9158F">
              <w:rPr>
                <w:b/>
                <w:sz w:val="20"/>
                <w:szCs w:val="20"/>
                <w:lang w:val="en-US"/>
              </w:rPr>
              <w:t>Status</w:t>
            </w:r>
          </w:p>
        </w:tc>
        <w:tc>
          <w:tcPr>
            <w:tcW w:w="1412" w:type="dxa"/>
            <w:noWrap/>
            <w:hideMark/>
          </w:tcPr>
          <w:p w:rsidR="00D952F2" w:rsidRPr="00E9158F" w:rsidRDefault="00D952F2" w:rsidP="00E9158F">
            <w:pPr>
              <w:jc w:val="center"/>
              <w:rPr>
                <w:b/>
                <w:sz w:val="20"/>
                <w:szCs w:val="20"/>
                <w:lang w:val="en-US"/>
              </w:rPr>
            </w:pPr>
            <w:r w:rsidRPr="00E9158F">
              <w:rPr>
                <w:b/>
                <w:sz w:val="20"/>
                <w:szCs w:val="20"/>
                <w:lang w:val="en-US"/>
              </w:rPr>
              <w:t>Target</w:t>
            </w:r>
          </w:p>
        </w:tc>
      </w:tr>
      <w:tr w:rsidR="00D952F2" w:rsidRPr="00E9158F" w:rsidTr="00E9158F">
        <w:trPr>
          <w:trHeight w:val="255"/>
        </w:trPr>
        <w:tc>
          <w:tcPr>
            <w:tcW w:w="1003" w:type="dxa"/>
            <w:noWrap/>
            <w:hideMark/>
          </w:tcPr>
          <w:p w:rsidR="00D952F2" w:rsidRPr="00E9158F" w:rsidRDefault="00D952F2" w:rsidP="00D952F2">
            <w:pPr>
              <w:rPr>
                <w:sz w:val="20"/>
                <w:szCs w:val="20"/>
                <w:lang w:val="en-US"/>
              </w:rPr>
            </w:pPr>
            <w:r w:rsidRPr="00E9158F">
              <w:rPr>
                <w:sz w:val="20"/>
                <w:szCs w:val="20"/>
                <w:lang w:val="en-US"/>
              </w:rPr>
              <w:t>Catch</w:t>
            </w:r>
            <w:r w:rsidR="00E9158F">
              <w:rPr>
                <w:sz w:val="20"/>
                <w:szCs w:val="20"/>
                <w:lang w:val="en-US"/>
              </w:rPr>
              <w:t xml:space="preserve"> </w:t>
            </w:r>
            <w:r w:rsidRPr="00E9158F">
              <w:rPr>
                <w:sz w:val="20"/>
                <w:szCs w:val="20"/>
                <w:lang w:val="en-US"/>
              </w:rPr>
              <w:t>Up</w:t>
            </w:r>
          </w:p>
        </w:tc>
        <w:tc>
          <w:tcPr>
            <w:tcW w:w="1200" w:type="dxa"/>
            <w:noWrap/>
            <w:hideMark/>
          </w:tcPr>
          <w:p w:rsidR="00D952F2" w:rsidRPr="00E9158F" w:rsidRDefault="00D952F2" w:rsidP="00D952F2">
            <w:pPr>
              <w:rPr>
                <w:sz w:val="20"/>
                <w:szCs w:val="20"/>
                <w:lang w:val="en-US"/>
              </w:rPr>
            </w:pPr>
            <w:r w:rsidRPr="00E9158F">
              <w:rPr>
                <w:sz w:val="20"/>
                <w:szCs w:val="20"/>
                <w:lang w:val="en-US"/>
              </w:rPr>
              <w:t>MR</w:t>
            </w:r>
          </w:p>
        </w:tc>
        <w:tc>
          <w:tcPr>
            <w:tcW w:w="757" w:type="dxa"/>
            <w:noWrap/>
            <w:hideMark/>
          </w:tcPr>
          <w:p w:rsidR="00D952F2" w:rsidRPr="00E9158F" w:rsidRDefault="00D952F2" w:rsidP="00D952F2">
            <w:pPr>
              <w:rPr>
                <w:sz w:val="20"/>
                <w:szCs w:val="20"/>
                <w:lang w:val="en-US"/>
              </w:rPr>
            </w:pPr>
            <w:r w:rsidRPr="00E9158F">
              <w:rPr>
                <w:sz w:val="20"/>
                <w:szCs w:val="20"/>
                <w:lang w:val="en-US"/>
              </w:rPr>
              <w:t>2017</w:t>
            </w:r>
          </w:p>
        </w:tc>
        <w:tc>
          <w:tcPr>
            <w:tcW w:w="1194" w:type="dxa"/>
            <w:noWrap/>
            <w:hideMark/>
          </w:tcPr>
          <w:p w:rsidR="00D952F2" w:rsidRPr="00E9158F" w:rsidRDefault="00D952F2" w:rsidP="00D952F2">
            <w:pPr>
              <w:rPr>
                <w:sz w:val="20"/>
                <w:szCs w:val="20"/>
                <w:lang w:val="en-US"/>
              </w:rPr>
            </w:pPr>
            <w:r w:rsidRPr="00E9158F">
              <w:rPr>
                <w:sz w:val="20"/>
                <w:szCs w:val="20"/>
                <w:lang w:val="en-US"/>
              </w:rPr>
              <w:t>29/02/1904</w:t>
            </w:r>
          </w:p>
        </w:tc>
        <w:tc>
          <w:tcPr>
            <w:tcW w:w="1209" w:type="dxa"/>
            <w:noWrap/>
            <w:hideMark/>
          </w:tcPr>
          <w:p w:rsidR="00D952F2" w:rsidRPr="00E9158F" w:rsidRDefault="00D952F2" w:rsidP="00D952F2">
            <w:pPr>
              <w:rPr>
                <w:sz w:val="20"/>
                <w:szCs w:val="20"/>
                <w:lang w:val="en-US"/>
              </w:rPr>
            </w:pPr>
          </w:p>
        </w:tc>
        <w:tc>
          <w:tcPr>
            <w:tcW w:w="1167" w:type="dxa"/>
            <w:noWrap/>
            <w:hideMark/>
          </w:tcPr>
          <w:p w:rsidR="00D952F2" w:rsidRPr="00E9158F" w:rsidRDefault="00D952F2" w:rsidP="00D952F2">
            <w:pPr>
              <w:rPr>
                <w:sz w:val="20"/>
                <w:szCs w:val="20"/>
                <w:lang w:val="en-US"/>
              </w:rPr>
            </w:pPr>
            <w:r w:rsidRPr="00E9158F">
              <w:rPr>
                <w:sz w:val="20"/>
                <w:szCs w:val="20"/>
                <w:lang w:val="en-US"/>
              </w:rPr>
              <w:t>9 M-14 Y</w:t>
            </w:r>
          </w:p>
        </w:tc>
        <w:tc>
          <w:tcPr>
            <w:tcW w:w="962" w:type="dxa"/>
            <w:noWrap/>
            <w:hideMark/>
          </w:tcPr>
          <w:p w:rsidR="00D952F2" w:rsidRPr="00E9158F" w:rsidRDefault="00D952F2" w:rsidP="00D952F2">
            <w:pPr>
              <w:rPr>
                <w:sz w:val="20"/>
                <w:szCs w:val="20"/>
                <w:lang w:val="en-US"/>
              </w:rPr>
            </w:pPr>
            <w:r w:rsidRPr="00E9158F">
              <w:rPr>
                <w:sz w:val="20"/>
                <w:szCs w:val="20"/>
                <w:lang w:val="en-US"/>
              </w:rPr>
              <w:t>National</w:t>
            </w:r>
          </w:p>
        </w:tc>
        <w:tc>
          <w:tcPr>
            <w:tcW w:w="996" w:type="dxa"/>
            <w:noWrap/>
            <w:hideMark/>
          </w:tcPr>
          <w:p w:rsidR="00D952F2" w:rsidRPr="00E9158F" w:rsidRDefault="00D952F2" w:rsidP="00D952F2">
            <w:pPr>
              <w:rPr>
                <w:sz w:val="20"/>
                <w:szCs w:val="20"/>
                <w:lang w:val="en-US"/>
              </w:rPr>
            </w:pPr>
            <w:r w:rsidRPr="00E9158F">
              <w:rPr>
                <w:sz w:val="20"/>
                <w:szCs w:val="20"/>
                <w:lang w:val="en-US"/>
              </w:rPr>
              <w:t>Uncertain</w:t>
            </w:r>
          </w:p>
        </w:tc>
        <w:tc>
          <w:tcPr>
            <w:tcW w:w="1412" w:type="dxa"/>
            <w:noWrap/>
            <w:hideMark/>
          </w:tcPr>
          <w:p w:rsidR="00D952F2" w:rsidRPr="00E9158F" w:rsidRDefault="00D952F2" w:rsidP="00D952F2">
            <w:pPr>
              <w:rPr>
                <w:sz w:val="20"/>
                <w:szCs w:val="20"/>
                <w:lang w:val="en-US"/>
              </w:rPr>
            </w:pPr>
            <w:r w:rsidRPr="00E9158F">
              <w:rPr>
                <w:sz w:val="20"/>
                <w:szCs w:val="20"/>
                <w:lang w:val="en-US"/>
              </w:rPr>
              <w:t>8</w:t>
            </w:r>
            <w:r w:rsidR="00E9158F">
              <w:rPr>
                <w:sz w:val="20"/>
                <w:szCs w:val="20"/>
                <w:lang w:val="en-US"/>
              </w:rPr>
              <w:t>,</w:t>
            </w:r>
            <w:r w:rsidRPr="00E9158F">
              <w:rPr>
                <w:sz w:val="20"/>
                <w:szCs w:val="20"/>
                <w:lang w:val="en-US"/>
              </w:rPr>
              <w:t>0447</w:t>
            </w:r>
            <w:r w:rsidR="00E9158F">
              <w:rPr>
                <w:sz w:val="20"/>
                <w:szCs w:val="20"/>
                <w:lang w:val="en-US"/>
              </w:rPr>
              <w:t>,</w:t>
            </w:r>
            <w:r w:rsidRPr="00E9158F">
              <w:rPr>
                <w:sz w:val="20"/>
                <w:szCs w:val="20"/>
                <w:lang w:val="en-US"/>
              </w:rPr>
              <w:t>735</w:t>
            </w:r>
          </w:p>
        </w:tc>
      </w:tr>
      <w:tr w:rsidR="00D952F2" w:rsidRPr="00E9158F" w:rsidTr="00E9158F">
        <w:trPr>
          <w:trHeight w:val="255"/>
        </w:trPr>
        <w:tc>
          <w:tcPr>
            <w:tcW w:w="1003" w:type="dxa"/>
            <w:noWrap/>
            <w:hideMark/>
          </w:tcPr>
          <w:p w:rsidR="00D952F2" w:rsidRPr="00E9158F" w:rsidRDefault="00D952F2" w:rsidP="00D952F2">
            <w:pPr>
              <w:rPr>
                <w:sz w:val="20"/>
                <w:szCs w:val="20"/>
                <w:lang w:val="en-US"/>
              </w:rPr>
            </w:pPr>
            <w:r w:rsidRPr="00E9158F">
              <w:rPr>
                <w:sz w:val="20"/>
                <w:szCs w:val="20"/>
                <w:lang w:val="en-US"/>
              </w:rPr>
              <w:t>Follow</w:t>
            </w:r>
            <w:r w:rsidR="00E9158F">
              <w:rPr>
                <w:sz w:val="20"/>
                <w:szCs w:val="20"/>
                <w:lang w:val="en-US"/>
              </w:rPr>
              <w:t xml:space="preserve"> </w:t>
            </w:r>
            <w:r w:rsidRPr="00E9158F">
              <w:rPr>
                <w:sz w:val="20"/>
                <w:szCs w:val="20"/>
                <w:lang w:val="en-US"/>
              </w:rPr>
              <w:t>Up</w:t>
            </w:r>
          </w:p>
        </w:tc>
        <w:tc>
          <w:tcPr>
            <w:tcW w:w="1200" w:type="dxa"/>
            <w:noWrap/>
            <w:hideMark/>
          </w:tcPr>
          <w:p w:rsidR="00D952F2" w:rsidRPr="00E9158F" w:rsidRDefault="00D952F2" w:rsidP="00D952F2">
            <w:pPr>
              <w:rPr>
                <w:sz w:val="20"/>
                <w:szCs w:val="20"/>
                <w:lang w:val="en-US"/>
              </w:rPr>
            </w:pPr>
            <w:r w:rsidRPr="00E9158F">
              <w:rPr>
                <w:sz w:val="20"/>
                <w:szCs w:val="20"/>
                <w:lang w:val="en-US"/>
              </w:rPr>
              <w:t>Measles</w:t>
            </w:r>
          </w:p>
        </w:tc>
        <w:tc>
          <w:tcPr>
            <w:tcW w:w="757" w:type="dxa"/>
            <w:noWrap/>
            <w:hideMark/>
          </w:tcPr>
          <w:p w:rsidR="00D952F2" w:rsidRPr="00E9158F" w:rsidRDefault="00D952F2" w:rsidP="00D952F2">
            <w:pPr>
              <w:rPr>
                <w:sz w:val="20"/>
                <w:szCs w:val="20"/>
                <w:lang w:val="en-US"/>
              </w:rPr>
            </w:pPr>
            <w:r w:rsidRPr="00E9158F">
              <w:rPr>
                <w:sz w:val="20"/>
                <w:szCs w:val="20"/>
                <w:lang w:val="en-US"/>
              </w:rPr>
              <w:t>2016</w:t>
            </w:r>
          </w:p>
        </w:tc>
        <w:tc>
          <w:tcPr>
            <w:tcW w:w="1194" w:type="dxa"/>
            <w:noWrap/>
            <w:hideMark/>
          </w:tcPr>
          <w:p w:rsidR="00D952F2" w:rsidRPr="00E9158F" w:rsidRDefault="00D952F2" w:rsidP="00D952F2">
            <w:pPr>
              <w:rPr>
                <w:sz w:val="20"/>
                <w:szCs w:val="20"/>
                <w:lang w:val="en-US"/>
              </w:rPr>
            </w:pPr>
            <w:r w:rsidRPr="00E9158F">
              <w:rPr>
                <w:sz w:val="20"/>
                <w:szCs w:val="20"/>
                <w:lang w:val="en-US"/>
              </w:rPr>
              <w:t>28/01/2016</w:t>
            </w:r>
          </w:p>
        </w:tc>
        <w:tc>
          <w:tcPr>
            <w:tcW w:w="1209" w:type="dxa"/>
            <w:noWrap/>
            <w:hideMark/>
          </w:tcPr>
          <w:p w:rsidR="00D952F2" w:rsidRPr="00E9158F" w:rsidRDefault="00D952F2" w:rsidP="00D952F2">
            <w:pPr>
              <w:rPr>
                <w:sz w:val="20"/>
                <w:szCs w:val="20"/>
                <w:lang w:val="en-US"/>
              </w:rPr>
            </w:pPr>
            <w:r w:rsidRPr="00E9158F">
              <w:rPr>
                <w:sz w:val="20"/>
                <w:szCs w:val="20"/>
                <w:lang w:val="en-US"/>
              </w:rPr>
              <w:t>01/02/2016</w:t>
            </w:r>
          </w:p>
        </w:tc>
        <w:tc>
          <w:tcPr>
            <w:tcW w:w="1167" w:type="dxa"/>
            <w:noWrap/>
            <w:hideMark/>
          </w:tcPr>
          <w:p w:rsidR="00D952F2" w:rsidRPr="00E9158F" w:rsidRDefault="00D952F2" w:rsidP="00D952F2">
            <w:pPr>
              <w:rPr>
                <w:sz w:val="20"/>
                <w:szCs w:val="20"/>
                <w:lang w:val="en-US"/>
              </w:rPr>
            </w:pPr>
            <w:r w:rsidRPr="00E9158F">
              <w:rPr>
                <w:sz w:val="20"/>
                <w:szCs w:val="20"/>
                <w:lang w:val="en-US"/>
              </w:rPr>
              <w:t>9-59 M</w:t>
            </w:r>
          </w:p>
        </w:tc>
        <w:tc>
          <w:tcPr>
            <w:tcW w:w="962" w:type="dxa"/>
            <w:noWrap/>
            <w:hideMark/>
          </w:tcPr>
          <w:p w:rsidR="00D952F2" w:rsidRPr="00E9158F" w:rsidRDefault="00D952F2" w:rsidP="00D952F2">
            <w:pPr>
              <w:rPr>
                <w:sz w:val="20"/>
                <w:szCs w:val="20"/>
                <w:lang w:val="en-US"/>
              </w:rPr>
            </w:pPr>
            <w:r w:rsidRPr="00E9158F">
              <w:rPr>
                <w:sz w:val="20"/>
                <w:szCs w:val="20"/>
                <w:lang w:val="en-US"/>
              </w:rPr>
              <w:t>Sub-national</w:t>
            </w:r>
          </w:p>
        </w:tc>
        <w:tc>
          <w:tcPr>
            <w:tcW w:w="996" w:type="dxa"/>
            <w:noWrap/>
            <w:hideMark/>
          </w:tcPr>
          <w:p w:rsidR="00D952F2" w:rsidRPr="00E9158F" w:rsidRDefault="00D952F2" w:rsidP="00D952F2">
            <w:pPr>
              <w:rPr>
                <w:sz w:val="20"/>
                <w:szCs w:val="20"/>
                <w:lang w:val="en-US"/>
              </w:rPr>
            </w:pPr>
            <w:r w:rsidRPr="00E9158F">
              <w:rPr>
                <w:sz w:val="20"/>
                <w:szCs w:val="20"/>
                <w:lang w:val="en-US"/>
              </w:rPr>
              <w:t>done</w:t>
            </w:r>
          </w:p>
        </w:tc>
        <w:tc>
          <w:tcPr>
            <w:tcW w:w="1412" w:type="dxa"/>
            <w:noWrap/>
            <w:hideMark/>
          </w:tcPr>
          <w:p w:rsidR="00D952F2" w:rsidRPr="00E9158F" w:rsidRDefault="00D952F2" w:rsidP="00D952F2">
            <w:pPr>
              <w:rPr>
                <w:sz w:val="20"/>
                <w:szCs w:val="20"/>
                <w:lang w:val="en-US"/>
              </w:rPr>
            </w:pPr>
            <w:r w:rsidRPr="00E9158F">
              <w:rPr>
                <w:sz w:val="20"/>
                <w:szCs w:val="20"/>
                <w:lang w:val="en-US"/>
              </w:rPr>
              <w:t>14</w:t>
            </w:r>
            <w:r w:rsidR="00E9158F">
              <w:rPr>
                <w:sz w:val="20"/>
                <w:szCs w:val="20"/>
                <w:lang w:val="en-US"/>
              </w:rPr>
              <w:t>,</w:t>
            </w:r>
            <w:r w:rsidRPr="00E9158F">
              <w:rPr>
                <w:sz w:val="20"/>
                <w:szCs w:val="20"/>
                <w:lang w:val="en-US"/>
              </w:rPr>
              <w:t>562</w:t>
            </w:r>
            <w:r w:rsidR="00E9158F">
              <w:rPr>
                <w:sz w:val="20"/>
                <w:szCs w:val="20"/>
                <w:lang w:val="en-US"/>
              </w:rPr>
              <w:t>,</w:t>
            </w:r>
            <w:r w:rsidRPr="00E9158F">
              <w:rPr>
                <w:sz w:val="20"/>
                <w:szCs w:val="20"/>
                <w:lang w:val="en-US"/>
              </w:rPr>
              <w:t>967</w:t>
            </w:r>
          </w:p>
        </w:tc>
      </w:tr>
      <w:tr w:rsidR="00D952F2" w:rsidRPr="00E9158F" w:rsidTr="00E9158F">
        <w:trPr>
          <w:trHeight w:val="255"/>
        </w:trPr>
        <w:tc>
          <w:tcPr>
            <w:tcW w:w="1003" w:type="dxa"/>
            <w:noWrap/>
            <w:hideMark/>
          </w:tcPr>
          <w:p w:rsidR="00D952F2" w:rsidRPr="00E9158F" w:rsidRDefault="00D952F2" w:rsidP="00D952F2">
            <w:pPr>
              <w:rPr>
                <w:sz w:val="20"/>
                <w:szCs w:val="20"/>
                <w:lang w:val="en-US"/>
              </w:rPr>
            </w:pPr>
            <w:r w:rsidRPr="00E9158F">
              <w:rPr>
                <w:sz w:val="20"/>
                <w:szCs w:val="20"/>
                <w:lang w:val="en-US"/>
              </w:rPr>
              <w:t>Mop</w:t>
            </w:r>
            <w:r w:rsidR="00E9158F">
              <w:rPr>
                <w:sz w:val="20"/>
                <w:szCs w:val="20"/>
                <w:lang w:val="en-US"/>
              </w:rPr>
              <w:t xml:space="preserve"> </w:t>
            </w:r>
            <w:r w:rsidRPr="00E9158F">
              <w:rPr>
                <w:sz w:val="20"/>
                <w:szCs w:val="20"/>
                <w:lang w:val="en-US"/>
              </w:rPr>
              <w:t>up</w:t>
            </w:r>
          </w:p>
        </w:tc>
        <w:tc>
          <w:tcPr>
            <w:tcW w:w="1200" w:type="dxa"/>
            <w:noWrap/>
            <w:hideMark/>
          </w:tcPr>
          <w:p w:rsidR="00D952F2" w:rsidRPr="00E9158F" w:rsidRDefault="00D952F2" w:rsidP="00D952F2">
            <w:pPr>
              <w:rPr>
                <w:sz w:val="20"/>
                <w:szCs w:val="20"/>
                <w:lang w:val="en-US"/>
              </w:rPr>
            </w:pPr>
            <w:r w:rsidRPr="00E9158F">
              <w:rPr>
                <w:sz w:val="20"/>
                <w:szCs w:val="20"/>
                <w:lang w:val="en-US"/>
              </w:rPr>
              <w:t>mOPV2</w:t>
            </w:r>
          </w:p>
        </w:tc>
        <w:tc>
          <w:tcPr>
            <w:tcW w:w="757" w:type="dxa"/>
            <w:noWrap/>
            <w:hideMark/>
          </w:tcPr>
          <w:p w:rsidR="00D952F2" w:rsidRPr="00E9158F" w:rsidRDefault="00D952F2" w:rsidP="00D952F2">
            <w:pPr>
              <w:rPr>
                <w:sz w:val="20"/>
                <w:szCs w:val="20"/>
                <w:lang w:val="en-US"/>
              </w:rPr>
            </w:pPr>
            <w:r w:rsidRPr="00E9158F">
              <w:rPr>
                <w:sz w:val="20"/>
                <w:szCs w:val="20"/>
                <w:lang w:val="en-US"/>
              </w:rPr>
              <w:t>2016</w:t>
            </w:r>
          </w:p>
        </w:tc>
        <w:tc>
          <w:tcPr>
            <w:tcW w:w="1194" w:type="dxa"/>
            <w:noWrap/>
            <w:hideMark/>
          </w:tcPr>
          <w:p w:rsidR="00D952F2" w:rsidRPr="00E9158F" w:rsidRDefault="00D952F2" w:rsidP="00D952F2">
            <w:pPr>
              <w:rPr>
                <w:sz w:val="20"/>
                <w:szCs w:val="20"/>
                <w:lang w:val="en-US"/>
              </w:rPr>
            </w:pPr>
            <w:r w:rsidRPr="00E9158F">
              <w:rPr>
                <w:sz w:val="20"/>
                <w:szCs w:val="20"/>
                <w:lang w:val="en-US"/>
              </w:rPr>
              <w:t>11/06/2016</w:t>
            </w:r>
          </w:p>
        </w:tc>
        <w:tc>
          <w:tcPr>
            <w:tcW w:w="1209" w:type="dxa"/>
            <w:noWrap/>
            <w:hideMark/>
          </w:tcPr>
          <w:p w:rsidR="00D952F2" w:rsidRPr="00E9158F" w:rsidRDefault="00D952F2" w:rsidP="00D952F2">
            <w:pPr>
              <w:rPr>
                <w:sz w:val="20"/>
                <w:szCs w:val="20"/>
                <w:lang w:val="en-US"/>
              </w:rPr>
            </w:pPr>
            <w:r w:rsidRPr="00E9158F">
              <w:rPr>
                <w:sz w:val="20"/>
                <w:szCs w:val="20"/>
                <w:lang w:val="en-US"/>
              </w:rPr>
              <w:t>14/06/2016</w:t>
            </w:r>
          </w:p>
        </w:tc>
        <w:tc>
          <w:tcPr>
            <w:tcW w:w="1167" w:type="dxa"/>
            <w:noWrap/>
            <w:hideMark/>
          </w:tcPr>
          <w:p w:rsidR="00D952F2" w:rsidRPr="00E9158F" w:rsidRDefault="00D952F2" w:rsidP="00D952F2">
            <w:pPr>
              <w:rPr>
                <w:sz w:val="20"/>
                <w:szCs w:val="20"/>
                <w:lang w:val="en-US"/>
              </w:rPr>
            </w:pPr>
            <w:r w:rsidRPr="00E9158F">
              <w:rPr>
                <w:sz w:val="20"/>
                <w:szCs w:val="20"/>
                <w:lang w:val="en-US"/>
              </w:rPr>
              <w:t>0 to 5 years</w:t>
            </w:r>
          </w:p>
        </w:tc>
        <w:tc>
          <w:tcPr>
            <w:tcW w:w="962" w:type="dxa"/>
            <w:noWrap/>
            <w:hideMark/>
          </w:tcPr>
          <w:p w:rsidR="00D952F2" w:rsidRPr="00E9158F" w:rsidRDefault="00D952F2" w:rsidP="00D952F2">
            <w:pPr>
              <w:rPr>
                <w:sz w:val="20"/>
                <w:szCs w:val="20"/>
                <w:lang w:val="en-US"/>
              </w:rPr>
            </w:pPr>
            <w:r w:rsidRPr="00E9158F">
              <w:rPr>
                <w:sz w:val="20"/>
                <w:szCs w:val="20"/>
                <w:lang w:val="en-US"/>
              </w:rPr>
              <w:t xml:space="preserve"> Sub-National</w:t>
            </w:r>
          </w:p>
        </w:tc>
        <w:tc>
          <w:tcPr>
            <w:tcW w:w="996" w:type="dxa"/>
            <w:noWrap/>
            <w:hideMark/>
          </w:tcPr>
          <w:p w:rsidR="00D952F2" w:rsidRPr="00E9158F" w:rsidRDefault="00D952F2" w:rsidP="00D952F2">
            <w:pPr>
              <w:rPr>
                <w:sz w:val="20"/>
                <w:szCs w:val="20"/>
                <w:lang w:val="en-US"/>
              </w:rPr>
            </w:pPr>
            <w:r w:rsidRPr="00E9158F">
              <w:rPr>
                <w:sz w:val="20"/>
                <w:szCs w:val="20"/>
                <w:lang w:val="en-US"/>
              </w:rPr>
              <w:t>Planned</w:t>
            </w:r>
          </w:p>
        </w:tc>
        <w:tc>
          <w:tcPr>
            <w:tcW w:w="1412" w:type="dxa"/>
            <w:noWrap/>
            <w:hideMark/>
          </w:tcPr>
          <w:p w:rsidR="00D952F2" w:rsidRPr="00E9158F" w:rsidRDefault="00D952F2" w:rsidP="00D952F2">
            <w:pPr>
              <w:rPr>
                <w:sz w:val="20"/>
                <w:szCs w:val="20"/>
                <w:lang w:val="en-US"/>
              </w:rPr>
            </w:pPr>
            <w:r w:rsidRPr="00E9158F">
              <w:rPr>
                <w:sz w:val="20"/>
                <w:szCs w:val="20"/>
                <w:lang w:val="en-US"/>
              </w:rPr>
              <w:t>2</w:t>
            </w:r>
            <w:r w:rsidR="00E9158F">
              <w:rPr>
                <w:sz w:val="20"/>
                <w:szCs w:val="20"/>
                <w:lang w:val="en-US"/>
              </w:rPr>
              <w:t>,</w:t>
            </w:r>
            <w:r w:rsidRPr="00E9158F">
              <w:rPr>
                <w:sz w:val="20"/>
                <w:szCs w:val="20"/>
                <w:lang w:val="en-US"/>
              </w:rPr>
              <w:t>536</w:t>
            </w:r>
            <w:r w:rsidR="00E9158F">
              <w:rPr>
                <w:sz w:val="20"/>
                <w:szCs w:val="20"/>
                <w:lang w:val="en-US"/>
              </w:rPr>
              <w:t>,</w:t>
            </w:r>
            <w:r w:rsidRPr="00E9158F">
              <w:rPr>
                <w:sz w:val="20"/>
                <w:szCs w:val="20"/>
                <w:lang w:val="en-US"/>
              </w:rPr>
              <w:t>136</w:t>
            </w:r>
          </w:p>
        </w:tc>
      </w:tr>
      <w:tr w:rsidR="00D952F2" w:rsidRPr="00E9158F" w:rsidTr="00E9158F">
        <w:trPr>
          <w:trHeight w:val="255"/>
        </w:trPr>
        <w:tc>
          <w:tcPr>
            <w:tcW w:w="1003" w:type="dxa"/>
            <w:noWrap/>
            <w:hideMark/>
          </w:tcPr>
          <w:p w:rsidR="00D952F2" w:rsidRPr="00E9158F" w:rsidRDefault="00D952F2" w:rsidP="00D952F2">
            <w:pPr>
              <w:rPr>
                <w:sz w:val="20"/>
                <w:szCs w:val="20"/>
                <w:lang w:val="en-US"/>
              </w:rPr>
            </w:pPr>
            <w:r w:rsidRPr="00E9158F">
              <w:rPr>
                <w:sz w:val="20"/>
                <w:szCs w:val="20"/>
                <w:lang w:val="en-US"/>
              </w:rPr>
              <w:t>NID</w:t>
            </w:r>
          </w:p>
        </w:tc>
        <w:tc>
          <w:tcPr>
            <w:tcW w:w="1200" w:type="dxa"/>
            <w:noWrap/>
            <w:hideMark/>
          </w:tcPr>
          <w:p w:rsidR="00D952F2" w:rsidRPr="00E9158F" w:rsidRDefault="00D952F2" w:rsidP="00D952F2">
            <w:pPr>
              <w:rPr>
                <w:sz w:val="20"/>
                <w:szCs w:val="20"/>
                <w:lang w:val="en-US"/>
              </w:rPr>
            </w:pPr>
            <w:r w:rsidRPr="00E9158F">
              <w:rPr>
                <w:sz w:val="20"/>
                <w:szCs w:val="20"/>
                <w:lang w:val="en-US"/>
              </w:rPr>
              <w:t>tOPV</w:t>
            </w:r>
          </w:p>
        </w:tc>
        <w:tc>
          <w:tcPr>
            <w:tcW w:w="757" w:type="dxa"/>
            <w:noWrap/>
            <w:hideMark/>
          </w:tcPr>
          <w:p w:rsidR="00D952F2" w:rsidRPr="00E9158F" w:rsidRDefault="00D952F2" w:rsidP="00D952F2">
            <w:pPr>
              <w:rPr>
                <w:sz w:val="20"/>
                <w:szCs w:val="20"/>
                <w:lang w:val="en-US"/>
              </w:rPr>
            </w:pPr>
            <w:r w:rsidRPr="00E9158F">
              <w:rPr>
                <w:sz w:val="20"/>
                <w:szCs w:val="20"/>
                <w:lang w:val="en-US"/>
              </w:rPr>
              <w:t>2016</w:t>
            </w:r>
          </w:p>
        </w:tc>
        <w:tc>
          <w:tcPr>
            <w:tcW w:w="1194" w:type="dxa"/>
            <w:noWrap/>
            <w:hideMark/>
          </w:tcPr>
          <w:p w:rsidR="00D952F2" w:rsidRPr="00E9158F" w:rsidRDefault="00D952F2" w:rsidP="00D952F2">
            <w:pPr>
              <w:rPr>
                <w:sz w:val="20"/>
                <w:szCs w:val="20"/>
                <w:lang w:val="en-US"/>
              </w:rPr>
            </w:pPr>
            <w:r w:rsidRPr="00E9158F">
              <w:rPr>
                <w:sz w:val="20"/>
                <w:szCs w:val="20"/>
                <w:lang w:val="en-US"/>
              </w:rPr>
              <w:t>27/02/2016</w:t>
            </w:r>
          </w:p>
        </w:tc>
        <w:tc>
          <w:tcPr>
            <w:tcW w:w="1209" w:type="dxa"/>
            <w:noWrap/>
            <w:hideMark/>
          </w:tcPr>
          <w:p w:rsidR="00D952F2" w:rsidRPr="00E9158F" w:rsidRDefault="00D952F2" w:rsidP="00D952F2">
            <w:pPr>
              <w:rPr>
                <w:sz w:val="20"/>
                <w:szCs w:val="20"/>
                <w:lang w:val="en-US"/>
              </w:rPr>
            </w:pPr>
            <w:r w:rsidRPr="00E9158F">
              <w:rPr>
                <w:sz w:val="20"/>
                <w:szCs w:val="20"/>
                <w:lang w:val="en-US"/>
              </w:rPr>
              <w:t>01/03/2016</w:t>
            </w:r>
          </w:p>
        </w:tc>
        <w:tc>
          <w:tcPr>
            <w:tcW w:w="1167" w:type="dxa"/>
            <w:noWrap/>
            <w:hideMark/>
          </w:tcPr>
          <w:p w:rsidR="00D952F2" w:rsidRPr="00E9158F" w:rsidRDefault="00D952F2" w:rsidP="00D952F2">
            <w:pPr>
              <w:rPr>
                <w:sz w:val="20"/>
                <w:szCs w:val="20"/>
                <w:lang w:val="en-US"/>
              </w:rPr>
            </w:pPr>
            <w:r w:rsidRPr="00E9158F">
              <w:rPr>
                <w:sz w:val="20"/>
                <w:szCs w:val="20"/>
                <w:lang w:val="en-US"/>
              </w:rPr>
              <w:t>0 to 5 years</w:t>
            </w:r>
          </w:p>
        </w:tc>
        <w:tc>
          <w:tcPr>
            <w:tcW w:w="962" w:type="dxa"/>
            <w:noWrap/>
            <w:hideMark/>
          </w:tcPr>
          <w:p w:rsidR="00D952F2" w:rsidRPr="00E9158F" w:rsidRDefault="00D952F2" w:rsidP="00D952F2">
            <w:pPr>
              <w:rPr>
                <w:sz w:val="20"/>
                <w:szCs w:val="20"/>
                <w:lang w:val="en-US"/>
              </w:rPr>
            </w:pPr>
            <w:r w:rsidRPr="00E9158F">
              <w:rPr>
                <w:sz w:val="20"/>
                <w:szCs w:val="20"/>
                <w:lang w:val="en-US"/>
              </w:rPr>
              <w:t>National</w:t>
            </w:r>
          </w:p>
        </w:tc>
        <w:tc>
          <w:tcPr>
            <w:tcW w:w="996" w:type="dxa"/>
            <w:noWrap/>
            <w:hideMark/>
          </w:tcPr>
          <w:p w:rsidR="00D952F2" w:rsidRPr="00E9158F" w:rsidRDefault="00D952F2" w:rsidP="00D952F2">
            <w:pPr>
              <w:rPr>
                <w:sz w:val="20"/>
                <w:szCs w:val="20"/>
                <w:lang w:val="en-US"/>
              </w:rPr>
            </w:pPr>
            <w:r w:rsidRPr="00E9158F">
              <w:rPr>
                <w:sz w:val="20"/>
                <w:szCs w:val="20"/>
                <w:lang w:val="en-US"/>
              </w:rPr>
              <w:t>Planned</w:t>
            </w:r>
          </w:p>
        </w:tc>
        <w:tc>
          <w:tcPr>
            <w:tcW w:w="1412" w:type="dxa"/>
            <w:noWrap/>
            <w:hideMark/>
          </w:tcPr>
          <w:p w:rsidR="00D952F2" w:rsidRPr="00E9158F" w:rsidRDefault="00D952F2" w:rsidP="00D952F2">
            <w:pPr>
              <w:rPr>
                <w:sz w:val="20"/>
                <w:szCs w:val="20"/>
                <w:lang w:val="en-US"/>
              </w:rPr>
            </w:pPr>
            <w:r w:rsidRPr="00E9158F">
              <w:rPr>
                <w:sz w:val="20"/>
                <w:szCs w:val="20"/>
                <w:lang w:val="en-US"/>
              </w:rPr>
              <w:t>62</w:t>
            </w:r>
            <w:r w:rsidR="00E9158F">
              <w:rPr>
                <w:sz w:val="20"/>
                <w:szCs w:val="20"/>
                <w:lang w:val="en-US"/>
              </w:rPr>
              <w:t>,</w:t>
            </w:r>
            <w:r w:rsidRPr="00E9158F">
              <w:rPr>
                <w:sz w:val="20"/>
                <w:szCs w:val="20"/>
                <w:lang w:val="en-US"/>
              </w:rPr>
              <w:t>037</w:t>
            </w:r>
            <w:r w:rsidR="00E9158F">
              <w:rPr>
                <w:sz w:val="20"/>
                <w:szCs w:val="20"/>
                <w:lang w:val="en-US"/>
              </w:rPr>
              <w:t>,</w:t>
            </w:r>
            <w:r w:rsidRPr="00E9158F">
              <w:rPr>
                <w:sz w:val="20"/>
                <w:szCs w:val="20"/>
                <w:lang w:val="en-US"/>
              </w:rPr>
              <w:t>657</w:t>
            </w:r>
          </w:p>
        </w:tc>
      </w:tr>
      <w:tr w:rsidR="00D952F2" w:rsidRPr="00E9158F" w:rsidTr="00E9158F">
        <w:trPr>
          <w:trHeight w:val="255"/>
        </w:trPr>
        <w:tc>
          <w:tcPr>
            <w:tcW w:w="1003" w:type="dxa"/>
            <w:noWrap/>
            <w:hideMark/>
          </w:tcPr>
          <w:p w:rsidR="00D952F2" w:rsidRPr="00E9158F" w:rsidRDefault="00D952F2" w:rsidP="00D952F2">
            <w:pPr>
              <w:rPr>
                <w:sz w:val="20"/>
                <w:szCs w:val="20"/>
                <w:lang w:val="en-US"/>
              </w:rPr>
            </w:pPr>
            <w:r w:rsidRPr="00E9158F">
              <w:rPr>
                <w:sz w:val="20"/>
                <w:szCs w:val="20"/>
                <w:lang w:val="en-US"/>
              </w:rPr>
              <w:t>SNID</w:t>
            </w:r>
          </w:p>
        </w:tc>
        <w:tc>
          <w:tcPr>
            <w:tcW w:w="1200" w:type="dxa"/>
            <w:noWrap/>
            <w:hideMark/>
          </w:tcPr>
          <w:p w:rsidR="00D952F2" w:rsidRPr="00E9158F" w:rsidRDefault="00D952F2" w:rsidP="00D952F2">
            <w:pPr>
              <w:rPr>
                <w:sz w:val="20"/>
                <w:szCs w:val="20"/>
                <w:lang w:val="en-US"/>
              </w:rPr>
            </w:pPr>
            <w:r w:rsidRPr="00E9158F">
              <w:rPr>
                <w:sz w:val="20"/>
                <w:szCs w:val="20"/>
                <w:lang w:val="en-US"/>
              </w:rPr>
              <w:t>bOPV</w:t>
            </w:r>
          </w:p>
        </w:tc>
        <w:tc>
          <w:tcPr>
            <w:tcW w:w="757" w:type="dxa"/>
            <w:noWrap/>
            <w:hideMark/>
          </w:tcPr>
          <w:p w:rsidR="00D952F2" w:rsidRPr="00E9158F" w:rsidRDefault="00D952F2" w:rsidP="00D952F2">
            <w:pPr>
              <w:rPr>
                <w:sz w:val="20"/>
                <w:szCs w:val="20"/>
                <w:lang w:val="en-US"/>
              </w:rPr>
            </w:pPr>
            <w:r w:rsidRPr="00E9158F">
              <w:rPr>
                <w:sz w:val="20"/>
                <w:szCs w:val="20"/>
                <w:lang w:val="en-US"/>
              </w:rPr>
              <w:t>2016</w:t>
            </w:r>
          </w:p>
        </w:tc>
        <w:tc>
          <w:tcPr>
            <w:tcW w:w="1194" w:type="dxa"/>
            <w:noWrap/>
            <w:hideMark/>
          </w:tcPr>
          <w:p w:rsidR="00D952F2" w:rsidRPr="00E9158F" w:rsidRDefault="00D952F2" w:rsidP="00D952F2">
            <w:pPr>
              <w:rPr>
                <w:sz w:val="20"/>
                <w:szCs w:val="20"/>
                <w:lang w:val="en-US"/>
              </w:rPr>
            </w:pPr>
            <w:r w:rsidRPr="00E9158F">
              <w:rPr>
                <w:sz w:val="20"/>
                <w:szCs w:val="20"/>
                <w:lang w:val="en-US"/>
              </w:rPr>
              <w:t>15/10/2016</w:t>
            </w:r>
          </w:p>
        </w:tc>
        <w:tc>
          <w:tcPr>
            <w:tcW w:w="1209" w:type="dxa"/>
            <w:noWrap/>
            <w:hideMark/>
          </w:tcPr>
          <w:p w:rsidR="00D952F2" w:rsidRPr="00E9158F" w:rsidRDefault="00D952F2" w:rsidP="00D952F2">
            <w:pPr>
              <w:rPr>
                <w:sz w:val="20"/>
                <w:szCs w:val="20"/>
                <w:lang w:val="en-US"/>
              </w:rPr>
            </w:pPr>
            <w:r w:rsidRPr="00E9158F">
              <w:rPr>
                <w:sz w:val="20"/>
                <w:szCs w:val="20"/>
                <w:lang w:val="en-US"/>
              </w:rPr>
              <w:t>18/10/2016</w:t>
            </w:r>
          </w:p>
        </w:tc>
        <w:tc>
          <w:tcPr>
            <w:tcW w:w="1167" w:type="dxa"/>
            <w:noWrap/>
            <w:hideMark/>
          </w:tcPr>
          <w:p w:rsidR="00D952F2" w:rsidRPr="00E9158F" w:rsidRDefault="00D952F2" w:rsidP="00D952F2">
            <w:pPr>
              <w:rPr>
                <w:sz w:val="20"/>
                <w:szCs w:val="20"/>
                <w:lang w:val="en-US"/>
              </w:rPr>
            </w:pPr>
            <w:r w:rsidRPr="00E9158F">
              <w:rPr>
                <w:sz w:val="20"/>
                <w:szCs w:val="20"/>
                <w:lang w:val="en-US"/>
              </w:rPr>
              <w:t>0 to 5 years</w:t>
            </w:r>
          </w:p>
        </w:tc>
        <w:tc>
          <w:tcPr>
            <w:tcW w:w="962" w:type="dxa"/>
            <w:noWrap/>
            <w:hideMark/>
          </w:tcPr>
          <w:p w:rsidR="00D952F2" w:rsidRPr="00E9158F" w:rsidRDefault="00D952F2" w:rsidP="00D952F2">
            <w:pPr>
              <w:rPr>
                <w:sz w:val="20"/>
                <w:szCs w:val="20"/>
                <w:lang w:val="en-US"/>
              </w:rPr>
            </w:pPr>
            <w:r w:rsidRPr="00E9158F">
              <w:rPr>
                <w:sz w:val="20"/>
                <w:szCs w:val="20"/>
                <w:lang w:val="en-US"/>
              </w:rPr>
              <w:t xml:space="preserve"> Sub-National</w:t>
            </w:r>
          </w:p>
        </w:tc>
        <w:tc>
          <w:tcPr>
            <w:tcW w:w="996" w:type="dxa"/>
            <w:noWrap/>
            <w:hideMark/>
          </w:tcPr>
          <w:p w:rsidR="00D952F2" w:rsidRPr="00E9158F" w:rsidRDefault="00D952F2" w:rsidP="00D952F2">
            <w:pPr>
              <w:rPr>
                <w:sz w:val="20"/>
                <w:szCs w:val="20"/>
                <w:lang w:val="en-US"/>
              </w:rPr>
            </w:pPr>
            <w:r w:rsidRPr="00E9158F">
              <w:rPr>
                <w:sz w:val="20"/>
                <w:szCs w:val="20"/>
                <w:lang w:val="en-US"/>
              </w:rPr>
              <w:t>Planned</w:t>
            </w:r>
          </w:p>
        </w:tc>
        <w:tc>
          <w:tcPr>
            <w:tcW w:w="1412" w:type="dxa"/>
            <w:noWrap/>
            <w:hideMark/>
          </w:tcPr>
          <w:p w:rsidR="00D952F2" w:rsidRPr="00E9158F" w:rsidRDefault="00D952F2" w:rsidP="00D952F2">
            <w:pPr>
              <w:rPr>
                <w:sz w:val="20"/>
                <w:szCs w:val="20"/>
                <w:lang w:val="en-US"/>
              </w:rPr>
            </w:pPr>
            <w:r w:rsidRPr="00E9158F">
              <w:rPr>
                <w:sz w:val="20"/>
                <w:szCs w:val="20"/>
                <w:lang w:val="en-US"/>
              </w:rPr>
              <w:t>27</w:t>
            </w:r>
            <w:r w:rsidR="00E9158F">
              <w:rPr>
                <w:sz w:val="20"/>
                <w:szCs w:val="20"/>
                <w:lang w:val="en-US"/>
              </w:rPr>
              <w:t>,</w:t>
            </w:r>
            <w:r w:rsidRPr="00E9158F">
              <w:rPr>
                <w:sz w:val="20"/>
                <w:szCs w:val="20"/>
                <w:lang w:val="en-US"/>
              </w:rPr>
              <w:t>916</w:t>
            </w:r>
            <w:r w:rsidR="00E9158F">
              <w:rPr>
                <w:sz w:val="20"/>
                <w:szCs w:val="20"/>
                <w:lang w:val="en-US"/>
              </w:rPr>
              <w:t>,</w:t>
            </w:r>
            <w:r w:rsidRPr="00E9158F">
              <w:rPr>
                <w:sz w:val="20"/>
                <w:szCs w:val="20"/>
                <w:lang w:val="en-US"/>
              </w:rPr>
              <w:t>946</w:t>
            </w:r>
          </w:p>
        </w:tc>
      </w:tr>
      <w:tr w:rsidR="00D952F2" w:rsidRPr="00E9158F" w:rsidTr="00E9158F">
        <w:trPr>
          <w:trHeight w:val="255"/>
        </w:trPr>
        <w:tc>
          <w:tcPr>
            <w:tcW w:w="1003" w:type="dxa"/>
            <w:noWrap/>
            <w:hideMark/>
          </w:tcPr>
          <w:p w:rsidR="00D952F2" w:rsidRPr="00E9158F" w:rsidRDefault="00D952F2" w:rsidP="00D952F2">
            <w:pPr>
              <w:rPr>
                <w:sz w:val="20"/>
                <w:szCs w:val="20"/>
                <w:lang w:val="en-US"/>
              </w:rPr>
            </w:pPr>
            <w:r w:rsidRPr="00E9158F">
              <w:rPr>
                <w:sz w:val="20"/>
                <w:szCs w:val="20"/>
                <w:lang w:val="en-US"/>
              </w:rPr>
              <w:t>SNID</w:t>
            </w:r>
          </w:p>
        </w:tc>
        <w:tc>
          <w:tcPr>
            <w:tcW w:w="1200" w:type="dxa"/>
            <w:noWrap/>
            <w:hideMark/>
          </w:tcPr>
          <w:p w:rsidR="00D952F2" w:rsidRPr="00E9158F" w:rsidRDefault="00D952F2" w:rsidP="00D952F2">
            <w:pPr>
              <w:rPr>
                <w:sz w:val="20"/>
                <w:szCs w:val="20"/>
                <w:lang w:val="en-US"/>
              </w:rPr>
            </w:pPr>
            <w:r w:rsidRPr="00E9158F">
              <w:rPr>
                <w:sz w:val="20"/>
                <w:szCs w:val="20"/>
                <w:lang w:val="en-US"/>
              </w:rPr>
              <w:t>tOPV</w:t>
            </w:r>
          </w:p>
        </w:tc>
        <w:tc>
          <w:tcPr>
            <w:tcW w:w="757" w:type="dxa"/>
            <w:noWrap/>
            <w:hideMark/>
          </w:tcPr>
          <w:p w:rsidR="00D952F2" w:rsidRPr="00E9158F" w:rsidRDefault="00D952F2" w:rsidP="00D952F2">
            <w:pPr>
              <w:rPr>
                <w:sz w:val="20"/>
                <w:szCs w:val="20"/>
                <w:lang w:val="en-US"/>
              </w:rPr>
            </w:pPr>
            <w:r w:rsidRPr="00E9158F">
              <w:rPr>
                <w:sz w:val="20"/>
                <w:szCs w:val="20"/>
                <w:lang w:val="en-US"/>
              </w:rPr>
              <w:t>2016</w:t>
            </w:r>
          </w:p>
        </w:tc>
        <w:tc>
          <w:tcPr>
            <w:tcW w:w="1194" w:type="dxa"/>
            <w:noWrap/>
            <w:hideMark/>
          </w:tcPr>
          <w:p w:rsidR="00D952F2" w:rsidRPr="00E9158F" w:rsidRDefault="00D952F2" w:rsidP="00D952F2">
            <w:pPr>
              <w:rPr>
                <w:sz w:val="20"/>
                <w:szCs w:val="20"/>
                <w:lang w:val="en-US"/>
              </w:rPr>
            </w:pPr>
            <w:r w:rsidRPr="00E9158F">
              <w:rPr>
                <w:sz w:val="20"/>
                <w:szCs w:val="20"/>
                <w:lang w:val="en-US"/>
              </w:rPr>
              <w:t>16/01/2016</w:t>
            </w:r>
          </w:p>
        </w:tc>
        <w:tc>
          <w:tcPr>
            <w:tcW w:w="1209" w:type="dxa"/>
            <w:noWrap/>
            <w:hideMark/>
          </w:tcPr>
          <w:p w:rsidR="00D952F2" w:rsidRPr="00E9158F" w:rsidRDefault="00D952F2" w:rsidP="00D952F2">
            <w:pPr>
              <w:rPr>
                <w:sz w:val="20"/>
                <w:szCs w:val="20"/>
                <w:lang w:val="en-US"/>
              </w:rPr>
            </w:pPr>
            <w:r w:rsidRPr="00E9158F">
              <w:rPr>
                <w:sz w:val="20"/>
                <w:szCs w:val="20"/>
                <w:lang w:val="en-US"/>
              </w:rPr>
              <w:t>19/01/2016</w:t>
            </w:r>
          </w:p>
        </w:tc>
        <w:tc>
          <w:tcPr>
            <w:tcW w:w="1167" w:type="dxa"/>
            <w:noWrap/>
            <w:hideMark/>
          </w:tcPr>
          <w:p w:rsidR="00D952F2" w:rsidRPr="00E9158F" w:rsidRDefault="00D952F2" w:rsidP="00D952F2">
            <w:pPr>
              <w:rPr>
                <w:sz w:val="20"/>
                <w:szCs w:val="20"/>
                <w:lang w:val="en-US"/>
              </w:rPr>
            </w:pPr>
            <w:r w:rsidRPr="00E9158F">
              <w:rPr>
                <w:sz w:val="20"/>
                <w:szCs w:val="20"/>
                <w:lang w:val="en-US"/>
              </w:rPr>
              <w:t>0 to 5 years</w:t>
            </w:r>
          </w:p>
        </w:tc>
        <w:tc>
          <w:tcPr>
            <w:tcW w:w="962" w:type="dxa"/>
            <w:noWrap/>
            <w:hideMark/>
          </w:tcPr>
          <w:p w:rsidR="00D952F2" w:rsidRPr="00E9158F" w:rsidRDefault="00D952F2" w:rsidP="00D952F2">
            <w:pPr>
              <w:rPr>
                <w:sz w:val="20"/>
                <w:szCs w:val="20"/>
                <w:lang w:val="en-US"/>
              </w:rPr>
            </w:pPr>
            <w:r w:rsidRPr="00E9158F">
              <w:rPr>
                <w:sz w:val="20"/>
                <w:szCs w:val="20"/>
                <w:lang w:val="en-US"/>
              </w:rPr>
              <w:t xml:space="preserve"> Sub-National</w:t>
            </w:r>
          </w:p>
        </w:tc>
        <w:tc>
          <w:tcPr>
            <w:tcW w:w="996" w:type="dxa"/>
            <w:noWrap/>
            <w:hideMark/>
          </w:tcPr>
          <w:p w:rsidR="00D952F2" w:rsidRPr="00E9158F" w:rsidRDefault="00D952F2" w:rsidP="00D952F2">
            <w:pPr>
              <w:rPr>
                <w:sz w:val="20"/>
                <w:szCs w:val="20"/>
                <w:lang w:val="en-US"/>
              </w:rPr>
            </w:pPr>
            <w:r w:rsidRPr="00E9158F">
              <w:rPr>
                <w:sz w:val="20"/>
                <w:szCs w:val="20"/>
                <w:lang w:val="en-US"/>
              </w:rPr>
              <w:t>Planned</w:t>
            </w:r>
          </w:p>
        </w:tc>
        <w:tc>
          <w:tcPr>
            <w:tcW w:w="1412" w:type="dxa"/>
            <w:noWrap/>
            <w:hideMark/>
          </w:tcPr>
          <w:p w:rsidR="00D952F2" w:rsidRPr="00E9158F" w:rsidRDefault="00D952F2" w:rsidP="00D952F2">
            <w:pPr>
              <w:rPr>
                <w:sz w:val="20"/>
                <w:szCs w:val="20"/>
                <w:lang w:val="en-US"/>
              </w:rPr>
            </w:pPr>
            <w:r w:rsidRPr="00E9158F">
              <w:rPr>
                <w:sz w:val="20"/>
                <w:szCs w:val="20"/>
                <w:lang w:val="en-US"/>
              </w:rPr>
              <w:t>2</w:t>
            </w:r>
            <w:r w:rsidR="00E9158F">
              <w:rPr>
                <w:sz w:val="20"/>
                <w:szCs w:val="20"/>
                <w:lang w:val="en-US"/>
              </w:rPr>
              <w:t>,</w:t>
            </w:r>
            <w:r w:rsidRPr="00E9158F">
              <w:rPr>
                <w:sz w:val="20"/>
                <w:szCs w:val="20"/>
                <w:lang w:val="en-US"/>
              </w:rPr>
              <w:t>528</w:t>
            </w:r>
            <w:r w:rsidR="00E9158F">
              <w:rPr>
                <w:sz w:val="20"/>
                <w:szCs w:val="20"/>
                <w:lang w:val="en-US"/>
              </w:rPr>
              <w:t>,</w:t>
            </w:r>
            <w:r w:rsidRPr="00E9158F">
              <w:rPr>
                <w:sz w:val="20"/>
                <w:szCs w:val="20"/>
                <w:lang w:val="en-US"/>
              </w:rPr>
              <w:t>986</w:t>
            </w:r>
          </w:p>
        </w:tc>
      </w:tr>
      <w:tr w:rsidR="00D952F2" w:rsidRPr="00E9158F" w:rsidTr="00E9158F">
        <w:trPr>
          <w:trHeight w:val="255"/>
        </w:trPr>
        <w:tc>
          <w:tcPr>
            <w:tcW w:w="1003" w:type="dxa"/>
            <w:noWrap/>
            <w:hideMark/>
          </w:tcPr>
          <w:p w:rsidR="00D952F2" w:rsidRPr="00E9158F" w:rsidRDefault="00D952F2" w:rsidP="00D952F2">
            <w:pPr>
              <w:rPr>
                <w:sz w:val="20"/>
                <w:szCs w:val="20"/>
                <w:lang w:val="en-US"/>
              </w:rPr>
            </w:pPr>
            <w:r w:rsidRPr="00E9158F">
              <w:rPr>
                <w:sz w:val="20"/>
                <w:szCs w:val="20"/>
                <w:lang w:val="en-US"/>
              </w:rPr>
              <w:t>Mop</w:t>
            </w:r>
            <w:r w:rsidR="00E9158F">
              <w:rPr>
                <w:sz w:val="20"/>
                <w:szCs w:val="20"/>
                <w:lang w:val="en-US"/>
              </w:rPr>
              <w:t xml:space="preserve"> </w:t>
            </w:r>
            <w:r w:rsidRPr="00E9158F">
              <w:rPr>
                <w:sz w:val="20"/>
                <w:szCs w:val="20"/>
                <w:lang w:val="en-US"/>
              </w:rPr>
              <w:t>up</w:t>
            </w:r>
          </w:p>
        </w:tc>
        <w:tc>
          <w:tcPr>
            <w:tcW w:w="1200" w:type="dxa"/>
            <w:noWrap/>
            <w:hideMark/>
          </w:tcPr>
          <w:p w:rsidR="00D952F2" w:rsidRPr="00E9158F" w:rsidRDefault="00D952F2" w:rsidP="00D952F2">
            <w:pPr>
              <w:rPr>
                <w:sz w:val="20"/>
                <w:szCs w:val="20"/>
                <w:lang w:val="en-US"/>
              </w:rPr>
            </w:pPr>
            <w:r w:rsidRPr="00E9158F">
              <w:rPr>
                <w:sz w:val="20"/>
                <w:szCs w:val="20"/>
                <w:lang w:val="en-US"/>
              </w:rPr>
              <w:t>mOPV2</w:t>
            </w:r>
          </w:p>
        </w:tc>
        <w:tc>
          <w:tcPr>
            <w:tcW w:w="757" w:type="dxa"/>
            <w:noWrap/>
            <w:hideMark/>
          </w:tcPr>
          <w:p w:rsidR="00D952F2" w:rsidRPr="00E9158F" w:rsidRDefault="00D952F2" w:rsidP="00D952F2">
            <w:pPr>
              <w:rPr>
                <w:sz w:val="20"/>
                <w:szCs w:val="20"/>
                <w:lang w:val="en-US"/>
              </w:rPr>
            </w:pPr>
            <w:r w:rsidRPr="00E9158F">
              <w:rPr>
                <w:sz w:val="20"/>
                <w:szCs w:val="20"/>
                <w:lang w:val="en-US"/>
              </w:rPr>
              <w:t>2016</w:t>
            </w:r>
          </w:p>
        </w:tc>
        <w:tc>
          <w:tcPr>
            <w:tcW w:w="1194" w:type="dxa"/>
            <w:noWrap/>
            <w:hideMark/>
          </w:tcPr>
          <w:p w:rsidR="00D952F2" w:rsidRPr="00E9158F" w:rsidRDefault="00D952F2" w:rsidP="00D952F2">
            <w:pPr>
              <w:rPr>
                <w:sz w:val="20"/>
                <w:szCs w:val="20"/>
                <w:lang w:val="en-US"/>
              </w:rPr>
            </w:pPr>
            <w:r w:rsidRPr="00E9158F">
              <w:rPr>
                <w:sz w:val="20"/>
                <w:szCs w:val="20"/>
                <w:lang w:val="en-US"/>
              </w:rPr>
              <w:t>09/05/2016</w:t>
            </w:r>
          </w:p>
        </w:tc>
        <w:tc>
          <w:tcPr>
            <w:tcW w:w="1209" w:type="dxa"/>
            <w:noWrap/>
            <w:hideMark/>
          </w:tcPr>
          <w:p w:rsidR="00D952F2" w:rsidRPr="00E9158F" w:rsidRDefault="00D952F2" w:rsidP="00D952F2">
            <w:pPr>
              <w:rPr>
                <w:sz w:val="20"/>
                <w:szCs w:val="20"/>
                <w:lang w:val="en-US"/>
              </w:rPr>
            </w:pPr>
            <w:r w:rsidRPr="00E9158F">
              <w:rPr>
                <w:sz w:val="20"/>
                <w:szCs w:val="20"/>
                <w:lang w:val="en-US"/>
              </w:rPr>
              <w:t>12/05/2016</w:t>
            </w:r>
          </w:p>
        </w:tc>
        <w:tc>
          <w:tcPr>
            <w:tcW w:w="1167" w:type="dxa"/>
            <w:noWrap/>
            <w:hideMark/>
          </w:tcPr>
          <w:p w:rsidR="00D952F2" w:rsidRPr="00E9158F" w:rsidRDefault="00D952F2" w:rsidP="00D952F2">
            <w:pPr>
              <w:rPr>
                <w:sz w:val="20"/>
                <w:szCs w:val="20"/>
                <w:lang w:val="en-US"/>
              </w:rPr>
            </w:pPr>
            <w:r w:rsidRPr="00E9158F">
              <w:rPr>
                <w:sz w:val="20"/>
                <w:szCs w:val="20"/>
                <w:lang w:val="en-US"/>
              </w:rPr>
              <w:t>0 to 5 years</w:t>
            </w:r>
          </w:p>
        </w:tc>
        <w:tc>
          <w:tcPr>
            <w:tcW w:w="962" w:type="dxa"/>
            <w:noWrap/>
            <w:hideMark/>
          </w:tcPr>
          <w:p w:rsidR="00D952F2" w:rsidRPr="00E9158F" w:rsidRDefault="00D952F2" w:rsidP="00D952F2">
            <w:pPr>
              <w:rPr>
                <w:sz w:val="20"/>
                <w:szCs w:val="20"/>
                <w:lang w:val="en-US"/>
              </w:rPr>
            </w:pPr>
            <w:r w:rsidRPr="00E9158F">
              <w:rPr>
                <w:sz w:val="20"/>
                <w:szCs w:val="20"/>
                <w:lang w:val="en-US"/>
              </w:rPr>
              <w:t xml:space="preserve"> Sub-National</w:t>
            </w:r>
          </w:p>
        </w:tc>
        <w:tc>
          <w:tcPr>
            <w:tcW w:w="996" w:type="dxa"/>
            <w:noWrap/>
            <w:hideMark/>
          </w:tcPr>
          <w:p w:rsidR="00D952F2" w:rsidRPr="00E9158F" w:rsidRDefault="00D952F2" w:rsidP="00D952F2">
            <w:pPr>
              <w:rPr>
                <w:sz w:val="20"/>
                <w:szCs w:val="20"/>
                <w:lang w:val="en-US"/>
              </w:rPr>
            </w:pPr>
            <w:r w:rsidRPr="00E9158F">
              <w:rPr>
                <w:sz w:val="20"/>
                <w:szCs w:val="20"/>
                <w:lang w:val="en-US"/>
              </w:rPr>
              <w:t>Planned</w:t>
            </w:r>
          </w:p>
        </w:tc>
        <w:tc>
          <w:tcPr>
            <w:tcW w:w="1412" w:type="dxa"/>
            <w:noWrap/>
            <w:hideMark/>
          </w:tcPr>
          <w:p w:rsidR="00D952F2" w:rsidRPr="00E9158F" w:rsidRDefault="00D952F2" w:rsidP="00D952F2">
            <w:pPr>
              <w:rPr>
                <w:sz w:val="20"/>
                <w:szCs w:val="20"/>
                <w:lang w:val="en-US"/>
              </w:rPr>
            </w:pPr>
            <w:r w:rsidRPr="00E9158F">
              <w:rPr>
                <w:sz w:val="20"/>
                <w:szCs w:val="20"/>
                <w:lang w:val="en-US"/>
              </w:rPr>
              <w:t>2</w:t>
            </w:r>
            <w:r w:rsidR="00E9158F">
              <w:rPr>
                <w:sz w:val="20"/>
                <w:szCs w:val="20"/>
                <w:lang w:val="en-US"/>
              </w:rPr>
              <w:t>,</w:t>
            </w:r>
            <w:r w:rsidRPr="00E9158F">
              <w:rPr>
                <w:sz w:val="20"/>
                <w:szCs w:val="20"/>
                <w:lang w:val="en-US"/>
              </w:rPr>
              <w:t>670</w:t>
            </w:r>
            <w:r w:rsidR="00E9158F">
              <w:rPr>
                <w:sz w:val="20"/>
                <w:szCs w:val="20"/>
                <w:lang w:val="en-US"/>
              </w:rPr>
              <w:t>,</w:t>
            </w:r>
            <w:r w:rsidRPr="00E9158F">
              <w:rPr>
                <w:sz w:val="20"/>
                <w:szCs w:val="20"/>
                <w:lang w:val="en-US"/>
              </w:rPr>
              <w:t>459</w:t>
            </w:r>
          </w:p>
        </w:tc>
      </w:tr>
      <w:tr w:rsidR="00D952F2" w:rsidRPr="00E9158F" w:rsidTr="00E9158F">
        <w:trPr>
          <w:trHeight w:val="255"/>
        </w:trPr>
        <w:tc>
          <w:tcPr>
            <w:tcW w:w="1003" w:type="dxa"/>
            <w:noWrap/>
            <w:hideMark/>
          </w:tcPr>
          <w:p w:rsidR="00D952F2" w:rsidRPr="00E9158F" w:rsidRDefault="00D952F2" w:rsidP="00D952F2">
            <w:pPr>
              <w:rPr>
                <w:sz w:val="20"/>
                <w:szCs w:val="20"/>
                <w:lang w:val="en-US"/>
              </w:rPr>
            </w:pPr>
            <w:r w:rsidRPr="00E9158F">
              <w:rPr>
                <w:sz w:val="20"/>
                <w:szCs w:val="20"/>
                <w:lang w:val="en-US"/>
              </w:rPr>
              <w:t>Mop</w:t>
            </w:r>
            <w:r w:rsidR="00E9158F">
              <w:rPr>
                <w:sz w:val="20"/>
                <w:szCs w:val="20"/>
                <w:lang w:val="en-US"/>
              </w:rPr>
              <w:t xml:space="preserve"> </w:t>
            </w:r>
            <w:r w:rsidRPr="00E9158F">
              <w:rPr>
                <w:sz w:val="20"/>
                <w:szCs w:val="20"/>
                <w:lang w:val="en-US"/>
              </w:rPr>
              <w:t>up</w:t>
            </w:r>
          </w:p>
        </w:tc>
        <w:tc>
          <w:tcPr>
            <w:tcW w:w="1200" w:type="dxa"/>
            <w:noWrap/>
            <w:hideMark/>
          </w:tcPr>
          <w:p w:rsidR="00D952F2" w:rsidRPr="00E9158F" w:rsidRDefault="00D952F2" w:rsidP="00D952F2">
            <w:pPr>
              <w:rPr>
                <w:sz w:val="20"/>
                <w:szCs w:val="20"/>
                <w:lang w:val="en-US"/>
              </w:rPr>
            </w:pPr>
            <w:r w:rsidRPr="00E9158F">
              <w:rPr>
                <w:sz w:val="20"/>
                <w:szCs w:val="20"/>
                <w:lang w:val="en-US"/>
              </w:rPr>
              <w:t>mOPV2</w:t>
            </w:r>
          </w:p>
        </w:tc>
        <w:tc>
          <w:tcPr>
            <w:tcW w:w="757" w:type="dxa"/>
            <w:noWrap/>
            <w:hideMark/>
          </w:tcPr>
          <w:p w:rsidR="00D952F2" w:rsidRPr="00E9158F" w:rsidRDefault="00D952F2" w:rsidP="00D952F2">
            <w:pPr>
              <w:rPr>
                <w:sz w:val="20"/>
                <w:szCs w:val="20"/>
                <w:lang w:val="en-US"/>
              </w:rPr>
            </w:pPr>
            <w:r w:rsidRPr="00E9158F">
              <w:rPr>
                <w:sz w:val="20"/>
                <w:szCs w:val="20"/>
                <w:lang w:val="en-US"/>
              </w:rPr>
              <w:t>2016</w:t>
            </w:r>
          </w:p>
        </w:tc>
        <w:tc>
          <w:tcPr>
            <w:tcW w:w="1194" w:type="dxa"/>
            <w:noWrap/>
            <w:hideMark/>
          </w:tcPr>
          <w:p w:rsidR="00D952F2" w:rsidRPr="00E9158F" w:rsidRDefault="00D952F2" w:rsidP="00D952F2">
            <w:pPr>
              <w:rPr>
                <w:sz w:val="20"/>
                <w:szCs w:val="20"/>
                <w:lang w:val="en-US"/>
              </w:rPr>
            </w:pPr>
            <w:r w:rsidRPr="00E9158F">
              <w:rPr>
                <w:sz w:val="20"/>
                <w:szCs w:val="20"/>
                <w:lang w:val="en-US"/>
              </w:rPr>
              <w:t>18/06/2016</w:t>
            </w:r>
          </w:p>
        </w:tc>
        <w:tc>
          <w:tcPr>
            <w:tcW w:w="1209" w:type="dxa"/>
            <w:noWrap/>
            <w:hideMark/>
          </w:tcPr>
          <w:p w:rsidR="00D952F2" w:rsidRPr="00E9158F" w:rsidRDefault="00D952F2" w:rsidP="00D952F2">
            <w:pPr>
              <w:rPr>
                <w:sz w:val="20"/>
                <w:szCs w:val="20"/>
                <w:lang w:val="en-US"/>
              </w:rPr>
            </w:pPr>
            <w:r w:rsidRPr="00E9158F">
              <w:rPr>
                <w:sz w:val="20"/>
                <w:szCs w:val="20"/>
                <w:lang w:val="en-US"/>
              </w:rPr>
              <w:t>19/06/2016</w:t>
            </w:r>
          </w:p>
        </w:tc>
        <w:tc>
          <w:tcPr>
            <w:tcW w:w="1167" w:type="dxa"/>
            <w:noWrap/>
            <w:hideMark/>
          </w:tcPr>
          <w:p w:rsidR="00D952F2" w:rsidRPr="00E9158F" w:rsidRDefault="00D952F2" w:rsidP="00D952F2">
            <w:pPr>
              <w:rPr>
                <w:sz w:val="20"/>
                <w:szCs w:val="20"/>
                <w:lang w:val="en-US"/>
              </w:rPr>
            </w:pPr>
            <w:r w:rsidRPr="00E9158F">
              <w:rPr>
                <w:sz w:val="20"/>
                <w:szCs w:val="20"/>
                <w:lang w:val="en-US"/>
              </w:rPr>
              <w:t>0 to 5 years</w:t>
            </w:r>
          </w:p>
        </w:tc>
        <w:tc>
          <w:tcPr>
            <w:tcW w:w="962" w:type="dxa"/>
            <w:noWrap/>
            <w:hideMark/>
          </w:tcPr>
          <w:p w:rsidR="00D952F2" w:rsidRPr="00E9158F" w:rsidRDefault="00D952F2" w:rsidP="00D952F2">
            <w:pPr>
              <w:rPr>
                <w:sz w:val="20"/>
                <w:szCs w:val="20"/>
                <w:lang w:val="en-US"/>
              </w:rPr>
            </w:pPr>
            <w:r w:rsidRPr="00E9158F">
              <w:rPr>
                <w:sz w:val="20"/>
                <w:szCs w:val="20"/>
                <w:lang w:val="en-US"/>
              </w:rPr>
              <w:t xml:space="preserve"> Sub-National</w:t>
            </w:r>
          </w:p>
        </w:tc>
        <w:tc>
          <w:tcPr>
            <w:tcW w:w="996" w:type="dxa"/>
            <w:noWrap/>
            <w:hideMark/>
          </w:tcPr>
          <w:p w:rsidR="00D952F2" w:rsidRPr="00E9158F" w:rsidRDefault="00D952F2" w:rsidP="00D952F2">
            <w:pPr>
              <w:rPr>
                <w:sz w:val="20"/>
                <w:szCs w:val="20"/>
                <w:lang w:val="en-US"/>
              </w:rPr>
            </w:pPr>
            <w:r w:rsidRPr="00E9158F">
              <w:rPr>
                <w:sz w:val="20"/>
                <w:szCs w:val="20"/>
                <w:lang w:val="en-US"/>
              </w:rPr>
              <w:t>Planned</w:t>
            </w:r>
          </w:p>
        </w:tc>
        <w:tc>
          <w:tcPr>
            <w:tcW w:w="1412" w:type="dxa"/>
            <w:noWrap/>
            <w:hideMark/>
          </w:tcPr>
          <w:p w:rsidR="00D952F2" w:rsidRPr="00E9158F" w:rsidRDefault="00D952F2" w:rsidP="00D952F2">
            <w:pPr>
              <w:rPr>
                <w:sz w:val="20"/>
                <w:szCs w:val="20"/>
                <w:lang w:val="en-US"/>
              </w:rPr>
            </w:pPr>
            <w:r w:rsidRPr="00E9158F">
              <w:rPr>
                <w:sz w:val="20"/>
                <w:szCs w:val="20"/>
                <w:lang w:val="en-US"/>
              </w:rPr>
              <w:t>3</w:t>
            </w:r>
            <w:r w:rsidR="00E9158F">
              <w:rPr>
                <w:sz w:val="20"/>
                <w:szCs w:val="20"/>
                <w:lang w:val="en-US"/>
              </w:rPr>
              <w:t>,</w:t>
            </w:r>
            <w:r w:rsidRPr="00E9158F">
              <w:rPr>
                <w:sz w:val="20"/>
                <w:szCs w:val="20"/>
                <w:lang w:val="en-US"/>
              </w:rPr>
              <w:t>440</w:t>
            </w:r>
          </w:p>
        </w:tc>
      </w:tr>
      <w:tr w:rsidR="00D952F2" w:rsidRPr="00E9158F" w:rsidTr="00E9158F">
        <w:trPr>
          <w:trHeight w:val="255"/>
        </w:trPr>
        <w:tc>
          <w:tcPr>
            <w:tcW w:w="1003" w:type="dxa"/>
            <w:noWrap/>
            <w:hideMark/>
          </w:tcPr>
          <w:p w:rsidR="00D952F2" w:rsidRPr="00E9158F" w:rsidRDefault="00D952F2" w:rsidP="00D952F2">
            <w:pPr>
              <w:rPr>
                <w:sz w:val="20"/>
                <w:szCs w:val="20"/>
                <w:lang w:val="en-US"/>
              </w:rPr>
            </w:pPr>
            <w:r w:rsidRPr="00E9158F">
              <w:rPr>
                <w:sz w:val="20"/>
                <w:szCs w:val="20"/>
                <w:lang w:val="en-US"/>
              </w:rPr>
              <w:t>NID</w:t>
            </w:r>
          </w:p>
        </w:tc>
        <w:tc>
          <w:tcPr>
            <w:tcW w:w="1200" w:type="dxa"/>
            <w:noWrap/>
            <w:hideMark/>
          </w:tcPr>
          <w:p w:rsidR="00D952F2" w:rsidRPr="00E9158F" w:rsidRDefault="00D952F2" w:rsidP="00D952F2">
            <w:pPr>
              <w:rPr>
                <w:sz w:val="20"/>
                <w:szCs w:val="20"/>
                <w:lang w:val="en-US"/>
              </w:rPr>
            </w:pPr>
            <w:r w:rsidRPr="00E9158F">
              <w:rPr>
                <w:sz w:val="20"/>
                <w:szCs w:val="20"/>
                <w:lang w:val="en-US"/>
              </w:rPr>
              <w:t>tOPV</w:t>
            </w:r>
          </w:p>
        </w:tc>
        <w:tc>
          <w:tcPr>
            <w:tcW w:w="757" w:type="dxa"/>
            <w:noWrap/>
            <w:hideMark/>
          </w:tcPr>
          <w:p w:rsidR="00D952F2" w:rsidRPr="00E9158F" w:rsidRDefault="00D952F2" w:rsidP="00D952F2">
            <w:pPr>
              <w:rPr>
                <w:sz w:val="20"/>
                <w:szCs w:val="20"/>
                <w:lang w:val="en-US"/>
              </w:rPr>
            </w:pPr>
            <w:r w:rsidRPr="00E9158F">
              <w:rPr>
                <w:sz w:val="20"/>
                <w:szCs w:val="20"/>
                <w:lang w:val="en-US"/>
              </w:rPr>
              <w:t>2016</w:t>
            </w:r>
          </w:p>
        </w:tc>
        <w:tc>
          <w:tcPr>
            <w:tcW w:w="1194" w:type="dxa"/>
            <w:noWrap/>
            <w:hideMark/>
          </w:tcPr>
          <w:p w:rsidR="00D952F2" w:rsidRPr="00E9158F" w:rsidRDefault="00D952F2" w:rsidP="00D952F2">
            <w:pPr>
              <w:rPr>
                <w:sz w:val="20"/>
                <w:szCs w:val="20"/>
                <w:lang w:val="en-US"/>
              </w:rPr>
            </w:pPr>
            <w:r w:rsidRPr="00E9158F">
              <w:rPr>
                <w:sz w:val="20"/>
                <w:szCs w:val="20"/>
                <w:lang w:val="en-US"/>
              </w:rPr>
              <w:t>19/03/2016</w:t>
            </w:r>
          </w:p>
        </w:tc>
        <w:tc>
          <w:tcPr>
            <w:tcW w:w="1209" w:type="dxa"/>
            <w:noWrap/>
            <w:hideMark/>
          </w:tcPr>
          <w:p w:rsidR="00D952F2" w:rsidRPr="00E9158F" w:rsidRDefault="00D952F2" w:rsidP="00D952F2">
            <w:pPr>
              <w:rPr>
                <w:sz w:val="20"/>
                <w:szCs w:val="20"/>
                <w:lang w:val="en-US"/>
              </w:rPr>
            </w:pPr>
            <w:r w:rsidRPr="00E9158F">
              <w:rPr>
                <w:sz w:val="20"/>
                <w:szCs w:val="20"/>
                <w:lang w:val="en-US"/>
              </w:rPr>
              <w:t>22/03/2016</w:t>
            </w:r>
          </w:p>
        </w:tc>
        <w:tc>
          <w:tcPr>
            <w:tcW w:w="1167" w:type="dxa"/>
            <w:noWrap/>
            <w:hideMark/>
          </w:tcPr>
          <w:p w:rsidR="00D952F2" w:rsidRPr="00E9158F" w:rsidRDefault="00D952F2" w:rsidP="00D952F2">
            <w:pPr>
              <w:rPr>
                <w:sz w:val="20"/>
                <w:szCs w:val="20"/>
                <w:lang w:val="en-US"/>
              </w:rPr>
            </w:pPr>
            <w:r w:rsidRPr="00E9158F">
              <w:rPr>
                <w:sz w:val="20"/>
                <w:szCs w:val="20"/>
                <w:lang w:val="en-US"/>
              </w:rPr>
              <w:t>0 to 5 years</w:t>
            </w:r>
          </w:p>
        </w:tc>
        <w:tc>
          <w:tcPr>
            <w:tcW w:w="962" w:type="dxa"/>
            <w:noWrap/>
            <w:hideMark/>
          </w:tcPr>
          <w:p w:rsidR="00D952F2" w:rsidRPr="00E9158F" w:rsidRDefault="00D952F2" w:rsidP="00D952F2">
            <w:pPr>
              <w:rPr>
                <w:sz w:val="20"/>
                <w:szCs w:val="20"/>
                <w:lang w:val="en-US"/>
              </w:rPr>
            </w:pPr>
            <w:r w:rsidRPr="00E9158F">
              <w:rPr>
                <w:sz w:val="20"/>
                <w:szCs w:val="20"/>
                <w:lang w:val="en-US"/>
              </w:rPr>
              <w:t>National</w:t>
            </w:r>
          </w:p>
        </w:tc>
        <w:tc>
          <w:tcPr>
            <w:tcW w:w="996" w:type="dxa"/>
            <w:noWrap/>
            <w:hideMark/>
          </w:tcPr>
          <w:p w:rsidR="00D952F2" w:rsidRPr="00E9158F" w:rsidRDefault="00D952F2" w:rsidP="00D952F2">
            <w:pPr>
              <w:rPr>
                <w:sz w:val="20"/>
                <w:szCs w:val="20"/>
                <w:lang w:val="en-US"/>
              </w:rPr>
            </w:pPr>
            <w:r w:rsidRPr="00E9158F">
              <w:rPr>
                <w:sz w:val="20"/>
                <w:szCs w:val="20"/>
                <w:lang w:val="en-US"/>
              </w:rPr>
              <w:t>Planned</w:t>
            </w:r>
          </w:p>
        </w:tc>
        <w:tc>
          <w:tcPr>
            <w:tcW w:w="1412" w:type="dxa"/>
            <w:noWrap/>
            <w:hideMark/>
          </w:tcPr>
          <w:p w:rsidR="00D952F2" w:rsidRPr="00E9158F" w:rsidRDefault="00D952F2" w:rsidP="00D952F2">
            <w:pPr>
              <w:rPr>
                <w:sz w:val="20"/>
                <w:szCs w:val="20"/>
                <w:lang w:val="en-US"/>
              </w:rPr>
            </w:pPr>
            <w:r w:rsidRPr="00E9158F">
              <w:rPr>
                <w:sz w:val="20"/>
                <w:szCs w:val="20"/>
                <w:lang w:val="en-US"/>
              </w:rPr>
              <w:t>62</w:t>
            </w:r>
            <w:r w:rsidR="00E9158F">
              <w:rPr>
                <w:sz w:val="20"/>
                <w:szCs w:val="20"/>
                <w:lang w:val="en-US"/>
              </w:rPr>
              <w:t>,</w:t>
            </w:r>
            <w:r w:rsidRPr="00E9158F">
              <w:rPr>
                <w:sz w:val="20"/>
                <w:szCs w:val="20"/>
                <w:lang w:val="en-US"/>
              </w:rPr>
              <w:t>037</w:t>
            </w:r>
            <w:r w:rsidR="00E9158F">
              <w:rPr>
                <w:sz w:val="20"/>
                <w:szCs w:val="20"/>
                <w:lang w:val="en-US"/>
              </w:rPr>
              <w:t>,</w:t>
            </w:r>
            <w:r w:rsidRPr="00E9158F">
              <w:rPr>
                <w:sz w:val="20"/>
                <w:szCs w:val="20"/>
                <w:lang w:val="en-US"/>
              </w:rPr>
              <w:t>657</w:t>
            </w:r>
          </w:p>
        </w:tc>
      </w:tr>
      <w:tr w:rsidR="00D952F2" w:rsidRPr="00E9158F" w:rsidTr="00E9158F">
        <w:trPr>
          <w:trHeight w:val="255"/>
        </w:trPr>
        <w:tc>
          <w:tcPr>
            <w:tcW w:w="1003" w:type="dxa"/>
            <w:noWrap/>
            <w:hideMark/>
          </w:tcPr>
          <w:p w:rsidR="00D952F2" w:rsidRPr="00E9158F" w:rsidRDefault="00D952F2" w:rsidP="00D952F2">
            <w:pPr>
              <w:rPr>
                <w:sz w:val="20"/>
                <w:szCs w:val="20"/>
                <w:lang w:val="en-US"/>
              </w:rPr>
            </w:pPr>
            <w:r w:rsidRPr="00E9158F">
              <w:rPr>
                <w:sz w:val="20"/>
                <w:szCs w:val="20"/>
                <w:lang w:val="en-US"/>
              </w:rPr>
              <w:t>SNID</w:t>
            </w:r>
          </w:p>
        </w:tc>
        <w:tc>
          <w:tcPr>
            <w:tcW w:w="1200" w:type="dxa"/>
            <w:noWrap/>
            <w:hideMark/>
          </w:tcPr>
          <w:p w:rsidR="00D952F2" w:rsidRPr="00E9158F" w:rsidRDefault="00D952F2" w:rsidP="00D952F2">
            <w:pPr>
              <w:rPr>
                <w:sz w:val="20"/>
                <w:szCs w:val="20"/>
                <w:lang w:val="en-US"/>
              </w:rPr>
            </w:pPr>
            <w:r w:rsidRPr="00E9158F">
              <w:rPr>
                <w:sz w:val="20"/>
                <w:szCs w:val="20"/>
                <w:lang w:val="en-US"/>
              </w:rPr>
              <w:t>bOPV</w:t>
            </w:r>
          </w:p>
        </w:tc>
        <w:tc>
          <w:tcPr>
            <w:tcW w:w="757" w:type="dxa"/>
            <w:noWrap/>
            <w:hideMark/>
          </w:tcPr>
          <w:p w:rsidR="00D952F2" w:rsidRPr="00E9158F" w:rsidRDefault="00D952F2" w:rsidP="00D952F2">
            <w:pPr>
              <w:rPr>
                <w:sz w:val="20"/>
                <w:szCs w:val="20"/>
                <w:lang w:val="en-US"/>
              </w:rPr>
            </w:pPr>
            <w:r w:rsidRPr="00E9158F">
              <w:rPr>
                <w:sz w:val="20"/>
                <w:szCs w:val="20"/>
                <w:lang w:val="en-US"/>
              </w:rPr>
              <w:t>2016</w:t>
            </w:r>
          </w:p>
        </w:tc>
        <w:tc>
          <w:tcPr>
            <w:tcW w:w="1194" w:type="dxa"/>
            <w:noWrap/>
            <w:hideMark/>
          </w:tcPr>
          <w:p w:rsidR="00D952F2" w:rsidRPr="00E9158F" w:rsidRDefault="00D952F2" w:rsidP="00D952F2">
            <w:pPr>
              <w:rPr>
                <w:sz w:val="20"/>
                <w:szCs w:val="20"/>
                <w:lang w:val="en-US"/>
              </w:rPr>
            </w:pPr>
            <w:r w:rsidRPr="00E9158F">
              <w:rPr>
                <w:sz w:val="20"/>
                <w:szCs w:val="20"/>
                <w:lang w:val="en-US"/>
              </w:rPr>
              <w:t>14/05/2016</w:t>
            </w:r>
          </w:p>
        </w:tc>
        <w:tc>
          <w:tcPr>
            <w:tcW w:w="1209" w:type="dxa"/>
            <w:noWrap/>
            <w:hideMark/>
          </w:tcPr>
          <w:p w:rsidR="00D952F2" w:rsidRPr="00E9158F" w:rsidRDefault="00D952F2" w:rsidP="00D952F2">
            <w:pPr>
              <w:rPr>
                <w:sz w:val="20"/>
                <w:szCs w:val="20"/>
                <w:lang w:val="en-US"/>
              </w:rPr>
            </w:pPr>
            <w:r w:rsidRPr="00E9158F">
              <w:rPr>
                <w:sz w:val="20"/>
                <w:szCs w:val="20"/>
                <w:lang w:val="en-US"/>
              </w:rPr>
              <w:t>18/05/2016</w:t>
            </w:r>
          </w:p>
        </w:tc>
        <w:tc>
          <w:tcPr>
            <w:tcW w:w="1167" w:type="dxa"/>
            <w:noWrap/>
            <w:hideMark/>
          </w:tcPr>
          <w:p w:rsidR="00D952F2" w:rsidRPr="00E9158F" w:rsidRDefault="00D952F2" w:rsidP="00D952F2">
            <w:pPr>
              <w:rPr>
                <w:sz w:val="20"/>
                <w:szCs w:val="20"/>
                <w:lang w:val="en-US"/>
              </w:rPr>
            </w:pPr>
            <w:r w:rsidRPr="00E9158F">
              <w:rPr>
                <w:sz w:val="20"/>
                <w:szCs w:val="20"/>
                <w:lang w:val="en-US"/>
              </w:rPr>
              <w:t>0 to 5 years</w:t>
            </w:r>
          </w:p>
        </w:tc>
        <w:tc>
          <w:tcPr>
            <w:tcW w:w="962" w:type="dxa"/>
            <w:noWrap/>
            <w:hideMark/>
          </w:tcPr>
          <w:p w:rsidR="00D952F2" w:rsidRPr="00E9158F" w:rsidRDefault="00D952F2" w:rsidP="00D952F2">
            <w:pPr>
              <w:rPr>
                <w:sz w:val="20"/>
                <w:szCs w:val="20"/>
                <w:lang w:val="en-US"/>
              </w:rPr>
            </w:pPr>
            <w:r w:rsidRPr="00E9158F">
              <w:rPr>
                <w:sz w:val="20"/>
                <w:szCs w:val="20"/>
                <w:lang w:val="en-US"/>
              </w:rPr>
              <w:t xml:space="preserve"> Sub-National</w:t>
            </w:r>
          </w:p>
        </w:tc>
        <w:tc>
          <w:tcPr>
            <w:tcW w:w="996" w:type="dxa"/>
            <w:noWrap/>
            <w:hideMark/>
          </w:tcPr>
          <w:p w:rsidR="00D952F2" w:rsidRPr="00E9158F" w:rsidRDefault="00D952F2" w:rsidP="00D952F2">
            <w:pPr>
              <w:rPr>
                <w:sz w:val="20"/>
                <w:szCs w:val="20"/>
                <w:lang w:val="en-US"/>
              </w:rPr>
            </w:pPr>
            <w:r w:rsidRPr="00E9158F">
              <w:rPr>
                <w:sz w:val="20"/>
                <w:szCs w:val="20"/>
                <w:lang w:val="en-US"/>
              </w:rPr>
              <w:t>Planned</w:t>
            </w:r>
          </w:p>
        </w:tc>
        <w:tc>
          <w:tcPr>
            <w:tcW w:w="1412" w:type="dxa"/>
            <w:noWrap/>
            <w:hideMark/>
          </w:tcPr>
          <w:p w:rsidR="00D952F2" w:rsidRPr="00E9158F" w:rsidRDefault="00D952F2" w:rsidP="00D952F2">
            <w:pPr>
              <w:rPr>
                <w:sz w:val="20"/>
                <w:szCs w:val="20"/>
                <w:lang w:val="en-US"/>
              </w:rPr>
            </w:pPr>
            <w:r w:rsidRPr="00E9158F">
              <w:rPr>
                <w:sz w:val="20"/>
                <w:szCs w:val="20"/>
                <w:lang w:val="en-US"/>
              </w:rPr>
              <w:t>30</w:t>
            </w:r>
            <w:r w:rsidR="00E9158F">
              <w:rPr>
                <w:sz w:val="20"/>
                <w:szCs w:val="20"/>
                <w:lang w:val="en-US"/>
              </w:rPr>
              <w:t>,</w:t>
            </w:r>
            <w:r w:rsidRPr="00E9158F">
              <w:rPr>
                <w:sz w:val="20"/>
                <w:szCs w:val="20"/>
                <w:lang w:val="en-US"/>
              </w:rPr>
              <w:t>000</w:t>
            </w:r>
            <w:r w:rsidR="00E9158F">
              <w:rPr>
                <w:sz w:val="20"/>
                <w:szCs w:val="20"/>
                <w:lang w:val="en-US"/>
              </w:rPr>
              <w:t>,</w:t>
            </w:r>
            <w:r w:rsidRPr="00E9158F">
              <w:rPr>
                <w:sz w:val="20"/>
                <w:szCs w:val="20"/>
                <w:lang w:val="en-US"/>
              </w:rPr>
              <w:t>000</w:t>
            </w:r>
          </w:p>
        </w:tc>
      </w:tr>
      <w:tr w:rsidR="00D952F2" w:rsidRPr="00E9158F" w:rsidTr="00E9158F">
        <w:trPr>
          <w:trHeight w:val="255"/>
        </w:trPr>
        <w:tc>
          <w:tcPr>
            <w:tcW w:w="1003" w:type="dxa"/>
            <w:noWrap/>
            <w:hideMark/>
          </w:tcPr>
          <w:p w:rsidR="00D952F2" w:rsidRPr="00E9158F" w:rsidRDefault="00D952F2" w:rsidP="00D952F2">
            <w:pPr>
              <w:rPr>
                <w:sz w:val="20"/>
                <w:szCs w:val="20"/>
                <w:lang w:val="en-US"/>
              </w:rPr>
            </w:pPr>
            <w:r w:rsidRPr="00E9158F">
              <w:rPr>
                <w:sz w:val="20"/>
                <w:szCs w:val="20"/>
                <w:lang w:val="en-US"/>
              </w:rPr>
              <w:t>SNID</w:t>
            </w:r>
          </w:p>
        </w:tc>
        <w:tc>
          <w:tcPr>
            <w:tcW w:w="1200" w:type="dxa"/>
            <w:noWrap/>
            <w:hideMark/>
          </w:tcPr>
          <w:p w:rsidR="00D952F2" w:rsidRPr="00E9158F" w:rsidRDefault="00D952F2" w:rsidP="00D952F2">
            <w:pPr>
              <w:rPr>
                <w:sz w:val="20"/>
                <w:szCs w:val="20"/>
                <w:lang w:val="en-US"/>
              </w:rPr>
            </w:pPr>
            <w:r w:rsidRPr="00E9158F">
              <w:rPr>
                <w:sz w:val="20"/>
                <w:szCs w:val="20"/>
                <w:lang w:val="en-US"/>
              </w:rPr>
              <w:t>tOPV</w:t>
            </w:r>
          </w:p>
        </w:tc>
        <w:tc>
          <w:tcPr>
            <w:tcW w:w="757" w:type="dxa"/>
            <w:noWrap/>
            <w:hideMark/>
          </w:tcPr>
          <w:p w:rsidR="00D952F2" w:rsidRPr="00E9158F" w:rsidRDefault="00D952F2" w:rsidP="00D952F2">
            <w:pPr>
              <w:rPr>
                <w:sz w:val="20"/>
                <w:szCs w:val="20"/>
                <w:lang w:val="en-US"/>
              </w:rPr>
            </w:pPr>
            <w:r w:rsidRPr="00E9158F">
              <w:rPr>
                <w:sz w:val="20"/>
                <w:szCs w:val="20"/>
                <w:lang w:val="en-US"/>
              </w:rPr>
              <w:t>2016</w:t>
            </w:r>
          </w:p>
        </w:tc>
        <w:tc>
          <w:tcPr>
            <w:tcW w:w="1194" w:type="dxa"/>
            <w:noWrap/>
            <w:hideMark/>
          </w:tcPr>
          <w:p w:rsidR="00D952F2" w:rsidRPr="00E9158F" w:rsidRDefault="00D952F2" w:rsidP="00D952F2">
            <w:pPr>
              <w:rPr>
                <w:sz w:val="20"/>
                <w:szCs w:val="20"/>
                <w:lang w:val="en-US"/>
              </w:rPr>
            </w:pPr>
            <w:r w:rsidRPr="00E9158F">
              <w:rPr>
                <w:sz w:val="20"/>
                <w:szCs w:val="20"/>
                <w:lang w:val="en-US"/>
              </w:rPr>
              <w:t>16/01/2016</w:t>
            </w:r>
          </w:p>
        </w:tc>
        <w:tc>
          <w:tcPr>
            <w:tcW w:w="1209" w:type="dxa"/>
            <w:noWrap/>
            <w:hideMark/>
          </w:tcPr>
          <w:p w:rsidR="00D952F2" w:rsidRPr="00E9158F" w:rsidRDefault="00D952F2" w:rsidP="00D952F2">
            <w:pPr>
              <w:rPr>
                <w:sz w:val="20"/>
                <w:szCs w:val="20"/>
                <w:lang w:val="en-US"/>
              </w:rPr>
            </w:pPr>
            <w:r w:rsidRPr="00E9158F">
              <w:rPr>
                <w:sz w:val="20"/>
                <w:szCs w:val="20"/>
                <w:lang w:val="en-US"/>
              </w:rPr>
              <w:t>19/01/2016</w:t>
            </w:r>
          </w:p>
        </w:tc>
        <w:tc>
          <w:tcPr>
            <w:tcW w:w="1167" w:type="dxa"/>
            <w:noWrap/>
            <w:hideMark/>
          </w:tcPr>
          <w:p w:rsidR="00D952F2" w:rsidRPr="00E9158F" w:rsidRDefault="00D952F2" w:rsidP="00D952F2">
            <w:pPr>
              <w:rPr>
                <w:sz w:val="20"/>
                <w:szCs w:val="20"/>
                <w:lang w:val="en-US"/>
              </w:rPr>
            </w:pPr>
            <w:r w:rsidRPr="00E9158F">
              <w:rPr>
                <w:sz w:val="20"/>
                <w:szCs w:val="20"/>
                <w:lang w:val="en-US"/>
              </w:rPr>
              <w:t>0 to 5 years</w:t>
            </w:r>
          </w:p>
        </w:tc>
        <w:tc>
          <w:tcPr>
            <w:tcW w:w="962" w:type="dxa"/>
            <w:noWrap/>
            <w:hideMark/>
          </w:tcPr>
          <w:p w:rsidR="00D952F2" w:rsidRPr="00E9158F" w:rsidRDefault="00D952F2" w:rsidP="00D952F2">
            <w:pPr>
              <w:rPr>
                <w:sz w:val="20"/>
                <w:szCs w:val="20"/>
                <w:lang w:val="en-US"/>
              </w:rPr>
            </w:pPr>
            <w:r w:rsidRPr="00E9158F">
              <w:rPr>
                <w:sz w:val="20"/>
                <w:szCs w:val="20"/>
                <w:lang w:val="en-US"/>
              </w:rPr>
              <w:t xml:space="preserve"> Sub-National</w:t>
            </w:r>
          </w:p>
        </w:tc>
        <w:tc>
          <w:tcPr>
            <w:tcW w:w="996" w:type="dxa"/>
            <w:noWrap/>
            <w:hideMark/>
          </w:tcPr>
          <w:p w:rsidR="00D952F2" w:rsidRPr="00E9158F" w:rsidRDefault="00D952F2" w:rsidP="00D952F2">
            <w:pPr>
              <w:rPr>
                <w:sz w:val="20"/>
                <w:szCs w:val="20"/>
                <w:lang w:val="en-US"/>
              </w:rPr>
            </w:pPr>
            <w:r w:rsidRPr="00E9158F">
              <w:rPr>
                <w:sz w:val="20"/>
                <w:szCs w:val="20"/>
                <w:lang w:val="en-US"/>
              </w:rPr>
              <w:t>Planned</w:t>
            </w:r>
          </w:p>
        </w:tc>
        <w:tc>
          <w:tcPr>
            <w:tcW w:w="1412" w:type="dxa"/>
            <w:noWrap/>
            <w:hideMark/>
          </w:tcPr>
          <w:p w:rsidR="00D952F2" w:rsidRPr="00E9158F" w:rsidRDefault="00D952F2" w:rsidP="00D952F2">
            <w:pPr>
              <w:rPr>
                <w:sz w:val="20"/>
                <w:szCs w:val="20"/>
                <w:lang w:val="en-US"/>
              </w:rPr>
            </w:pPr>
            <w:r w:rsidRPr="00E9158F">
              <w:rPr>
                <w:sz w:val="20"/>
                <w:szCs w:val="20"/>
                <w:lang w:val="en-US"/>
              </w:rPr>
              <w:t>27</w:t>
            </w:r>
            <w:r w:rsidR="00E9158F">
              <w:rPr>
                <w:sz w:val="20"/>
                <w:szCs w:val="20"/>
                <w:lang w:val="en-US"/>
              </w:rPr>
              <w:t>,</w:t>
            </w:r>
            <w:r w:rsidRPr="00E9158F">
              <w:rPr>
                <w:sz w:val="20"/>
                <w:szCs w:val="20"/>
                <w:lang w:val="en-US"/>
              </w:rPr>
              <w:t>500</w:t>
            </w:r>
            <w:r w:rsidR="00E9158F">
              <w:rPr>
                <w:sz w:val="20"/>
                <w:szCs w:val="20"/>
                <w:lang w:val="en-US"/>
              </w:rPr>
              <w:t>,</w:t>
            </w:r>
            <w:r w:rsidRPr="00E9158F">
              <w:rPr>
                <w:sz w:val="20"/>
                <w:szCs w:val="20"/>
                <w:lang w:val="en-US"/>
              </w:rPr>
              <w:t>275</w:t>
            </w:r>
          </w:p>
        </w:tc>
      </w:tr>
      <w:tr w:rsidR="00D952F2" w:rsidRPr="00E9158F" w:rsidTr="00E9158F">
        <w:trPr>
          <w:trHeight w:val="255"/>
        </w:trPr>
        <w:tc>
          <w:tcPr>
            <w:tcW w:w="1003" w:type="dxa"/>
            <w:noWrap/>
            <w:hideMark/>
          </w:tcPr>
          <w:p w:rsidR="00D952F2" w:rsidRPr="00E9158F" w:rsidRDefault="00D952F2" w:rsidP="00D952F2">
            <w:pPr>
              <w:rPr>
                <w:sz w:val="20"/>
                <w:szCs w:val="20"/>
                <w:lang w:val="en-US"/>
              </w:rPr>
            </w:pPr>
            <w:r w:rsidRPr="00E9158F">
              <w:rPr>
                <w:sz w:val="20"/>
                <w:szCs w:val="20"/>
                <w:lang w:val="en-US"/>
              </w:rPr>
              <w:t>Mop</w:t>
            </w:r>
            <w:r w:rsidR="00E9158F">
              <w:rPr>
                <w:sz w:val="20"/>
                <w:szCs w:val="20"/>
                <w:lang w:val="en-US"/>
              </w:rPr>
              <w:t xml:space="preserve"> </w:t>
            </w:r>
            <w:r w:rsidRPr="00E9158F">
              <w:rPr>
                <w:sz w:val="20"/>
                <w:szCs w:val="20"/>
                <w:lang w:val="en-US"/>
              </w:rPr>
              <w:t>up</w:t>
            </w:r>
          </w:p>
        </w:tc>
        <w:tc>
          <w:tcPr>
            <w:tcW w:w="1200" w:type="dxa"/>
            <w:noWrap/>
            <w:hideMark/>
          </w:tcPr>
          <w:p w:rsidR="00D952F2" w:rsidRPr="00E9158F" w:rsidRDefault="00D952F2" w:rsidP="00D952F2">
            <w:pPr>
              <w:rPr>
                <w:sz w:val="20"/>
                <w:szCs w:val="20"/>
                <w:lang w:val="en-US"/>
              </w:rPr>
            </w:pPr>
            <w:r w:rsidRPr="00E9158F">
              <w:rPr>
                <w:sz w:val="20"/>
                <w:szCs w:val="20"/>
                <w:lang w:val="en-US"/>
              </w:rPr>
              <w:t>IPV + mOPV2</w:t>
            </w:r>
          </w:p>
        </w:tc>
        <w:tc>
          <w:tcPr>
            <w:tcW w:w="757" w:type="dxa"/>
            <w:noWrap/>
            <w:hideMark/>
          </w:tcPr>
          <w:p w:rsidR="00D952F2" w:rsidRPr="00E9158F" w:rsidRDefault="00D952F2" w:rsidP="00D952F2">
            <w:pPr>
              <w:rPr>
                <w:sz w:val="20"/>
                <w:szCs w:val="20"/>
                <w:lang w:val="en-US"/>
              </w:rPr>
            </w:pPr>
            <w:r w:rsidRPr="00E9158F">
              <w:rPr>
                <w:sz w:val="20"/>
                <w:szCs w:val="20"/>
                <w:lang w:val="en-US"/>
              </w:rPr>
              <w:t>2016</w:t>
            </w:r>
          </w:p>
        </w:tc>
        <w:tc>
          <w:tcPr>
            <w:tcW w:w="1194" w:type="dxa"/>
            <w:noWrap/>
            <w:hideMark/>
          </w:tcPr>
          <w:p w:rsidR="00D952F2" w:rsidRPr="00E9158F" w:rsidRDefault="00D952F2" w:rsidP="00D952F2">
            <w:pPr>
              <w:rPr>
                <w:sz w:val="20"/>
                <w:szCs w:val="20"/>
                <w:lang w:val="en-US"/>
              </w:rPr>
            </w:pPr>
            <w:r w:rsidRPr="00E9158F">
              <w:rPr>
                <w:sz w:val="20"/>
                <w:szCs w:val="20"/>
                <w:lang w:val="en-US"/>
              </w:rPr>
              <w:t>09/07/2016</w:t>
            </w:r>
          </w:p>
        </w:tc>
        <w:tc>
          <w:tcPr>
            <w:tcW w:w="1209" w:type="dxa"/>
            <w:noWrap/>
            <w:hideMark/>
          </w:tcPr>
          <w:p w:rsidR="00D952F2" w:rsidRPr="00E9158F" w:rsidRDefault="00D952F2" w:rsidP="00D952F2">
            <w:pPr>
              <w:rPr>
                <w:sz w:val="20"/>
                <w:szCs w:val="20"/>
                <w:lang w:val="en-US"/>
              </w:rPr>
            </w:pPr>
            <w:r w:rsidRPr="00E9158F">
              <w:rPr>
                <w:sz w:val="20"/>
                <w:szCs w:val="20"/>
                <w:lang w:val="en-US"/>
              </w:rPr>
              <w:t>16/07/2016</w:t>
            </w:r>
          </w:p>
        </w:tc>
        <w:tc>
          <w:tcPr>
            <w:tcW w:w="1167" w:type="dxa"/>
            <w:noWrap/>
            <w:hideMark/>
          </w:tcPr>
          <w:p w:rsidR="00D952F2" w:rsidRPr="00E9158F" w:rsidRDefault="00D952F2" w:rsidP="00D952F2">
            <w:pPr>
              <w:rPr>
                <w:sz w:val="20"/>
                <w:szCs w:val="20"/>
                <w:lang w:val="en-US"/>
              </w:rPr>
            </w:pPr>
            <w:r w:rsidRPr="00E9158F">
              <w:rPr>
                <w:sz w:val="20"/>
                <w:szCs w:val="20"/>
                <w:lang w:val="en-US"/>
              </w:rPr>
              <w:t>0 to 5 years,0-23M</w:t>
            </w:r>
          </w:p>
        </w:tc>
        <w:tc>
          <w:tcPr>
            <w:tcW w:w="962" w:type="dxa"/>
            <w:noWrap/>
            <w:hideMark/>
          </w:tcPr>
          <w:p w:rsidR="00D952F2" w:rsidRPr="00E9158F" w:rsidRDefault="00D952F2" w:rsidP="00D952F2">
            <w:pPr>
              <w:rPr>
                <w:sz w:val="20"/>
                <w:szCs w:val="20"/>
                <w:lang w:val="en-US"/>
              </w:rPr>
            </w:pPr>
            <w:r w:rsidRPr="00E9158F">
              <w:rPr>
                <w:sz w:val="20"/>
                <w:szCs w:val="20"/>
                <w:lang w:val="en-US"/>
              </w:rPr>
              <w:t xml:space="preserve"> Sub-National</w:t>
            </w:r>
          </w:p>
        </w:tc>
        <w:tc>
          <w:tcPr>
            <w:tcW w:w="996" w:type="dxa"/>
            <w:noWrap/>
            <w:hideMark/>
          </w:tcPr>
          <w:p w:rsidR="00D952F2" w:rsidRPr="00E9158F" w:rsidRDefault="00D952F2" w:rsidP="00D952F2">
            <w:pPr>
              <w:rPr>
                <w:sz w:val="20"/>
                <w:szCs w:val="20"/>
                <w:lang w:val="en-US"/>
              </w:rPr>
            </w:pPr>
            <w:r w:rsidRPr="00E9158F">
              <w:rPr>
                <w:sz w:val="20"/>
                <w:szCs w:val="20"/>
                <w:lang w:val="en-US"/>
              </w:rPr>
              <w:t>Planned</w:t>
            </w:r>
          </w:p>
        </w:tc>
        <w:tc>
          <w:tcPr>
            <w:tcW w:w="1412" w:type="dxa"/>
            <w:noWrap/>
            <w:hideMark/>
          </w:tcPr>
          <w:p w:rsidR="00D952F2" w:rsidRPr="00E9158F" w:rsidRDefault="00D952F2" w:rsidP="00D952F2">
            <w:pPr>
              <w:rPr>
                <w:sz w:val="20"/>
                <w:szCs w:val="20"/>
                <w:lang w:val="en-US"/>
              </w:rPr>
            </w:pPr>
            <w:r w:rsidRPr="00E9158F">
              <w:rPr>
                <w:sz w:val="20"/>
                <w:szCs w:val="20"/>
                <w:lang w:val="en-US"/>
              </w:rPr>
              <w:t>2</w:t>
            </w:r>
            <w:r w:rsidR="00E9158F">
              <w:rPr>
                <w:sz w:val="20"/>
                <w:szCs w:val="20"/>
                <w:lang w:val="en-US"/>
              </w:rPr>
              <w:t>,</w:t>
            </w:r>
            <w:r w:rsidRPr="00E9158F">
              <w:rPr>
                <w:sz w:val="20"/>
                <w:szCs w:val="20"/>
                <w:lang w:val="en-US"/>
              </w:rPr>
              <w:t>534</w:t>
            </w:r>
            <w:r w:rsidR="00E9158F">
              <w:rPr>
                <w:sz w:val="20"/>
                <w:szCs w:val="20"/>
                <w:lang w:val="en-US"/>
              </w:rPr>
              <w:t>,</w:t>
            </w:r>
            <w:r w:rsidRPr="00E9158F">
              <w:rPr>
                <w:sz w:val="20"/>
                <w:szCs w:val="20"/>
                <w:lang w:val="en-US"/>
              </w:rPr>
              <w:t>469</w:t>
            </w:r>
          </w:p>
        </w:tc>
      </w:tr>
      <w:tr w:rsidR="00D952F2" w:rsidRPr="00E9158F" w:rsidTr="00E9158F">
        <w:trPr>
          <w:trHeight w:val="255"/>
        </w:trPr>
        <w:tc>
          <w:tcPr>
            <w:tcW w:w="1003" w:type="dxa"/>
            <w:noWrap/>
            <w:hideMark/>
          </w:tcPr>
          <w:p w:rsidR="00D952F2" w:rsidRPr="00E9158F" w:rsidRDefault="00D952F2" w:rsidP="00D952F2">
            <w:pPr>
              <w:rPr>
                <w:sz w:val="20"/>
                <w:szCs w:val="20"/>
                <w:lang w:val="en-US"/>
              </w:rPr>
            </w:pPr>
            <w:r w:rsidRPr="00E9158F">
              <w:rPr>
                <w:sz w:val="20"/>
                <w:szCs w:val="20"/>
                <w:lang w:val="en-US"/>
              </w:rPr>
              <w:t>Mop</w:t>
            </w:r>
            <w:r w:rsidR="00E9158F">
              <w:rPr>
                <w:sz w:val="20"/>
                <w:szCs w:val="20"/>
                <w:lang w:val="en-US"/>
              </w:rPr>
              <w:t xml:space="preserve"> </w:t>
            </w:r>
            <w:r w:rsidRPr="00E9158F">
              <w:rPr>
                <w:sz w:val="20"/>
                <w:szCs w:val="20"/>
                <w:lang w:val="en-US"/>
              </w:rPr>
              <w:t>up</w:t>
            </w:r>
          </w:p>
        </w:tc>
        <w:tc>
          <w:tcPr>
            <w:tcW w:w="1200" w:type="dxa"/>
            <w:noWrap/>
            <w:hideMark/>
          </w:tcPr>
          <w:p w:rsidR="00D952F2" w:rsidRPr="00E9158F" w:rsidRDefault="00D952F2" w:rsidP="00D952F2">
            <w:pPr>
              <w:rPr>
                <w:sz w:val="20"/>
                <w:szCs w:val="20"/>
                <w:lang w:val="en-US"/>
              </w:rPr>
            </w:pPr>
            <w:r w:rsidRPr="00E9158F">
              <w:rPr>
                <w:sz w:val="20"/>
                <w:szCs w:val="20"/>
                <w:lang w:val="en-US"/>
              </w:rPr>
              <w:t>mOPV2</w:t>
            </w:r>
          </w:p>
        </w:tc>
        <w:tc>
          <w:tcPr>
            <w:tcW w:w="757" w:type="dxa"/>
            <w:noWrap/>
            <w:hideMark/>
          </w:tcPr>
          <w:p w:rsidR="00D952F2" w:rsidRPr="00E9158F" w:rsidRDefault="00D952F2" w:rsidP="00D952F2">
            <w:pPr>
              <w:rPr>
                <w:sz w:val="20"/>
                <w:szCs w:val="20"/>
                <w:lang w:val="en-US"/>
              </w:rPr>
            </w:pPr>
            <w:r w:rsidRPr="00E9158F">
              <w:rPr>
                <w:sz w:val="20"/>
                <w:szCs w:val="20"/>
                <w:lang w:val="en-US"/>
              </w:rPr>
              <w:t>2016</w:t>
            </w:r>
          </w:p>
        </w:tc>
        <w:tc>
          <w:tcPr>
            <w:tcW w:w="1194" w:type="dxa"/>
            <w:noWrap/>
            <w:hideMark/>
          </w:tcPr>
          <w:p w:rsidR="00D952F2" w:rsidRPr="00E9158F" w:rsidRDefault="00D952F2" w:rsidP="00D952F2">
            <w:pPr>
              <w:rPr>
                <w:sz w:val="20"/>
                <w:szCs w:val="20"/>
                <w:lang w:val="en-US"/>
              </w:rPr>
            </w:pPr>
            <w:r w:rsidRPr="00E9158F">
              <w:rPr>
                <w:sz w:val="20"/>
                <w:szCs w:val="20"/>
                <w:lang w:val="en-US"/>
              </w:rPr>
              <w:t>25/06/2016</w:t>
            </w:r>
          </w:p>
        </w:tc>
        <w:tc>
          <w:tcPr>
            <w:tcW w:w="1209" w:type="dxa"/>
            <w:noWrap/>
            <w:hideMark/>
          </w:tcPr>
          <w:p w:rsidR="00D952F2" w:rsidRPr="00E9158F" w:rsidRDefault="00D952F2" w:rsidP="00D952F2">
            <w:pPr>
              <w:rPr>
                <w:sz w:val="20"/>
                <w:szCs w:val="20"/>
                <w:lang w:val="en-US"/>
              </w:rPr>
            </w:pPr>
            <w:r w:rsidRPr="00E9158F">
              <w:rPr>
                <w:sz w:val="20"/>
                <w:szCs w:val="20"/>
                <w:lang w:val="en-US"/>
              </w:rPr>
              <w:t>28/06/2016</w:t>
            </w:r>
          </w:p>
        </w:tc>
        <w:tc>
          <w:tcPr>
            <w:tcW w:w="1167" w:type="dxa"/>
            <w:noWrap/>
            <w:hideMark/>
          </w:tcPr>
          <w:p w:rsidR="00D952F2" w:rsidRPr="00E9158F" w:rsidRDefault="00D952F2" w:rsidP="00D952F2">
            <w:pPr>
              <w:rPr>
                <w:sz w:val="20"/>
                <w:szCs w:val="20"/>
                <w:lang w:val="en-US"/>
              </w:rPr>
            </w:pPr>
            <w:r w:rsidRPr="00E9158F">
              <w:rPr>
                <w:sz w:val="20"/>
                <w:szCs w:val="20"/>
                <w:lang w:val="en-US"/>
              </w:rPr>
              <w:t>0 to 5 years</w:t>
            </w:r>
          </w:p>
        </w:tc>
        <w:tc>
          <w:tcPr>
            <w:tcW w:w="962" w:type="dxa"/>
            <w:noWrap/>
            <w:hideMark/>
          </w:tcPr>
          <w:p w:rsidR="00D952F2" w:rsidRPr="00E9158F" w:rsidRDefault="00D952F2" w:rsidP="00D952F2">
            <w:pPr>
              <w:rPr>
                <w:sz w:val="20"/>
                <w:szCs w:val="20"/>
                <w:lang w:val="en-US"/>
              </w:rPr>
            </w:pPr>
            <w:r w:rsidRPr="00E9158F">
              <w:rPr>
                <w:sz w:val="20"/>
                <w:szCs w:val="20"/>
                <w:lang w:val="en-US"/>
              </w:rPr>
              <w:t xml:space="preserve"> Sub-National</w:t>
            </w:r>
          </w:p>
        </w:tc>
        <w:tc>
          <w:tcPr>
            <w:tcW w:w="996" w:type="dxa"/>
            <w:noWrap/>
            <w:hideMark/>
          </w:tcPr>
          <w:p w:rsidR="00D952F2" w:rsidRPr="00E9158F" w:rsidRDefault="00D952F2" w:rsidP="00D952F2">
            <w:pPr>
              <w:rPr>
                <w:sz w:val="20"/>
                <w:szCs w:val="20"/>
                <w:lang w:val="en-US"/>
              </w:rPr>
            </w:pPr>
            <w:r w:rsidRPr="00E9158F">
              <w:rPr>
                <w:sz w:val="20"/>
                <w:szCs w:val="20"/>
                <w:lang w:val="en-US"/>
              </w:rPr>
              <w:t>Planned</w:t>
            </w:r>
          </w:p>
        </w:tc>
        <w:tc>
          <w:tcPr>
            <w:tcW w:w="1412" w:type="dxa"/>
            <w:noWrap/>
            <w:hideMark/>
          </w:tcPr>
          <w:p w:rsidR="00D952F2" w:rsidRPr="00E9158F" w:rsidRDefault="00D952F2" w:rsidP="00D952F2">
            <w:pPr>
              <w:rPr>
                <w:sz w:val="20"/>
                <w:szCs w:val="20"/>
                <w:lang w:val="en-US"/>
              </w:rPr>
            </w:pPr>
            <w:r w:rsidRPr="00E9158F">
              <w:rPr>
                <w:sz w:val="20"/>
                <w:szCs w:val="20"/>
                <w:lang w:val="en-US"/>
              </w:rPr>
              <w:t>1</w:t>
            </w:r>
            <w:r w:rsidR="00E9158F">
              <w:rPr>
                <w:sz w:val="20"/>
                <w:szCs w:val="20"/>
                <w:lang w:val="en-US"/>
              </w:rPr>
              <w:t>,</w:t>
            </w:r>
            <w:r w:rsidRPr="00E9158F">
              <w:rPr>
                <w:sz w:val="20"/>
                <w:szCs w:val="20"/>
                <w:lang w:val="en-US"/>
              </w:rPr>
              <w:t>957</w:t>
            </w:r>
            <w:r w:rsidR="00E9158F">
              <w:rPr>
                <w:sz w:val="20"/>
                <w:szCs w:val="20"/>
                <w:lang w:val="en-US"/>
              </w:rPr>
              <w:t>,</w:t>
            </w:r>
            <w:r w:rsidRPr="00E9158F">
              <w:rPr>
                <w:sz w:val="20"/>
                <w:szCs w:val="20"/>
                <w:lang w:val="en-US"/>
              </w:rPr>
              <w:t>604</w:t>
            </w:r>
          </w:p>
        </w:tc>
      </w:tr>
      <w:tr w:rsidR="00D952F2" w:rsidRPr="00E9158F" w:rsidTr="00E9158F">
        <w:trPr>
          <w:trHeight w:val="255"/>
        </w:trPr>
        <w:tc>
          <w:tcPr>
            <w:tcW w:w="1003" w:type="dxa"/>
            <w:noWrap/>
            <w:hideMark/>
          </w:tcPr>
          <w:p w:rsidR="00D952F2" w:rsidRPr="00E9158F" w:rsidRDefault="00D952F2" w:rsidP="00D952F2">
            <w:pPr>
              <w:rPr>
                <w:sz w:val="20"/>
                <w:szCs w:val="20"/>
                <w:lang w:val="en-US"/>
              </w:rPr>
            </w:pPr>
            <w:r w:rsidRPr="00E9158F">
              <w:rPr>
                <w:sz w:val="20"/>
                <w:szCs w:val="20"/>
                <w:lang w:val="en-US"/>
              </w:rPr>
              <w:t>Mop</w:t>
            </w:r>
            <w:r w:rsidR="00E9158F">
              <w:rPr>
                <w:sz w:val="20"/>
                <w:szCs w:val="20"/>
                <w:lang w:val="en-US"/>
              </w:rPr>
              <w:t xml:space="preserve"> </w:t>
            </w:r>
            <w:r w:rsidRPr="00E9158F">
              <w:rPr>
                <w:sz w:val="20"/>
                <w:szCs w:val="20"/>
                <w:lang w:val="en-US"/>
              </w:rPr>
              <w:t>up</w:t>
            </w:r>
          </w:p>
        </w:tc>
        <w:tc>
          <w:tcPr>
            <w:tcW w:w="1200" w:type="dxa"/>
            <w:noWrap/>
            <w:hideMark/>
          </w:tcPr>
          <w:p w:rsidR="00D952F2" w:rsidRPr="00E9158F" w:rsidRDefault="00D952F2" w:rsidP="00D952F2">
            <w:pPr>
              <w:rPr>
                <w:sz w:val="20"/>
                <w:szCs w:val="20"/>
                <w:lang w:val="en-US"/>
              </w:rPr>
            </w:pPr>
            <w:r w:rsidRPr="00E9158F">
              <w:rPr>
                <w:sz w:val="20"/>
                <w:szCs w:val="20"/>
                <w:lang w:val="en-US"/>
              </w:rPr>
              <w:t>mOPV2</w:t>
            </w:r>
          </w:p>
        </w:tc>
        <w:tc>
          <w:tcPr>
            <w:tcW w:w="757" w:type="dxa"/>
            <w:noWrap/>
            <w:hideMark/>
          </w:tcPr>
          <w:p w:rsidR="00D952F2" w:rsidRPr="00E9158F" w:rsidRDefault="00D952F2" w:rsidP="00D952F2">
            <w:pPr>
              <w:rPr>
                <w:sz w:val="20"/>
                <w:szCs w:val="20"/>
                <w:lang w:val="en-US"/>
              </w:rPr>
            </w:pPr>
            <w:r w:rsidRPr="00E9158F">
              <w:rPr>
                <w:sz w:val="20"/>
                <w:szCs w:val="20"/>
                <w:lang w:val="en-US"/>
              </w:rPr>
              <w:t>2016</w:t>
            </w:r>
          </w:p>
        </w:tc>
        <w:tc>
          <w:tcPr>
            <w:tcW w:w="1194" w:type="dxa"/>
            <w:noWrap/>
            <w:hideMark/>
          </w:tcPr>
          <w:p w:rsidR="00D952F2" w:rsidRPr="00E9158F" w:rsidRDefault="00D952F2" w:rsidP="00D952F2">
            <w:pPr>
              <w:rPr>
                <w:sz w:val="20"/>
                <w:szCs w:val="20"/>
                <w:lang w:val="en-US"/>
              </w:rPr>
            </w:pPr>
            <w:r w:rsidRPr="00E9158F">
              <w:rPr>
                <w:sz w:val="20"/>
                <w:szCs w:val="20"/>
                <w:lang w:val="en-US"/>
              </w:rPr>
              <w:t>23/07/2016</w:t>
            </w:r>
          </w:p>
        </w:tc>
        <w:tc>
          <w:tcPr>
            <w:tcW w:w="1209" w:type="dxa"/>
            <w:noWrap/>
            <w:hideMark/>
          </w:tcPr>
          <w:p w:rsidR="00D952F2" w:rsidRPr="00E9158F" w:rsidRDefault="00D952F2" w:rsidP="00D952F2">
            <w:pPr>
              <w:rPr>
                <w:sz w:val="20"/>
                <w:szCs w:val="20"/>
                <w:lang w:val="en-US"/>
              </w:rPr>
            </w:pPr>
            <w:r w:rsidRPr="00E9158F">
              <w:rPr>
                <w:sz w:val="20"/>
                <w:szCs w:val="20"/>
                <w:lang w:val="en-US"/>
              </w:rPr>
              <w:t>26/07/2016</w:t>
            </w:r>
          </w:p>
        </w:tc>
        <w:tc>
          <w:tcPr>
            <w:tcW w:w="1167" w:type="dxa"/>
            <w:noWrap/>
            <w:hideMark/>
          </w:tcPr>
          <w:p w:rsidR="00D952F2" w:rsidRPr="00E9158F" w:rsidRDefault="00D952F2" w:rsidP="00D952F2">
            <w:pPr>
              <w:rPr>
                <w:sz w:val="20"/>
                <w:szCs w:val="20"/>
                <w:lang w:val="en-US"/>
              </w:rPr>
            </w:pPr>
            <w:r w:rsidRPr="00E9158F">
              <w:rPr>
                <w:sz w:val="20"/>
                <w:szCs w:val="20"/>
                <w:lang w:val="en-US"/>
              </w:rPr>
              <w:t>0 to 5 years</w:t>
            </w:r>
          </w:p>
        </w:tc>
        <w:tc>
          <w:tcPr>
            <w:tcW w:w="962" w:type="dxa"/>
            <w:noWrap/>
            <w:hideMark/>
          </w:tcPr>
          <w:p w:rsidR="00D952F2" w:rsidRPr="00E9158F" w:rsidRDefault="00D952F2" w:rsidP="00D952F2">
            <w:pPr>
              <w:rPr>
                <w:sz w:val="20"/>
                <w:szCs w:val="20"/>
                <w:lang w:val="en-US"/>
              </w:rPr>
            </w:pPr>
            <w:r w:rsidRPr="00E9158F">
              <w:rPr>
                <w:sz w:val="20"/>
                <w:szCs w:val="20"/>
                <w:lang w:val="en-US"/>
              </w:rPr>
              <w:t xml:space="preserve"> Sub-National</w:t>
            </w:r>
          </w:p>
        </w:tc>
        <w:tc>
          <w:tcPr>
            <w:tcW w:w="996" w:type="dxa"/>
            <w:noWrap/>
            <w:hideMark/>
          </w:tcPr>
          <w:p w:rsidR="00D952F2" w:rsidRPr="00E9158F" w:rsidRDefault="00D952F2" w:rsidP="00D952F2">
            <w:pPr>
              <w:rPr>
                <w:sz w:val="20"/>
                <w:szCs w:val="20"/>
                <w:lang w:val="en-US"/>
              </w:rPr>
            </w:pPr>
            <w:r w:rsidRPr="00E9158F">
              <w:rPr>
                <w:sz w:val="20"/>
                <w:szCs w:val="20"/>
                <w:lang w:val="en-US"/>
              </w:rPr>
              <w:t>Planned</w:t>
            </w:r>
          </w:p>
        </w:tc>
        <w:tc>
          <w:tcPr>
            <w:tcW w:w="1412" w:type="dxa"/>
            <w:noWrap/>
            <w:hideMark/>
          </w:tcPr>
          <w:p w:rsidR="00D952F2" w:rsidRPr="00E9158F" w:rsidRDefault="00D952F2" w:rsidP="00D952F2">
            <w:pPr>
              <w:rPr>
                <w:sz w:val="20"/>
                <w:szCs w:val="20"/>
                <w:lang w:val="en-US"/>
              </w:rPr>
            </w:pPr>
            <w:r w:rsidRPr="00E9158F">
              <w:rPr>
                <w:sz w:val="20"/>
                <w:szCs w:val="20"/>
                <w:lang w:val="en-US"/>
              </w:rPr>
              <w:t>1</w:t>
            </w:r>
            <w:r w:rsidR="00E9158F">
              <w:rPr>
                <w:sz w:val="20"/>
                <w:szCs w:val="20"/>
                <w:lang w:val="en-US"/>
              </w:rPr>
              <w:t>,</w:t>
            </w:r>
            <w:r w:rsidRPr="00E9158F">
              <w:rPr>
                <w:sz w:val="20"/>
                <w:szCs w:val="20"/>
                <w:lang w:val="en-US"/>
              </w:rPr>
              <w:t>955</w:t>
            </w:r>
            <w:r w:rsidR="00E9158F">
              <w:rPr>
                <w:sz w:val="20"/>
                <w:szCs w:val="20"/>
                <w:lang w:val="en-US"/>
              </w:rPr>
              <w:t>,</w:t>
            </w:r>
            <w:r w:rsidRPr="00E9158F">
              <w:rPr>
                <w:sz w:val="20"/>
                <w:szCs w:val="20"/>
                <w:lang w:val="en-US"/>
              </w:rPr>
              <w:t>575</w:t>
            </w:r>
          </w:p>
        </w:tc>
      </w:tr>
      <w:tr w:rsidR="00D952F2" w:rsidRPr="00E9158F" w:rsidTr="00E9158F">
        <w:trPr>
          <w:trHeight w:val="255"/>
        </w:trPr>
        <w:tc>
          <w:tcPr>
            <w:tcW w:w="1003" w:type="dxa"/>
            <w:noWrap/>
            <w:hideMark/>
          </w:tcPr>
          <w:p w:rsidR="00D952F2" w:rsidRPr="00E9158F" w:rsidRDefault="00D952F2" w:rsidP="00D952F2">
            <w:pPr>
              <w:rPr>
                <w:sz w:val="20"/>
                <w:szCs w:val="20"/>
                <w:lang w:val="en-US"/>
              </w:rPr>
            </w:pPr>
            <w:r w:rsidRPr="00E9158F">
              <w:rPr>
                <w:sz w:val="20"/>
                <w:szCs w:val="20"/>
                <w:lang w:val="en-US"/>
              </w:rPr>
              <w:t>Mop</w:t>
            </w:r>
            <w:r w:rsidR="00E9158F">
              <w:rPr>
                <w:sz w:val="20"/>
                <w:szCs w:val="20"/>
                <w:lang w:val="en-US"/>
              </w:rPr>
              <w:t xml:space="preserve"> </w:t>
            </w:r>
            <w:r w:rsidRPr="00E9158F">
              <w:rPr>
                <w:sz w:val="20"/>
                <w:szCs w:val="20"/>
                <w:lang w:val="en-US"/>
              </w:rPr>
              <w:t>up</w:t>
            </w:r>
          </w:p>
        </w:tc>
        <w:tc>
          <w:tcPr>
            <w:tcW w:w="1200" w:type="dxa"/>
            <w:noWrap/>
            <w:hideMark/>
          </w:tcPr>
          <w:p w:rsidR="00D952F2" w:rsidRPr="00E9158F" w:rsidRDefault="00D952F2" w:rsidP="00D952F2">
            <w:pPr>
              <w:rPr>
                <w:sz w:val="20"/>
                <w:szCs w:val="20"/>
                <w:lang w:val="en-US"/>
              </w:rPr>
            </w:pPr>
            <w:r w:rsidRPr="00E9158F">
              <w:rPr>
                <w:sz w:val="20"/>
                <w:szCs w:val="20"/>
                <w:lang w:val="en-US"/>
              </w:rPr>
              <w:t>mOPV2</w:t>
            </w:r>
          </w:p>
        </w:tc>
        <w:tc>
          <w:tcPr>
            <w:tcW w:w="757" w:type="dxa"/>
            <w:noWrap/>
            <w:hideMark/>
          </w:tcPr>
          <w:p w:rsidR="00D952F2" w:rsidRPr="00E9158F" w:rsidRDefault="00D952F2" w:rsidP="00D952F2">
            <w:pPr>
              <w:rPr>
                <w:sz w:val="20"/>
                <w:szCs w:val="20"/>
                <w:lang w:val="en-US"/>
              </w:rPr>
            </w:pPr>
            <w:r w:rsidRPr="00E9158F">
              <w:rPr>
                <w:sz w:val="20"/>
                <w:szCs w:val="20"/>
                <w:lang w:val="en-US"/>
              </w:rPr>
              <w:t>2016</w:t>
            </w:r>
          </w:p>
        </w:tc>
        <w:tc>
          <w:tcPr>
            <w:tcW w:w="1194" w:type="dxa"/>
            <w:noWrap/>
            <w:hideMark/>
          </w:tcPr>
          <w:p w:rsidR="00D952F2" w:rsidRPr="00E9158F" w:rsidRDefault="00D952F2" w:rsidP="00D952F2">
            <w:pPr>
              <w:rPr>
                <w:sz w:val="20"/>
                <w:szCs w:val="20"/>
                <w:lang w:val="en-US"/>
              </w:rPr>
            </w:pPr>
            <w:r w:rsidRPr="00E9158F">
              <w:rPr>
                <w:sz w:val="20"/>
                <w:szCs w:val="20"/>
                <w:lang w:val="en-US"/>
              </w:rPr>
              <w:t>27/08/2016</w:t>
            </w:r>
          </w:p>
        </w:tc>
        <w:tc>
          <w:tcPr>
            <w:tcW w:w="1209" w:type="dxa"/>
            <w:noWrap/>
            <w:hideMark/>
          </w:tcPr>
          <w:p w:rsidR="00D952F2" w:rsidRPr="00E9158F" w:rsidRDefault="00D952F2" w:rsidP="00D952F2">
            <w:pPr>
              <w:rPr>
                <w:sz w:val="20"/>
                <w:szCs w:val="20"/>
                <w:lang w:val="en-US"/>
              </w:rPr>
            </w:pPr>
            <w:r w:rsidRPr="00E9158F">
              <w:rPr>
                <w:sz w:val="20"/>
                <w:szCs w:val="20"/>
                <w:lang w:val="en-US"/>
              </w:rPr>
              <w:t>30/08/2016</w:t>
            </w:r>
          </w:p>
        </w:tc>
        <w:tc>
          <w:tcPr>
            <w:tcW w:w="1167" w:type="dxa"/>
            <w:noWrap/>
            <w:hideMark/>
          </w:tcPr>
          <w:p w:rsidR="00D952F2" w:rsidRPr="00E9158F" w:rsidRDefault="00D952F2" w:rsidP="00D952F2">
            <w:pPr>
              <w:rPr>
                <w:sz w:val="20"/>
                <w:szCs w:val="20"/>
                <w:lang w:val="en-US"/>
              </w:rPr>
            </w:pPr>
            <w:r w:rsidRPr="00E9158F">
              <w:rPr>
                <w:sz w:val="20"/>
                <w:szCs w:val="20"/>
                <w:lang w:val="en-US"/>
              </w:rPr>
              <w:t>0 to 5 years</w:t>
            </w:r>
          </w:p>
        </w:tc>
        <w:tc>
          <w:tcPr>
            <w:tcW w:w="962" w:type="dxa"/>
            <w:noWrap/>
            <w:hideMark/>
          </w:tcPr>
          <w:p w:rsidR="00D952F2" w:rsidRPr="00E9158F" w:rsidRDefault="00D952F2" w:rsidP="00D952F2">
            <w:pPr>
              <w:rPr>
                <w:sz w:val="20"/>
                <w:szCs w:val="20"/>
                <w:lang w:val="en-US"/>
              </w:rPr>
            </w:pPr>
            <w:r w:rsidRPr="00E9158F">
              <w:rPr>
                <w:sz w:val="20"/>
                <w:szCs w:val="20"/>
                <w:lang w:val="en-US"/>
              </w:rPr>
              <w:t xml:space="preserve"> Sub-National</w:t>
            </w:r>
          </w:p>
        </w:tc>
        <w:tc>
          <w:tcPr>
            <w:tcW w:w="996" w:type="dxa"/>
            <w:noWrap/>
            <w:hideMark/>
          </w:tcPr>
          <w:p w:rsidR="00D952F2" w:rsidRPr="00E9158F" w:rsidRDefault="00D952F2" w:rsidP="00D952F2">
            <w:pPr>
              <w:rPr>
                <w:sz w:val="20"/>
                <w:szCs w:val="20"/>
                <w:lang w:val="en-US"/>
              </w:rPr>
            </w:pPr>
            <w:r w:rsidRPr="00E9158F">
              <w:rPr>
                <w:sz w:val="20"/>
                <w:szCs w:val="20"/>
                <w:lang w:val="en-US"/>
              </w:rPr>
              <w:t>Planned</w:t>
            </w:r>
          </w:p>
        </w:tc>
        <w:tc>
          <w:tcPr>
            <w:tcW w:w="1412" w:type="dxa"/>
            <w:noWrap/>
            <w:hideMark/>
          </w:tcPr>
          <w:p w:rsidR="00D952F2" w:rsidRPr="00E9158F" w:rsidRDefault="00D952F2" w:rsidP="00D952F2">
            <w:pPr>
              <w:rPr>
                <w:sz w:val="20"/>
                <w:szCs w:val="20"/>
                <w:lang w:val="en-US"/>
              </w:rPr>
            </w:pPr>
            <w:r w:rsidRPr="00E9158F">
              <w:rPr>
                <w:sz w:val="20"/>
                <w:szCs w:val="20"/>
                <w:lang w:val="en-US"/>
              </w:rPr>
              <w:t>1</w:t>
            </w:r>
            <w:r w:rsidR="00E9158F">
              <w:rPr>
                <w:sz w:val="20"/>
                <w:szCs w:val="20"/>
                <w:lang w:val="en-US"/>
              </w:rPr>
              <w:t>,</w:t>
            </w:r>
            <w:r w:rsidRPr="00E9158F">
              <w:rPr>
                <w:sz w:val="20"/>
                <w:szCs w:val="20"/>
                <w:lang w:val="en-US"/>
              </w:rPr>
              <w:t>955</w:t>
            </w:r>
            <w:r w:rsidR="00E9158F">
              <w:rPr>
                <w:sz w:val="20"/>
                <w:szCs w:val="20"/>
                <w:lang w:val="en-US"/>
              </w:rPr>
              <w:t>,</w:t>
            </w:r>
            <w:r w:rsidRPr="00E9158F">
              <w:rPr>
                <w:sz w:val="20"/>
                <w:szCs w:val="20"/>
                <w:lang w:val="en-US"/>
              </w:rPr>
              <w:t>575</w:t>
            </w:r>
          </w:p>
        </w:tc>
      </w:tr>
    </w:tbl>
    <w:p w:rsidR="00EB5F5D" w:rsidRPr="00EA6F8C" w:rsidRDefault="00EB5F5D" w:rsidP="00D952F2">
      <w:pPr>
        <w:rPr>
          <w:lang w:val="en-US"/>
        </w:rPr>
      </w:pPr>
      <w:r w:rsidRPr="00EA6F8C">
        <w:rPr>
          <w:lang w:val="en-US"/>
        </w:rPr>
        <w:t>Source: WHO/IVB Database as at 12/4/2016</w:t>
      </w:r>
    </w:p>
    <w:p w:rsidR="00EB5F5D" w:rsidRPr="00EA6F8C" w:rsidRDefault="00EB5F5D" w:rsidP="00EB5F5D">
      <w:pPr>
        <w:pStyle w:val="ListParagraph"/>
        <w:numPr>
          <w:ilvl w:val="0"/>
          <w:numId w:val="22"/>
        </w:numPr>
        <w:rPr>
          <w:lang w:val="en-US"/>
        </w:rPr>
      </w:pPr>
      <w:r w:rsidRPr="00EA6F8C">
        <w:rPr>
          <w:b/>
          <w:bCs/>
          <w:lang w:val="en-US"/>
        </w:rPr>
        <w:t xml:space="preserve">MNT </w:t>
      </w:r>
    </w:p>
    <w:p w:rsidR="00EB5F5D" w:rsidRPr="00D91889" w:rsidRDefault="00D952F2" w:rsidP="00EB5F5D">
      <w:pPr>
        <w:pStyle w:val="ListParagraph"/>
        <w:numPr>
          <w:ilvl w:val="0"/>
          <w:numId w:val="25"/>
        </w:numPr>
        <w:rPr>
          <w:lang w:val="en-US"/>
        </w:rPr>
      </w:pPr>
      <w:r w:rsidRPr="00D91889">
        <w:rPr>
          <w:bCs/>
          <w:lang w:val="en-US"/>
        </w:rPr>
        <w:t>Not yet validated - planning a pre-validation assessment in 1-2 geopolitical zones before the end of the year</w:t>
      </w:r>
    </w:p>
    <w:p w:rsidR="00D952F2" w:rsidRPr="00EA6F8C" w:rsidRDefault="00D952F2" w:rsidP="00D952F2">
      <w:pPr>
        <w:pStyle w:val="ListParagraph"/>
        <w:rPr>
          <w:b/>
          <w:bCs/>
          <w:lang w:val="en-US"/>
        </w:rPr>
      </w:pPr>
    </w:p>
    <w:p w:rsidR="00EB5F5D" w:rsidRPr="00EA6F8C" w:rsidRDefault="00EB5F5D" w:rsidP="00EB5F5D">
      <w:pPr>
        <w:pStyle w:val="ListParagraph"/>
        <w:numPr>
          <w:ilvl w:val="0"/>
          <w:numId w:val="22"/>
        </w:numPr>
        <w:rPr>
          <w:b/>
          <w:bCs/>
          <w:lang w:val="en-US"/>
        </w:rPr>
      </w:pPr>
      <w:r w:rsidRPr="00EA6F8C">
        <w:rPr>
          <w:b/>
          <w:bCs/>
          <w:lang w:val="en-US"/>
        </w:rPr>
        <w:t>Coverage and Equity</w:t>
      </w:r>
    </w:p>
    <w:p w:rsidR="00EB5F5D" w:rsidRPr="00D91889" w:rsidRDefault="00D91889" w:rsidP="00D91889">
      <w:pPr>
        <w:pStyle w:val="Caption"/>
        <w:rPr>
          <w:rFonts w:ascii="Arial" w:hAnsi="Arial" w:cs="Arial"/>
          <w:color w:val="auto"/>
          <w:sz w:val="22"/>
          <w:szCs w:val="22"/>
        </w:rPr>
      </w:pPr>
      <w:r w:rsidRPr="00D91889">
        <w:rPr>
          <w:rFonts w:ascii="Arial" w:hAnsi="Arial" w:cs="Arial"/>
          <w:color w:val="auto"/>
          <w:sz w:val="22"/>
          <w:szCs w:val="22"/>
        </w:rPr>
        <w:t xml:space="preserve">Table </w:t>
      </w:r>
      <w:r w:rsidRPr="00D91889">
        <w:rPr>
          <w:rFonts w:ascii="Arial" w:hAnsi="Arial" w:cs="Arial"/>
          <w:color w:val="auto"/>
          <w:sz w:val="22"/>
          <w:szCs w:val="22"/>
        </w:rPr>
        <w:fldChar w:fldCharType="begin"/>
      </w:r>
      <w:r w:rsidRPr="00D91889">
        <w:rPr>
          <w:rFonts w:ascii="Arial" w:hAnsi="Arial" w:cs="Arial"/>
          <w:color w:val="auto"/>
          <w:sz w:val="22"/>
          <w:szCs w:val="22"/>
        </w:rPr>
        <w:instrText xml:space="preserve"> SEQ Table \* ARABIC </w:instrText>
      </w:r>
      <w:r w:rsidRPr="00D91889">
        <w:rPr>
          <w:rFonts w:ascii="Arial" w:hAnsi="Arial" w:cs="Arial"/>
          <w:color w:val="auto"/>
          <w:sz w:val="22"/>
          <w:szCs w:val="22"/>
        </w:rPr>
        <w:fldChar w:fldCharType="separate"/>
      </w:r>
      <w:r w:rsidRPr="00D91889">
        <w:rPr>
          <w:rFonts w:ascii="Arial" w:hAnsi="Arial" w:cs="Arial"/>
          <w:color w:val="auto"/>
          <w:sz w:val="22"/>
          <w:szCs w:val="22"/>
        </w:rPr>
        <w:t>2</w:t>
      </w:r>
      <w:r w:rsidRPr="00D91889">
        <w:rPr>
          <w:rFonts w:ascii="Arial" w:hAnsi="Arial" w:cs="Arial"/>
          <w:color w:val="auto"/>
          <w:sz w:val="22"/>
          <w:szCs w:val="22"/>
        </w:rPr>
        <w:fldChar w:fldCharType="end"/>
      </w:r>
      <w:r w:rsidR="00EB5F5D" w:rsidRPr="00D91889">
        <w:rPr>
          <w:rFonts w:ascii="Arial" w:hAnsi="Arial" w:cs="Arial"/>
          <w:color w:val="auto"/>
          <w:sz w:val="22"/>
          <w:szCs w:val="22"/>
        </w:rPr>
        <w:t xml:space="preserve">: Reported DTPCV doses administered &amp; coverage, </w:t>
      </w:r>
      <w:r w:rsidR="00D952F2" w:rsidRPr="00D91889">
        <w:rPr>
          <w:rFonts w:ascii="Arial" w:hAnsi="Arial" w:cs="Arial"/>
          <w:color w:val="auto"/>
          <w:sz w:val="22"/>
          <w:szCs w:val="22"/>
        </w:rPr>
        <w:t>Nigeria</w:t>
      </w:r>
      <w:r w:rsidR="00EB5F5D" w:rsidRPr="00D91889">
        <w:rPr>
          <w:rFonts w:ascii="Arial" w:hAnsi="Arial" w:cs="Arial"/>
          <w:color w:val="auto"/>
          <w:sz w:val="22"/>
          <w:szCs w:val="22"/>
        </w:rPr>
        <w:t>, 2000-2015</w:t>
      </w:r>
    </w:p>
    <w:p w:rsidR="00EB5F5D" w:rsidRPr="00EA6F8C" w:rsidRDefault="00D952F2" w:rsidP="00EB5F5D">
      <w:pPr>
        <w:rPr>
          <w:lang w:val="en-US"/>
        </w:rPr>
      </w:pPr>
      <w:r w:rsidRPr="00EA6F8C">
        <w:rPr>
          <w:noProof/>
          <w:lang w:eastAsia="zh-CN"/>
        </w:rPr>
        <w:lastRenderedPageBreak/>
        <w:drawing>
          <wp:inline distT="0" distB="0" distL="0" distR="0" wp14:anchorId="50F6C282" wp14:editId="1798F643">
            <wp:extent cx="5857863" cy="2076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62098" cy="2077951"/>
                    </a:xfrm>
                    <a:prstGeom prst="rect">
                      <a:avLst/>
                    </a:prstGeom>
                    <a:noFill/>
                  </pic:spPr>
                </pic:pic>
              </a:graphicData>
            </a:graphic>
          </wp:inline>
        </w:drawing>
      </w:r>
    </w:p>
    <w:p w:rsidR="00EB5F5D" w:rsidRPr="00EA6F8C" w:rsidRDefault="00EB5F5D" w:rsidP="00EB5F5D">
      <w:pPr>
        <w:rPr>
          <w:lang w:val="en-US"/>
        </w:rPr>
      </w:pPr>
      <w:r w:rsidRPr="00EA6F8C">
        <w:rPr>
          <w:lang w:val="en-US"/>
        </w:rPr>
        <w:t>* COE: country Official Estimates</w:t>
      </w:r>
    </w:p>
    <w:p w:rsidR="008B7142" w:rsidRPr="00EA6F8C" w:rsidRDefault="008B7142" w:rsidP="008B7142">
      <w:pPr>
        <w:rPr>
          <w:lang w:val="en-US"/>
        </w:rPr>
      </w:pPr>
      <w:r w:rsidRPr="00EA6F8C">
        <w:rPr>
          <w:lang w:val="en-US"/>
        </w:rPr>
        <w:t>Source:</w:t>
      </w:r>
      <w:r w:rsidR="00D91889">
        <w:rPr>
          <w:lang w:val="en-US"/>
        </w:rPr>
        <w:t xml:space="preserve"> </w:t>
      </w:r>
      <w:r w:rsidRPr="00EA6F8C">
        <w:rPr>
          <w:lang w:val="en-US"/>
        </w:rPr>
        <w:t>WHO/IVB database, data reported to WHO by member states as of 1 July 2016</w:t>
      </w:r>
    </w:p>
    <w:p w:rsidR="00EB5F5D" w:rsidRPr="00EA6F8C" w:rsidRDefault="00EB5F5D" w:rsidP="00EB5F5D">
      <w:pPr>
        <w:rPr>
          <w:lang w:val="en-US"/>
        </w:rPr>
      </w:pPr>
    </w:p>
    <w:p w:rsidR="00EB5F5D" w:rsidRPr="00D91889" w:rsidRDefault="00D91889" w:rsidP="00D91889">
      <w:pPr>
        <w:pStyle w:val="Caption"/>
        <w:rPr>
          <w:rFonts w:ascii="Arial" w:hAnsi="Arial" w:cs="Arial"/>
          <w:color w:val="auto"/>
          <w:sz w:val="22"/>
          <w:szCs w:val="22"/>
        </w:rPr>
      </w:pPr>
      <w:r w:rsidRPr="00D91889">
        <w:rPr>
          <w:rFonts w:ascii="Arial" w:hAnsi="Arial" w:cs="Arial"/>
          <w:color w:val="auto"/>
          <w:sz w:val="22"/>
          <w:szCs w:val="22"/>
        </w:rPr>
        <w:t xml:space="preserve">Figure </w:t>
      </w:r>
      <w:r w:rsidRPr="00D91889">
        <w:rPr>
          <w:rFonts w:ascii="Arial" w:hAnsi="Arial" w:cs="Arial"/>
          <w:color w:val="auto"/>
          <w:sz w:val="22"/>
          <w:szCs w:val="22"/>
        </w:rPr>
        <w:fldChar w:fldCharType="begin"/>
      </w:r>
      <w:r w:rsidRPr="00D91889">
        <w:rPr>
          <w:rFonts w:ascii="Arial" w:hAnsi="Arial" w:cs="Arial"/>
          <w:color w:val="auto"/>
          <w:sz w:val="22"/>
          <w:szCs w:val="22"/>
        </w:rPr>
        <w:instrText xml:space="preserve"> SEQ Figure \* ARABIC </w:instrText>
      </w:r>
      <w:r w:rsidRPr="00D91889">
        <w:rPr>
          <w:rFonts w:ascii="Arial" w:hAnsi="Arial" w:cs="Arial"/>
          <w:color w:val="auto"/>
          <w:sz w:val="22"/>
          <w:szCs w:val="22"/>
        </w:rPr>
        <w:fldChar w:fldCharType="separate"/>
      </w:r>
      <w:r w:rsidRPr="00D91889">
        <w:rPr>
          <w:rFonts w:ascii="Arial" w:hAnsi="Arial" w:cs="Arial"/>
          <w:color w:val="auto"/>
          <w:sz w:val="22"/>
          <w:szCs w:val="22"/>
        </w:rPr>
        <w:t>5</w:t>
      </w:r>
      <w:r w:rsidRPr="00D91889">
        <w:rPr>
          <w:rFonts w:ascii="Arial" w:hAnsi="Arial" w:cs="Arial"/>
          <w:color w:val="auto"/>
          <w:sz w:val="22"/>
          <w:szCs w:val="22"/>
        </w:rPr>
        <w:fldChar w:fldCharType="end"/>
      </w:r>
      <w:r w:rsidR="00EB5F5D" w:rsidRPr="00D91889">
        <w:rPr>
          <w:rFonts w:ascii="Arial" w:hAnsi="Arial" w:cs="Arial"/>
          <w:color w:val="auto"/>
          <w:sz w:val="22"/>
          <w:szCs w:val="22"/>
        </w:rPr>
        <w:t>: Percentage of district achieving &lt;50%; 50-79% and ≥80% coverage, 2000-201</w:t>
      </w:r>
      <w:r w:rsidR="008B7142" w:rsidRPr="00D91889">
        <w:rPr>
          <w:rFonts w:ascii="Arial" w:hAnsi="Arial" w:cs="Arial"/>
          <w:color w:val="auto"/>
          <w:sz w:val="22"/>
          <w:szCs w:val="22"/>
        </w:rPr>
        <w:t>5</w:t>
      </w:r>
    </w:p>
    <w:p w:rsidR="00EB5F5D" w:rsidRPr="00EA6F8C" w:rsidRDefault="00D952F2" w:rsidP="00EB5F5D">
      <w:pPr>
        <w:rPr>
          <w:lang w:val="en-US"/>
        </w:rPr>
      </w:pPr>
      <w:r w:rsidRPr="00EA6F8C">
        <w:rPr>
          <w:noProof/>
          <w:lang w:eastAsia="zh-CN"/>
        </w:rPr>
        <w:drawing>
          <wp:inline distT="0" distB="0" distL="0" distR="0" wp14:anchorId="5E7F431F" wp14:editId="03B179A9">
            <wp:extent cx="5724525" cy="4295775"/>
            <wp:effectExtent l="0" t="0" r="9525" b="9525"/>
            <wp:docPr id="11" name="Picture 11" descr="Y:\GVAP\Priority_countries\N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Y:\GVAP\Priority_countries\NGA.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4295775"/>
                    </a:xfrm>
                    <a:prstGeom prst="rect">
                      <a:avLst/>
                    </a:prstGeom>
                    <a:noFill/>
                    <a:ln>
                      <a:noFill/>
                    </a:ln>
                  </pic:spPr>
                </pic:pic>
              </a:graphicData>
            </a:graphic>
          </wp:inline>
        </w:drawing>
      </w:r>
    </w:p>
    <w:p w:rsidR="00E9158F" w:rsidRDefault="00E9158F">
      <w:pPr>
        <w:rPr>
          <w:lang w:val="en-US"/>
        </w:rPr>
      </w:pPr>
      <w:r>
        <w:rPr>
          <w:lang w:val="en-US"/>
        </w:rPr>
        <w:br w:type="page"/>
      </w:r>
    </w:p>
    <w:p w:rsidR="00EB5F5D" w:rsidRPr="00D91889" w:rsidRDefault="00D91889" w:rsidP="00D91889">
      <w:pPr>
        <w:pStyle w:val="Caption"/>
        <w:rPr>
          <w:rFonts w:ascii="Arial" w:hAnsi="Arial" w:cs="Arial"/>
          <w:color w:val="auto"/>
          <w:sz w:val="22"/>
          <w:szCs w:val="22"/>
        </w:rPr>
      </w:pPr>
      <w:r w:rsidRPr="00D91889">
        <w:rPr>
          <w:rFonts w:ascii="Arial" w:hAnsi="Arial" w:cs="Arial"/>
          <w:color w:val="auto"/>
          <w:sz w:val="22"/>
          <w:szCs w:val="22"/>
        </w:rPr>
        <w:lastRenderedPageBreak/>
        <w:t xml:space="preserve">Figure </w:t>
      </w:r>
      <w:r w:rsidRPr="00D91889">
        <w:rPr>
          <w:rFonts w:ascii="Arial" w:hAnsi="Arial" w:cs="Arial"/>
          <w:color w:val="auto"/>
          <w:sz w:val="22"/>
          <w:szCs w:val="22"/>
        </w:rPr>
        <w:fldChar w:fldCharType="begin"/>
      </w:r>
      <w:r w:rsidRPr="00D91889">
        <w:rPr>
          <w:rFonts w:ascii="Arial" w:hAnsi="Arial" w:cs="Arial"/>
          <w:color w:val="auto"/>
          <w:sz w:val="22"/>
          <w:szCs w:val="22"/>
        </w:rPr>
        <w:instrText xml:space="preserve"> SEQ Figure \* ARABIC </w:instrText>
      </w:r>
      <w:r w:rsidRPr="00D91889">
        <w:rPr>
          <w:rFonts w:ascii="Arial" w:hAnsi="Arial" w:cs="Arial"/>
          <w:color w:val="auto"/>
          <w:sz w:val="22"/>
          <w:szCs w:val="22"/>
        </w:rPr>
        <w:fldChar w:fldCharType="separate"/>
      </w:r>
      <w:r w:rsidRPr="00D91889">
        <w:rPr>
          <w:rFonts w:ascii="Arial" w:hAnsi="Arial" w:cs="Arial"/>
          <w:color w:val="auto"/>
          <w:sz w:val="22"/>
          <w:szCs w:val="22"/>
        </w:rPr>
        <w:t>6</w:t>
      </w:r>
      <w:r w:rsidRPr="00D91889">
        <w:rPr>
          <w:rFonts w:ascii="Arial" w:hAnsi="Arial" w:cs="Arial"/>
          <w:color w:val="auto"/>
          <w:sz w:val="22"/>
          <w:szCs w:val="22"/>
        </w:rPr>
        <w:fldChar w:fldCharType="end"/>
      </w:r>
      <w:r w:rsidR="00EB5F5D" w:rsidRPr="00D91889">
        <w:rPr>
          <w:rFonts w:ascii="Arial" w:hAnsi="Arial" w:cs="Arial"/>
          <w:color w:val="auto"/>
          <w:sz w:val="22"/>
          <w:szCs w:val="22"/>
        </w:rPr>
        <w:t>: map with DTP3 coverage by district/province 2010 and 2015 (admin</w:t>
      </w:r>
      <w:r w:rsidR="00E9158F" w:rsidRPr="00D91889">
        <w:rPr>
          <w:rFonts w:ascii="Arial" w:hAnsi="Arial" w:cs="Arial"/>
          <w:color w:val="auto"/>
          <w:sz w:val="22"/>
          <w:szCs w:val="22"/>
        </w:rPr>
        <w:t>istrative data</w:t>
      </w:r>
      <w:r w:rsidR="00EB5F5D" w:rsidRPr="00D91889">
        <w:rPr>
          <w:rFonts w:ascii="Arial" w:hAnsi="Arial" w:cs="Arial"/>
          <w:color w:val="auto"/>
          <w:sz w:val="22"/>
          <w:szCs w:val="22"/>
        </w:rPr>
        <w:t>)</w:t>
      </w:r>
    </w:p>
    <w:p w:rsidR="00EB5F5D" w:rsidRPr="00EA6F8C" w:rsidRDefault="00D952F2" w:rsidP="00D952F2">
      <w:pPr>
        <w:rPr>
          <w:b/>
          <w:lang w:val="en-US"/>
        </w:rPr>
      </w:pPr>
      <w:r w:rsidRPr="00EA6F8C">
        <w:rPr>
          <w:b/>
          <w:noProof/>
          <w:lang w:eastAsia="zh-CN"/>
        </w:rPr>
        <w:drawing>
          <wp:inline distT="0" distB="0" distL="0" distR="0" wp14:anchorId="3F1EA98B" wp14:editId="595114E0">
            <wp:extent cx="4572638" cy="3429479"/>
            <wp:effectExtent l="19050" t="19050" r="18415"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572638" cy="3429479"/>
                    </a:xfrm>
                    <a:prstGeom prst="rect">
                      <a:avLst/>
                    </a:prstGeom>
                    <a:ln>
                      <a:solidFill>
                        <a:schemeClr val="tx1"/>
                      </a:solidFill>
                    </a:ln>
                  </pic:spPr>
                </pic:pic>
              </a:graphicData>
            </a:graphic>
          </wp:inline>
        </w:drawing>
      </w:r>
    </w:p>
    <w:p w:rsidR="00D91889" w:rsidRDefault="00D91889">
      <w:pPr>
        <w:rPr>
          <w:b/>
          <w:lang w:val="en-US"/>
        </w:rPr>
      </w:pPr>
      <w:r>
        <w:rPr>
          <w:b/>
          <w:lang w:val="en-US"/>
        </w:rPr>
        <w:br w:type="page"/>
      </w:r>
    </w:p>
    <w:p w:rsidR="00EB5F5D" w:rsidRPr="00D91889" w:rsidRDefault="00D91889" w:rsidP="00D91889">
      <w:pPr>
        <w:pStyle w:val="Caption"/>
        <w:rPr>
          <w:rFonts w:ascii="Arial" w:hAnsi="Arial" w:cs="Arial"/>
          <w:color w:val="auto"/>
          <w:sz w:val="22"/>
          <w:szCs w:val="22"/>
        </w:rPr>
      </w:pPr>
      <w:r w:rsidRPr="00D91889">
        <w:rPr>
          <w:rFonts w:ascii="Arial" w:hAnsi="Arial" w:cs="Arial"/>
          <w:color w:val="auto"/>
          <w:sz w:val="22"/>
          <w:szCs w:val="22"/>
        </w:rPr>
        <w:lastRenderedPageBreak/>
        <w:t xml:space="preserve">Figure </w:t>
      </w:r>
      <w:r w:rsidRPr="00D91889">
        <w:rPr>
          <w:rFonts w:ascii="Arial" w:hAnsi="Arial" w:cs="Arial"/>
          <w:color w:val="auto"/>
          <w:sz w:val="22"/>
          <w:szCs w:val="22"/>
        </w:rPr>
        <w:fldChar w:fldCharType="begin"/>
      </w:r>
      <w:r w:rsidRPr="00D91889">
        <w:rPr>
          <w:rFonts w:ascii="Arial" w:hAnsi="Arial" w:cs="Arial"/>
          <w:color w:val="auto"/>
          <w:sz w:val="22"/>
          <w:szCs w:val="22"/>
        </w:rPr>
        <w:instrText xml:space="preserve"> SEQ Figure \* ARABIC </w:instrText>
      </w:r>
      <w:r w:rsidRPr="00D91889">
        <w:rPr>
          <w:rFonts w:ascii="Arial" w:hAnsi="Arial" w:cs="Arial"/>
          <w:color w:val="auto"/>
          <w:sz w:val="22"/>
          <w:szCs w:val="22"/>
        </w:rPr>
        <w:fldChar w:fldCharType="separate"/>
      </w:r>
      <w:r w:rsidRPr="00D91889">
        <w:rPr>
          <w:rFonts w:ascii="Arial" w:hAnsi="Arial" w:cs="Arial"/>
          <w:color w:val="auto"/>
          <w:sz w:val="22"/>
          <w:szCs w:val="22"/>
        </w:rPr>
        <w:t>7</w:t>
      </w:r>
      <w:r w:rsidRPr="00D91889">
        <w:rPr>
          <w:rFonts w:ascii="Arial" w:hAnsi="Arial" w:cs="Arial"/>
          <w:color w:val="auto"/>
          <w:sz w:val="22"/>
          <w:szCs w:val="22"/>
        </w:rPr>
        <w:fldChar w:fldCharType="end"/>
      </w:r>
      <w:r w:rsidR="00EB5F5D" w:rsidRPr="00D91889">
        <w:rPr>
          <w:rFonts w:ascii="Arial" w:hAnsi="Arial" w:cs="Arial"/>
          <w:color w:val="auto"/>
          <w:sz w:val="22"/>
          <w:szCs w:val="22"/>
        </w:rPr>
        <w:t xml:space="preserve">: Immunization coverage data disaggregated by sex and wealth quintile </w:t>
      </w:r>
    </w:p>
    <w:p w:rsidR="00D91889" w:rsidRDefault="00D91889" w:rsidP="00EB5F5D">
      <w:pPr>
        <w:rPr>
          <w:lang w:val="en-US"/>
        </w:rPr>
      </w:pPr>
      <w:r>
        <w:rPr>
          <w:b/>
          <w:noProof/>
          <w:lang w:eastAsia="zh-CN"/>
        </w:rPr>
        <w:drawing>
          <wp:inline distT="0" distB="0" distL="0" distR="0" wp14:anchorId="006390EC" wp14:editId="06BB6EED">
            <wp:extent cx="3819525" cy="38195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GA_disaggregated_data.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17833" cy="3817833"/>
                    </a:xfrm>
                    <a:prstGeom prst="rect">
                      <a:avLst/>
                    </a:prstGeom>
                  </pic:spPr>
                </pic:pic>
              </a:graphicData>
            </a:graphic>
          </wp:inline>
        </w:drawing>
      </w:r>
    </w:p>
    <w:p w:rsidR="00D91889" w:rsidRPr="00EA6F8C" w:rsidRDefault="00D91889" w:rsidP="00EB5F5D">
      <w:pPr>
        <w:rPr>
          <w:lang w:val="en-US"/>
        </w:rPr>
      </w:pPr>
    </w:p>
    <w:p w:rsidR="00EB5F5D" w:rsidRPr="00EA6F8C" w:rsidRDefault="00EB5F5D" w:rsidP="00EB5F5D">
      <w:pPr>
        <w:pStyle w:val="ListParagraph"/>
        <w:numPr>
          <w:ilvl w:val="0"/>
          <w:numId w:val="22"/>
        </w:numPr>
        <w:rPr>
          <w:b/>
          <w:bCs/>
          <w:lang w:val="en-US"/>
        </w:rPr>
      </w:pPr>
      <w:r w:rsidRPr="00EA6F8C">
        <w:rPr>
          <w:b/>
          <w:bCs/>
          <w:lang w:val="en-US"/>
        </w:rPr>
        <w:t>Immunization systems highlights</w:t>
      </w:r>
    </w:p>
    <w:p w:rsidR="00EB5F5D" w:rsidRPr="00EA6F8C" w:rsidRDefault="00EB5F5D" w:rsidP="00EB5F5D">
      <w:pPr>
        <w:pStyle w:val="ListParagraph"/>
        <w:numPr>
          <w:ilvl w:val="0"/>
          <w:numId w:val="26"/>
        </w:numPr>
        <w:ind w:left="426"/>
        <w:rPr>
          <w:lang w:val="en-US"/>
        </w:rPr>
      </w:pPr>
      <w:r w:rsidRPr="00EA6F8C">
        <w:rPr>
          <w:lang w:val="en-US"/>
        </w:rPr>
        <w:t>Immunization schedule</w:t>
      </w:r>
    </w:p>
    <w:p w:rsidR="00EB5F5D" w:rsidRPr="00EA6F8C" w:rsidRDefault="00D952F2" w:rsidP="00EB5F5D">
      <w:pPr>
        <w:spacing w:after="0"/>
        <w:rPr>
          <w:lang w:val="en-US"/>
        </w:rPr>
      </w:pPr>
      <w:r w:rsidRPr="00EA6F8C">
        <w:rPr>
          <w:noProof/>
          <w:lang w:eastAsia="zh-CN"/>
        </w:rPr>
        <w:drawing>
          <wp:inline distT="0" distB="0" distL="0" distR="0" wp14:anchorId="3D8CF689" wp14:editId="6CD7B89E">
            <wp:extent cx="5761124" cy="26955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51695" t="42553" r="30186" b="30319"/>
                    <a:stretch/>
                  </pic:blipFill>
                  <pic:spPr bwMode="auto">
                    <a:xfrm>
                      <a:off x="0" y="0"/>
                      <a:ext cx="5766823" cy="2698242"/>
                    </a:xfrm>
                    <a:prstGeom prst="rect">
                      <a:avLst/>
                    </a:prstGeom>
                    <a:ln>
                      <a:noFill/>
                    </a:ln>
                    <a:extLst>
                      <a:ext uri="{53640926-AAD7-44D8-BBD7-CCE9431645EC}">
                        <a14:shadowObscured xmlns:a14="http://schemas.microsoft.com/office/drawing/2010/main"/>
                      </a:ext>
                    </a:extLst>
                  </pic:spPr>
                </pic:pic>
              </a:graphicData>
            </a:graphic>
          </wp:inline>
        </w:drawing>
      </w:r>
    </w:p>
    <w:p w:rsidR="00D952F2" w:rsidRPr="00EA6F8C" w:rsidRDefault="00D952F2" w:rsidP="00EB5F5D">
      <w:pPr>
        <w:spacing w:after="0"/>
        <w:rPr>
          <w:lang w:val="en-US"/>
        </w:rPr>
      </w:pPr>
    </w:p>
    <w:p w:rsidR="00EB5F5D" w:rsidRPr="00EA6F8C" w:rsidRDefault="00EB5F5D" w:rsidP="00EB5F5D">
      <w:pPr>
        <w:pStyle w:val="ListParagraph"/>
        <w:numPr>
          <w:ilvl w:val="0"/>
          <w:numId w:val="26"/>
        </w:numPr>
        <w:rPr>
          <w:lang w:val="en-US"/>
        </w:rPr>
      </w:pPr>
      <w:r w:rsidRPr="00EA6F8C">
        <w:rPr>
          <w:lang w:val="en-US"/>
        </w:rPr>
        <w:t>Planning and management:</w:t>
      </w:r>
    </w:p>
    <w:p w:rsidR="00EB5F5D" w:rsidRPr="00EA6F8C" w:rsidRDefault="00D91889" w:rsidP="00EB5F5D">
      <w:pPr>
        <w:pStyle w:val="ListParagraph"/>
        <w:numPr>
          <w:ilvl w:val="1"/>
          <w:numId w:val="26"/>
        </w:numPr>
        <w:rPr>
          <w:lang w:val="en-US"/>
        </w:rPr>
      </w:pPr>
      <w:r>
        <w:rPr>
          <w:lang w:val="en-US"/>
        </w:rPr>
        <w:t>Stockout events 2015: none</w:t>
      </w:r>
    </w:p>
    <w:p w:rsidR="00EB5F5D" w:rsidRPr="00EA6F8C" w:rsidRDefault="00D952F2" w:rsidP="00EB5F5D">
      <w:pPr>
        <w:pStyle w:val="ListParagraph"/>
        <w:numPr>
          <w:ilvl w:val="1"/>
          <w:numId w:val="26"/>
        </w:numPr>
        <w:rPr>
          <w:lang w:val="en-US"/>
        </w:rPr>
      </w:pPr>
      <w:r w:rsidRPr="00EA6F8C">
        <w:rPr>
          <w:lang w:val="en-US"/>
        </w:rPr>
        <w:t>cMYP: 2011</w:t>
      </w:r>
      <w:r w:rsidR="00EB5F5D" w:rsidRPr="00EA6F8C">
        <w:rPr>
          <w:lang w:val="en-US"/>
        </w:rPr>
        <w:t>-2015</w:t>
      </w:r>
    </w:p>
    <w:p w:rsidR="00EB5F5D" w:rsidRPr="00EA6F8C" w:rsidRDefault="00EB5F5D" w:rsidP="00EB5F5D">
      <w:pPr>
        <w:pStyle w:val="ListParagraph"/>
        <w:numPr>
          <w:ilvl w:val="1"/>
          <w:numId w:val="26"/>
        </w:numPr>
        <w:rPr>
          <w:lang w:val="en-US"/>
        </w:rPr>
      </w:pPr>
      <w:r w:rsidRPr="00EA6F8C">
        <w:rPr>
          <w:lang w:val="en-US"/>
        </w:rPr>
        <w:t>Annual Plan: Yes</w:t>
      </w:r>
    </w:p>
    <w:p w:rsidR="00EB5F5D" w:rsidRPr="00EA6F8C" w:rsidRDefault="00D952F2" w:rsidP="00EB5F5D">
      <w:pPr>
        <w:pStyle w:val="ListParagraph"/>
        <w:numPr>
          <w:ilvl w:val="0"/>
          <w:numId w:val="26"/>
        </w:numPr>
        <w:rPr>
          <w:lang w:val="en-US"/>
        </w:rPr>
      </w:pPr>
      <w:r w:rsidRPr="00EA6F8C">
        <w:rPr>
          <w:lang w:val="en-US"/>
        </w:rPr>
        <w:lastRenderedPageBreak/>
        <w:t xml:space="preserve">Country decision making: </w:t>
      </w:r>
      <w:r w:rsidR="00EB5F5D" w:rsidRPr="00EA6F8C">
        <w:rPr>
          <w:lang w:val="en-US"/>
        </w:rPr>
        <w:t xml:space="preserve">NITAG </w:t>
      </w:r>
      <w:r w:rsidRPr="00EA6F8C">
        <w:rPr>
          <w:lang w:val="en-US"/>
        </w:rPr>
        <w:t>recently established</w:t>
      </w:r>
    </w:p>
    <w:p w:rsidR="00E86411" w:rsidRPr="00EA6F8C" w:rsidRDefault="00EB5F5D" w:rsidP="00EB5F5D">
      <w:pPr>
        <w:pStyle w:val="ListParagraph"/>
        <w:numPr>
          <w:ilvl w:val="0"/>
          <w:numId w:val="26"/>
        </w:numPr>
        <w:spacing w:after="0"/>
        <w:rPr>
          <w:rFonts w:ascii="Arial" w:hAnsi="Arial" w:cs="Arial"/>
          <w:lang w:val="en-US"/>
        </w:rPr>
      </w:pPr>
      <w:r w:rsidRPr="00EA6F8C">
        <w:rPr>
          <w:lang w:val="en-US"/>
        </w:rPr>
        <w:t>% of total expenditures on vaccines financed by government funds: 4</w:t>
      </w:r>
      <w:r w:rsidR="00D952F2" w:rsidRPr="00EA6F8C">
        <w:rPr>
          <w:lang w:val="en-US"/>
        </w:rPr>
        <w:t>1</w:t>
      </w:r>
      <w:r w:rsidRPr="00EA6F8C">
        <w:rPr>
          <w:lang w:val="en-US"/>
        </w:rPr>
        <w:t>%</w:t>
      </w:r>
    </w:p>
    <w:sectPr w:rsidR="00E86411" w:rsidRPr="00EA6F8C" w:rsidSect="00CA663B">
      <w:footerReference w:type="default" r:id="rId18"/>
      <w:type w:val="continuous"/>
      <w:pgSz w:w="11906" w:h="16838"/>
      <w:pgMar w:top="1440" w:right="1440" w:bottom="1440" w:left="1440" w:header="709" w:footer="709" w:gutter="0"/>
      <w:cols w:space="708"/>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C23AA1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3196C" w:rsidRDefault="0023196C">
      <w:pPr>
        <w:spacing w:after="0" w:line="240" w:lineRule="auto"/>
      </w:pPr>
      <w:r>
        <w:separator/>
      </w:r>
    </w:p>
  </w:endnote>
  <w:endnote w:type="continuationSeparator" w:id="0">
    <w:p w:rsidR="0023196C" w:rsidRDefault="002319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Courier New">
    <w:altName w:val="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20002A87" w:usb1="00000000" w:usb2="00000000" w:usb3="00000000" w:csb0="000001FF" w:csb1="00000000"/>
  </w:font>
  <w:font w:name="Calibri">
    <w:altName w:val="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44857851"/>
      <w:docPartObj>
        <w:docPartGallery w:val="Page Numbers (Bottom of Page)"/>
        <w:docPartUnique/>
      </w:docPartObj>
    </w:sdtPr>
    <w:sdtEndPr>
      <w:rPr>
        <w:noProof/>
      </w:rPr>
    </w:sdtEndPr>
    <w:sdtContent>
      <w:p w:rsidR="00EE6083" w:rsidRDefault="00EE6083">
        <w:pPr>
          <w:pStyle w:val="Footer"/>
          <w:jc w:val="center"/>
        </w:pPr>
        <w:r>
          <w:fldChar w:fldCharType="begin"/>
        </w:r>
        <w:r>
          <w:instrText xml:space="preserve"> PAGE   \* MERGEFORMAT </w:instrText>
        </w:r>
        <w:r>
          <w:fldChar w:fldCharType="separate"/>
        </w:r>
        <w:r w:rsidR="00753EBE">
          <w:rPr>
            <w:noProof/>
          </w:rPr>
          <w:t>1</w:t>
        </w:r>
        <w:r>
          <w:rPr>
            <w:noProof/>
          </w:rPr>
          <w:fldChar w:fldCharType="end"/>
        </w:r>
      </w:p>
    </w:sdtContent>
  </w:sdt>
  <w:p w:rsidR="00EE6083" w:rsidRDefault="00EE6083" w:rsidP="009C5DC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3196C" w:rsidRDefault="0023196C">
      <w:pPr>
        <w:spacing w:after="0" w:line="240" w:lineRule="auto"/>
      </w:pPr>
      <w:r>
        <w:separator/>
      </w:r>
    </w:p>
  </w:footnote>
  <w:footnote w:type="continuationSeparator" w:id="0">
    <w:p w:rsidR="0023196C" w:rsidRDefault="0023196C">
      <w:pPr>
        <w:spacing w:after="0" w:line="240" w:lineRule="auto"/>
      </w:pPr>
      <w:r>
        <w:continuationSeparator/>
      </w:r>
    </w:p>
  </w:footnote>
  <w:footnote w:id="1">
    <w:p w:rsidR="00EE6083" w:rsidRPr="001738CC" w:rsidRDefault="00EE6083">
      <w:pPr>
        <w:pStyle w:val="FootnoteText"/>
        <w:rPr>
          <w:lang w:val="en-US"/>
        </w:rPr>
      </w:pPr>
      <w:r>
        <w:rPr>
          <w:rStyle w:val="FootnoteReference"/>
        </w:rPr>
        <w:footnoteRef/>
      </w:r>
      <w:r>
        <w:t xml:space="preserve"> Sources: </w:t>
      </w:r>
      <w:r>
        <w:rPr>
          <w:lang w:val="en-US"/>
        </w:rPr>
        <w:t>FMOH. Comprehensive EPI multi-year plan, 2016-2020, National Primary Health Care Development Agency, 2015, and internal WHO briefing note for the 2016 joint appraisal.</w:t>
      </w:r>
    </w:p>
  </w:footnote>
  <w:footnote w:id="2">
    <w:p w:rsidR="00EE6083" w:rsidRPr="00E54B4C" w:rsidRDefault="00EE6083">
      <w:pPr>
        <w:pStyle w:val="FootnoteText"/>
        <w:rPr>
          <w:lang w:val="en-US"/>
        </w:rPr>
      </w:pPr>
      <w:r>
        <w:rPr>
          <w:rStyle w:val="FootnoteReference"/>
        </w:rPr>
        <w:footnoteRef/>
      </w:r>
      <w:r>
        <w:t xml:space="preserve"> </w:t>
      </w:r>
      <w:r>
        <w:rPr>
          <w:lang w:val="en-US"/>
        </w:rPr>
        <w:t>cMYP 2016-2020.</w:t>
      </w:r>
    </w:p>
  </w:footnote>
  <w:footnote w:id="3">
    <w:p w:rsidR="00EE6083" w:rsidRPr="00AB6B44" w:rsidRDefault="00EE6083">
      <w:pPr>
        <w:pStyle w:val="FootnoteText"/>
        <w:rPr>
          <w:lang w:val="en-US"/>
        </w:rPr>
      </w:pPr>
      <w:r>
        <w:rPr>
          <w:rStyle w:val="FootnoteReference"/>
        </w:rPr>
        <w:footnoteRef/>
      </w:r>
      <w:r>
        <w:t xml:space="preserve"> </w:t>
      </w:r>
      <w:r>
        <w:rPr>
          <w:lang w:val="en-US"/>
        </w:rPr>
        <w:t>Internal WHO briefing note for the 2016 joint appraisal.</w:t>
      </w:r>
    </w:p>
  </w:footnote>
  <w:footnote w:id="4">
    <w:p w:rsidR="00EE6083" w:rsidRPr="008E2AE4" w:rsidRDefault="00EE6083">
      <w:pPr>
        <w:pStyle w:val="FootnoteText"/>
        <w:rPr>
          <w:lang w:val="en-US"/>
        </w:rPr>
      </w:pPr>
      <w:r>
        <w:rPr>
          <w:rStyle w:val="FootnoteReference"/>
        </w:rPr>
        <w:footnoteRef/>
      </w:r>
      <w:r>
        <w:t xml:space="preserve"> </w:t>
      </w:r>
      <w:r>
        <w:rPr>
          <w:lang w:val="en-US"/>
        </w:rPr>
        <w:t>cMYP.</w:t>
      </w:r>
    </w:p>
  </w:footnote>
  <w:footnote w:id="5">
    <w:p w:rsidR="00EE6083" w:rsidRPr="009D7CB0" w:rsidRDefault="00EE6083">
      <w:pPr>
        <w:pStyle w:val="FootnoteText"/>
        <w:rPr>
          <w:lang w:val="en-US"/>
        </w:rPr>
      </w:pPr>
      <w:r>
        <w:rPr>
          <w:rStyle w:val="FootnoteReference"/>
        </w:rPr>
        <w:footnoteRef/>
      </w:r>
      <w:r>
        <w:t xml:space="preserve"> </w:t>
      </w:r>
      <w:r>
        <w:rPr>
          <w:lang w:val="en-US"/>
        </w:rPr>
        <w:t>WHO, Highlights of new wild poliovirus and cVDPV cases reported globally, week of August 9, 2016 (presentation).</w:t>
      </w:r>
    </w:p>
  </w:footnote>
  <w:footnote w:id="6">
    <w:p w:rsidR="00EE6083" w:rsidRPr="00B50567" w:rsidRDefault="00EE6083">
      <w:pPr>
        <w:pStyle w:val="FootnoteText"/>
        <w:rPr>
          <w:lang w:val="en-US"/>
        </w:rPr>
      </w:pPr>
      <w:r>
        <w:rPr>
          <w:rStyle w:val="FootnoteReference"/>
        </w:rPr>
        <w:footnoteRef/>
      </w:r>
      <w:r>
        <w:t xml:space="preserve"> </w:t>
      </w:r>
      <w:r>
        <w:rPr>
          <w:lang w:val="en-US"/>
        </w:rPr>
        <w:t xml:space="preserve">These are recently revised estimates that were lowered following a recent survey. </w:t>
      </w:r>
    </w:p>
  </w:footnote>
  <w:footnote w:id="7">
    <w:p w:rsidR="00EE6083" w:rsidRPr="000B2412" w:rsidRDefault="00EE6083">
      <w:pPr>
        <w:pStyle w:val="FootnoteText"/>
        <w:rPr>
          <w:lang w:val="fr-FR"/>
        </w:rPr>
      </w:pPr>
      <w:r>
        <w:rPr>
          <w:rStyle w:val="FootnoteReference"/>
        </w:rPr>
        <w:footnoteRef/>
      </w:r>
      <w:r w:rsidRPr="000B2412">
        <w:rPr>
          <w:lang w:val="fr-FR"/>
        </w:rPr>
        <w:t xml:space="preserve"> cMYP.</w:t>
      </w:r>
    </w:p>
  </w:footnote>
  <w:footnote w:id="8">
    <w:p w:rsidR="00EE6083" w:rsidRPr="000B2412" w:rsidRDefault="00EE6083">
      <w:pPr>
        <w:pStyle w:val="FootnoteText"/>
        <w:rPr>
          <w:lang w:val="fr-FR"/>
        </w:rPr>
      </w:pPr>
      <w:r>
        <w:rPr>
          <w:rStyle w:val="FootnoteReference"/>
        </w:rPr>
        <w:footnoteRef/>
      </w:r>
      <w:r w:rsidRPr="000B2412">
        <w:rPr>
          <w:lang w:val="fr-FR"/>
        </w:rPr>
        <w:t xml:space="preserve"> cMYP.</w:t>
      </w:r>
    </w:p>
  </w:footnote>
  <w:footnote w:id="9">
    <w:p w:rsidR="00EE6083" w:rsidRPr="003D6F13" w:rsidRDefault="00EE6083">
      <w:pPr>
        <w:pStyle w:val="FootnoteText"/>
        <w:rPr>
          <w:lang w:val="en-US"/>
        </w:rPr>
      </w:pPr>
      <w:r>
        <w:rPr>
          <w:rStyle w:val="FootnoteReference"/>
        </w:rPr>
        <w:footnoteRef/>
      </w:r>
      <w:r w:rsidRPr="000B2412">
        <w:rPr>
          <w:lang w:val="fr-FR"/>
        </w:rPr>
        <w:t xml:space="preserve"> National Population Commission. </w:t>
      </w:r>
      <w:r>
        <w:rPr>
          <w:lang w:val="en-US"/>
        </w:rPr>
        <w:t>Nigeria Demographic and Health Survey 2013.</w:t>
      </w:r>
    </w:p>
  </w:footnote>
  <w:footnote w:id="10">
    <w:p w:rsidR="00EE6083" w:rsidRPr="00F54563" w:rsidRDefault="00EE6083">
      <w:pPr>
        <w:pStyle w:val="FootnoteText"/>
        <w:rPr>
          <w:lang w:val="en-US"/>
        </w:rPr>
      </w:pPr>
      <w:r>
        <w:rPr>
          <w:rStyle w:val="FootnoteReference"/>
        </w:rPr>
        <w:footnoteRef/>
      </w:r>
      <w:r>
        <w:t xml:space="preserve"> </w:t>
      </w:r>
      <w:r>
        <w:rPr>
          <w:lang w:val="en-US"/>
        </w:rPr>
        <w:t>cMYP.</w:t>
      </w:r>
    </w:p>
  </w:footnote>
  <w:footnote w:id="11">
    <w:p w:rsidR="00EE6083" w:rsidRPr="00A077C6" w:rsidRDefault="00EE6083">
      <w:pPr>
        <w:pStyle w:val="FootnoteText"/>
        <w:rPr>
          <w:lang w:val="en-US"/>
        </w:rPr>
      </w:pPr>
      <w:r>
        <w:rPr>
          <w:rStyle w:val="FootnoteReference"/>
        </w:rPr>
        <w:footnoteRef/>
      </w:r>
      <w:r>
        <w:t xml:space="preserve"> </w:t>
      </w:r>
      <w:r>
        <w:rPr>
          <w:lang w:val="en-US"/>
        </w:rPr>
        <w:t>cMYP.</w:t>
      </w:r>
    </w:p>
  </w:footnote>
  <w:footnote w:id="12">
    <w:p w:rsidR="00EE6083" w:rsidRPr="00A077C6" w:rsidRDefault="00EE6083">
      <w:pPr>
        <w:pStyle w:val="FootnoteText"/>
        <w:rPr>
          <w:lang w:val="en-US"/>
        </w:rPr>
      </w:pPr>
      <w:r>
        <w:rPr>
          <w:rStyle w:val="FootnoteReference"/>
        </w:rPr>
        <w:footnoteRef/>
      </w:r>
      <w:r>
        <w:t xml:space="preserve"> WHO </w:t>
      </w:r>
      <w:r>
        <w:rPr>
          <w:lang w:val="en-US"/>
        </w:rPr>
        <w:t>Global summary of vaccine-preventable diseases for 2016: Nigeria.</w:t>
      </w:r>
    </w:p>
  </w:footnote>
  <w:footnote w:id="13">
    <w:p w:rsidR="00EE6083" w:rsidRPr="00A077C6" w:rsidRDefault="00EE6083">
      <w:pPr>
        <w:pStyle w:val="FootnoteText"/>
        <w:rPr>
          <w:lang w:val="en-US"/>
        </w:rPr>
      </w:pPr>
      <w:r>
        <w:rPr>
          <w:rStyle w:val="FootnoteReference"/>
        </w:rPr>
        <w:footnoteRef/>
      </w:r>
      <w:r>
        <w:t xml:space="preserve"> </w:t>
      </w:r>
      <w:r>
        <w:rPr>
          <w:lang w:val="en-US"/>
        </w:rPr>
        <w:t>cMYP.</w:t>
      </w:r>
    </w:p>
  </w:footnote>
  <w:footnote w:id="14">
    <w:p w:rsidR="00EE6083" w:rsidRPr="00A077C6" w:rsidRDefault="00EE6083">
      <w:pPr>
        <w:pStyle w:val="FootnoteText"/>
        <w:rPr>
          <w:lang w:val="en-US"/>
        </w:rPr>
      </w:pPr>
      <w:r>
        <w:rPr>
          <w:rStyle w:val="FootnoteReference"/>
        </w:rPr>
        <w:footnoteRef/>
      </w:r>
      <w:r>
        <w:t xml:space="preserve"> </w:t>
      </w:r>
      <w:r>
        <w:rPr>
          <w:lang w:val="en-US"/>
        </w:rPr>
        <w:t>GAVI Joint Appraisal report, 2015.</w:t>
      </w:r>
    </w:p>
  </w:footnote>
  <w:footnote w:id="15">
    <w:p w:rsidR="00EE6083" w:rsidRPr="007A2153" w:rsidRDefault="00EE6083">
      <w:pPr>
        <w:pStyle w:val="FootnoteText"/>
        <w:rPr>
          <w:lang w:val="en-US"/>
        </w:rPr>
      </w:pPr>
      <w:r>
        <w:rPr>
          <w:rStyle w:val="FootnoteReference"/>
        </w:rPr>
        <w:footnoteRef/>
      </w:r>
      <w:r>
        <w:t xml:space="preserve"> WHO </w:t>
      </w:r>
      <w:r>
        <w:rPr>
          <w:lang w:val="en-US"/>
        </w:rPr>
        <w:t>Global summary of vaccine-preventable diseases for 2016: Nigeria.</w:t>
      </w:r>
    </w:p>
  </w:footnote>
  <w:footnote w:id="16">
    <w:p w:rsidR="00EE6083" w:rsidRPr="007A2153" w:rsidRDefault="00EE6083">
      <w:pPr>
        <w:pStyle w:val="FootnoteText"/>
        <w:rPr>
          <w:lang w:val="en-US"/>
        </w:rPr>
      </w:pPr>
      <w:r>
        <w:rPr>
          <w:rStyle w:val="FootnoteReference"/>
        </w:rPr>
        <w:footnoteRef/>
      </w:r>
      <w:r>
        <w:t xml:space="preserve"> Nigerian National Bureau of Statistics. </w:t>
      </w:r>
      <w:r>
        <w:rPr>
          <w:lang w:val="en-US"/>
        </w:rPr>
        <w:t>National Nutrition and Health Survey (NNHS), 2015.</w:t>
      </w:r>
    </w:p>
  </w:footnote>
  <w:footnote w:id="17">
    <w:p w:rsidR="00EE6083" w:rsidRPr="00D34A31" w:rsidRDefault="00EE6083">
      <w:pPr>
        <w:pStyle w:val="FootnoteText"/>
        <w:rPr>
          <w:lang w:val="en-US"/>
        </w:rPr>
      </w:pPr>
      <w:r>
        <w:rPr>
          <w:rStyle w:val="FootnoteReference"/>
        </w:rPr>
        <w:footnoteRef/>
      </w:r>
      <w:r>
        <w:t xml:space="preserve"> </w:t>
      </w:r>
      <w:r>
        <w:rPr>
          <w:lang w:val="en-US"/>
        </w:rPr>
        <w:t>cMYP.</w:t>
      </w:r>
    </w:p>
  </w:footnote>
  <w:footnote w:id="18">
    <w:p w:rsidR="00EE6083" w:rsidRPr="00805A3A" w:rsidRDefault="00EE6083">
      <w:pPr>
        <w:pStyle w:val="FootnoteText"/>
        <w:rPr>
          <w:lang w:val="en-US"/>
        </w:rPr>
      </w:pPr>
      <w:r>
        <w:rPr>
          <w:rStyle w:val="FootnoteReference"/>
        </w:rPr>
        <w:footnoteRef/>
      </w:r>
      <w:r>
        <w:t xml:space="preserve"> </w:t>
      </w:r>
      <w:r>
        <w:rPr>
          <w:lang w:val="en-US"/>
        </w:rPr>
        <w:t>2013 DHS.</w:t>
      </w:r>
    </w:p>
  </w:footnote>
  <w:footnote w:id="19">
    <w:p w:rsidR="00EE6083" w:rsidRPr="004C4AD6" w:rsidRDefault="00EE6083">
      <w:pPr>
        <w:pStyle w:val="FootnoteText"/>
        <w:rPr>
          <w:lang w:val="en-US"/>
        </w:rPr>
      </w:pPr>
      <w:r>
        <w:rPr>
          <w:rStyle w:val="FootnoteReference"/>
        </w:rPr>
        <w:footnoteRef/>
      </w:r>
      <w:r>
        <w:t xml:space="preserve"> </w:t>
      </w:r>
      <w:r>
        <w:rPr>
          <w:lang w:val="en-US"/>
        </w:rPr>
        <w:t>Internal WHO briefing note for the 2016 joint appraisal.</w:t>
      </w:r>
    </w:p>
  </w:footnote>
  <w:footnote w:id="20">
    <w:p w:rsidR="00EE6083" w:rsidRPr="005F4B52" w:rsidRDefault="00EE6083">
      <w:pPr>
        <w:pStyle w:val="FootnoteText"/>
        <w:rPr>
          <w:lang w:val="en-US"/>
        </w:rPr>
      </w:pPr>
      <w:r>
        <w:rPr>
          <w:rStyle w:val="FootnoteReference"/>
        </w:rPr>
        <w:footnoteRef/>
      </w:r>
      <w:r>
        <w:t xml:space="preserve"> </w:t>
      </w:r>
      <w:r>
        <w:rPr>
          <w:lang w:val="en-US"/>
        </w:rPr>
        <w:t>cMYP.</w:t>
      </w:r>
    </w:p>
  </w:footnote>
  <w:footnote w:id="21">
    <w:p w:rsidR="00EE6083" w:rsidRPr="003B59D3" w:rsidRDefault="00EE6083">
      <w:pPr>
        <w:pStyle w:val="FootnoteText"/>
        <w:rPr>
          <w:lang w:val="en-US"/>
        </w:rPr>
      </w:pPr>
      <w:r>
        <w:rPr>
          <w:rStyle w:val="FootnoteReference"/>
        </w:rPr>
        <w:footnoteRef/>
      </w:r>
      <w:r>
        <w:t xml:space="preserve"> Report on the Post-Introduction Evaluation of Pneumococcal Conjugate Vaccine (PCV10) and Inactivated Polio Vaccine (IPV) in Phase 1 States in Nigeria, March 2016.</w:t>
      </w:r>
    </w:p>
  </w:footnote>
  <w:footnote w:id="22">
    <w:p w:rsidR="00EE6083" w:rsidRPr="00350FD0" w:rsidRDefault="00EE6083">
      <w:pPr>
        <w:pStyle w:val="FootnoteText"/>
        <w:rPr>
          <w:lang w:val="en-US"/>
        </w:rPr>
      </w:pPr>
      <w:r>
        <w:rPr>
          <w:rStyle w:val="FootnoteReference"/>
        </w:rPr>
        <w:footnoteRef/>
      </w:r>
      <w:r>
        <w:t xml:space="preserve"> </w:t>
      </w:r>
      <w:r>
        <w:rPr>
          <w:lang w:val="en-US"/>
        </w:rPr>
        <w:t>Presentation of Post-introduction evaluation (PIE) of pentavalent vaccine introduction in Nigeria Phase I states, March 2013.</w:t>
      </w:r>
    </w:p>
  </w:footnote>
  <w:footnote w:id="23">
    <w:p w:rsidR="00EE6083" w:rsidRPr="00F87D4C" w:rsidRDefault="00EE6083">
      <w:pPr>
        <w:pStyle w:val="FootnoteText"/>
        <w:rPr>
          <w:lang w:val="en-US"/>
        </w:rPr>
      </w:pPr>
      <w:r>
        <w:rPr>
          <w:rStyle w:val="FootnoteReference"/>
        </w:rPr>
        <w:footnoteRef/>
      </w:r>
      <w:r>
        <w:t xml:space="preserve"> </w:t>
      </w:r>
      <w:r>
        <w:rPr>
          <w:lang w:val="en-US"/>
        </w:rPr>
        <w:t>cMYP.</w:t>
      </w:r>
    </w:p>
  </w:footnote>
  <w:footnote w:id="24">
    <w:p w:rsidR="00EE6083" w:rsidRPr="007348D9" w:rsidRDefault="00EE6083">
      <w:pPr>
        <w:pStyle w:val="FootnoteText"/>
      </w:pPr>
      <w:r>
        <w:rPr>
          <w:rStyle w:val="FootnoteReference"/>
        </w:rPr>
        <w:footnoteRef/>
      </w:r>
      <w:r>
        <w:t xml:space="preserve"> Joint Appraisal report, 2015.</w:t>
      </w:r>
    </w:p>
  </w:footnote>
  <w:footnote w:id="25">
    <w:p w:rsidR="00EE6083" w:rsidRPr="00A53678" w:rsidRDefault="00EE6083">
      <w:pPr>
        <w:pStyle w:val="FootnoteText"/>
        <w:rPr>
          <w:lang w:val="en-US"/>
        </w:rPr>
      </w:pPr>
      <w:r>
        <w:rPr>
          <w:rStyle w:val="FootnoteReference"/>
        </w:rPr>
        <w:footnoteRef/>
      </w:r>
      <w:r>
        <w:t xml:space="preserve"> </w:t>
      </w:r>
      <w:r>
        <w:rPr>
          <w:lang w:val="en-US"/>
        </w:rPr>
        <w:t>Presentation of Post-introduction evaluation (PIE) of pentavalent vaccine introduction in Nigeria Phase I states, March 2013.</w:t>
      </w:r>
    </w:p>
  </w:footnote>
  <w:footnote w:id="26">
    <w:p w:rsidR="00EE6083" w:rsidRPr="00010003" w:rsidRDefault="00EE6083">
      <w:pPr>
        <w:pStyle w:val="FootnoteText"/>
        <w:rPr>
          <w:lang w:val="en-US"/>
        </w:rPr>
      </w:pPr>
      <w:r>
        <w:rPr>
          <w:rStyle w:val="FootnoteReference"/>
        </w:rPr>
        <w:footnoteRef/>
      </w:r>
      <w:r>
        <w:t xml:space="preserve"> Report on the Post-Introduction Evaluation of Pneumococcal Conjugate Vaccine (PCV10) and Inactivated Polio Vaccine (IPV) in Phase 1 States in Nigeria, March 2016.</w:t>
      </w:r>
    </w:p>
  </w:footnote>
  <w:footnote w:id="27">
    <w:p w:rsidR="00EE6083" w:rsidRPr="00AE591E" w:rsidRDefault="00EE6083">
      <w:pPr>
        <w:pStyle w:val="FootnoteText"/>
        <w:rPr>
          <w:lang w:val="en-US"/>
        </w:rPr>
      </w:pPr>
      <w:r>
        <w:rPr>
          <w:rStyle w:val="FootnoteReference"/>
        </w:rPr>
        <w:footnoteRef/>
      </w:r>
      <w:r>
        <w:t xml:space="preserve"> </w:t>
      </w:r>
      <w:r>
        <w:rPr>
          <w:lang w:val="en-US"/>
        </w:rPr>
        <w:t>Internal WHO briefing note for the 2016 joint appraisal.</w:t>
      </w:r>
    </w:p>
  </w:footnote>
  <w:footnote w:id="28">
    <w:p w:rsidR="00EE6083" w:rsidRPr="00AE591E" w:rsidRDefault="00EE6083">
      <w:pPr>
        <w:pStyle w:val="FootnoteText"/>
        <w:rPr>
          <w:lang w:val="en-US"/>
        </w:rPr>
      </w:pPr>
      <w:r>
        <w:rPr>
          <w:rStyle w:val="FootnoteReference"/>
        </w:rPr>
        <w:footnoteRef/>
      </w:r>
      <w:r>
        <w:t xml:space="preserve"> </w:t>
      </w:r>
      <w:r>
        <w:rPr>
          <w:lang w:val="en-US"/>
        </w:rPr>
        <w:t>Joint Appraisal report 2015.</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FC0D88"/>
    <w:multiLevelType w:val="hybridMultilevel"/>
    <w:tmpl w:val="92B475DA"/>
    <w:lvl w:ilvl="0" w:tplc="04090005">
      <w:start w:val="1"/>
      <w:numFmt w:val="bullet"/>
      <w:lvlText w:val=""/>
      <w:lvlJc w:val="left"/>
      <w:pPr>
        <w:ind w:left="720" w:hanging="360"/>
      </w:pPr>
      <w:rPr>
        <w:rFonts w:ascii="Wingdings" w:hAnsi="Wingding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8F710BA"/>
    <w:multiLevelType w:val="hybridMultilevel"/>
    <w:tmpl w:val="D80015D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nsid w:val="0BFE4796"/>
    <w:multiLevelType w:val="hybridMultilevel"/>
    <w:tmpl w:val="2D6047F6"/>
    <w:lvl w:ilvl="0" w:tplc="04090015">
      <w:start w:val="1"/>
      <w:numFmt w:val="upp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nsid w:val="0C717BBF"/>
    <w:multiLevelType w:val="hybridMultilevel"/>
    <w:tmpl w:val="295AE8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1C78D5"/>
    <w:multiLevelType w:val="hybridMultilevel"/>
    <w:tmpl w:val="AAD074D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201945"/>
    <w:multiLevelType w:val="hybridMultilevel"/>
    <w:tmpl w:val="EE3E5146"/>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nsid w:val="179F56FE"/>
    <w:multiLevelType w:val="hybridMultilevel"/>
    <w:tmpl w:val="4EFCB3F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nsid w:val="1A9911B8"/>
    <w:multiLevelType w:val="hybridMultilevel"/>
    <w:tmpl w:val="0BA65C4A"/>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1DDB03E1"/>
    <w:multiLevelType w:val="hybridMultilevel"/>
    <w:tmpl w:val="17D0DAB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0910D11"/>
    <w:multiLevelType w:val="hybridMultilevel"/>
    <w:tmpl w:val="ECF6625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nsid w:val="210B62A0"/>
    <w:multiLevelType w:val="hybridMultilevel"/>
    <w:tmpl w:val="A8CACDC0"/>
    <w:lvl w:ilvl="0" w:tplc="08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38D2157"/>
    <w:multiLevelType w:val="multilevel"/>
    <w:tmpl w:val="8E3C3E1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32EE0362"/>
    <w:multiLevelType w:val="multilevel"/>
    <w:tmpl w:val="D1BA6E16"/>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336F6781"/>
    <w:multiLevelType w:val="multilevel"/>
    <w:tmpl w:val="12F245C4"/>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34851C67"/>
    <w:multiLevelType w:val="hybridMultilevel"/>
    <w:tmpl w:val="FA10CC6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34D5180B"/>
    <w:multiLevelType w:val="hybridMultilevel"/>
    <w:tmpl w:val="AAA283B2"/>
    <w:lvl w:ilvl="0" w:tplc="10421B90">
      <w:numFmt w:val="bullet"/>
      <w:lvlText w:val="-"/>
      <w:lvlJc w:val="left"/>
      <w:pPr>
        <w:ind w:left="1080" w:hanging="360"/>
      </w:pPr>
      <w:rPr>
        <w:rFonts w:ascii="Arial" w:eastAsiaTheme="minorHAnsi" w:hAnsi="Arial" w:cs="Aria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nsid w:val="39AB2663"/>
    <w:multiLevelType w:val="multilevel"/>
    <w:tmpl w:val="A5E0EF82"/>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3A9B0E47"/>
    <w:multiLevelType w:val="hybridMultilevel"/>
    <w:tmpl w:val="F146A09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8">
    <w:nsid w:val="3C251F34"/>
    <w:multiLevelType w:val="hybridMultilevel"/>
    <w:tmpl w:val="77B83EF6"/>
    <w:lvl w:ilvl="0" w:tplc="CC78D78A">
      <w:start w:val="1"/>
      <w:numFmt w:val="lowerLetter"/>
      <w:lvlText w:val="%1."/>
      <w:lvlJc w:val="left"/>
      <w:pPr>
        <w:tabs>
          <w:tab w:val="num" w:pos="720"/>
        </w:tabs>
        <w:ind w:left="720" w:hanging="360"/>
      </w:pPr>
    </w:lvl>
    <w:lvl w:ilvl="1" w:tplc="65FE4AFC">
      <w:start w:val="835"/>
      <w:numFmt w:val="bullet"/>
      <w:lvlText w:val="–"/>
      <w:lvlJc w:val="left"/>
      <w:pPr>
        <w:tabs>
          <w:tab w:val="num" w:pos="1440"/>
        </w:tabs>
        <w:ind w:left="1440" w:hanging="360"/>
      </w:pPr>
      <w:rPr>
        <w:rFonts w:ascii="Arial" w:hAnsi="Arial" w:hint="default"/>
      </w:rPr>
    </w:lvl>
    <w:lvl w:ilvl="2" w:tplc="08F4FAD2">
      <w:start w:val="835"/>
      <w:numFmt w:val="bullet"/>
      <w:lvlText w:val="•"/>
      <w:lvlJc w:val="left"/>
      <w:pPr>
        <w:tabs>
          <w:tab w:val="num" w:pos="2160"/>
        </w:tabs>
        <w:ind w:left="2160" w:hanging="360"/>
      </w:pPr>
      <w:rPr>
        <w:rFonts w:ascii="Arial" w:hAnsi="Arial" w:hint="default"/>
      </w:rPr>
    </w:lvl>
    <w:lvl w:ilvl="3" w:tplc="F1E43FCC" w:tentative="1">
      <w:start w:val="1"/>
      <w:numFmt w:val="lowerLetter"/>
      <w:lvlText w:val="%4."/>
      <w:lvlJc w:val="left"/>
      <w:pPr>
        <w:tabs>
          <w:tab w:val="num" w:pos="2880"/>
        </w:tabs>
        <w:ind w:left="2880" w:hanging="360"/>
      </w:pPr>
    </w:lvl>
    <w:lvl w:ilvl="4" w:tplc="EF30CAAE" w:tentative="1">
      <w:start w:val="1"/>
      <w:numFmt w:val="lowerLetter"/>
      <w:lvlText w:val="%5."/>
      <w:lvlJc w:val="left"/>
      <w:pPr>
        <w:tabs>
          <w:tab w:val="num" w:pos="3600"/>
        </w:tabs>
        <w:ind w:left="3600" w:hanging="360"/>
      </w:pPr>
    </w:lvl>
    <w:lvl w:ilvl="5" w:tplc="1D3C0E56" w:tentative="1">
      <w:start w:val="1"/>
      <w:numFmt w:val="lowerLetter"/>
      <w:lvlText w:val="%6."/>
      <w:lvlJc w:val="left"/>
      <w:pPr>
        <w:tabs>
          <w:tab w:val="num" w:pos="4320"/>
        </w:tabs>
        <w:ind w:left="4320" w:hanging="360"/>
      </w:pPr>
    </w:lvl>
    <w:lvl w:ilvl="6" w:tplc="347E5004" w:tentative="1">
      <w:start w:val="1"/>
      <w:numFmt w:val="lowerLetter"/>
      <w:lvlText w:val="%7."/>
      <w:lvlJc w:val="left"/>
      <w:pPr>
        <w:tabs>
          <w:tab w:val="num" w:pos="5040"/>
        </w:tabs>
        <w:ind w:left="5040" w:hanging="360"/>
      </w:pPr>
    </w:lvl>
    <w:lvl w:ilvl="7" w:tplc="1C181A00" w:tentative="1">
      <w:start w:val="1"/>
      <w:numFmt w:val="lowerLetter"/>
      <w:lvlText w:val="%8."/>
      <w:lvlJc w:val="left"/>
      <w:pPr>
        <w:tabs>
          <w:tab w:val="num" w:pos="5760"/>
        </w:tabs>
        <w:ind w:left="5760" w:hanging="360"/>
      </w:pPr>
    </w:lvl>
    <w:lvl w:ilvl="8" w:tplc="C89A567E" w:tentative="1">
      <w:start w:val="1"/>
      <w:numFmt w:val="lowerLetter"/>
      <w:lvlText w:val="%9."/>
      <w:lvlJc w:val="left"/>
      <w:pPr>
        <w:tabs>
          <w:tab w:val="num" w:pos="6480"/>
        </w:tabs>
        <w:ind w:left="6480" w:hanging="360"/>
      </w:pPr>
    </w:lvl>
  </w:abstractNum>
  <w:abstractNum w:abstractNumId="19">
    <w:nsid w:val="432F2042"/>
    <w:multiLevelType w:val="hybridMultilevel"/>
    <w:tmpl w:val="EC46C4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10A3FD3"/>
    <w:multiLevelType w:val="hybridMultilevel"/>
    <w:tmpl w:val="60D2E280"/>
    <w:lvl w:ilvl="0" w:tplc="F75E9D44">
      <w:start w:val="1"/>
      <w:numFmt w:val="lowerLetter"/>
      <w:lvlText w:val="%1."/>
      <w:lvlJc w:val="left"/>
      <w:pPr>
        <w:tabs>
          <w:tab w:val="num" w:pos="720"/>
        </w:tabs>
        <w:ind w:left="720" w:hanging="360"/>
      </w:pPr>
    </w:lvl>
    <w:lvl w:ilvl="1" w:tplc="C09222A4" w:tentative="1">
      <w:start w:val="1"/>
      <w:numFmt w:val="lowerLetter"/>
      <w:lvlText w:val="%2."/>
      <w:lvlJc w:val="left"/>
      <w:pPr>
        <w:tabs>
          <w:tab w:val="num" w:pos="1440"/>
        </w:tabs>
        <w:ind w:left="1440" w:hanging="360"/>
      </w:pPr>
    </w:lvl>
    <w:lvl w:ilvl="2" w:tplc="62F4B0F6" w:tentative="1">
      <w:start w:val="1"/>
      <w:numFmt w:val="lowerLetter"/>
      <w:lvlText w:val="%3."/>
      <w:lvlJc w:val="left"/>
      <w:pPr>
        <w:tabs>
          <w:tab w:val="num" w:pos="2160"/>
        </w:tabs>
        <w:ind w:left="2160" w:hanging="360"/>
      </w:pPr>
    </w:lvl>
    <w:lvl w:ilvl="3" w:tplc="4E0CA842" w:tentative="1">
      <w:start w:val="1"/>
      <w:numFmt w:val="lowerLetter"/>
      <w:lvlText w:val="%4."/>
      <w:lvlJc w:val="left"/>
      <w:pPr>
        <w:tabs>
          <w:tab w:val="num" w:pos="2880"/>
        </w:tabs>
        <w:ind w:left="2880" w:hanging="360"/>
      </w:pPr>
    </w:lvl>
    <w:lvl w:ilvl="4" w:tplc="7F66CE10" w:tentative="1">
      <w:start w:val="1"/>
      <w:numFmt w:val="lowerLetter"/>
      <w:lvlText w:val="%5."/>
      <w:lvlJc w:val="left"/>
      <w:pPr>
        <w:tabs>
          <w:tab w:val="num" w:pos="3600"/>
        </w:tabs>
        <w:ind w:left="3600" w:hanging="360"/>
      </w:pPr>
    </w:lvl>
    <w:lvl w:ilvl="5" w:tplc="C7246AA8" w:tentative="1">
      <w:start w:val="1"/>
      <w:numFmt w:val="lowerLetter"/>
      <w:lvlText w:val="%6."/>
      <w:lvlJc w:val="left"/>
      <w:pPr>
        <w:tabs>
          <w:tab w:val="num" w:pos="4320"/>
        </w:tabs>
        <w:ind w:left="4320" w:hanging="360"/>
      </w:pPr>
    </w:lvl>
    <w:lvl w:ilvl="6" w:tplc="31D4196E" w:tentative="1">
      <w:start w:val="1"/>
      <w:numFmt w:val="lowerLetter"/>
      <w:lvlText w:val="%7."/>
      <w:lvlJc w:val="left"/>
      <w:pPr>
        <w:tabs>
          <w:tab w:val="num" w:pos="5040"/>
        </w:tabs>
        <w:ind w:left="5040" w:hanging="360"/>
      </w:pPr>
    </w:lvl>
    <w:lvl w:ilvl="7" w:tplc="FBCED516" w:tentative="1">
      <w:start w:val="1"/>
      <w:numFmt w:val="lowerLetter"/>
      <w:lvlText w:val="%8."/>
      <w:lvlJc w:val="left"/>
      <w:pPr>
        <w:tabs>
          <w:tab w:val="num" w:pos="5760"/>
        </w:tabs>
        <w:ind w:left="5760" w:hanging="360"/>
      </w:pPr>
    </w:lvl>
    <w:lvl w:ilvl="8" w:tplc="2864C6DA" w:tentative="1">
      <w:start w:val="1"/>
      <w:numFmt w:val="lowerLetter"/>
      <w:lvlText w:val="%9."/>
      <w:lvlJc w:val="left"/>
      <w:pPr>
        <w:tabs>
          <w:tab w:val="num" w:pos="6480"/>
        </w:tabs>
        <w:ind w:left="6480" w:hanging="360"/>
      </w:pPr>
    </w:lvl>
  </w:abstractNum>
  <w:abstractNum w:abstractNumId="21">
    <w:nsid w:val="514B7582"/>
    <w:multiLevelType w:val="hybridMultilevel"/>
    <w:tmpl w:val="9AFEA6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527F13EF"/>
    <w:multiLevelType w:val="multilevel"/>
    <w:tmpl w:val="F324700C"/>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54BB4A5A"/>
    <w:multiLevelType w:val="hybridMultilevel"/>
    <w:tmpl w:val="6A70A29C"/>
    <w:lvl w:ilvl="0" w:tplc="04090005">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4">
    <w:nsid w:val="582970CC"/>
    <w:multiLevelType w:val="hybridMultilevel"/>
    <w:tmpl w:val="334C477E"/>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5">
    <w:nsid w:val="5A704F80"/>
    <w:multiLevelType w:val="hybridMultilevel"/>
    <w:tmpl w:val="738AE03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60EA3A61"/>
    <w:multiLevelType w:val="hybridMultilevel"/>
    <w:tmpl w:val="B6A0B56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64D05912"/>
    <w:multiLevelType w:val="hybridMultilevel"/>
    <w:tmpl w:val="8CCE2F44"/>
    <w:lvl w:ilvl="0" w:tplc="AC7C927C">
      <w:start w:val="1"/>
      <w:numFmt w:val="lowerLetter"/>
      <w:lvlText w:val="%1."/>
      <w:lvlJc w:val="left"/>
      <w:pPr>
        <w:tabs>
          <w:tab w:val="num" w:pos="720"/>
        </w:tabs>
        <w:ind w:left="720" w:hanging="360"/>
      </w:pPr>
    </w:lvl>
    <w:lvl w:ilvl="1" w:tplc="491AC57C" w:tentative="1">
      <w:start w:val="1"/>
      <w:numFmt w:val="lowerLetter"/>
      <w:lvlText w:val="%2."/>
      <w:lvlJc w:val="left"/>
      <w:pPr>
        <w:tabs>
          <w:tab w:val="num" w:pos="1440"/>
        </w:tabs>
        <w:ind w:left="1440" w:hanging="360"/>
      </w:pPr>
    </w:lvl>
    <w:lvl w:ilvl="2" w:tplc="CA2EF9FC" w:tentative="1">
      <w:start w:val="1"/>
      <w:numFmt w:val="lowerLetter"/>
      <w:lvlText w:val="%3."/>
      <w:lvlJc w:val="left"/>
      <w:pPr>
        <w:tabs>
          <w:tab w:val="num" w:pos="2160"/>
        </w:tabs>
        <w:ind w:left="2160" w:hanging="360"/>
      </w:pPr>
    </w:lvl>
    <w:lvl w:ilvl="3" w:tplc="E204790E" w:tentative="1">
      <w:start w:val="1"/>
      <w:numFmt w:val="lowerLetter"/>
      <w:lvlText w:val="%4."/>
      <w:lvlJc w:val="left"/>
      <w:pPr>
        <w:tabs>
          <w:tab w:val="num" w:pos="2880"/>
        </w:tabs>
        <w:ind w:left="2880" w:hanging="360"/>
      </w:pPr>
    </w:lvl>
    <w:lvl w:ilvl="4" w:tplc="8FE4B9D0" w:tentative="1">
      <w:start w:val="1"/>
      <w:numFmt w:val="lowerLetter"/>
      <w:lvlText w:val="%5."/>
      <w:lvlJc w:val="left"/>
      <w:pPr>
        <w:tabs>
          <w:tab w:val="num" w:pos="3600"/>
        </w:tabs>
        <w:ind w:left="3600" w:hanging="360"/>
      </w:pPr>
    </w:lvl>
    <w:lvl w:ilvl="5" w:tplc="0416FB90" w:tentative="1">
      <w:start w:val="1"/>
      <w:numFmt w:val="lowerLetter"/>
      <w:lvlText w:val="%6."/>
      <w:lvlJc w:val="left"/>
      <w:pPr>
        <w:tabs>
          <w:tab w:val="num" w:pos="4320"/>
        </w:tabs>
        <w:ind w:left="4320" w:hanging="360"/>
      </w:pPr>
    </w:lvl>
    <w:lvl w:ilvl="6" w:tplc="8EF4CA38" w:tentative="1">
      <w:start w:val="1"/>
      <w:numFmt w:val="lowerLetter"/>
      <w:lvlText w:val="%7."/>
      <w:lvlJc w:val="left"/>
      <w:pPr>
        <w:tabs>
          <w:tab w:val="num" w:pos="5040"/>
        </w:tabs>
        <w:ind w:left="5040" w:hanging="360"/>
      </w:pPr>
    </w:lvl>
    <w:lvl w:ilvl="7" w:tplc="6CBA7550" w:tentative="1">
      <w:start w:val="1"/>
      <w:numFmt w:val="lowerLetter"/>
      <w:lvlText w:val="%8."/>
      <w:lvlJc w:val="left"/>
      <w:pPr>
        <w:tabs>
          <w:tab w:val="num" w:pos="5760"/>
        </w:tabs>
        <w:ind w:left="5760" w:hanging="360"/>
      </w:pPr>
    </w:lvl>
    <w:lvl w:ilvl="8" w:tplc="0ECCE49A" w:tentative="1">
      <w:start w:val="1"/>
      <w:numFmt w:val="lowerLetter"/>
      <w:lvlText w:val="%9."/>
      <w:lvlJc w:val="left"/>
      <w:pPr>
        <w:tabs>
          <w:tab w:val="num" w:pos="6480"/>
        </w:tabs>
        <w:ind w:left="6480" w:hanging="360"/>
      </w:pPr>
    </w:lvl>
  </w:abstractNum>
  <w:abstractNum w:abstractNumId="28">
    <w:nsid w:val="72F01F3F"/>
    <w:multiLevelType w:val="hybridMultilevel"/>
    <w:tmpl w:val="F0AC8CE0"/>
    <w:lvl w:ilvl="0" w:tplc="0AEA3742">
      <w:start w:val="1"/>
      <w:numFmt w:val="lowerLetter"/>
      <w:lvlText w:val="%1."/>
      <w:lvlJc w:val="left"/>
      <w:pPr>
        <w:tabs>
          <w:tab w:val="num" w:pos="720"/>
        </w:tabs>
        <w:ind w:left="720" w:hanging="360"/>
      </w:pPr>
    </w:lvl>
    <w:lvl w:ilvl="1" w:tplc="35D24552" w:tentative="1">
      <w:start w:val="1"/>
      <w:numFmt w:val="lowerLetter"/>
      <w:lvlText w:val="%2."/>
      <w:lvlJc w:val="left"/>
      <w:pPr>
        <w:tabs>
          <w:tab w:val="num" w:pos="1440"/>
        </w:tabs>
        <w:ind w:left="1440" w:hanging="360"/>
      </w:pPr>
    </w:lvl>
    <w:lvl w:ilvl="2" w:tplc="B9CEC44A" w:tentative="1">
      <w:start w:val="1"/>
      <w:numFmt w:val="lowerLetter"/>
      <w:lvlText w:val="%3."/>
      <w:lvlJc w:val="left"/>
      <w:pPr>
        <w:tabs>
          <w:tab w:val="num" w:pos="2160"/>
        </w:tabs>
        <w:ind w:left="2160" w:hanging="360"/>
      </w:pPr>
    </w:lvl>
    <w:lvl w:ilvl="3" w:tplc="D34A7FE2" w:tentative="1">
      <w:start w:val="1"/>
      <w:numFmt w:val="lowerLetter"/>
      <w:lvlText w:val="%4."/>
      <w:lvlJc w:val="left"/>
      <w:pPr>
        <w:tabs>
          <w:tab w:val="num" w:pos="2880"/>
        </w:tabs>
        <w:ind w:left="2880" w:hanging="360"/>
      </w:pPr>
    </w:lvl>
    <w:lvl w:ilvl="4" w:tplc="8BFA7378" w:tentative="1">
      <w:start w:val="1"/>
      <w:numFmt w:val="lowerLetter"/>
      <w:lvlText w:val="%5."/>
      <w:lvlJc w:val="left"/>
      <w:pPr>
        <w:tabs>
          <w:tab w:val="num" w:pos="3600"/>
        </w:tabs>
        <w:ind w:left="3600" w:hanging="360"/>
      </w:pPr>
    </w:lvl>
    <w:lvl w:ilvl="5" w:tplc="43BCEA14" w:tentative="1">
      <w:start w:val="1"/>
      <w:numFmt w:val="lowerLetter"/>
      <w:lvlText w:val="%6."/>
      <w:lvlJc w:val="left"/>
      <w:pPr>
        <w:tabs>
          <w:tab w:val="num" w:pos="4320"/>
        </w:tabs>
        <w:ind w:left="4320" w:hanging="360"/>
      </w:pPr>
    </w:lvl>
    <w:lvl w:ilvl="6" w:tplc="C3F62F62" w:tentative="1">
      <w:start w:val="1"/>
      <w:numFmt w:val="lowerLetter"/>
      <w:lvlText w:val="%7."/>
      <w:lvlJc w:val="left"/>
      <w:pPr>
        <w:tabs>
          <w:tab w:val="num" w:pos="5040"/>
        </w:tabs>
        <w:ind w:left="5040" w:hanging="360"/>
      </w:pPr>
    </w:lvl>
    <w:lvl w:ilvl="7" w:tplc="0FCEC840" w:tentative="1">
      <w:start w:val="1"/>
      <w:numFmt w:val="lowerLetter"/>
      <w:lvlText w:val="%8."/>
      <w:lvlJc w:val="left"/>
      <w:pPr>
        <w:tabs>
          <w:tab w:val="num" w:pos="5760"/>
        </w:tabs>
        <w:ind w:left="5760" w:hanging="360"/>
      </w:pPr>
    </w:lvl>
    <w:lvl w:ilvl="8" w:tplc="FD5A1B24" w:tentative="1">
      <w:start w:val="1"/>
      <w:numFmt w:val="lowerLetter"/>
      <w:lvlText w:val="%9."/>
      <w:lvlJc w:val="left"/>
      <w:pPr>
        <w:tabs>
          <w:tab w:val="num" w:pos="6480"/>
        </w:tabs>
        <w:ind w:left="6480" w:hanging="360"/>
      </w:pPr>
    </w:lvl>
  </w:abstractNum>
  <w:abstractNum w:abstractNumId="29">
    <w:nsid w:val="76433DC8"/>
    <w:multiLevelType w:val="hybridMultilevel"/>
    <w:tmpl w:val="BCCA346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77F11D0B"/>
    <w:multiLevelType w:val="hybridMultilevel"/>
    <w:tmpl w:val="ABEC255A"/>
    <w:lvl w:ilvl="0" w:tplc="04090005">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1">
    <w:nsid w:val="7ADF19AB"/>
    <w:multiLevelType w:val="hybridMultilevel"/>
    <w:tmpl w:val="BD865C86"/>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7B8A3DE2"/>
    <w:multiLevelType w:val="hybridMultilevel"/>
    <w:tmpl w:val="9560209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nsid w:val="7C120FF5"/>
    <w:multiLevelType w:val="hybridMultilevel"/>
    <w:tmpl w:val="AAAAC672"/>
    <w:lvl w:ilvl="0" w:tplc="9872F6A8">
      <w:start w:val="1"/>
      <w:numFmt w:val="lowerLetter"/>
      <w:lvlText w:val="%1."/>
      <w:lvlJc w:val="left"/>
      <w:pPr>
        <w:tabs>
          <w:tab w:val="num" w:pos="720"/>
        </w:tabs>
        <w:ind w:left="720" w:hanging="360"/>
      </w:pPr>
    </w:lvl>
    <w:lvl w:ilvl="1" w:tplc="570002C6" w:tentative="1">
      <w:start w:val="1"/>
      <w:numFmt w:val="lowerLetter"/>
      <w:lvlText w:val="%2."/>
      <w:lvlJc w:val="left"/>
      <w:pPr>
        <w:tabs>
          <w:tab w:val="num" w:pos="1440"/>
        </w:tabs>
        <w:ind w:left="1440" w:hanging="360"/>
      </w:pPr>
    </w:lvl>
    <w:lvl w:ilvl="2" w:tplc="E7044478" w:tentative="1">
      <w:start w:val="1"/>
      <w:numFmt w:val="lowerLetter"/>
      <w:lvlText w:val="%3."/>
      <w:lvlJc w:val="left"/>
      <w:pPr>
        <w:tabs>
          <w:tab w:val="num" w:pos="2160"/>
        </w:tabs>
        <w:ind w:left="2160" w:hanging="360"/>
      </w:pPr>
    </w:lvl>
    <w:lvl w:ilvl="3" w:tplc="21B6B786" w:tentative="1">
      <w:start w:val="1"/>
      <w:numFmt w:val="lowerLetter"/>
      <w:lvlText w:val="%4."/>
      <w:lvlJc w:val="left"/>
      <w:pPr>
        <w:tabs>
          <w:tab w:val="num" w:pos="2880"/>
        </w:tabs>
        <w:ind w:left="2880" w:hanging="360"/>
      </w:pPr>
    </w:lvl>
    <w:lvl w:ilvl="4" w:tplc="1B560EC0" w:tentative="1">
      <w:start w:val="1"/>
      <w:numFmt w:val="lowerLetter"/>
      <w:lvlText w:val="%5."/>
      <w:lvlJc w:val="left"/>
      <w:pPr>
        <w:tabs>
          <w:tab w:val="num" w:pos="3600"/>
        </w:tabs>
        <w:ind w:left="3600" w:hanging="360"/>
      </w:pPr>
    </w:lvl>
    <w:lvl w:ilvl="5" w:tplc="1B60A3DC" w:tentative="1">
      <w:start w:val="1"/>
      <w:numFmt w:val="lowerLetter"/>
      <w:lvlText w:val="%6."/>
      <w:lvlJc w:val="left"/>
      <w:pPr>
        <w:tabs>
          <w:tab w:val="num" w:pos="4320"/>
        </w:tabs>
        <w:ind w:left="4320" w:hanging="360"/>
      </w:pPr>
    </w:lvl>
    <w:lvl w:ilvl="6" w:tplc="A0AA011E" w:tentative="1">
      <w:start w:val="1"/>
      <w:numFmt w:val="lowerLetter"/>
      <w:lvlText w:val="%7."/>
      <w:lvlJc w:val="left"/>
      <w:pPr>
        <w:tabs>
          <w:tab w:val="num" w:pos="5040"/>
        </w:tabs>
        <w:ind w:left="5040" w:hanging="360"/>
      </w:pPr>
    </w:lvl>
    <w:lvl w:ilvl="7" w:tplc="38DA9660" w:tentative="1">
      <w:start w:val="1"/>
      <w:numFmt w:val="lowerLetter"/>
      <w:lvlText w:val="%8."/>
      <w:lvlJc w:val="left"/>
      <w:pPr>
        <w:tabs>
          <w:tab w:val="num" w:pos="5760"/>
        </w:tabs>
        <w:ind w:left="5760" w:hanging="360"/>
      </w:pPr>
    </w:lvl>
    <w:lvl w:ilvl="8" w:tplc="6EC27BF0" w:tentative="1">
      <w:start w:val="1"/>
      <w:numFmt w:val="lowerLetter"/>
      <w:lvlText w:val="%9."/>
      <w:lvlJc w:val="left"/>
      <w:pPr>
        <w:tabs>
          <w:tab w:val="num" w:pos="6480"/>
        </w:tabs>
        <w:ind w:left="6480" w:hanging="360"/>
      </w:pPr>
    </w:lvl>
  </w:abstractNum>
  <w:abstractNum w:abstractNumId="34">
    <w:nsid w:val="7D2549A5"/>
    <w:multiLevelType w:val="hybridMultilevel"/>
    <w:tmpl w:val="12102DEE"/>
    <w:lvl w:ilvl="0" w:tplc="04090005">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5">
    <w:nsid w:val="7EE615B6"/>
    <w:multiLevelType w:val="hybridMultilevel"/>
    <w:tmpl w:val="2132F91A"/>
    <w:lvl w:ilvl="0" w:tplc="04090017">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5"/>
  </w:num>
  <w:num w:numId="3">
    <w:abstractNumId w:val="2"/>
  </w:num>
  <w:num w:numId="4">
    <w:abstractNumId w:val="14"/>
  </w:num>
  <w:num w:numId="5">
    <w:abstractNumId w:val="24"/>
  </w:num>
  <w:num w:numId="6">
    <w:abstractNumId w:val="1"/>
  </w:num>
  <w:num w:numId="7">
    <w:abstractNumId w:val="9"/>
  </w:num>
  <w:num w:numId="8">
    <w:abstractNumId w:val="21"/>
  </w:num>
  <w:num w:numId="9">
    <w:abstractNumId w:val="6"/>
  </w:num>
  <w:num w:numId="10">
    <w:abstractNumId w:val="32"/>
  </w:num>
  <w:num w:numId="11">
    <w:abstractNumId w:val="28"/>
  </w:num>
  <w:num w:numId="12">
    <w:abstractNumId w:val="18"/>
  </w:num>
  <w:num w:numId="13">
    <w:abstractNumId w:val="27"/>
  </w:num>
  <w:num w:numId="14">
    <w:abstractNumId w:val="20"/>
  </w:num>
  <w:num w:numId="15">
    <w:abstractNumId w:val="33"/>
  </w:num>
  <w:num w:numId="16">
    <w:abstractNumId w:val="13"/>
  </w:num>
  <w:num w:numId="17">
    <w:abstractNumId w:val="22"/>
  </w:num>
  <w:num w:numId="18">
    <w:abstractNumId w:val="16"/>
  </w:num>
  <w:num w:numId="19">
    <w:abstractNumId w:val="35"/>
  </w:num>
  <w:num w:numId="20">
    <w:abstractNumId w:val="0"/>
  </w:num>
  <w:num w:numId="2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
  </w:num>
  <w:num w:numId="24">
    <w:abstractNumId w:val="9"/>
  </w:num>
  <w:num w:numId="25">
    <w:abstractNumId w:val="21"/>
  </w:num>
  <w:num w:numId="26">
    <w:abstractNumId w:val="14"/>
  </w:num>
  <w:num w:numId="27">
    <w:abstractNumId w:val="11"/>
  </w:num>
  <w:num w:numId="28">
    <w:abstractNumId w:val="29"/>
  </w:num>
  <w:num w:numId="29">
    <w:abstractNumId w:val="26"/>
  </w:num>
  <w:num w:numId="30">
    <w:abstractNumId w:val="25"/>
  </w:num>
  <w:num w:numId="31">
    <w:abstractNumId w:val="7"/>
  </w:num>
  <w:num w:numId="32">
    <w:abstractNumId w:val="31"/>
  </w:num>
  <w:num w:numId="33">
    <w:abstractNumId w:val="10"/>
  </w:num>
  <w:num w:numId="34">
    <w:abstractNumId w:val="19"/>
  </w:num>
  <w:num w:numId="35">
    <w:abstractNumId w:val="12"/>
  </w:num>
  <w:num w:numId="36">
    <w:abstractNumId w:val="34"/>
  </w:num>
  <w:num w:numId="37">
    <w:abstractNumId w:val="23"/>
  </w:num>
  <w:num w:numId="38">
    <w:abstractNumId w:val="30"/>
  </w:num>
  <w:num w:numId="39">
    <w:abstractNumId w:val="3"/>
  </w:num>
  <w:num w:numId="40">
    <w:abstractNumId w:val="4"/>
  </w:num>
  <w:num w:numId="41">
    <w:abstractNumId w:val="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enise DeRoeck">
    <w15:presenceInfo w15:providerId="Windows Live" w15:userId="dd5ab0a71e47372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3179"/>
    <w:rsid w:val="0000352E"/>
    <w:rsid w:val="00010003"/>
    <w:rsid w:val="0002632E"/>
    <w:rsid w:val="00027E10"/>
    <w:rsid w:val="0005184D"/>
    <w:rsid w:val="00052693"/>
    <w:rsid w:val="0007442D"/>
    <w:rsid w:val="00086ABD"/>
    <w:rsid w:val="00096E70"/>
    <w:rsid w:val="000B2412"/>
    <w:rsid w:val="000C2C44"/>
    <w:rsid w:val="000D4A84"/>
    <w:rsid w:val="000D74F9"/>
    <w:rsid w:val="000E3D3E"/>
    <w:rsid w:val="000E3E9A"/>
    <w:rsid w:val="00111D50"/>
    <w:rsid w:val="001564B6"/>
    <w:rsid w:val="00163179"/>
    <w:rsid w:val="001635F5"/>
    <w:rsid w:val="001738CC"/>
    <w:rsid w:val="001A1767"/>
    <w:rsid w:val="001B0097"/>
    <w:rsid w:val="001C1193"/>
    <w:rsid w:val="001C1E4D"/>
    <w:rsid w:val="001C5026"/>
    <w:rsid w:val="001F2D8D"/>
    <w:rsid w:val="001F52A9"/>
    <w:rsid w:val="00211D17"/>
    <w:rsid w:val="002258E3"/>
    <w:rsid w:val="0023196C"/>
    <w:rsid w:val="002327A5"/>
    <w:rsid w:val="00232D9A"/>
    <w:rsid w:val="00236906"/>
    <w:rsid w:val="00236A02"/>
    <w:rsid w:val="0025319C"/>
    <w:rsid w:val="002818D0"/>
    <w:rsid w:val="00281CEF"/>
    <w:rsid w:val="00292589"/>
    <w:rsid w:val="002B09F1"/>
    <w:rsid w:val="002B73D6"/>
    <w:rsid w:val="002C0BCF"/>
    <w:rsid w:val="002D61F5"/>
    <w:rsid w:val="002D762A"/>
    <w:rsid w:val="002F1749"/>
    <w:rsid w:val="002F20C9"/>
    <w:rsid w:val="00323542"/>
    <w:rsid w:val="00350FD0"/>
    <w:rsid w:val="00361F07"/>
    <w:rsid w:val="00364589"/>
    <w:rsid w:val="00370616"/>
    <w:rsid w:val="00371B50"/>
    <w:rsid w:val="00373BA5"/>
    <w:rsid w:val="003A7680"/>
    <w:rsid w:val="003B290A"/>
    <w:rsid w:val="003B59D3"/>
    <w:rsid w:val="003B6F84"/>
    <w:rsid w:val="003D24BB"/>
    <w:rsid w:val="003D6679"/>
    <w:rsid w:val="003D6F13"/>
    <w:rsid w:val="003E30EC"/>
    <w:rsid w:val="003E68D8"/>
    <w:rsid w:val="003F4825"/>
    <w:rsid w:val="00432B70"/>
    <w:rsid w:val="00436537"/>
    <w:rsid w:val="00437FD4"/>
    <w:rsid w:val="00441EDC"/>
    <w:rsid w:val="00457E0A"/>
    <w:rsid w:val="00460FC0"/>
    <w:rsid w:val="004826EF"/>
    <w:rsid w:val="00492F98"/>
    <w:rsid w:val="004A394A"/>
    <w:rsid w:val="004B5B75"/>
    <w:rsid w:val="004C322B"/>
    <w:rsid w:val="004C4AD6"/>
    <w:rsid w:val="004D307D"/>
    <w:rsid w:val="004F6777"/>
    <w:rsid w:val="00500171"/>
    <w:rsid w:val="0050564C"/>
    <w:rsid w:val="005133F8"/>
    <w:rsid w:val="00513BF2"/>
    <w:rsid w:val="00530AD4"/>
    <w:rsid w:val="00530FEA"/>
    <w:rsid w:val="00532476"/>
    <w:rsid w:val="00534013"/>
    <w:rsid w:val="005608E7"/>
    <w:rsid w:val="0058000D"/>
    <w:rsid w:val="005B6B29"/>
    <w:rsid w:val="005C6F1C"/>
    <w:rsid w:val="005F0283"/>
    <w:rsid w:val="005F3C9B"/>
    <w:rsid w:val="005F4B52"/>
    <w:rsid w:val="0062336D"/>
    <w:rsid w:val="0063770B"/>
    <w:rsid w:val="006410AE"/>
    <w:rsid w:val="00641572"/>
    <w:rsid w:val="00661C74"/>
    <w:rsid w:val="00680885"/>
    <w:rsid w:val="006842AB"/>
    <w:rsid w:val="00696E6A"/>
    <w:rsid w:val="006A4380"/>
    <w:rsid w:val="006C334B"/>
    <w:rsid w:val="007033F7"/>
    <w:rsid w:val="007348D9"/>
    <w:rsid w:val="00753EBE"/>
    <w:rsid w:val="00762936"/>
    <w:rsid w:val="0076408F"/>
    <w:rsid w:val="00767749"/>
    <w:rsid w:val="00770EEA"/>
    <w:rsid w:val="0079008F"/>
    <w:rsid w:val="007A2153"/>
    <w:rsid w:val="007A35F6"/>
    <w:rsid w:val="007A623E"/>
    <w:rsid w:val="007B053A"/>
    <w:rsid w:val="007C5F79"/>
    <w:rsid w:val="007D16A4"/>
    <w:rsid w:val="007D2AA9"/>
    <w:rsid w:val="007E0DEE"/>
    <w:rsid w:val="007F0729"/>
    <w:rsid w:val="007F2339"/>
    <w:rsid w:val="008053B7"/>
    <w:rsid w:val="00805A3A"/>
    <w:rsid w:val="008105B2"/>
    <w:rsid w:val="008137E7"/>
    <w:rsid w:val="00815D92"/>
    <w:rsid w:val="00824C6B"/>
    <w:rsid w:val="00825812"/>
    <w:rsid w:val="0083568C"/>
    <w:rsid w:val="00856B69"/>
    <w:rsid w:val="00863F77"/>
    <w:rsid w:val="00865907"/>
    <w:rsid w:val="008829D8"/>
    <w:rsid w:val="00883C0A"/>
    <w:rsid w:val="008A1C67"/>
    <w:rsid w:val="008B7142"/>
    <w:rsid w:val="008C1347"/>
    <w:rsid w:val="008E2AE4"/>
    <w:rsid w:val="008E4926"/>
    <w:rsid w:val="008E7AA0"/>
    <w:rsid w:val="008F41EC"/>
    <w:rsid w:val="008F4F49"/>
    <w:rsid w:val="00916ACE"/>
    <w:rsid w:val="009318B8"/>
    <w:rsid w:val="009563E8"/>
    <w:rsid w:val="0098318B"/>
    <w:rsid w:val="009A5026"/>
    <w:rsid w:val="009A785D"/>
    <w:rsid w:val="009B091D"/>
    <w:rsid w:val="009B10F7"/>
    <w:rsid w:val="009C09D8"/>
    <w:rsid w:val="009C5DC1"/>
    <w:rsid w:val="009D7CB0"/>
    <w:rsid w:val="009E1E59"/>
    <w:rsid w:val="00A03C34"/>
    <w:rsid w:val="00A077C6"/>
    <w:rsid w:val="00A11AC1"/>
    <w:rsid w:val="00A30557"/>
    <w:rsid w:val="00A44D74"/>
    <w:rsid w:val="00A472F6"/>
    <w:rsid w:val="00A53678"/>
    <w:rsid w:val="00AB6B44"/>
    <w:rsid w:val="00AD2901"/>
    <w:rsid w:val="00AE591E"/>
    <w:rsid w:val="00AE7557"/>
    <w:rsid w:val="00AF71FB"/>
    <w:rsid w:val="00B033CD"/>
    <w:rsid w:val="00B13423"/>
    <w:rsid w:val="00B218CC"/>
    <w:rsid w:val="00B47D53"/>
    <w:rsid w:val="00B50567"/>
    <w:rsid w:val="00BA09BC"/>
    <w:rsid w:val="00BA2589"/>
    <w:rsid w:val="00BD35F2"/>
    <w:rsid w:val="00BF14CF"/>
    <w:rsid w:val="00BF4CFA"/>
    <w:rsid w:val="00C35316"/>
    <w:rsid w:val="00C3741F"/>
    <w:rsid w:val="00C67C9D"/>
    <w:rsid w:val="00CA663B"/>
    <w:rsid w:val="00CD3FD9"/>
    <w:rsid w:val="00CD5CD2"/>
    <w:rsid w:val="00CE4ECE"/>
    <w:rsid w:val="00CF0E45"/>
    <w:rsid w:val="00D00DC6"/>
    <w:rsid w:val="00D139EF"/>
    <w:rsid w:val="00D17551"/>
    <w:rsid w:val="00D20E28"/>
    <w:rsid w:val="00D254A3"/>
    <w:rsid w:val="00D27E92"/>
    <w:rsid w:val="00D30DD8"/>
    <w:rsid w:val="00D34193"/>
    <w:rsid w:val="00D34A31"/>
    <w:rsid w:val="00D732C7"/>
    <w:rsid w:val="00D744D3"/>
    <w:rsid w:val="00D83222"/>
    <w:rsid w:val="00D91889"/>
    <w:rsid w:val="00D9435D"/>
    <w:rsid w:val="00D952F2"/>
    <w:rsid w:val="00D9563B"/>
    <w:rsid w:val="00DC5960"/>
    <w:rsid w:val="00DF6C7F"/>
    <w:rsid w:val="00E01C99"/>
    <w:rsid w:val="00E11B99"/>
    <w:rsid w:val="00E1686A"/>
    <w:rsid w:val="00E37109"/>
    <w:rsid w:val="00E54B4C"/>
    <w:rsid w:val="00E86411"/>
    <w:rsid w:val="00E9158F"/>
    <w:rsid w:val="00EA06D2"/>
    <w:rsid w:val="00EA6F8C"/>
    <w:rsid w:val="00EB5F5D"/>
    <w:rsid w:val="00EC5704"/>
    <w:rsid w:val="00EE3DBB"/>
    <w:rsid w:val="00EE6083"/>
    <w:rsid w:val="00F54563"/>
    <w:rsid w:val="00F577A7"/>
    <w:rsid w:val="00F63D60"/>
    <w:rsid w:val="00F81B65"/>
    <w:rsid w:val="00F85BA5"/>
    <w:rsid w:val="00F87D4C"/>
    <w:rsid w:val="00FB2BC5"/>
    <w:rsid w:val="00FD688B"/>
    <w:rsid w:val="00FE5EA1"/>
    <w:rsid w:val="00FE7220"/>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3179"/>
    <w:pPr>
      <w:ind w:left="720"/>
      <w:contextualSpacing/>
    </w:pPr>
  </w:style>
  <w:style w:type="character" w:styleId="Hyperlink">
    <w:name w:val="Hyperlink"/>
    <w:basedOn w:val="DefaultParagraphFont"/>
    <w:uiPriority w:val="99"/>
    <w:unhideWhenUsed/>
    <w:rsid w:val="00513BF2"/>
    <w:rPr>
      <w:color w:val="0000FF"/>
      <w:u w:val="single"/>
    </w:rPr>
  </w:style>
  <w:style w:type="paragraph" w:styleId="Footer">
    <w:name w:val="footer"/>
    <w:basedOn w:val="Normal"/>
    <w:link w:val="FooterChar"/>
    <w:uiPriority w:val="99"/>
    <w:unhideWhenUsed/>
    <w:rsid w:val="00513BF2"/>
    <w:pPr>
      <w:tabs>
        <w:tab w:val="center" w:pos="4513"/>
        <w:tab w:val="right" w:pos="9026"/>
      </w:tabs>
      <w:spacing w:after="0" w:line="240" w:lineRule="auto"/>
    </w:pPr>
    <w:rPr>
      <w:rFonts w:eastAsiaTheme="minorEastAsia"/>
      <w:lang w:eastAsia="zh-CN"/>
    </w:rPr>
  </w:style>
  <w:style w:type="character" w:customStyle="1" w:styleId="FooterChar">
    <w:name w:val="Footer Char"/>
    <w:basedOn w:val="DefaultParagraphFont"/>
    <w:link w:val="Footer"/>
    <w:uiPriority w:val="99"/>
    <w:rsid w:val="00513BF2"/>
    <w:rPr>
      <w:rFonts w:eastAsiaTheme="minorEastAsia"/>
      <w:lang w:eastAsia="zh-CN"/>
    </w:rPr>
  </w:style>
  <w:style w:type="table" w:styleId="TableGrid">
    <w:name w:val="Table Grid"/>
    <w:basedOn w:val="TableNormal"/>
    <w:uiPriority w:val="59"/>
    <w:rsid w:val="00513BF2"/>
    <w:pPr>
      <w:spacing w:after="0" w:line="240" w:lineRule="auto"/>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13B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3BF2"/>
    <w:rPr>
      <w:rFonts w:ascii="Tahoma" w:hAnsi="Tahoma" w:cs="Tahoma"/>
      <w:sz w:val="16"/>
      <w:szCs w:val="16"/>
    </w:rPr>
  </w:style>
  <w:style w:type="character" w:styleId="FollowedHyperlink">
    <w:name w:val="FollowedHyperlink"/>
    <w:basedOn w:val="DefaultParagraphFont"/>
    <w:uiPriority w:val="99"/>
    <w:semiHidden/>
    <w:unhideWhenUsed/>
    <w:rsid w:val="00513BF2"/>
    <w:rPr>
      <w:color w:val="800080" w:themeColor="followedHyperlink"/>
      <w:u w:val="single"/>
    </w:rPr>
  </w:style>
  <w:style w:type="character" w:styleId="CommentReference">
    <w:name w:val="annotation reference"/>
    <w:basedOn w:val="DefaultParagraphFont"/>
    <w:uiPriority w:val="99"/>
    <w:semiHidden/>
    <w:unhideWhenUsed/>
    <w:rsid w:val="00C67C9D"/>
    <w:rPr>
      <w:sz w:val="16"/>
      <w:szCs w:val="16"/>
    </w:rPr>
  </w:style>
  <w:style w:type="paragraph" w:styleId="CommentText">
    <w:name w:val="annotation text"/>
    <w:basedOn w:val="Normal"/>
    <w:link w:val="CommentTextChar"/>
    <w:uiPriority w:val="99"/>
    <w:semiHidden/>
    <w:unhideWhenUsed/>
    <w:rsid w:val="00C67C9D"/>
    <w:pPr>
      <w:spacing w:line="240" w:lineRule="auto"/>
    </w:pPr>
    <w:rPr>
      <w:sz w:val="20"/>
      <w:szCs w:val="20"/>
    </w:rPr>
  </w:style>
  <w:style w:type="character" w:customStyle="1" w:styleId="CommentTextChar">
    <w:name w:val="Comment Text Char"/>
    <w:basedOn w:val="DefaultParagraphFont"/>
    <w:link w:val="CommentText"/>
    <w:uiPriority w:val="99"/>
    <w:semiHidden/>
    <w:rsid w:val="00C67C9D"/>
    <w:rPr>
      <w:sz w:val="20"/>
      <w:szCs w:val="20"/>
    </w:rPr>
  </w:style>
  <w:style w:type="paragraph" w:styleId="CommentSubject">
    <w:name w:val="annotation subject"/>
    <w:basedOn w:val="CommentText"/>
    <w:next w:val="CommentText"/>
    <w:link w:val="CommentSubjectChar"/>
    <w:uiPriority w:val="99"/>
    <w:semiHidden/>
    <w:unhideWhenUsed/>
    <w:rsid w:val="00C67C9D"/>
    <w:rPr>
      <w:b/>
      <w:bCs/>
    </w:rPr>
  </w:style>
  <w:style w:type="character" w:customStyle="1" w:styleId="CommentSubjectChar">
    <w:name w:val="Comment Subject Char"/>
    <w:basedOn w:val="CommentTextChar"/>
    <w:link w:val="CommentSubject"/>
    <w:uiPriority w:val="99"/>
    <w:semiHidden/>
    <w:rsid w:val="00C67C9D"/>
    <w:rPr>
      <w:b/>
      <w:bCs/>
      <w:sz w:val="20"/>
      <w:szCs w:val="20"/>
    </w:rPr>
  </w:style>
  <w:style w:type="paragraph" w:styleId="Header">
    <w:name w:val="header"/>
    <w:basedOn w:val="Normal"/>
    <w:link w:val="HeaderChar"/>
    <w:uiPriority w:val="99"/>
    <w:unhideWhenUsed/>
    <w:rsid w:val="005B6B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B6B29"/>
  </w:style>
  <w:style w:type="paragraph" w:styleId="FootnoteText">
    <w:name w:val="footnote text"/>
    <w:basedOn w:val="Normal"/>
    <w:link w:val="FootnoteTextChar"/>
    <w:uiPriority w:val="99"/>
    <w:semiHidden/>
    <w:unhideWhenUsed/>
    <w:rsid w:val="001738C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738CC"/>
    <w:rPr>
      <w:sz w:val="20"/>
      <w:szCs w:val="20"/>
    </w:rPr>
  </w:style>
  <w:style w:type="character" w:styleId="FootnoteReference">
    <w:name w:val="footnote reference"/>
    <w:basedOn w:val="DefaultParagraphFont"/>
    <w:uiPriority w:val="99"/>
    <w:semiHidden/>
    <w:unhideWhenUsed/>
    <w:rsid w:val="001738CC"/>
    <w:rPr>
      <w:vertAlign w:val="superscript"/>
    </w:rPr>
  </w:style>
  <w:style w:type="paragraph" w:styleId="Caption">
    <w:name w:val="caption"/>
    <w:basedOn w:val="Normal"/>
    <w:next w:val="Normal"/>
    <w:uiPriority w:val="35"/>
    <w:unhideWhenUsed/>
    <w:qFormat/>
    <w:rsid w:val="001A1767"/>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3179"/>
    <w:pPr>
      <w:ind w:left="720"/>
      <w:contextualSpacing/>
    </w:pPr>
  </w:style>
  <w:style w:type="character" w:styleId="Hyperlink">
    <w:name w:val="Hyperlink"/>
    <w:basedOn w:val="DefaultParagraphFont"/>
    <w:uiPriority w:val="99"/>
    <w:unhideWhenUsed/>
    <w:rsid w:val="00513BF2"/>
    <w:rPr>
      <w:color w:val="0000FF"/>
      <w:u w:val="single"/>
    </w:rPr>
  </w:style>
  <w:style w:type="paragraph" w:styleId="Footer">
    <w:name w:val="footer"/>
    <w:basedOn w:val="Normal"/>
    <w:link w:val="FooterChar"/>
    <w:uiPriority w:val="99"/>
    <w:unhideWhenUsed/>
    <w:rsid w:val="00513BF2"/>
    <w:pPr>
      <w:tabs>
        <w:tab w:val="center" w:pos="4513"/>
        <w:tab w:val="right" w:pos="9026"/>
      </w:tabs>
      <w:spacing w:after="0" w:line="240" w:lineRule="auto"/>
    </w:pPr>
    <w:rPr>
      <w:rFonts w:eastAsiaTheme="minorEastAsia"/>
      <w:lang w:eastAsia="zh-CN"/>
    </w:rPr>
  </w:style>
  <w:style w:type="character" w:customStyle="1" w:styleId="FooterChar">
    <w:name w:val="Footer Char"/>
    <w:basedOn w:val="DefaultParagraphFont"/>
    <w:link w:val="Footer"/>
    <w:uiPriority w:val="99"/>
    <w:rsid w:val="00513BF2"/>
    <w:rPr>
      <w:rFonts w:eastAsiaTheme="minorEastAsia"/>
      <w:lang w:eastAsia="zh-CN"/>
    </w:rPr>
  </w:style>
  <w:style w:type="table" w:styleId="TableGrid">
    <w:name w:val="Table Grid"/>
    <w:basedOn w:val="TableNormal"/>
    <w:uiPriority w:val="59"/>
    <w:rsid w:val="00513BF2"/>
    <w:pPr>
      <w:spacing w:after="0" w:line="240" w:lineRule="auto"/>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13B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3BF2"/>
    <w:rPr>
      <w:rFonts w:ascii="Tahoma" w:hAnsi="Tahoma" w:cs="Tahoma"/>
      <w:sz w:val="16"/>
      <w:szCs w:val="16"/>
    </w:rPr>
  </w:style>
  <w:style w:type="character" w:styleId="FollowedHyperlink">
    <w:name w:val="FollowedHyperlink"/>
    <w:basedOn w:val="DefaultParagraphFont"/>
    <w:uiPriority w:val="99"/>
    <w:semiHidden/>
    <w:unhideWhenUsed/>
    <w:rsid w:val="00513BF2"/>
    <w:rPr>
      <w:color w:val="800080" w:themeColor="followedHyperlink"/>
      <w:u w:val="single"/>
    </w:rPr>
  </w:style>
  <w:style w:type="character" w:styleId="CommentReference">
    <w:name w:val="annotation reference"/>
    <w:basedOn w:val="DefaultParagraphFont"/>
    <w:uiPriority w:val="99"/>
    <w:semiHidden/>
    <w:unhideWhenUsed/>
    <w:rsid w:val="00C67C9D"/>
    <w:rPr>
      <w:sz w:val="16"/>
      <w:szCs w:val="16"/>
    </w:rPr>
  </w:style>
  <w:style w:type="paragraph" w:styleId="CommentText">
    <w:name w:val="annotation text"/>
    <w:basedOn w:val="Normal"/>
    <w:link w:val="CommentTextChar"/>
    <w:uiPriority w:val="99"/>
    <w:semiHidden/>
    <w:unhideWhenUsed/>
    <w:rsid w:val="00C67C9D"/>
    <w:pPr>
      <w:spacing w:line="240" w:lineRule="auto"/>
    </w:pPr>
    <w:rPr>
      <w:sz w:val="20"/>
      <w:szCs w:val="20"/>
    </w:rPr>
  </w:style>
  <w:style w:type="character" w:customStyle="1" w:styleId="CommentTextChar">
    <w:name w:val="Comment Text Char"/>
    <w:basedOn w:val="DefaultParagraphFont"/>
    <w:link w:val="CommentText"/>
    <w:uiPriority w:val="99"/>
    <w:semiHidden/>
    <w:rsid w:val="00C67C9D"/>
    <w:rPr>
      <w:sz w:val="20"/>
      <w:szCs w:val="20"/>
    </w:rPr>
  </w:style>
  <w:style w:type="paragraph" w:styleId="CommentSubject">
    <w:name w:val="annotation subject"/>
    <w:basedOn w:val="CommentText"/>
    <w:next w:val="CommentText"/>
    <w:link w:val="CommentSubjectChar"/>
    <w:uiPriority w:val="99"/>
    <w:semiHidden/>
    <w:unhideWhenUsed/>
    <w:rsid w:val="00C67C9D"/>
    <w:rPr>
      <w:b/>
      <w:bCs/>
    </w:rPr>
  </w:style>
  <w:style w:type="character" w:customStyle="1" w:styleId="CommentSubjectChar">
    <w:name w:val="Comment Subject Char"/>
    <w:basedOn w:val="CommentTextChar"/>
    <w:link w:val="CommentSubject"/>
    <w:uiPriority w:val="99"/>
    <w:semiHidden/>
    <w:rsid w:val="00C67C9D"/>
    <w:rPr>
      <w:b/>
      <w:bCs/>
      <w:sz w:val="20"/>
      <w:szCs w:val="20"/>
    </w:rPr>
  </w:style>
  <w:style w:type="paragraph" w:styleId="Header">
    <w:name w:val="header"/>
    <w:basedOn w:val="Normal"/>
    <w:link w:val="HeaderChar"/>
    <w:uiPriority w:val="99"/>
    <w:unhideWhenUsed/>
    <w:rsid w:val="005B6B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B6B29"/>
  </w:style>
  <w:style w:type="paragraph" w:styleId="FootnoteText">
    <w:name w:val="footnote text"/>
    <w:basedOn w:val="Normal"/>
    <w:link w:val="FootnoteTextChar"/>
    <w:uiPriority w:val="99"/>
    <w:semiHidden/>
    <w:unhideWhenUsed/>
    <w:rsid w:val="001738C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738CC"/>
    <w:rPr>
      <w:sz w:val="20"/>
      <w:szCs w:val="20"/>
    </w:rPr>
  </w:style>
  <w:style w:type="character" w:styleId="FootnoteReference">
    <w:name w:val="footnote reference"/>
    <w:basedOn w:val="DefaultParagraphFont"/>
    <w:uiPriority w:val="99"/>
    <w:semiHidden/>
    <w:unhideWhenUsed/>
    <w:rsid w:val="001738CC"/>
    <w:rPr>
      <w:vertAlign w:val="superscript"/>
    </w:rPr>
  </w:style>
  <w:style w:type="paragraph" w:styleId="Caption">
    <w:name w:val="caption"/>
    <w:basedOn w:val="Normal"/>
    <w:next w:val="Normal"/>
    <w:uiPriority w:val="35"/>
    <w:unhideWhenUsed/>
    <w:qFormat/>
    <w:rsid w:val="001A1767"/>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076927">
      <w:bodyDiv w:val="1"/>
      <w:marLeft w:val="0"/>
      <w:marRight w:val="0"/>
      <w:marTop w:val="0"/>
      <w:marBottom w:val="0"/>
      <w:divBdr>
        <w:top w:val="none" w:sz="0" w:space="0" w:color="auto"/>
        <w:left w:val="none" w:sz="0" w:space="0" w:color="auto"/>
        <w:bottom w:val="none" w:sz="0" w:space="0" w:color="auto"/>
        <w:right w:val="none" w:sz="0" w:space="0" w:color="auto"/>
      </w:divBdr>
    </w:div>
    <w:div w:id="555971470">
      <w:bodyDiv w:val="1"/>
      <w:marLeft w:val="0"/>
      <w:marRight w:val="0"/>
      <w:marTop w:val="0"/>
      <w:marBottom w:val="0"/>
      <w:divBdr>
        <w:top w:val="none" w:sz="0" w:space="0" w:color="auto"/>
        <w:left w:val="none" w:sz="0" w:space="0" w:color="auto"/>
        <w:bottom w:val="none" w:sz="0" w:space="0" w:color="auto"/>
        <w:right w:val="none" w:sz="0" w:space="0" w:color="auto"/>
      </w:divBdr>
      <w:divsChild>
        <w:div w:id="1290817122">
          <w:marLeft w:val="806"/>
          <w:marRight w:val="0"/>
          <w:marTop w:val="86"/>
          <w:marBottom w:val="0"/>
          <w:divBdr>
            <w:top w:val="none" w:sz="0" w:space="0" w:color="auto"/>
            <w:left w:val="none" w:sz="0" w:space="0" w:color="auto"/>
            <w:bottom w:val="none" w:sz="0" w:space="0" w:color="auto"/>
            <w:right w:val="none" w:sz="0" w:space="0" w:color="auto"/>
          </w:divBdr>
        </w:div>
      </w:divsChild>
    </w:div>
    <w:div w:id="675498362">
      <w:bodyDiv w:val="1"/>
      <w:marLeft w:val="0"/>
      <w:marRight w:val="0"/>
      <w:marTop w:val="0"/>
      <w:marBottom w:val="0"/>
      <w:divBdr>
        <w:top w:val="none" w:sz="0" w:space="0" w:color="auto"/>
        <w:left w:val="none" w:sz="0" w:space="0" w:color="auto"/>
        <w:bottom w:val="none" w:sz="0" w:space="0" w:color="auto"/>
        <w:right w:val="none" w:sz="0" w:space="0" w:color="auto"/>
      </w:divBdr>
      <w:divsChild>
        <w:div w:id="1681589683">
          <w:marLeft w:val="806"/>
          <w:marRight w:val="0"/>
          <w:marTop w:val="72"/>
          <w:marBottom w:val="0"/>
          <w:divBdr>
            <w:top w:val="none" w:sz="0" w:space="0" w:color="auto"/>
            <w:left w:val="none" w:sz="0" w:space="0" w:color="auto"/>
            <w:bottom w:val="none" w:sz="0" w:space="0" w:color="auto"/>
            <w:right w:val="none" w:sz="0" w:space="0" w:color="auto"/>
          </w:divBdr>
        </w:div>
      </w:divsChild>
    </w:div>
    <w:div w:id="794712550">
      <w:bodyDiv w:val="1"/>
      <w:marLeft w:val="0"/>
      <w:marRight w:val="0"/>
      <w:marTop w:val="0"/>
      <w:marBottom w:val="0"/>
      <w:divBdr>
        <w:top w:val="none" w:sz="0" w:space="0" w:color="auto"/>
        <w:left w:val="none" w:sz="0" w:space="0" w:color="auto"/>
        <w:bottom w:val="none" w:sz="0" w:space="0" w:color="auto"/>
        <w:right w:val="none" w:sz="0" w:space="0" w:color="auto"/>
      </w:divBdr>
      <w:divsChild>
        <w:div w:id="537400086">
          <w:marLeft w:val="806"/>
          <w:marRight w:val="0"/>
          <w:marTop w:val="72"/>
          <w:marBottom w:val="0"/>
          <w:divBdr>
            <w:top w:val="none" w:sz="0" w:space="0" w:color="auto"/>
            <w:left w:val="none" w:sz="0" w:space="0" w:color="auto"/>
            <w:bottom w:val="none" w:sz="0" w:space="0" w:color="auto"/>
            <w:right w:val="none" w:sz="0" w:space="0" w:color="auto"/>
          </w:divBdr>
        </w:div>
        <w:div w:id="1137256038">
          <w:marLeft w:val="1440"/>
          <w:marRight w:val="0"/>
          <w:marTop w:val="67"/>
          <w:marBottom w:val="0"/>
          <w:divBdr>
            <w:top w:val="none" w:sz="0" w:space="0" w:color="auto"/>
            <w:left w:val="none" w:sz="0" w:space="0" w:color="auto"/>
            <w:bottom w:val="none" w:sz="0" w:space="0" w:color="auto"/>
            <w:right w:val="none" w:sz="0" w:space="0" w:color="auto"/>
          </w:divBdr>
        </w:div>
        <w:div w:id="1796099052">
          <w:marLeft w:val="1440"/>
          <w:marRight w:val="0"/>
          <w:marTop w:val="67"/>
          <w:marBottom w:val="0"/>
          <w:divBdr>
            <w:top w:val="none" w:sz="0" w:space="0" w:color="auto"/>
            <w:left w:val="none" w:sz="0" w:space="0" w:color="auto"/>
            <w:bottom w:val="none" w:sz="0" w:space="0" w:color="auto"/>
            <w:right w:val="none" w:sz="0" w:space="0" w:color="auto"/>
          </w:divBdr>
        </w:div>
        <w:div w:id="1356351019">
          <w:marLeft w:val="806"/>
          <w:marRight w:val="0"/>
          <w:marTop w:val="72"/>
          <w:marBottom w:val="0"/>
          <w:divBdr>
            <w:top w:val="none" w:sz="0" w:space="0" w:color="auto"/>
            <w:left w:val="none" w:sz="0" w:space="0" w:color="auto"/>
            <w:bottom w:val="none" w:sz="0" w:space="0" w:color="auto"/>
            <w:right w:val="none" w:sz="0" w:space="0" w:color="auto"/>
          </w:divBdr>
        </w:div>
        <w:div w:id="1819572505">
          <w:marLeft w:val="1440"/>
          <w:marRight w:val="0"/>
          <w:marTop w:val="67"/>
          <w:marBottom w:val="0"/>
          <w:divBdr>
            <w:top w:val="none" w:sz="0" w:space="0" w:color="auto"/>
            <w:left w:val="none" w:sz="0" w:space="0" w:color="auto"/>
            <w:bottom w:val="none" w:sz="0" w:space="0" w:color="auto"/>
            <w:right w:val="none" w:sz="0" w:space="0" w:color="auto"/>
          </w:divBdr>
        </w:div>
        <w:div w:id="67962385">
          <w:marLeft w:val="1440"/>
          <w:marRight w:val="0"/>
          <w:marTop w:val="67"/>
          <w:marBottom w:val="0"/>
          <w:divBdr>
            <w:top w:val="none" w:sz="0" w:space="0" w:color="auto"/>
            <w:left w:val="none" w:sz="0" w:space="0" w:color="auto"/>
            <w:bottom w:val="none" w:sz="0" w:space="0" w:color="auto"/>
            <w:right w:val="none" w:sz="0" w:space="0" w:color="auto"/>
          </w:divBdr>
        </w:div>
        <w:div w:id="170728940">
          <w:marLeft w:val="1440"/>
          <w:marRight w:val="0"/>
          <w:marTop w:val="67"/>
          <w:marBottom w:val="0"/>
          <w:divBdr>
            <w:top w:val="none" w:sz="0" w:space="0" w:color="auto"/>
            <w:left w:val="none" w:sz="0" w:space="0" w:color="auto"/>
            <w:bottom w:val="none" w:sz="0" w:space="0" w:color="auto"/>
            <w:right w:val="none" w:sz="0" w:space="0" w:color="auto"/>
          </w:divBdr>
        </w:div>
        <w:div w:id="1991013543">
          <w:marLeft w:val="806"/>
          <w:marRight w:val="0"/>
          <w:marTop w:val="72"/>
          <w:marBottom w:val="0"/>
          <w:divBdr>
            <w:top w:val="none" w:sz="0" w:space="0" w:color="auto"/>
            <w:left w:val="none" w:sz="0" w:space="0" w:color="auto"/>
            <w:bottom w:val="none" w:sz="0" w:space="0" w:color="auto"/>
            <w:right w:val="none" w:sz="0" w:space="0" w:color="auto"/>
          </w:divBdr>
        </w:div>
        <w:div w:id="1708874776">
          <w:marLeft w:val="1166"/>
          <w:marRight w:val="0"/>
          <w:marTop w:val="58"/>
          <w:marBottom w:val="0"/>
          <w:divBdr>
            <w:top w:val="none" w:sz="0" w:space="0" w:color="auto"/>
            <w:left w:val="none" w:sz="0" w:space="0" w:color="auto"/>
            <w:bottom w:val="none" w:sz="0" w:space="0" w:color="auto"/>
            <w:right w:val="none" w:sz="0" w:space="0" w:color="auto"/>
          </w:divBdr>
        </w:div>
        <w:div w:id="422722681">
          <w:marLeft w:val="1800"/>
          <w:marRight w:val="0"/>
          <w:marTop w:val="48"/>
          <w:marBottom w:val="0"/>
          <w:divBdr>
            <w:top w:val="none" w:sz="0" w:space="0" w:color="auto"/>
            <w:left w:val="none" w:sz="0" w:space="0" w:color="auto"/>
            <w:bottom w:val="none" w:sz="0" w:space="0" w:color="auto"/>
            <w:right w:val="none" w:sz="0" w:space="0" w:color="auto"/>
          </w:divBdr>
        </w:div>
        <w:div w:id="656344529">
          <w:marLeft w:val="1800"/>
          <w:marRight w:val="0"/>
          <w:marTop w:val="48"/>
          <w:marBottom w:val="0"/>
          <w:divBdr>
            <w:top w:val="none" w:sz="0" w:space="0" w:color="auto"/>
            <w:left w:val="none" w:sz="0" w:space="0" w:color="auto"/>
            <w:bottom w:val="none" w:sz="0" w:space="0" w:color="auto"/>
            <w:right w:val="none" w:sz="0" w:space="0" w:color="auto"/>
          </w:divBdr>
        </w:div>
        <w:div w:id="1544249065">
          <w:marLeft w:val="1440"/>
          <w:marRight w:val="0"/>
          <w:marTop w:val="67"/>
          <w:marBottom w:val="0"/>
          <w:divBdr>
            <w:top w:val="none" w:sz="0" w:space="0" w:color="auto"/>
            <w:left w:val="none" w:sz="0" w:space="0" w:color="auto"/>
            <w:bottom w:val="none" w:sz="0" w:space="0" w:color="auto"/>
            <w:right w:val="none" w:sz="0" w:space="0" w:color="auto"/>
          </w:divBdr>
        </w:div>
        <w:div w:id="903029954">
          <w:marLeft w:val="1440"/>
          <w:marRight w:val="0"/>
          <w:marTop w:val="67"/>
          <w:marBottom w:val="0"/>
          <w:divBdr>
            <w:top w:val="none" w:sz="0" w:space="0" w:color="auto"/>
            <w:left w:val="none" w:sz="0" w:space="0" w:color="auto"/>
            <w:bottom w:val="none" w:sz="0" w:space="0" w:color="auto"/>
            <w:right w:val="none" w:sz="0" w:space="0" w:color="auto"/>
          </w:divBdr>
        </w:div>
        <w:div w:id="1098331056">
          <w:marLeft w:val="1440"/>
          <w:marRight w:val="0"/>
          <w:marTop w:val="67"/>
          <w:marBottom w:val="0"/>
          <w:divBdr>
            <w:top w:val="none" w:sz="0" w:space="0" w:color="auto"/>
            <w:left w:val="none" w:sz="0" w:space="0" w:color="auto"/>
            <w:bottom w:val="none" w:sz="0" w:space="0" w:color="auto"/>
            <w:right w:val="none" w:sz="0" w:space="0" w:color="auto"/>
          </w:divBdr>
        </w:div>
        <w:div w:id="1718311960">
          <w:marLeft w:val="1440"/>
          <w:marRight w:val="0"/>
          <w:marTop w:val="67"/>
          <w:marBottom w:val="0"/>
          <w:divBdr>
            <w:top w:val="none" w:sz="0" w:space="0" w:color="auto"/>
            <w:left w:val="none" w:sz="0" w:space="0" w:color="auto"/>
            <w:bottom w:val="none" w:sz="0" w:space="0" w:color="auto"/>
            <w:right w:val="none" w:sz="0" w:space="0" w:color="auto"/>
          </w:divBdr>
        </w:div>
      </w:divsChild>
    </w:div>
    <w:div w:id="913247913">
      <w:bodyDiv w:val="1"/>
      <w:marLeft w:val="0"/>
      <w:marRight w:val="0"/>
      <w:marTop w:val="0"/>
      <w:marBottom w:val="0"/>
      <w:divBdr>
        <w:top w:val="none" w:sz="0" w:space="0" w:color="auto"/>
        <w:left w:val="none" w:sz="0" w:space="0" w:color="auto"/>
        <w:bottom w:val="none" w:sz="0" w:space="0" w:color="auto"/>
        <w:right w:val="none" w:sz="0" w:space="0" w:color="auto"/>
      </w:divBdr>
    </w:div>
    <w:div w:id="1007682006">
      <w:bodyDiv w:val="1"/>
      <w:marLeft w:val="0"/>
      <w:marRight w:val="0"/>
      <w:marTop w:val="0"/>
      <w:marBottom w:val="0"/>
      <w:divBdr>
        <w:top w:val="none" w:sz="0" w:space="0" w:color="auto"/>
        <w:left w:val="none" w:sz="0" w:space="0" w:color="auto"/>
        <w:bottom w:val="none" w:sz="0" w:space="0" w:color="auto"/>
        <w:right w:val="none" w:sz="0" w:space="0" w:color="auto"/>
      </w:divBdr>
    </w:div>
    <w:div w:id="1025712083">
      <w:bodyDiv w:val="1"/>
      <w:marLeft w:val="0"/>
      <w:marRight w:val="0"/>
      <w:marTop w:val="0"/>
      <w:marBottom w:val="0"/>
      <w:divBdr>
        <w:top w:val="none" w:sz="0" w:space="0" w:color="auto"/>
        <w:left w:val="none" w:sz="0" w:space="0" w:color="auto"/>
        <w:bottom w:val="none" w:sz="0" w:space="0" w:color="auto"/>
        <w:right w:val="none" w:sz="0" w:space="0" w:color="auto"/>
      </w:divBdr>
    </w:div>
    <w:div w:id="1199659044">
      <w:bodyDiv w:val="1"/>
      <w:marLeft w:val="0"/>
      <w:marRight w:val="0"/>
      <w:marTop w:val="0"/>
      <w:marBottom w:val="0"/>
      <w:divBdr>
        <w:top w:val="none" w:sz="0" w:space="0" w:color="auto"/>
        <w:left w:val="none" w:sz="0" w:space="0" w:color="auto"/>
        <w:bottom w:val="none" w:sz="0" w:space="0" w:color="auto"/>
        <w:right w:val="none" w:sz="0" w:space="0" w:color="auto"/>
      </w:divBdr>
      <w:divsChild>
        <w:div w:id="1955867629">
          <w:marLeft w:val="806"/>
          <w:marRight w:val="0"/>
          <w:marTop w:val="86"/>
          <w:marBottom w:val="0"/>
          <w:divBdr>
            <w:top w:val="none" w:sz="0" w:space="0" w:color="auto"/>
            <w:left w:val="none" w:sz="0" w:space="0" w:color="auto"/>
            <w:bottom w:val="none" w:sz="0" w:space="0" w:color="auto"/>
            <w:right w:val="none" w:sz="0" w:space="0" w:color="auto"/>
          </w:divBdr>
        </w:div>
      </w:divsChild>
    </w:div>
    <w:div w:id="1262033174">
      <w:bodyDiv w:val="1"/>
      <w:marLeft w:val="0"/>
      <w:marRight w:val="0"/>
      <w:marTop w:val="0"/>
      <w:marBottom w:val="0"/>
      <w:divBdr>
        <w:top w:val="none" w:sz="0" w:space="0" w:color="auto"/>
        <w:left w:val="none" w:sz="0" w:space="0" w:color="auto"/>
        <w:bottom w:val="none" w:sz="0" w:space="0" w:color="auto"/>
        <w:right w:val="none" w:sz="0" w:space="0" w:color="auto"/>
      </w:divBdr>
      <w:divsChild>
        <w:div w:id="1593852598">
          <w:marLeft w:val="806"/>
          <w:marRight w:val="0"/>
          <w:marTop w:val="86"/>
          <w:marBottom w:val="0"/>
          <w:divBdr>
            <w:top w:val="none" w:sz="0" w:space="0" w:color="auto"/>
            <w:left w:val="none" w:sz="0" w:space="0" w:color="auto"/>
            <w:bottom w:val="none" w:sz="0" w:space="0" w:color="auto"/>
            <w:right w:val="none" w:sz="0" w:space="0" w:color="auto"/>
          </w:divBdr>
        </w:div>
      </w:divsChild>
    </w:div>
    <w:div w:id="1647929035">
      <w:bodyDiv w:val="1"/>
      <w:marLeft w:val="0"/>
      <w:marRight w:val="0"/>
      <w:marTop w:val="0"/>
      <w:marBottom w:val="0"/>
      <w:divBdr>
        <w:top w:val="none" w:sz="0" w:space="0" w:color="auto"/>
        <w:left w:val="none" w:sz="0" w:space="0" w:color="auto"/>
        <w:bottom w:val="none" w:sz="0" w:space="0" w:color="auto"/>
        <w:right w:val="none" w:sz="0" w:space="0" w:color="auto"/>
      </w:divBdr>
      <w:divsChild>
        <w:div w:id="2050450190">
          <w:marLeft w:val="806"/>
          <w:marRight w:val="0"/>
          <w:marTop w:val="86"/>
          <w:marBottom w:val="0"/>
          <w:divBdr>
            <w:top w:val="none" w:sz="0" w:space="0" w:color="auto"/>
            <w:left w:val="none" w:sz="0" w:space="0" w:color="auto"/>
            <w:bottom w:val="none" w:sz="0" w:space="0" w:color="auto"/>
            <w:right w:val="none" w:sz="0" w:space="0" w:color="auto"/>
          </w:divBdr>
        </w:div>
        <w:div w:id="711423899">
          <w:marLeft w:val="1440"/>
          <w:marRight w:val="0"/>
          <w:marTop w:val="72"/>
          <w:marBottom w:val="0"/>
          <w:divBdr>
            <w:top w:val="none" w:sz="0" w:space="0" w:color="auto"/>
            <w:left w:val="none" w:sz="0" w:space="0" w:color="auto"/>
            <w:bottom w:val="none" w:sz="0" w:space="0" w:color="auto"/>
            <w:right w:val="none" w:sz="0" w:space="0" w:color="auto"/>
          </w:divBdr>
        </w:div>
        <w:div w:id="249778000">
          <w:marLeft w:val="1440"/>
          <w:marRight w:val="0"/>
          <w:marTop w:val="72"/>
          <w:marBottom w:val="0"/>
          <w:divBdr>
            <w:top w:val="none" w:sz="0" w:space="0" w:color="auto"/>
            <w:left w:val="none" w:sz="0" w:space="0" w:color="auto"/>
            <w:bottom w:val="none" w:sz="0" w:space="0" w:color="auto"/>
            <w:right w:val="none" w:sz="0" w:space="0" w:color="auto"/>
          </w:divBdr>
        </w:div>
        <w:div w:id="640765785">
          <w:marLeft w:val="1440"/>
          <w:marRight w:val="0"/>
          <w:marTop w:val="72"/>
          <w:marBottom w:val="0"/>
          <w:divBdr>
            <w:top w:val="none" w:sz="0" w:space="0" w:color="auto"/>
            <w:left w:val="none" w:sz="0" w:space="0" w:color="auto"/>
            <w:bottom w:val="none" w:sz="0" w:space="0" w:color="auto"/>
            <w:right w:val="none" w:sz="0" w:space="0" w:color="auto"/>
          </w:divBdr>
        </w:div>
        <w:div w:id="805007211">
          <w:marLeft w:val="1440"/>
          <w:marRight w:val="0"/>
          <w:marTop w:val="72"/>
          <w:marBottom w:val="0"/>
          <w:divBdr>
            <w:top w:val="none" w:sz="0" w:space="0" w:color="auto"/>
            <w:left w:val="none" w:sz="0" w:space="0" w:color="auto"/>
            <w:bottom w:val="none" w:sz="0" w:space="0" w:color="auto"/>
            <w:right w:val="none" w:sz="0" w:space="0" w:color="auto"/>
          </w:divBdr>
        </w:div>
        <w:div w:id="1580023067">
          <w:marLeft w:val="806"/>
          <w:marRight w:val="0"/>
          <w:marTop w:val="86"/>
          <w:marBottom w:val="0"/>
          <w:divBdr>
            <w:top w:val="none" w:sz="0" w:space="0" w:color="auto"/>
            <w:left w:val="none" w:sz="0" w:space="0" w:color="auto"/>
            <w:bottom w:val="none" w:sz="0" w:space="0" w:color="auto"/>
            <w:right w:val="none" w:sz="0" w:space="0" w:color="auto"/>
          </w:divBdr>
        </w:div>
        <w:div w:id="1315992192">
          <w:marLeft w:val="1440"/>
          <w:marRight w:val="0"/>
          <w:marTop w:val="72"/>
          <w:marBottom w:val="0"/>
          <w:divBdr>
            <w:top w:val="none" w:sz="0" w:space="0" w:color="auto"/>
            <w:left w:val="none" w:sz="0" w:space="0" w:color="auto"/>
            <w:bottom w:val="none" w:sz="0" w:space="0" w:color="auto"/>
            <w:right w:val="none" w:sz="0" w:space="0" w:color="auto"/>
          </w:divBdr>
        </w:div>
        <w:div w:id="1248463691">
          <w:marLeft w:val="1440"/>
          <w:marRight w:val="0"/>
          <w:marTop w:val="72"/>
          <w:marBottom w:val="0"/>
          <w:divBdr>
            <w:top w:val="none" w:sz="0" w:space="0" w:color="auto"/>
            <w:left w:val="none" w:sz="0" w:space="0" w:color="auto"/>
            <w:bottom w:val="none" w:sz="0" w:space="0" w:color="auto"/>
            <w:right w:val="none" w:sz="0" w:space="0" w:color="auto"/>
          </w:divBdr>
        </w:div>
        <w:div w:id="1695112895">
          <w:marLeft w:val="806"/>
          <w:marRight w:val="0"/>
          <w:marTop w:val="86"/>
          <w:marBottom w:val="0"/>
          <w:divBdr>
            <w:top w:val="none" w:sz="0" w:space="0" w:color="auto"/>
            <w:left w:val="none" w:sz="0" w:space="0" w:color="auto"/>
            <w:bottom w:val="none" w:sz="0" w:space="0" w:color="auto"/>
            <w:right w:val="none" w:sz="0" w:space="0" w:color="auto"/>
          </w:divBdr>
        </w:div>
        <w:div w:id="1560943314">
          <w:marLeft w:val="1440"/>
          <w:marRight w:val="0"/>
          <w:marTop w:val="72"/>
          <w:marBottom w:val="0"/>
          <w:divBdr>
            <w:top w:val="none" w:sz="0" w:space="0" w:color="auto"/>
            <w:left w:val="none" w:sz="0" w:space="0" w:color="auto"/>
            <w:bottom w:val="none" w:sz="0" w:space="0" w:color="auto"/>
            <w:right w:val="none" w:sz="0" w:space="0" w:color="auto"/>
          </w:divBdr>
        </w:div>
        <w:div w:id="59450289">
          <w:marLeft w:val="1440"/>
          <w:marRight w:val="0"/>
          <w:marTop w:val="72"/>
          <w:marBottom w:val="0"/>
          <w:divBdr>
            <w:top w:val="none" w:sz="0" w:space="0" w:color="auto"/>
            <w:left w:val="none" w:sz="0" w:space="0" w:color="auto"/>
            <w:bottom w:val="none" w:sz="0" w:space="0" w:color="auto"/>
            <w:right w:val="none" w:sz="0" w:space="0" w:color="auto"/>
          </w:divBdr>
        </w:div>
      </w:divsChild>
    </w:div>
    <w:div w:id="1829439182">
      <w:bodyDiv w:val="1"/>
      <w:marLeft w:val="0"/>
      <w:marRight w:val="0"/>
      <w:marTop w:val="0"/>
      <w:marBottom w:val="0"/>
      <w:divBdr>
        <w:top w:val="none" w:sz="0" w:space="0" w:color="auto"/>
        <w:left w:val="none" w:sz="0" w:space="0" w:color="auto"/>
        <w:bottom w:val="none" w:sz="0" w:space="0" w:color="auto"/>
        <w:right w:val="none" w:sz="0" w:space="0" w:color="auto"/>
      </w:divBdr>
    </w:div>
    <w:div w:id="1868442160">
      <w:bodyDiv w:val="1"/>
      <w:marLeft w:val="0"/>
      <w:marRight w:val="0"/>
      <w:marTop w:val="0"/>
      <w:marBottom w:val="0"/>
      <w:divBdr>
        <w:top w:val="none" w:sz="0" w:space="0" w:color="auto"/>
        <w:left w:val="none" w:sz="0" w:space="0" w:color="auto"/>
        <w:bottom w:val="none" w:sz="0" w:space="0" w:color="auto"/>
        <w:right w:val="none" w:sz="0" w:space="0" w:color="auto"/>
      </w:divBdr>
    </w:div>
    <w:div w:id="2121874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emf"/><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chart" Target="charts/chart1.xml"/><Relationship Id="rId14" Type="http://schemas.openxmlformats.org/officeDocument/2006/relationships/image" Target="media/image5.jpeg"/><Relationship Id="rId22" Type="http://schemas.microsoft.com/office/2011/relationships/commentsExtended" Target="commentsExtended.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Sheet1!$B$3</c:f>
              <c:strCache>
                <c:ptCount val="1"/>
                <c:pt idx="0">
                  <c:v>WPV</c:v>
                </c:pt>
              </c:strCache>
            </c:strRef>
          </c:tx>
          <c:spPr>
            <a:ln w="28575" cap="rnd">
              <a:solidFill>
                <a:srgbClr val="FF0000"/>
              </a:solidFill>
              <a:round/>
            </a:ln>
            <a:effectLst/>
          </c:spPr>
          <c:marker>
            <c:symbol val="circle"/>
            <c:size val="5"/>
            <c:spPr>
              <a:solidFill>
                <a:srgbClr val="FF0000"/>
              </a:solidFill>
              <a:ln w="9525">
                <a:solidFill>
                  <a:srgbClr val="FF0000"/>
                </a:solidFill>
              </a:ln>
              <a:effectLst/>
            </c:spPr>
          </c:marker>
          <c:cat>
            <c:numRef>
              <c:f>Sheet1!$A$4:$A$10</c:f>
              <c:numCache>
                <c:formatCode>General</c:formatCode>
                <c:ptCount val="7"/>
                <c:pt idx="0">
                  <c:v>2009</c:v>
                </c:pt>
                <c:pt idx="1">
                  <c:v>2010</c:v>
                </c:pt>
                <c:pt idx="2">
                  <c:v>2011</c:v>
                </c:pt>
                <c:pt idx="3">
                  <c:v>2012</c:v>
                </c:pt>
                <c:pt idx="4">
                  <c:v>2013</c:v>
                </c:pt>
                <c:pt idx="5">
                  <c:v>2014</c:v>
                </c:pt>
                <c:pt idx="6">
                  <c:v>2015</c:v>
                </c:pt>
              </c:numCache>
            </c:numRef>
          </c:cat>
          <c:val>
            <c:numRef>
              <c:f>Sheet1!$B$4:$B$10</c:f>
              <c:numCache>
                <c:formatCode>General</c:formatCode>
                <c:ptCount val="7"/>
                <c:pt idx="1">
                  <c:v>21</c:v>
                </c:pt>
                <c:pt idx="2">
                  <c:v>62</c:v>
                </c:pt>
                <c:pt idx="3">
                  <c:v>122</c:v>
                </c:pt>
                <c:pt idx="4">
                  <c:v>53</c:v>
                </c:pt>
                <c:pt idx="5">
                  <c:v>6</c:v>
                </c:pt>
                <c:pt idx="6">
                  <c:v>0</c:v>
                </c:pt>
              </c:numCache>
            </c:numRef>
          </c:val>
          <c:smooth val="0"/>
        </c:ser>
        <c:ser>
          <c:idx val="1"/>
          <c:order val="1"/>
          <c:tx>
            <c:strRef>
              <c:f>Sheet1!$C$3</c:f>
              <c:strCache>
                <c:ptCount val="1"/>
                <c:pt idx="0">
                  <c:v>VDPV</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Sheet1!$A$4:$A$10</c:f>
              <c:numCache>
                <c:formatCode>General</c:formatCode>
                <c:ptCount val="7"/>
                <c:pt idx="0">
                  <c:v>2009</c:v>
                </c:pt>
                <c:pt idx="1">
                  <c:v>2010</c:v>
                </c:pt>
                <c:pt idx="2">
                  <c:v>2011</c:v>
                </c:pt>
                <c:pt idx="3">
                  <c:v>2012</c:v>
                </c:pt>
                <c:pt idx="4">
                  <c:v>2013</c:v>
                </c:pt>
                <c:pt idx="5">
                  <c:v>2014</c:v>
                </c:pt>
                <c:pt idx="6">
                  <c:v>2015</c:v>
                </c:pt>
              </c:numCache>
            </c:numRef>
          </c:cat>
          <c:val>
            <c:numRef>
              <c:f>Sheet1!$C$4:$C$10</c:f>
              <c:numCache>
                <c:formatCode>General</c:formatCode>
                <c:ptCount val="7"/>
                <c:pt idx="0">
                  <c:v>155</c:v>
                </c:pt>
                <c:pt idx="1">
                  <c:v>27</c:v>
                </c:pt>
                <c:pt idx="2">
                  <c:v>34</c:v>
                </c:pt>
                <c:pt idx="3">
                  <c:v>8</c:v>
                </c:pt>
                <c:pt idx="4">
                  <c:v>4</c:v>
                </c:pt>
                <c:pt idx="5">
                  <c:v>30</c:v>
                </c:pt>
                <c:pt idx="6">
                  <c:v>1</c:v>
                </c:pt>
              </c:numCache>
            </c:numRef>
          </c:val>
          <c:smooth val="0"/>
        </c:ser>
        <c:dLbls>
          <c:showLegendKey val="0"/>
          <c:showVal val="0"/>
          <c:showCatName val="0"/>
          <c:showSerName val="0"/>
          <c:showPercent val="0"/>
          <c:showBubbleSize val="0"/>
        </c:dLbls>
        <c:marker val="1"/>
        <c:smooth val="0"/>
        <c:axId val="105791488"/>
        <c:axId val="105793792"/>
      </c:lineChart>
      <c:catAx>
        <c:axId val="1057914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5793792"/>
        <c:crosses val="autoZero"/>
        <c:auto val="1"/>
        <c:lblAlgn val="ctr"/>
        <c:lblOffset val="100"/>
        <c:noMultiLvlLbl val="0"/>
      </c:catAx>
      <c:valAx>
        <c:axId val="105793792"/>
        <c:scaling>
          <c:orientation val="minMax"/>
          <c:max val="16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57914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8A44D9DE-018F-4EF9-BE2D-9E0DBA5BD5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25</Pages>
  <Words>7615</Words>
  <Characters>43411</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World Health Organization</Company>
  <LinksUpToDate>false</LinksUpToDate>
  <CharactersWithSpaces>50925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SENOUCI, Kamel</dc:creator>
  <cp:lastModifiedBy>Majumder, Anwesha</cp:lastModifiedBy>
  <cp:revision>2</cp:revision>
  <cp:lastPrinted>2016-07-31T18:21:00Z</cp:lastPrinted>
  <dcterms:created xsi:type="dcterms:W3CDTF">2016-08-25T13:57:00Z</dcterms:created>
  <dcterms:modified xsi:type="dcterms:W3CDTF">2016-08-25T13:57:00Z</dcterms:modified>
</cp:coreProperties>
</file>