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23E" w:rsidRPr="00C27BB5" w:rsidRDefault="007A623E" w:rsidP="007A623E">
      <w:pPr>
        <w:jc w:val="center"/>
        <w:rPr>
          <w:b/>
          <w:sz w:val="40"/>
          <w:szCs w:val="40"/>
        </w:rPr>
      </w:pPr>
      <w:r w:rsidRPr="00C27BB5">
        <w:rPr>
          <w:b/>
          <w:sz w:val="40"/>
          <w:szCs w:val="40"/>
        </w:rPr>
        <w:t>Global Vaccine Action Plan</w:t>
      </w:r>
    </w:p>
    <w:p w:rsidR="007A623E" w:rsidRDefault="007A623E" w:rsidP="007A623E">
      <w:pPr>
        <w:jc w:val="center"/>
        <w:rPr>
          <w:i/>
          <w:sz w:val="40"/>
          <w:szCs w:val="40"/>
        </w:rPr>
      </w:pPr>
      <w:r w:rsidRPr="00C27BB5">
        <w:rPr>
          <w:i/>
          <w:sz w:val="40"/>
          <w:szCs w:val="40"/>
        </w:rPr>
        <w:t>Secretariat Annual Report 2016</w:t>
      </w:r>
    </w:p>
    <w:p w:rsidR="007A623E" w:rsidRDefault="007A623E" w:rsidP="007A623E">
      <w:pPr>
        <w:jc w:val="center"/>
        <w:rPr>
          <w:i/>
          <w:sz w:val="40"/>
          <w:szCs w:val="40"/>
        </w:rPr>
      </w:pPr>
      <w:r>
        <w:rPr>
          <w:i/>
          <w:sz w:val="40"/>
          <w:szCs w:val="40"/>
        </w:rPr>
        <w:t>Priority C</w:t>
      </w:r>
      <w:r w:rsidRPr="00C27BB5">
        <w:rPr>
          <w:i/>
          <w:sz w:val="40"/>
          <w:szCs w:val="40"/>
        </w:rPr>
        <w:t xml:space="preserve">ountry report on progress towards </w:t>
      </w:r>
    </w:p>
    <w:p w:rsidR="007A623E" w:rsidRPr="00C27BB5" w:rsidRDefault="007A623E" w:rsidP="007A623E">
      <w:pPr>
        <w:jc w:val="center"/>
        <w:rPr>
          <w:i/>
          <w:sz w:val="40"/>
          <w:szCs w:val="40"/>
        </w:rPr>
      </w:pPr>
      <w:r>
        <w:rPr>
          <w:i/>
          <w:sz w:val="40"/>
          <w:szCs w:val="40"/>
        </w:rPr>
        <w:t>GVAP-RVAP</w:t>
      </w:r>
      <w:r w:rsidRPr="00C27BB5">
        <w:rPr>
          <w:i/>
          <w:sz w:val="40"/>
          <w:szCs w:val="40"/>
        </w:rPr>
        <w:t xml:space="preserve"> goals </w:t>
      </w:r>
    </w:p>
    <w:p w:rsidR="007A623E" w:rsidRDefault="007A623E" w:rsidP="007A623E">
      <w:pPr>
        <w:jc w:val="center"/>
        <w:rPr>
          <w:rFonts w:ascii="Arial" w:hAnsi="Arial"/>
          <w:b/>
          <w:sz w:val="32"/>
        </w:rPr>
      </w:pPr>
    </w:p>
    <w:p w:rsidR="007A623E" w:rsidRDefault="007A623E" w:rsidP="007A623E">
      <w:pPr>
        <w:jc w:val="center"/>
        <w:rPr>
          <w:rFonts w:ascii="Arial" w:hAnsi="Arial"/>
          <w:b/>
          <w:sz w:val="36"/>
        </w:rPr>
      </w:pPr>
      <w:r>
        <w:rPr>
          <w:rFonts w:ascii="Arial" w:hAnsi="Arial"/>
          <w:b/>
          <w:sz w:val="36"/>
        </w:rPr>
        <w:t>NIGERIA</w:t>
      </w:r>
    </w:p>
    <w:p w:rsidR="007A623E" w:rsidRDefault="007A623E" w:rsidP="007A623E">
      <w:pPr>
        <w:jc w:val="center"/>
        <w:rPr>
          <w:rFonts w:ascii="Arial" w:hAnsi="Arial"/>
          <w:b/>
          <w:sz w:val="36"/>
        </w:rPr>
      </w:pPr>
    </w:p>
    <w:p w:rsidR="00457E0A" w:rsidRPr="00EA6F8C" w:rsidRDefault="00457E0A" w:rsidP="00457E0A">
      <w:pPr>
        <w:pStyle w:val="ListParagraph"/>
        <w:numPr>
          <w:ilvl w:val="0"/>
          <w:numId w:val="3"/>
        </w:numPr>
        <w:rPr>
          <w:rFonts w:ascii="Arial" w:hAnsi="Arial" w:cs="Arial"/>
          <w:b/>
          <w:sz w:val="26"/>
          <w:szCs w:val="26"/>
          <w:lang w:val="en-US"/>
        </w:rPr>
      </w:pPr>
      <w:r w:rsidRPr="00EA6F8C">
        <w:rPr>
          <w:rFonts w:ascii="Arial" w:hAnsi="Arial" w:cs="Arial"/>
          <w:b/>
          <w:sz w:val="26"/>
          <w:szCs w:val="26"/>
          <w:lang w:val="en-US"/>
        </w:rPr>
        <w:t xml:space="preserve">Progress towards achievement of GVAP goals </w:t>
      </w:r>
    </w:p>
    <w:p w:rsidR="00457E0A" w:rsidRPr="00EA6F8C" w:rsidRDefault="00457E0A" w:rsidP="00457E0A">
      <w:pPr>
        <w:pStyle w:val="ListParagraph"/>
        <w:rPr>
          <w:rFonts w:ascii="Arial" w:hAnsi="Arial" w:cs="Arial"/>
          <w:b/>
          <w:lang w:val="en-US"/>
        </w:rPr>
      </w:pPr>
    </w:p>
    <w:p w:rsidR="00163179" w:rsidRPr="00FE7220" w:rsidRDefault="00C67C9D" w:rsidP="00163179">
      <w:pPr>
        <w:pStyle w:val="ListParagraph"/>
        <w:numPr>
          <w:ilvl w:val="0"/>
          <w:numId w:val="1"/>
        </w:numPr>
        <w:rPr>
          <w:rFonts w:ascii="Arial" w:hAnsi="Arial" w:cs="Arial"/>
          <w:b/>
          <w:sz w:val="24"/>
          <w:szCs w:val="24"/>
          <w:lang w:val="en-US"/>
        </w:rPr>
      </w:pPr>
      <w:r w:rsidRPr="00FE7220">
        <w:rPr>
          <w:rFonts w:ascii="Arial" w:hAnsi="Arial" w:cs="Arial"/>
          <w:b/>
          <w:sz w:val="24"/>
          <w:szCs w:val="24"/>
          <w:lang w:val="en-US"/>
        </w:rPr>
        <w:t xml:space="preserve">Summary </w:t>
      </w:r>
    </w:p>
    <w:p w:rsidR="00BA2589" w:rsidRPr="00EA6F8C" w:rsidRDefault="00BA2589" w:rsidP="00B033CD">
      <w:pPr>
        <w:rPr>
          <w:rFonts w:ascii="Arial" w:hAnsi="Arial" w:cs="Arial"/>
          <w:lang w:val="en-US"/>
        </w:rPr>
      </w:pPr>
      <w:r w:rsidRPr="00EA6F8C">
        <w:rPr>
          <w:rFonts w:ascii="Arial" w:hAnsi="Arial" w:cs="Arial"/>
          <w:lang w:val="en-US"/>
        </w:rPr>
        <w:t>Th</w:t>
      </w:r>
      <w:r w:rsidR="00EA6F8C" w:rsidRPr="00EA6F8C">
        <w:rPr>
          <w:rFonts w:ascii="Arial" w:hAnsi="Arial" w:cs="Arial"/>
          <w:lang w:val="en-US"/>
        </w:rPr>
        <w:t>e</w:t>
      </w:r>
      <w:r w:rsidRPr="00EA6F8C">
        <w:rPr>
          <w:rFonts w:ascii="Arial" w:hAnsi="Arial" w:cs="Arial"/>
          <w:lang w:val="en-US"/>
        </w:rPr>
        <w:t xml:space="preserve"> </w:t>
      </w:r>
      <w:r w:rsidR="006C334B" w:rsidRPr="00EA6F8C">
        <w:rPr>
          <w:rFonts w:ascii="Arial" w:hAnsi="Arial" w:cs="Arial"/>
          <w:lang w:val="en-US"/>
        </w:rPr>
        <w:t xml:space="preserve">summary table </w:t>
      </w:r>
      <w:r w:rsidR="00EA6F8C" w:rsidRPr="00EA6F8C">
        <w:rPr>
          <w:rFonts w:ascii="Arial" w:hAnsi="Arial" w:cs="Arial"/>
          <w:lang w:val="en-US"/>
        </w:rPr>
        <w:t xml:space="preserve">below </w:t>
      </w:r>
      <w:r w:rsidR="006C334B" w:rsidRPr="00EA6F8C">
        <w:rPr>
          <w:rFonts w:ascii="Arial" w:hAnsi="Arial" w:cs="Arial"/>
          <w:lang w:val="en-US"/>
        </w:rPr>
        <w:t xml:space="preserve">describes </w:t>
      </w:r>
      <w:r w:rsidRPr="00EA6F8C">
        <w:rPr>
          <w:rFonts w:ascii="Arial" w:hAnsi="Arial" w:cs="Arial"/>
          <w:lang w:val="en-US"/>
        </w:rPr>
        <w:t xml:space="preserve">the current situation in </w:t>
      </w:r>
      <w:r w:rsidR="00B033CD" w:rsidRPr="00EA6F8C">
        <w:rPr>
          <w:rFonts w:ascii="Arial" w:hAnsi="Arial" w:cs="Arial"/>
          <w:lang w:val="en-US"/>
        </w:rPr>
        <w:t>Nigeria</w:t>
      </w:r>
      <w:r w:rsidRPr="00EA6F8C">
        <w:rPr>
          <w:rFonts w:ascii="Arial" w:hAnsi="Arial" w:cs="Arial"/>
          <w:lang w:val="en-US"/>
        </w:rPr>
        <w:t xml:space="preserve"> regarding achieving the GVAP goals.</w:t>
      </w:r>
      <w:r w:rsidR="00492F98" w:rsidRPr="00EA6F8C">
        <w:rPr>
          <w:rFonts w:ascii="Arial" w:hAnsi="Arial" w:cs="Arial"/>
          <w:lang w:val="en-US"/>
        </w:rPr>
        <w:t xml:space="preserve"> </w:t>
      </w:r>
      <w:r w:rsidR="00500171" w:rsidRPr="00EA6F8C">
        <w:rPr>
          <w:rFonts w:ascii="Arial" w:hAnsi="Arial" w:cs="Arial"/>
          <w:lang w:val="en-US"/>
        </w:rPr>
        <w:t>D</w:t>
      </w:r>
      <w:r w:rsidR="00696E6A" w:rsidRPr="00EA6F8C">
        <w:rPr>
          <w:rFonts w:ascii="Arial" w:hAnsi="Arial" w:cs="Arial"/>
          <w:lang w:val="en-US"/>
        </w:rPr>
        <w:t xml:space="preserve">ata </w:t>
      </w:r>
      <w:r w:rsidR="00E11B99" w:rsidRPr="00EA6F8C">
        <w:rPr>
          <w:rFonts w:ascii="Arial" w:hAnsi="Arial" w:cs="Arial"/>
          <w:lang w:val="en-US"/>
        </w:rPr>
        <w:t xml:space="preserve">used to assess progress towards achievement of </w:t>
      </w:r>
      <w:r w:rsidR="00696E6A" w:rsidRPr="00EA6F8C">
        <w:rPr>
          <w:rFonts w:ascii="Arial" w:hAnsi="Arial" w:cs="Arial"/>
          <w:lang w:val="en-US"/>
        </w:rPr>
        <w:t>GVAP goals are included in the annex.</w:t>
      </w:r>
    </w:p>
    <w:tbl>
      <w:tblPr>
        <w:tblW w:w="9517" w:type="dxa"/>
        <w:jc w:val="center"/>
        <w:tblLook w:val="04A0" w:firstRow="1" w:lastRow="0" w:firstColumn="1" w:lastColumn="0" w:noHBand="0" w:noVBand="1"/>
      </w:tblPr>
      <w:tblGrid>
        <w:gridCol w:w="3220"/>
        <w:gridCol w:w="3777"/>
        <w:gridCol w:w="2520"/>
      </w:tblGrid>
      <w:tr w:rsidR="00C35316" w:rsidRPr="00EA6F8C" w:rsidTr="00A03C34">
        <w:trPr>
          <w:trHeight w:val="675"/>
          <w:tblHeader/>
          <w:jc w:val="center"/>
        </w:trPr>
        <w:tc>
          <w:tcPr>
            <w:tcW w:w="32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35316" w:rsidRPr="00EA6F8C" w:rsidRDefault="00C35316" w:rsidP="00EA6F8C">
            <w:pPr>
              <w:spacing w:after="0" w:line="240" w:lineRule="auto"/>
              <w:jc w:val="center"/>
              <w:rPr>
                <w:rFonts w:ascii="Calibri" w:eastAsia="Times New Roman" w:hAnsi="Calibri" w:cs="Calibri"/>
                <w:b/>
                <w:bCs/>
                <w:color w:val="000000"/>
                <w:sz w:val="28"/>
                <w:szCs w:val="28"/>
                <w:lang w:val="en-US" w:eastAsia="en-GB"/>
              </w:rPr>
            </w:pPr>
            <w:r w:rsidRPr="00EA6F8C">
              <w:rPr>
                <w:rFonts w:ascii="Calibri" w:eastAsia="Times New Roman" w:hAnsi="Calibri" w:cs="Calibri"/>
                <w:b/>
                <w:bCs/>
                <w:color w:val="000000"/>
                <w:sz w:val="28"/>
                <w:szCs w:val="28"/>
                <w:lang w:val="en-US" w:eastAsia="en-GB"/>
              </w:rPr>
              <w:t>Area</w:t>
            </w:r>
          </w:p>
        </w:tc>
        <w:tc>
          <w:tcPr>
            <w:tcW w:w="3777" w:type="dxa"/>
            <w:tcBorders>
              <w:top w:val="single" w:sz="4" w:space="0" w:color="auto"/>
              <w:left w:val="nil"/>
              <w:bottom w:val="single" w:sz="4" w:space="0" w:color="auto"/>
              <w:right w:val="single" w:sz="4" w:space="0" w:color="auto"/>
            </w:tcBorders>
            <w:shd w:val="clear" w:color="auto" w:fill="auto"/>
            <w:vAlign w:val="center"/>
            <w:hideMark/>
          </w:tcPr>
          <w:p w:rsidR="00C35316" w:rsidRPr="00EA6F8C" w:rsidRDefault="00C35316" w:rsidP="00EA6F8C">
            <w:pPr>
              <w:spacing w:after="0" w:line="240" w:lineRule="auto"/>
              <w:jc w:val="center"/>
              <w:rPr>
                <w:rFonts w:ascii="Calibri" w:eastAsia="Times New Roman" w:hAnsi="Calibri" w:cs="Calibri"/>
                <w:b/>
                <w:bCs/>
                <w:color w:val="000000"/>
                <w:sz w:val="28"/>
                <w:szCs w:val="28"/>
                <w:lang w:val="en-US" w:eastAsia="en-GB"/>
              </w:rPr>
            </w:pPr>
            <w:r w:rsidRPr="00EA6F8C">
              <w:rPr>
                <w:rFonts w:ascii="Calibri" w:eastAsia="Times New Roman" w:hAnsi="Calibri" w:cs="Calibri"/>
                <w:b/>
                <w:bCs/>
                <w:color w:val="000000"/>
                <w:sz w:val="28"/>
                <w:szCs w:val="28"/>
                <w:lang w:val="en-US" w:eastAsia="en-GB"/>
              </w:rPr>
              <w:t>Indicator</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rsidR="00C35316" w:rsidRPr="00EA6F8C" w:rsidRDefault="00C35316" w:rsidP="00EA6F8C">
            <w:pPr>
              <w:spacing w:after="0" w:line="240" w:lineRule="auto"/>
              <w:jc w:val="center"/>
              <w:rPr>
                <w:rFonts w:ascii="Calibri" w:eastAsia="Times New Roman" w:hAnsi="Calibri" w:cs="Calibri"/>
                <w:b/>
                <w:bCs/>
                <w:color w:val="000000"/>
                <w:sz w:val="28"/>
                <w:szCs w:val="28"/>
                <w:lang w:val="en-US" w:eastAsia="en-GB"/>
              </w:rPr>
            </w:pPr>
            <w:r w:rsidRPr="00EA6F8C">
              <w:rPr>
                <w:rFonts w:ascii="Calibri" w:eastAsia="Times New Roman" w:hAnsi="Calibri" w:cs="Calibri"/>
                <w:b/>
                <w:bCs/>
                <w:color w:val="000000"/>
                <w:sz w:val="28"/>
                <w:szCs w:val="28"/>
                <w:lang w:val="en-US" w:eastAsia="en-GB"/>
              </w:rPr>
              <w:t>Nigeria</w:t>
            </w:r>
          </w:p>
        </w:tc>
      </w:tr>
      <w:tr w:rsidR="00E01C99" w:rsidRPr="00EA6F8C" w:rsidTr="00A03C34">
        <w:trPr>
          <w:trHeight w:val="368"/>
          <w:jc w:val="center"/>
        </w:trPr>
        <w:tc>
          <w:tcPr>
            <w:tcW w:w="3220" w:type="dxa"/>
            <w:vMerge w:val="restart"/>
            <w:tcBorders>
              <w:top w:val="nil"/>
              <w:left w:val="single" w:sz="4" w:space="0" w:color="auto"/>
              <w:right w:val="single" w:sz="4" w:space="0" w:color="auto"/>
            </w:tcBorders>
            <w:shd w:val="clear" w:color="000000" w:fill="F2DCDB"/>
            <w:hideMark/>
          </w:tcPr>
          <w:p w:rsidR="00E01C99" w:rsidRPr="00EA6F8C" w:rsidRDefault="00A03C34" w:rsidP="00E01C99">
            <w:pPr>
              <w:spacing w:after="0" w:line="240" w:lineRule="auto"/>
              <w:rPr>
                <w:rFonts w:ascii="Calibri" w:eastAsia="Times New Roman" w:hAnsi="Calibri" w:cs="Calibri"/>
                <w:b/>
                <w:bCs/>
                <w:color w:val="000000"/>
                <w:lang w:val="en-US" w:eastAsia="en-GB"/>
              </w:rPr>
            </w:pPr>
            <w:r>
              <w:rPr>
                <w:rFonts w:ascii="Calibri" w:eastAsia="Times New Roman" w:hAnsi="Calibri" w:cs="Calibri"/>
                <w:b/>
                <w:bCs/>
                <w:color w:val="000000"/>
                <w:lang w:val="en-US" w:eastAsia="en-GB"/>
              </w:rPr>
              <w:t>3. Measles e</w:t>
            </w:r>
            <w:r w:rsidR="00E01C99" w:rsidRPr="00EA6F8C">
              <w:rPr>
                <w:rFonts w:ascii="Calibri" w:eastAsia="Times New Roman" w:hAnsi="Calibri" w:cs="Calibri"/>
                <w:b/>
                <w:bCs/>
                <w:color w:val="000000"/>
                <w:lang w:val="en-US" w:eastAsia="en-GB"/>
              </w:rPr>
              <w:t>limination</w:t>
            </w:r>
          </w:p>
        </w:tc>
        <w:tc>
          <w:tcPr>
            <w:tcW w:w="3777" w:type="dxa"/>
            <w:tcBorders>
              <w:top w:val="nil"/>
              <w:left w:val="nil"/>
              <w:bottom w:val="single" w:sz="4" w:space="0" w:color="auto"/>
              <w:right w:val="single" w:sz="4" w:space="0" w:color="auto"/>
            </w:tcBorders>
            <w:shd w:val="clear" w:color="000000" w:fill="F2DCDB"/>
            <w:vAlign w:val="center"/>
            <w:hideMark/>
          </w:tcPr>
          <w:p w:rsidR="00E01C99" w:rsidRPr="00EA6F8C" w:rsidRDefault="00E01C99" w:rsidP="00E01C99">
            <w:pPr>
              <w:spacing w:after="0" w:line="240" w:lineRule="auto"/>
              <w:rPr>
                <w:rFonts w:ascii="Calibri" w:eastAsia="Times New Roman" w:hAnsi="Calibri" w:cs="Calibri"/>
                <w:b/>
                <w:bCs/>
                <w:color w:val="000000"/>
                <w:lang w:val="en-US" w:eastAsia="en-GB"/>
              </w:rPr>
            </w:pPr>
            <w:r w:rsidRPr="00EA6F8C">
              <w:rPr>
                <w:rFonts w:ascii="Calibri" w:eastAsia="Times New Roman" w:hAnsi="Calibri" w:cs="Calibri"/>
                <w:b/>
                <w:bCs/>
                <w:color w:val="000000"/>
                <w:lang w:val="en-US" w:eastAsia="en-GB"/>
              </w:rPr>
              <w:t>Coverage MCV1 (201</w:t>
            </w:r>
            <w:r>
              <w:rPr>
                <w:rFonts w:ascii="Calibri" w:eastAsia="Times New Roman" w:hAnsi="Calibri" w:cs="Calibri"/>
                <w:b/>
                <w:bCs/>
                <w:color w:val="000000"/>
                <w:lang w:val="en-US" w:eastAsia="en-GB"/>
              </w:rPr>
              <w:t>5</w:t>
            </w:r>
            <w:r w:rsidRPr="00EA6F8C">
              <w:rPr>
                <w:rFonts w:ascii="Calibri" w:eastAsia="Times New Roman" w:hAnsi="Calibri" w:cs="Calibri"/>
                <w:b/>
                <w:bCs/>
                <w:color w:val="000000"/>
                <w:lang w:val="en-US" w:eastAsia="en-GB"/>
              </w:rPr>
              <w:t xml:space="preserve"> WUENIC)</w:t>
            </w:r>
          </w:p>
        </w:tc>
        <w:tc>
          <w:tcPr>
            <w:tcW w:w="2520" w:type="dxa"/>
            <w:tcBorders>
              <w:top w:val="nil"/>
              <w:left w:val="nil"/>
              <w:bottom w:val="single" w:sz="4" w:space="0" w:color="auto"/>
              <w:right w:val="single" w:sz="4" w:space="0" w:color="auto"/>
            </w:tcBorders>
            <w:shd w:val="clear" w:color="000000" w:fill="FF0000"/>
            <w:vAlign w:val="center"/>
            <w:hideMark/>
          </w:tcPr>
          <w:p w:rsidR="00E01C99" w:rsidRPr="00EA6F8C" w:rsidRDefault="00E01C99" w:rsidP="00E01C99">
            <w:pPr>
              <w:spacing w:after="0" w:line="240" w:lineRule="auto"/>
              <w:jc w:val="center"/>
              <w:rPr>
                <w:rFonts w:ascii="Calibri" w:eastAsia="Times New Roman" w:hAnsi="Calibri" w:cs="Calibri"/>
                <w:b/>
                <w:bCs/>
                <w:color w:val="000000"/>
                <w:lang w:val="en-US" w:eastAsia="en-GB"/>
              </w:rPr>
            </w:pPr>
            <w:r w:rsidRPr="00EA6F8C">
              <w:rPr>
                <w:rFonts w:ascii="Calibri" w:eastAsia="Times New Roman" w:hAnsi="Calibri" w:cs="Calibri"/>
                <w:b/>
                <w:bCs/>
                <w:color w:val="000000"/>
                <w:lang w:val="en-US" w:eastAsia="en-GB"/>
              </w:rPr>
              <w:t>5</w:t>
            </w:r>
            <w:r>
              <w:rPr>
                <w:rFonts w:ascii="Calibri" w:eastAsia="Times New Roman" w:hAnsi="Calibri" w:cs="Calibri"/>
                <w:b/>
                <w:bCs/>
                <w:color w:val="000000"/>
                <w:lang w:val="en-US" w:eastAsia="en-GB"/>
              </w:rPr>
              <w:t>4</w:t>
            </w:r>
            <w:r w:rsidRPr="00EA6F8C">
              <w:rPr>
                <w:rFonts w:ascii="Calibri" w:eastAsia="Times New Roman" w:hAnsi="Calibri" w:cs="Calibri"/>
                <w:b/>
                <w:bCs/>
                <w:color w:val="000000"/>
                <w:lang w:val="en-US" w:eastAsia="en-GB"/>
              </w:rPr>
              <w:t>%</w:t>
            </w:r>
          </w:p>
        </w:tc>
      </w:tr>
      <w:tr w:rsidR="00E01C99" w:rsidRPr="00EA6F8C" w:rsidTr="00A03C34">
        <w:trPr>
          <w:trHeight w:val="300"/>
          <w:jc w:val="center"/>
        </w:trPr>
        <w:tc>
          <w:tcPr>
            <w:tcW w:w="3220" w:type="dxa"/>
            <w:vMerge/>
            <w:tcBorders>
              <w:left w:val="single" w:sz="4" w:space="0" w:color="auto"/>
              <w:right w:val="single" w:sz="4" w:space="0" w:color="auto"/>
            </w:tcBorders>
            <w:shd w:val="clear" w:color="000000" w:fill="F2DCDB"/>
            <w:vAlign w:val="center"/>
          </w:tcPr>
          <w:p w:rsidR="00E01C99" w:rsidRPr="00EA6F8C" w:rsidRDefault="00E01C99" w:rsidP="00C35316">
            <w:pPr>
              <w:spacing w:after="0" w:line="240" w:lineRule="auto"/>
              <w:rPr>
                <w:rFonts w:ascii="Calibri" w:eastAsia="Times New Roman" w:hAnsi="Calibri" w:cs="Calibri"/>
                <w:b/>
                <w:bCs/>
                <w:color w:val="000000"/>
                <w:lang w:val="en-US" w:eastAsia="en-GB"/>
              </w:rPr>
            </w:pPr>
          </w:p>
        </w:tc>
        <w:tc>
          <w:tcPr>
            <w:tcW w:w="3777" w:type="dxa"/>
            <w:tcBorders>
              <w:top w:val="nil"/>
              <w:left w:val="nil"/>
              <w:bottom w:val="single" w:sz="4" w:space="0" w:color="auto"/>
              <w:right w:val="single" w:sz="4" w:space="0" w:color="auto"/>
            </w:tcBorders>
            <w:shd w:val="clear" w:color="000000" w:fill="F2DCDB"/>
            <w:vAlign w:val="center"/>
            <w:hideMark/>
          </w:tcPr>
          <w:p w:rsidR="00E01C99" w:rsidRPr="00EA6F8C" w:rsidRDefault="00E01C99" w:rsidP="00C35316">
            <w:pPr>
              <w:spacing w:after="0" w:line="240" w:lineRule="auto"/>
              <w:rPr>
                <w:rFonts w:ascii="Calibri" w:eastAsia="Times New Roman" w:hAnsi="Calibri" w:cs="Calibri"/>
                <w:b/>
                <w:bCs/>
                <w:color w:val="000000"/>
                <w:lang w:val="en-US" w:eastAsia="en-GB"/>
              </w:rPr>
            </w:pPr>
            <w:r w:rsidRPr="00EA6F8C">
              <w:rPr>
                <w:rFonts w:ascii="Calibri" w:eastAsia="Times New Roman" w:hAnsi="Calibri" w:cs="Calibri"/>
                <w:b/>
                <w:bCs/>
                <w:color w:val="000000"/>
                <w:lang w:val="en-US" w:eastAsia="en-GB"/>
              </w:rPr>
              <w:t xml:space="preserve">Coverage MCV2 </w:t>
            </w:r>
          </w:p>
        </w:tc>
        <w:tc>
          <w:tcPr>
            <w:tcW w:w="2520" w:type="dxa"/>
            <w:tcBorders>
              <w:top w:val="nil"/>
              <w:left w:val="nil"/>
              <w:bottom w:val="single" w:sz="4" w:space="0" w:color="auto"/>
              <w:right w:val="single" w:sz="4" w:space="0" w:color="auto"/>
            </w:tcBorders>
            <w:shd w:val="clear" w:color="000000" w:fill="FF0000"/>
            <w:vAlign w:val="center"/>
            <w:hideMark/>
          </w:tcPr>
          <w:p w:rsidR="00E01C99" w:rsidRPr="00EA6F8C" w:rsidRDefault="00E01C99" w:rsidP="00C35316">
            <w:pPr>
              <w:spacing w:after="0" w:line="240" w:lineRule="auto"/>
              <w:jc w:val="center"/>
              <w:rPr>
                <w:rFonts w:ascii="Calibri" w:eastAsia="Times New Roman" w:hAnsi="Calibri" w:cs="Calibri"/>
                <w:b/>
                <w:bCs/>
                <w:color w:val="000000"/>
                <w:lang w:val="en-US" w:eastAsia="en-GB"/>
              </w:rPr>
            </w:pPr>
            <w:r w:rsidRPr="00EA6F8C">
              <w:rPr>
                <w:rFonts w:ascii="Calibri" w:eastAsia="Times New Roman" w:hAnsi="Calibri" w:cs="Calibri"/>
                <w:b/>
                <w:bCs/>
                <w:color w:val="000000"/>
                <w:lang w:val="en-US" w:eastAsia="en-GB"/>
              </w:rPr>
              <w:t>Not in schedule</w:t>
            </w:r>
          </w:p>
        </w:tc>
      </w:tr>
      <w:tr w:rsidR="00E01C99" w:rsidRPr="00EA6F8C" w:rsidTr="00A03C34">
        <w:trPr>
          <w:trHeight w:val="600"/>
          <w:jc w:val="center"/>
        </w:trPr>
        <w:tc>
          <w:tcPr>
            <w:tcW w:w="3220" w:type="dxa"/>
            <w:vMerge/>
            <w:tcBorders>
              <w:left w:val="single" w:sz="4" w:space="0" w:color="auto"/>
              <w:right w:val="single" w:sz="4" w:space="0" w:color="auto"/>
            </w:tcBorders>
            <w:shd w:val="clear" w:color="000000" w:fill="F2DCDB"/>
            <w:vAlign w:val="center"/>
          </w:tcPr>
          <w:p w:rsidR="00E01C99" w:rsidRPr="00EA6F8C" w:rsidRDefault="00E01C99" w:rsidP="00C35316">
            <w:pPr>
              <w:spacing w:after="0" w:line="240" w:lineRule="auto"/>
              <w:rPr>
                <w:rFonts w:ascii="Calibri" w:eastAsia="Times New Roman" w:hAnsi="Calibri" w:cs="Calibri"/>
                <w:b/>
                <w:bCs/>
                <w:color w:val="000000"/>
                <w:lang w:val="en-US" w:eastAsia="en-GB"/>
              </w:rPr>
            </w:pPr>
          </w:p>
        </w:tc>
        <w:tc>
          <w:tcPr>
            <w:tcW w:w="3777" w:type="dxa"/>
            <w:tcBorders>
              <w:top w:val="nil"/>
              <w:left w:val="nil"/>
              <w:bottom w:val="single" w:sz="4" w:space="0" w:color="auto"/>
              <w:right w:val="single" w:sz="4" w:space="0" w:color="auto"/>
            </w:tcBorders>
            <w:shd w:val="clear" w:color="000000" w:fill="F2DCDB"/>
            <w:vAlign w:val="center"/>
            <w:hideMark/>
          </w:tcPr>
          <w:p w:rsidR="00E01C99" w:rsidRPr="00EA6F8C" w:rsidRDefault="000B2412" w:rsidP="000B2412">
            <w:pPr>
              <w:spacing w:after="0" w:line="240" w:lineRule="auto"/>
              <w:rPr>
                <w:rFonts w:ascii="Calibri" w:eastAsia="Times New Roman" w:hAnsi="Calibri" w:cs="Calibri"/>
                <w:b/>
                <w:bCs/>
                <w:color w:val="000000"/>
                <w:lang w:val="en-US" w:eastAsia="en-GB"/>
              </w:rPr>
            </w:pPr>
            <w:r>
              <w:rPr>
                <w:rFonts w:ascii="Calibri" w:eastAsia="Times New Roman" w:hAnsi="Calibri" w:cs="Calibri"/>
                <w:b/>
                <w:bCs/>
                <w:color w:val="000000"/>
                <w:lang w:val="en-US" w:eastAsia="en-GB"/>
              </w:rPr>
              <w:t>Reported p</w:t>
            </w:r>
            <w:r w:rsidR="00E01C99" w:rsidRPr="00EA6F8C">
              <w:rPr>
                <w:rFonts w:ascii="Calibri" w:eastAsia="Times New Roman" w:hAnsi="Calibri" w:cs="Calibri"/>
                <w:b/>
                <w:bCs/>
                <w:color w:val="000000"/>
                <w:lang w:val="en-US" w:eastAsia="en-GB"/>
              </w:rPr>
              <w:t xml:space="preserve">ercentage of districts with MCV1 coverage </w:t>
            </w:r>
            <w:r w:rsidR="00E01C99">
              <w:rPr>
                <w:rFonts w:ascii="Calibri" w:eastAsia="Times New Roman" w:hAnsi="Calibri" w:cs="Calibri"/>
                <w:b/>
                <w:bCs/>
                <w:color w:val="000000"/>
                <w:lang w:val="en-US" w:eastAsia="en-GB"/>
              </w:rPr>
              <w:t>≥</w:t>
            </w:r>
            <w:r w:rsidR="00E01C99" w:rsidRPr="00EA6F8C">
              <w:rPr>
                <w:rFonts w:ascii="Calibri" w:eastAsia="Times New Roman" w:hAnsi="Calibri" w:cs="Calibri"/>
                <w:b/>
                <w:bCs/>
                <w:color w:val="000000"/>
                <w:lang w:val="en-US" w:eastAsia="en-GB"/>
              </w:rPr>
              <w:t>95% (2015 JRF)</w:t>
            </w:r>
          </w:p>
        </w:tc>
        <w:tc>
          <w:tcPr>
            <w:tcW w:w="2520" w:type="dxa"/>
            <w:tcBorders>
              <w:top w:val="nil"/>
              <w:left w:val="nil"/>
              <w:bottom w:val="single" w:sz="4" w:space="0" w:color="auto"/>
              <w:right w:val="single" w:sz="4" w:space="0" w:color="auto"/>
            </w:tcBorders>
            <w:shd w:val="clear" w:color="000000" w:fill="FF0000"/>
            <w:vAlign w:val="center"/>
            <w:hideMark/>
          </w:tcPr>
          <w:p w:rsidR="00E01C99" w:rsidRPr="00EA6F8C" w:rsidRDefault="00E01C99" w:rsidP="00C35316">
            <w:pPr>
              <w:spacing w:after="0" w:line="240" w:lineRule="auto"/>
              <w:jc w:val="center"/>
              <w:rPr>
                <w:rFonts w:ascii="Calibri" w:eastAsia="Times New Roman" w:hAnsi="Calibri" w:cs="Calibri"/>
                <w:b/>
                <w:bCs/>
                <w:color w:val="000000"/>
                <w:lang w:val="en-US" w:eastAsia="en-GB"/>
              </w:rPr>
            </w:pPr>
            <w:r w:rsidRPr="00EA6F8C">
              <w:rPr>
                <w:rFonts w:ascii="Calibri" w:eastAsia="Times New Roman" w:hAnsi="Calibri" w:cs="Calibri"/>
                <w:b/>
                <w:bCs/>
                <w:color w:val="000000"/>
                <w:lang w:val="en-US" w:eastAsia="en-GB"/>
              </w:rPr>
              <w:t>53%</w:t>
            </w:r>
          </w:p>
        </w:tc>
      </w:tr>
      <w:tr w:rsidR="001635F5" w:rsidRPr="00EA6F8C" w:rsidTr="0005184D">
        <w:trPr>
          <w:trHeight w:val="413"/>
          <w:jc w:val="center"/>
        </w:trPr>
        <w:tc>
          <w:tcPr>
            <w:tcW w:w="3220" w:type="dxa"/>
            <w:vMerge/>
            <w:tcBorders>
              <w:left w:val="single" w:sz="4" w:space="0" w:color="auto"/>
              <w:right w:val="single" w:sz="4" w:space="0" w:color="auto"/>
            </w:tcBorders>
            <w:shd w:val="clear" w:color="000000" w:fill="F2DCDB"/>
            <w:vAlign w:val="center"/>
          </w:tcPr>
          <w:p w:rsidR="00E01C99" w:rsidRPr="00EA6F8C" w:rsidRDefault="00E01C99" w:rsidP="00C35316">
            <w:pPr>
              <w:spacing w:after="0" w:line="240" w:lineRule="auto"/>
              <w:rPr>
                <w:rFonts w:ascii="Calibri" w:eastAsia="Times New Roman" w:hAnsi="Calibri" w:cs="Calibri"/>
                <w:b/>
                <w:bCs/>
                <w:color w:val="000000"/>
                <w:lang w:val="en-US" w:eastAsia="en-GB"/>
              </w:rPr>
            </w:pPr>
          </w:p>
        </w:tc>
        <w:tc>
          <w:tcPr>
            <w:tcW w:w="3777" w:type="dxa"/>
            <w:tcBorders>
              <w:top w:val="nil"/>
              <w:left w:val="nil"/>
              <w:bottom w:val="single" w:sz="4" w:space="0" w:color="auto"/>
              <w:right w:val="single" w:sz="4" w:space="0" w:color="auto"/>
            </w:tcBorders>
            <w:shd w:val="clear" w:color="000000" w:fill="F2DCDB"/>
            <w:vAlign w:val="center"/>
            <w:hideMark/>
          </w:tcPr>
          <w:p w:rsidR="00E01C99" w:rsidRPr="00EA6F8C" w:rsidRDefault="00E01C99" w:rsidP="00C35316">
            <w:pPr>
              <w:spacing w:after="0" w:line="240" w:lineRule="auto"/>
              <w:rPr>
                <w:rFonts w:ascii="Calibri" w:eastAsia="Times New Roman" w:hAnsi="Calibri" w:cs="Calibri"/>
                <w:b/>
                <w:bCs/>
                <w:color w:val="000000"/>
                <w:lang w:val="en-US" w:eastAsia="en-GB"/>
              </w:rPr>
            </w:pPr>
            <w:r w:rsidRPr="00EA6F8C">
              <w:rPr>
                <w:rFonts w:ascii="Calibri" w:eastAsia="Times New Roman" w:hAnsi="Calibri" w:cs="Calibri"/>
                <w:b/>
                <w:bCs/>
                <w:color w:val="000000"/>
                <w:lang w:val="en-US" w:eastAsia="en-GB"/>
              </w:rPr>
              <w:t>Last national SIA</w:t>
            </w:r>
          </w:p>
        </w:tc>
        <w:tc>
          <w:tcPr>
            <w:tcW w:w="2520" w:type="dxa"/>
            <w:tcBorders>
              <w:top w:val="nil"/>
              <w:left w:val="nil"/>
              <w:bottom w:val="single" w:sz="4" w:space="0" w:color="auto"/>
              <w:right w:val="single" w:sz="4" w:space="0" w:color="auto"/>
            </w:tcBorders>
            <w:shd w:val="clear" w:color="auto" w:fill="9BBB59" w:themeFill="accent3"/>
            <w:vAlign w:val="center"/>
            <w:hideMark/>
          </w:tcPr>
          <w:p w:rsidR="00E01C99" w:rsidRPr="00EA6F8C" w:rsidRDefault="00E01C99" w:rsidP="00C35316">
            <w:pPr>
              <w:spacing w:after="0" w:line="240" w:lineRule="auto"/>
              <w:jc w:val="center"/>
              <w:rPr>
                <w:rFonts w:ascii="Calibri" w:eastAsia="Times New Roman" w:hAnsi="Calibri" w:cs="Calibri"/>
                <w:b/>
                <w:bCs/>
                <w:color w:val="000000"/>
                <w:lang w:val="en-US" w:eastAsia="en-GB"/>
              </w:rPr>
            </w:pPr>
            <w:r>
              <w:rPr>
                <w:rFonts w:ascii="Calibri" w:eastAsia="Times New Roman" w:hAnsi="Calibri" w:cs="Calibri"/>
                <w:b/>
                <w:bCs/>
                <w:color w:val="000000"/>
                <w:lang w:val="en-US" w:eastAsia="en-GB"/>
              </w:rPr>
              <w:t>2015</w:t>
            </w:r>
          </w:p>
        </w:tc>
      </w:tr>
      <w:tr w:rsidR="001635F5" w:rsidRPr="00EA6F8C" w:rsidTr="0005184D">
        <w:trPr>
          <w:trHeight w:val="300"/>
          <w:jc w:val="center"/>
        </w:trPr>
        <w:tc>
          <w:tcPr>
            <w:tcW w:w="3220" w:type="dxa"/>
            <w:vMerge/>
            <w:tcBorders>
              <w:left w:val="single" w:sz="4" w:space="0" w:color="auto"/>
              <w:bottom w:val="single" w:sz="4" w:space="0" w:color="auto"/>
              <w:right w:val="single" w:sz="4" w:space="0" w:color="auto"/>
            </w:tcBorders>
            <w:shd w:val="clear" w:color="000000" w:fill="F2DCDB"/>
            <w:vAlign w:val="center"/>
          </w:tcPr>
          <w:p w:rsidR="00E01C99" w:rsidRPr="00EA6F8C" w:rsidRDefault="00E01C99" w:rsidP="00C35316">
            <w:pPr>
              <w:spacing w:after="0" w:line="240" w:lineRule="auto"/>
              <w:rPr>
                <w:rFonts w:ascii="Calibri" w:eastAsia="Times New Roman" w:hAnsi="Calibri" w:cs="Calibri"/>
                <w:b/>
                <w:bCs/>
                <w:color w:val="000000"/>
                <w:lang w:val="en-US" w:eastAsia="en-GB"/>
              </w:rPr>
            </w:pPr>
          </w:p>
        </w:tc>
        <w:tc>
          <w:tcPr>
            <w:tcW w:w="3777" w:type="dxa"/>
            <w:tcBorders>
              <w:top w:val="nil"/>
              <w:left w:val="nil"/>
              <w:bottom w:val="single" w:sz="4" w:space="0" w:color="auto"/>
              <w:right w:val="single" w:sz="4" w:space="0" w:color="auto"/>
            </w:tcBorders>
            <w:shd w:val="clear" w:color="000000" w:fill="F2DCDB"/>
            <w:vAlign w:val="center"/>
            <w:hideMark/>
          </w:tcPr>
          <w:p w:rsidR="00E01C99" w:rsidRPr="00EA6F8C" w:rsidRDefault="00E01C99" w:rsidP="00C35316">
            <w:pPr>
              <w:spacing w:after="0" w:line="240" w:lineRule="auto"/>
              <w:rPr>
                <w:rFonts w:ascii="Calibri" w:eastAsia="Times New Roman" w:hAnsi="Calibri" w:cs="Calibri"/>
                <w:b/>
                <w:bCs/>
                <w:color w:val="000000"/>
                <w:lang w:val="en-US" w:eastAsia="en-GB"/>
              </w:rPr>
            </w:pPr>
            <w:r w:rsidRPr="00EA6F8C">
              <w:rPr>
                <w:rFonts w:ascii="Calibri" w:eastAsia="Times New Roman" w:hAnsi="Calibri" w:cs="Calibri"/>
                <w:b/>
                <w:bCs/>
                <w:color w:val="000000"/>
                <w:lang w:val="en-US" w:eastAsia="en-GB"/>
              </w:rPr>
              <w:t>Post SIA coverage survey conducted</w:t>
            </w:r>
          </w:p>
        </w:tc>
        <w:tc>
          <w:tcPr>
            <w:tcW w:w="2520" w:type="dxa"/>
            <w:tcBorders>
              <w:top w:val="nil"/>
              <w:left w:val="nil"/>
              <w:bottom w:val="single" w:sz="4" w:space="0" w:color="auto"/>
              <w:right w:val="single" w:sz="4" w:space="0" w:color="auto"/>
            </w:tcBorders>
            <w:shd w:val="clear" w:color="auto" w:fill="9BBB59" w:themeFill="accent3"/>
            <w:vAlign w:val="center"/>
            <w:hideMark/>
          </w:tcPr>
          <w:p w:rsidR="00E01C99" w:rsidRPr="00EA6F8C" w:rsidRDefault="0005184D" w:rsidP="00C35316">
            <w:pPr>
              <w:spacing w:after="0" w:line="240" w:lineRule="auto"/>
              <w:jc w:val="center"/>
              <w:rPr>
                <w:rFonts w:ascii="Calibri" w:eastAsia="Times New Roman" w:hAnsi="Calibri" w:cs="Calibri"/>
                <w:b/>
                <w:bCs/>
                <w:color w:val="000000"/>
                <w:lang w:val="en-US" w:eastAsia="en-GB"/>
              </w:rPr>
            </w:pPr>
            <w:r>
              <w:rPr>
                <w:rFonts w:ascii="Calibri" w:eastAsia="Times New Roman" w:hAnsi="Calibri" w:cs="Calibri"/>
                <w:b/>
                <w:bCs/>
                <w:color w:val="000000"/>
                <w:lang w:val="en-US" w:eastAsia="en-GB"/>
              </w:rPr>
              <w:t>Yes</w:t>
            </w:r>
          </w:p>
        </w:tc>
      </w:tr>
    </w:tbl>
    <w:p w:rsidR="00D744D3" w:rsidRDefault="00D744D3" w:rsidP="00D744D3">
      <w:pPr>
        <w:pStyle w:val="ListParagraph"/>
        <w:numPr>
          <w:ilvl w:val="2"/>
          <w:numId w:val="18"/>
        </w:numPr>
        <w:contextualSpacing w:val="0"/>
        <w:rPr>
          <w:rFonts w:ascii="Arial" w:hAnsi="Arial" w:cs="Arial"/>
          <w:b/>
          <w:lang w:val="en-US"/>
        </w:rPr>
      </w:pPr>
      <w:r w:rsidRPr="00D744D3">
        <w:rPr>
          <w:rFonts w:ascii="Arial" w:hAnsi="Arial" w:cs="Arial"/>
          <w:b/>
          <w:lang w:val="en-US"/>
        </w:rPr>
        <w:t>Achieve measles elimination and rubella &amp; CRS elimination</w:t>
      </w:r>
    </w:p>
    <w:p w:rsidR="00D34A31" w:rsidRPr="00D34A31" w:rsidRDefault="00D34A31" w:rsidP="00F54563">
      <w:pPr>
        <w:rPr>
          <w:rFonts w:ascii="Arial" w:hAnsi="Arial" w:cs="Arial"/>
          <w:u w:val="single"/>
          <w:lang w:val="en-US"/>
        </w:rPr>
      </w:pPr>
      <w:r w:rsidRPr="00D34A31">
        <w:rPr>
          <w:rFonts w:ascii="Arial" w:hAnsi="Arial" w:cs="Arial"/>
          <w:u w:val="single"/>
          <w:lang w:val="en-US"/>
        </w:rPr>
        <w:t>Measles</w:t>
      </w:r>
    </w:p>
    <w:p w:rsidR="00F54563" w:rsidRDefault="00F54563" w:rsidP="00F54563">
      <w:pPr>
        <w:rPr>
          <w:rFonts w:ascii="Arial" w:hAnsi="Arial" w:cs="Arial"/>
          <w:lang w:val="en-US"/>
        </w:rPr>
      </w:pPr>
      <w:r>
        <w:rPr>
          <w:rFonts w:ascii="Arial" w:hAnsi="Arial" w:cs="Arial"/>
          <w:lang w:val="en-US"/>
        </w:rPr>
        <w:t>Nigeria has the goal of reducing measles morbidity by 90%</w:t>
      </w:r>
      <w:r w:rsidR="00A077C6">
        <w:rPr>
          <w:rFonts w:ascii="Arial" w:hAnsi="Arial" w:cs="Arial"/>
          <w:lang w:val="en-US"/>
        </w:rPr>
        <w:t xml:space="preserve"> </w:t>
      </w:r>
      <w:r w:rsidR="00361F07">
        <w:rPr>
          <w:rFonts w:ascii="Arial" w:hAnsi="Arial" w:cs="Arial"/>
          <w:lang w:val="en-US"/>
        </w:rPr>
        <w:t xml:space="preserve">mortality by 95% </w:t>
      </w:r>
      <w:r w:rsidR="00A077C6">
        <w:rPr>
          <w:rFonts w:ascii="Arial" w:hAnsi="Arial" w:cs="Arial"/>
          <w:lang w:val="en-US"/>
        </w:rPr>
        <w:t xml:space="preserve">from </w:t>
      </w:r>
      <w:r w:rsidR="00361F07">
        <w:rPr>
          <w:rFonts w:ascii="Arial" w:hAnsi="Arial" w:cs="Arial"/>
          <w:lang w:val="en-US"/>
        </w:rPr>
        <w:t>2014</w:t>
      </w:r>
      <w:r w:rsidR="00A077C6" w:rsidRPr="00A077C6">
        <w:rPr>
          <w:rFonts w:ascii="Arial" w:hAnsi="Arial" w:cs="Arial"/>
          <w:color w:val="FF0000"/>
          <w:lang w:val="en-US"/>
        </w:rPr>
        <w:t xml:space="preserve"> </w:t>
      </w:r>
      <w:r w:rsidR="00361F07">
        <w:rPr>
          <w:rFonts w:ascii="Arial" w:hAnsi="Arial" w:cs="Arial"/>
          <w:lang w:val="en-US"/>
        </w:rPr>
        <w:t>to 2020</w:t>
      </w:r>
      <w:r w:rsidR="00A077C6">
        <w:rPr>
          <w:rFonts w:ascii="Arial" w:hAnsi="Arial" w:cs="Arial"/>
          <w:lang w:val="en-US"/>
        </w:rPr>
        <w:t>.</w:t>
      </w:r>
      <w:r w:rsidR="00A077C6">
        <w:rPr>
          <w:rStyle w:val="FootnoteReference"/>
          <w:rFonts w:ascii="Arial" w:hAnsi="Arial" w:cs="Arial"/>
          <w:lang w:val="en-US"/>
        </w:rPr>
        <w:footnoteReference w:id="1"/>
      </w:r>
      <w:r w:rsidR="00A077C6">
        <w:rPr>
          <w:rFonts w:ascii="Arial" w:hAnsi="Arial" w:cs="Arial"/>
          <w:lang w:val="en-US"/>
        </w:rPr>
        <w:t xml:space="preserve"> The number of cases reported through the disease surveillance system in 2015 was more than 12,200, which is significantly down from nearly 53,000 cases in 2013 and more than 212,000 cases in the year 2000.</w:t>
      </w:r>
      <w:r w:rsidR="00A077C6">
        <w:rPr>
          <w:rStyle w:val="FootnoteReference"/>
          <w:rFonts w:ascii="Arial" w:hAnsi="Arial" w:cs="Arial"/>
          <w:lang w:val="en-US"/>
        </w:rPr>
        <w:footnoteReference w:id="2"/>
      </w:r>
      <w:r w:rsidR="00A077C6">
        <w:rPr>
          <w:rFonts w:ascii="Arial" w:hAnsi="Arial" w:cs="Arial"/>
          <w:lang w:val="en-US"/>
        </w:rPr>
        <w:t xml:space="preserve"> The number of reported measles outbreaks has similarly declined from 338 in 2010 to 133 in 2014.</w:t>
      </w:r>
      <w:r w:rsidR="00A077C6">
        <w:rPr>
          <w:rStyle w:val="FootnoteReference"/>
          <w:rFonts w:ascii="Arial" w:hAnsi="Arial" w:cs="Arial"/>
          <w:lang w:val="en-US"/>
        </w:rPr>
        <w:footnoteReference w:id="3"/>
      </w:r>
    </w:p>
    <w:p w:rsidR="00A077C6" w:rsidRDefault="00A077C6" w:rsidP="00F54563">
      <w:pPr>
        <w:rPr>
          <w:rFonts w:ascii="Arial" w:hAnsi="Arial" w:cs="Arial"/>
          <w:lang w:val="en-US"/>
        </w:rPr>
      </w:pPr>
      <w:r>
        <w:rPr>
          <w:rFonts w:ascii="Arial" w:hAnsi="Arial" w:cs="Arial"/>
          <w:lang w:val="en-US"/>
        </w:rPr>
        <w:lastRenderedPageBreak/>
        <w:t>To reduce measles incidence, the country developed a strategy of nation-wide measles vaccination campaigns, coupled with case-based surveillance, beginning with catch-up campaigns for children 9 months to 15 years that were conducted in two phases in 2005 and 2006. National follow-up campaigns for children under five have taken place with WHO and UNICEF support every two or three years since then (in 2008, 2011, 2013/14 and most recently in 2015/16</w:t>
      </w:r>
      <w:r w:rsidR="003B290A">
        <w:rPr>
          <w:rFonts w:ascii="Arial" w:hAnsi="Arial" w:cs="Arial"/>
          <w:lang w:val="en-US"/>
        </w:rPr>
        <w:t>)</w:t>
      </w:r>
      <w:r>
        <w:rPr>
          <w:rFonts w:ascii="Arial" w:hAnsi="Arial" w:cs="Arial"/>
          <w:lang w:val="en-US"/>
        </w:rPr>
        <w:t>. A coverage survey found that the 2013/14 campaign achieved a</w:t>
      </w:r>
      <w:r w:rsidR="003B290A">
        <w:rPr>
          <w:rFonts w:ascii="Arial" w:hAnsi="Arial" w:cs="Arial"/>
          <w:lang w:val="en-US"/>
        </w:rPr>
        <w:t>n overall</w:t>
      </w:r>
      <w:r>
        <w:rPr>
          <w:rFonts w:ascii="Arial" w:hAnsi="Arial" w:cs="Arial"/>
          <w:lang w:val="en-US"/>
        </w:rPr>
        <w:t xml:space="preserve"> coverage rate of 74.5%.</w:t>
      </w:r>
      <w:r>
        <w:rPr>
          <w:rStyle w:val="FootnoteReference"/>
          <w:rFonts w:ascii="Arial" w:hAnsi="Arial" w:cs="Arial"/>
          <w:lang w:val="en-US"/>
        </w:rPr>
        <w:footnoteReference w:id="4"/>
      </w:r>
      <w:r>
        <w:rPr>
          <w:rFonts w:ascii="Arial" w:hAnsi="Arial" w:cs="Arial"/>
          <w:lang w:val="en-US"/>
        </w:rPr>
        <w:t xml:space="preserve"> The Government plans to continue the SIAs every two or three years, as needed, based on surveillance reports</w:t>
      </w:r>
      <w:r w:rsidR="008F41EC">
        <w:rPr>
          <w:rFonts w:ascii="Arial" w:hAnsi="Arial" w:cs="Arial"/>
          <w:lang w:val="en-US"/>
        </w:rPr>
        <w:t>; SIAs are currently planned for 2017 and 2020</w:t>
      </w:r>
      <w:r>
        <w:rPr>
          <w:rFonts w:ascii="Arial" w:hAnsi="Arial" w:cs="Arial"/>
          <w:lang w:val="en-US"/>
        </w:rPr>
        <w:t>.</w:t>
      </w:r>
    </w:p>
    <w:p w:rsidR="00A077C6" w:rsidRDefault="00A077C6" w:rsidP="00F54563">
      <w:pPr>
        <w:rPr>
          <w:rFonts w:ascii="Arial" w:hAnsi="Arial" w:cs="Arial"/>
          <w:lang w:val="en-US"/>
        </w:rPr>
      </w:pPr>
      <w:r>
        <w:rPr>
          <w:rFonts w:ascii="Arial" w:hAnsi="Arial" w:cs="Arial"/>
          <w:lang w:val="en-US"/>
        </w:rPr>
        <w:t>Key challenges that need to be addressed to meet Nigeria’s measles reduction targets are:</w:t>
      </w:r>
    </w:p>
    <w:p w:rsidR="00A077C6" w:rsidRDefault="00A077C6" w:rsidP="00D34A31">
      <w:pPr>
        <w:pStyle w:val="ListParagraph"/>
        <w:numPr>
          <w:ilvl w:val="0"/>
          <w:numId w:val="32"/>
        </w:numPr>
        <w:contextualSpacing w:val="0"/>
        <w:rPr>
          <w:rFonts w:ascii="Arial" w:hAnsi="Arial" w:cs="Arial"/>
          <w:lang w:val="en-US"/>
        </w:rPr>
      </w:pPr>
      <w:r w:rsidRPr="00A077C6">
        <w:rPr>
          <w:rFonts w:ascii="Arial" w:hAnsi="Arial" w:cs="Arial"/>
          <w:b/>
          <w:lang w:val="en-US"/>
        </w:rPr>
        <w:t>The need to improve measles vaccination coverage rates</w:t>
      </w:r>
      <w:r>
        <w:rPr>
          <w:rFonts w:ascii="Arial" w:hAnsi="Arial" w:cs="Arial"/>
          <w:lang w:val="en-US"/>
        </w:rPr>
        <w:t xml:space="preserve">. </w:t>
      </w:r>
      <w:r w:rsidR="00361F07">
        <w:rPr>
          <w:rFonts w:ascii="Arial" w:hAnsi="Arial" w:cs="Arial"/>
          <w:lang w:val="en-US"/>
        </w:rPr>
        <w:t>R</w:t>
      </w:r>
      <w:r w:rsidR="00236A02">
        <w:rPr>
          <w:rFonts w:ascii="Arial" w:hAnsi="Arial" w:cs="Arial"/>
          <w:lang w:val="en-US"/>
        </w:rPr>
        <w:t xml:space="preserve">outine </w:t>
      </w:r>
      <w:r>
        <w:rPr>
          <w:rFonts w:ascii="Arial" w:hAnsi="Arial" w:cs="Arial"/>
          <w:lang w:val="en-US"/>
        </w:rPr>
        <w:t>measles coverage rates remain low and have risen very gradually in the past several years. The national rate was 49% in 2011, dipped to 42% in 2012 and then rose to 47% in 2013 and to 55% by 2015</w:t>
      </w:r>
      <w:r w:rsidR="007A2153">
        <w:rPr>
          <w:rFonts w:ascii="Arial" w:hAnsi="Arial" w:cs="Arial"/>
          <w:lang w:val="en-US"/>
        </w:rPr>
        <w:t>.</w:t>
      </w:r>
      <w:r w:rsidR="007A2153">
        <w:rPr>
          <w:rStyle w:val="FootnoteReference"/>
          <w:rFonts w:ascii="Arial" w:hAnsi="Arial" w:cs="Arial"/>
          <w:lang w:val="en-US"/>
        </w:rPr>
        <w:footnoteReference w:id="5"/>
      </w:r>
      <w:r w:rsidR="007A2153">
        <w:rPr>
          <w:rFonts w:ascii="Arial" w:hAnsi="Arial" w:cs="Arial"/>
          <w:lang w:val="en-US"/>
        </w:rPr>
        <w:t xml:space="preserve"> Large parts of the country – the Northeast and Northwest regions – have extremely low coverage rates. According to the 2015 National Nutrition and Health Survey (NNHS), which found a national measles vaccination coverage rate of 51% among 12-23 month olds – four states had rates of 4% to 7%, while seven other states had rates of 15-30%</w:t>
      </w:r>
      <w:r w:rsidR="007A2153">
        <w:rPr>
          <w:rStyle w:val="FootnoteReference"/>
          <w:rFonts w:ascii="Arial" w:hAnsi="Arial" w:cs="Arial"/>
          <w:lang w:val="en-US"/>
        </w:rPr>
        <w:footnoteReference w:id="6"/>
      </w:r>
      <w:r w:rsidR="007A2153">
        <w:rPr>
          <w:rFonts w:ascii="Arial" w:hAnsi="Arial" w:cs="Arial"/>
          <w:lang w:val="en-US"/>
        </w:rPr>
        <w:t xml:space="preserve"> (see Figure 2). These findings indicate that measles immunization through the routine program in these areas is almost non-existent</w:t>
      </w:r>
      <w:r w:rsidR="003B290A">
        <w:rPr>
          <w:rFonts w:ascii="Arial" w:hAnsi="Arial" w:cs="Arial"/>
          <w:lang w:val="en-US"/>
        </w:rPr>
        <w:t>, though the lack of retention of immunization cards could also have been a factor for the low rates</w:t>
      </w:r>
      <w:r w:rsidR="007A2153">
        <w:rPr>
          <w:rFonts w:ascii="Arial" w:hAnsi="Arial" w:cs="Arial"/>
          <w:lang w:val="en-US"/>
        </w:rPr>
        <w:t>. In all, only four states reached the country’s target measles vaccination coverage rate of 80% (the federal capital territory and three Southern states), 19 states achieved coverage between 50 and 80% and 14 states had rates of less than 50%.</w:t>
      </w:r>
      <w:r w:rsidR="00D34A31">
        <w:rPr>
          <w:rFonts w:ascii="Arial" w:hAnsi="Arial" w:cs="Arial"/>
          <w:lang w:val="en-US"/>
        </w:rPr>
        <w:t xml:space="preserve"> According to the cMYP, the</w:t>
      </w:r>
      <w:r w:rsidR="007A2153">
        <w:rPr>
          <w:rFonts w:ascii="Arial" w:hAnsi="Arial" w:cs="Arial"/>
          <w:lang w:val="en-US"/>
        </w:rPr>
        <w:t xml:space="preserve"> </w:t>
      </w:r>
      <w:r w:rsidR="00D34A31">
        <w:rPr>
          <w:rFonts w:ascii="Arial" w:hAnsi="Arial" w:cs="Arial"/>
          <w:lang w:val="en-US"/>
        </w:rPr>
        <w:t>EPI plans to add a second measles dose to the routine immunization schedule within the next several years.</w:t>
      </w:r>
    </w:p>
    <w:p w:rsidR="00D34A31" w:rsidRDefault="00D34A31" w:rsidP="00D34A31">
      <w:pPr>
        <w:pStyle w:val="ListParagraph"/>
        <w:numPr>
          <w:ilvl w:val="0"/>
          <w:numId w:val="32"/>
        </w:numPr>
        <w:contextualSpacing w:val="0"/>
        <w:rPr>
          <w:rFonts w:ascii="Arial" w:hAnsi="Arial" w:cs="Arial"/>
          <w:lang w:val="en-US"/>
        </w:rPr>
      </w:pPr>
      <w:r>
        <w:rPr>
          <w:rFonts w:ascii="Arial" w:hAnsi="Arial" w:cs="Arial"/>
          <w:b/>
          <w:lang w:val="en-US"/>
        </w:rPr>
        <w:t>The need to further improve measles surveillance</w:t>
      </w:r>
      <w:r w:rsidRPr="00D34A31">
        <w:rPr>
          <w:rFonts w:ascii="Arial" w:hAnsi="Arial" w:cs="Arial"/>
          <w:lang w:val="en-US"/>
        </w:rPr>
        <w:t>.</w:t>
      </w:r>
      <w:r>
        <w:rPr>
          <w:rFonts w:ascii="Arial" w:hAnsi="Arial" w:cs="Arial"/>
          <w:lang w:val="en-US"/>
        </w:rPr>
        <w:t xml:space="preserve"> Measles surveillance includes both passive surveillance (as part of the IDSR system) and case-based surveillance, using the same infrastructure as for AFP surveillance and support from four national labs. The system appears to be fairly sensitive, reporting a non-measles febrile rash illness rate of 2.7/100,000 children in 2014, surpassing the target of &lt;2/100,000. However, case-based surveillance still needs improvement, as 16% of LGAs did not report at least one suspected case in 2014 and only 75% of cases that year were investigated (with a blood sample obtained).</w:t>
      </w:r>
      <w:r>
        <w:rPr>
          <w:rStyle w:val="FootnoteReference"/>
          <w:rFonts w:ascii="Arial" w:hAnsi="Arial" w:cs="Arial"/>
          <w:lang w:val="en-US"/>
        </w:rPr>
        <w:footnoteReference w:id="7"/>
      </w:r>
    </w:p>
    <w:p w:rsidR="000D4A84" w:rsidRPr="00CD5CD2" w:rsidRDefault="00CD5CD2" w:rsidP="00CD5CD2">
      <w:pPr>
        <w:pStyle w:val="Caption"/>
        <w:rPr>
          <w:rFonts w:ascii="Arial" w:hAnsi="Arial" w:cs="Arial"/>
          <w:b w:val="0"/>
          <w:color w:val="auto"/>
          <w:sz w:val="22"/>
          <w:szCs w:val="22"/>
          <w:lang w:val="en-US"/>
        </w:rPr>
      </w:pPr>
      <w:r w:rsidRPr="00CD5CD2">
        <w:rPr>
          <w:rFonts w:ascii="Arial" w:hAnsi="Arial" w:cs="Arial"/>
          <w:color w:val="auto"/>
          <w:sz w:val="22"/>
          <w:szCs w:val="22"/>
        </w:rPr>
        <w:t xml:space="preserve">Figure </w:t>
      </w:r>
      <w:r w:rsidRPr="00CD5CD2">
        <w:rPr>
          <w:rFonts w:ascii="Arial" w:hAnsi="Arial" w:cs="Arial"/>
          <w:color w:val="auto"/>
          <w:sz w:val="22"/>
          <w:szCs w:val="22"/>
        </w:rPr>
        <w:fldChar w:fldCharType="begin"/>
      </w:r>
      <w:r w:rsidRPr="00CD5CD2">
        <w:rPr>
          <w:rFonts w:ascii="Arial" w:hAnsi="Arial" w:cs="Arial"/>
          <w:color w:val="auto"/>
          <w:sz w:val="22"/>
          <w:szCs w:val="22"/>
        </w:rPr>
        <w:instrText xml:space="preserve"> SEQ Figure \* ARABIC </w:instrText>
      </w:r>
      <w:r w:rsidRPr="00CD5CD2">
        <w:rPr>
          <w:rFonts w:ascii="Arial" w:hAnsi="Arial" w:cs="Arial"/>
          <w:color w:val="auto"/>
          <w:sz w:val="22"/>
          <w:szCs w:val="22"/>
        </w:rPr>
        <w:fldChar w:fldCharType="separate"/>
      </w:r>
      <w:r w:rsidR="00D91889">
        <w:rPr>
          <w:rFonts w:ascii="Arial" w:hAnsi="Arial" w:cs="Arial"/>
          <w:noProof/>
          <w:color w:val="auto"/>
          <w:sz w:val="22"/>
          <w:szCs w:val="22"/>
        </w:rPr>
        <w:t>2</w:t>
      </w:r>
      <w:r w:rsidRPr="00CD5CD2">
        <w:rPr>
          <w:rFonts w:ascii="Arial" w:hAnsi="Arial" w:cs="Arial"/>
          <w:color w:val="auto"/>
          <w:sz w:val="22"/>
          <w:szCs w:val="22"/>
        </w:rPr>
        <w:fldChar w:fldCharType="end"/>
      </w:r>
      <w:r w:rsidRPr="00CD5CD2">
        <w:rPr>
          <w:rFonts w:ascii="Arial" w:hAnsi="Arial" w:cs="Arial"/>
          <w:color w:val="auto"/>
          <w:sz w:val="22"/>
          <w:szCs w:val="22"/>
        </w:rPr>
        <w:t xml:space="preserve">: </w:t>
      </w:r>
      <w:r w:rsidR="000D4A84" w:rsidRPr="00CD5CD2">
        <w:rPr>
          <w:rFonts w:ascii="Arial" w:hAnsi="Arial" w:cs="Arial"/>
          <w:color w:val="auto"/>
          <w:sz w:val="22"/>
          <w:szCs w:val="22"/>
          <w:lang w:val="en-US"/>
        </w:rPr>
        <w:t>Estimated coverage rates for three doses of pentavalent vaccine and measles vaccine among children 12-23 months of age, 2015 National Nutrition and Health Survey</w:t>
      </w:r>
    </w:p>
    <w:p w:rsidR="000D4A84" w:rsidRPr="000D4A84" w:rsidRDefault="00027E10" w:rsidP="00027E10">
      <w:pPr>
        <w:jc w:val="center"/>
        <w:rPr>
          <w:rFonts w:ascii="Arial" w:hAnsi="Arial" w:cs="Arial"/>
          <w:lang w:val="en-US"/>
        </w:rPr>
      </w:pPr>
      <w:r w:rsidRPr="00027E10">
        <w:rPr>
          <w:rFonts w:ascii="Arial" w:hAnsi="Arial" w:cs="Arial"/>
          <w:noProof/>
          <w:lang w:eastAsia="zh-CN"/>
        </w:rPr>
        <w:lastRenderedPageBreak/>
        <w:drawing>
          <wp:inline distT="0" distB="0" distL="0" distR="0" wp14:anchorId="7FE8CC1B" wp14:editId="20EB1714">
            <wp:extent cx="4473883" cy="6057900"/>
            <wp:effectExtent l="19050" t="19050" r="2222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7776" cy="6076712"/>
                    </a:xfrm>
                    <a:prstGeom prst="rect">
                      <a:avLst/>
                    </a:prstGeom>
                    <a:noFill/>
                    <a:ln>
                      <a:solidFill>
                        <a:schemeClr val="tx1"/>
                      </a:solidFill>
                    </a:ln>
                  </pic:spPr>
                </pic:pic>
              </a:graphicData>
            </a:graphic>
          </wp:inline>
        </w:drawing>
      </w:r>
    </w:p>
    <w:p w:rsidR="009B5560" w:rsidRDefault="009B5560">
      <w:pPr>
        <w:rPr>
          <w:rFonts w:ascii="Arial" w:hAnsi="Arial" w:cs="Arial"/>
          <w:u w:val="single"/>
          <w:lang w:val="en-US"/>
        </w:rPr>
      </w:pPr>
      <w:r>
        <w:rPr>
          <w:rFonts w:ascii="Arial" w:hAnsi="Arial" w:cs="Arial"/>
          <w:u w:val="single"/>
          <w:lang w:val="en-US"/>
        </w:rPr>
        <w:br w:type="page"/>
      </w:r>
    </w:p>
    <w:p w:rsidR="00EB5F5D" w:rsidRPr="00EA6F8C" w:rsidRDefault="00EB5F5D" w:rsidP="00EB5F5D">
      <w:pPr>
        <w:rPr>
          <w:rFonts w:ascii="Arial" w:hAnsi="Arial" w:cs="Arial"/>
          <w:b/>
          <w:sz w:val="24"/>
          <w:lang w:val="en-US"/>
        </w:rPr>
      </w:pPr>
      <w:r w:rsidRPr="00EA6F8C">
        <w:rPr>
          <w:rFonts w:ascii="Arial" w:hAnsi="Arial" w:cs="Arial"/>
          <w:b/>
          <w:sz w:val="24"/>
          <w:lang w:val="en-US"/>
        </w:rPr>
        <w:lastRenderedPageBreak/>
        <w:t>ANNEXES</w:t>
      </w:r>
    </w:p>
    <w:p w:rsidR="00EB5F5D" w:rsidRDefault="00EB5F5D" w:rsidP="00EB5F5D">
      <w:pPr>
        <w:pStyle w:val="ListParagraph"/>
        <w:numPr>
          <w:ilvl w:val="0"/>
          <w:numId w:val="22"/>
        </w:numPr>
        <w:rPr>
          <w:b/>
          <w:bCs/>
          <w:sz w:val="24"/>
          <w:szCs w:val="24"/>
          <w:lang w:val="en-US"/>
        </w:rPr>
      </w:pPr>
      <w:r w:rsidRPr="00EA6F8C">
        <w:rPr>
          <w:b/>
          <w:bCs/>
          <w:sz w:val="24"/>
          <w:szCs w:val="24"/>
          <w:lang w:val="en-US"/>
        </w:rPr>
        <w:t>Measles and rubella</w:t>
      </w:r>
    </w:p>
    <w:p w:rsidR="000D74F9" w:rsidRPr="000D74F9" w:rsidRDefault="000D74F9" w:rsidP="000D74F9">
      <w:pPr>
        <w:pStyle w:val="Caption"/>
        <w:rPr>
          <w:rFonts w:ascii="Arial" w:hAnsi="Arial" w:cs="Arial"/>
          <w:color w:val="auto"/>
          <w:sz w:val="22"/>
          <w:szCs w:val="22"/>
          <w:lang w:val="en-US"/>
        </w:rPr>
      </w:pPr>
      <w:r w:rsidRPr="000D74F9">
        <w:rPr>
          <w:rFonts w:ascii="Arial" w:hAnsi="Arial" w:cs="Arial"/>
          <w:color w:val="auto"/>
          <w:sz w:val="22"/>
          <w:szCs w:val="22"/>
        </w:rPr>
        <w:t xml:space="preserve">Figure </w:t>
      </w:r>
      <w:r w:rsidRPr="000D74F9">
        <w:rPr>
          <w:rFonts w:ascii="Arial" w:hAnsi="Arial" w:cs="Arial"/>
          <w:color w:val="auto"/>
          <w:sz w:val="22"/>
          <w:szCs w:val="22"/>
        </w:rPr>
        <w:fldChar w:fldCharType="begin"/>
      </w:r>
      <w:r w:rsidRPr="000D74F9">
        <w:rPr>
          <w:rFonts w:ascii="Arial" w:hAnsi="Arial" w:cs="Arial"/>
          <w:color w:val="auto"/>
          <w:sz w:val="22"/>
          <w:szCs w:val="22"/>
        </w:rPr>
        <w:instrText xml:space="preserve"> SEQ Figure \* ARABIC </w:instrText>
      </w:r>
      <w:r w:rsidRPr="000D74F9">
        <w:rPr>
          <w:rFonts w:ascii="Arial" w:hAnsi="Arial" w:cs="Arial"/>
          <w:color w:val="auto"/>
          <w:sz w:val="22"/>
          <w:szCs w:val="22"/>
        </w:rPr>
        <w:fldChar w:fldCharType="separate"/>
      </w:r>
      <w:r w:rsidR="00D91889">
        <w:rPr>
          <w:rFonts w:ascii="Arial" w:hAnsi="Arial" w:cs="Arial"/>
          <w:noProof/>
          <w:color w:val="auto"/>
          <w:sz w:val="22"/>
          <w:szCs w:val="22"/>
        </w:rPr>
        <w:t>4</w:t>
      </w:r>
      <w:r w:rsidRPr="000D74F9">
        <w:rPr>
          <w:rFonts w:ascii="Arial" w:hAnsi="Arial" w:cs="Arial"/>
          <w:color w:val="auto"/>
          <w:sz w:val="22"/>
          <w:szCs w:val="22"/>
        </w:rPr>
        <w:fldChar w:fldCharType="end"/>
      </w:r>
      <w:r w:rsidRPr="000D74F9">
        <w:rPr>
          <w:rFonts w:ascii="Arial" w:hAnsi="Arial" w:cs="Arial"/>
          <w:color w:val="auto"/>
          <w:sz w:val="22"/>
          <w:szCs w:val="22"/>
        </w:rPr>
        <w:t>: reported measles cases and MCV1 coverage, Nigeria, 1990-2015</w:t>
      </w:r>
    </w:p>
    <w:p w:rsidR="00E9158F" w:rsidRPr="009B5560" w:rsidRDefault="00D952F2" w:rsidP="009B5560">
      <w:pPr>
        <w:rPr>
          <w:b/>
          <w:bCs/>
          <w:sz w:val="32"/>
          <w:szCs w:val="32"/>
          <w:lang w:val="en-US"/>
        </w:rPr>
      </w:pPr>
      <w:r w:rsidRPr="00EA6F8C">
        <w:rPr>
          <w:noProof/>
          <w:lang w:eastAsia="zh-CN"/>
        </w:rPr>
        <w:drawing>
          <wp:inline distT="0" distB="0" distL="0" distR="0" wp14:anchorId="051CDB3B" wp14:editId="3F131C02">
            <wp:extent cx="5724525" cy="3219450"/>
            <wp:effectExtent l="0" t="0" r="9525" b="0"/>
            <wp:docPr id="8" name="Picture 8" descr="Y:\GVAP\Priority_countries\NGAMCV1_MCV2_MEAS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Y:\GVAP\Priority_countries\NGAMCV1_MCV2_MEASL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rsidR="00D952F2" w:rsidRPr="00D91889" w:rsidRDefault="00D91889" w:rsidP="00D91889">
      <w:pPr>
        <w:pStyle w:val="Caption"/>
        <w:rPr>
          <w:rFonts w:ascii="Arial" w:hAnsi="Arial" w:cs="Arial"/>
          <w:color w:val="auto"/>
          <w:sz w:val="22"/>
          <w:szCs w:val="22"/>
        </w:rPr>
      </w:pPr>
      <w:r w:rsidRPr="00D91889">
        <w:rPr>
          <w:rFonts w:ascii="Arial" w:hAnsi="Arial" w:cs="Arial"/>
          <w:color w:val="auto"/>
          <w:sz w:val="22"/>
          <w:szCs w:val="22"/>
        </w:rPr>
        <w:t xml:space="preserve">Table </w:t>
      </w:r>
      <w:r w:rsidRPr="00D91889">
        <w:rPr>
          <w:rFonts w:ascii="Arial" w:hAnsi="Arial" w:cs="Arial"/>
          <w:color w:val="auto"/>
          <w:sz w:val="22"/>
          <w:szCs w:val="22"/>
        </w:rPr>
        <w:fldChar w:fldCharType="begin"/>
      </w:r>
      <w:r w:rsidRPr="00D91889">
        <w:rPr>
          <w:rFonts w:ascii="Arial" w:hAnsi="Arial" w:cs="Arial"/>
          <w:color w:val="auto"/>
          <w:sz w:val="22"/>
          <w:szCs w:val="22"/>
        </w:rPr>
        <w:instrText xml:space="preserve"> SEQ Table \* ARABIC </w:instrText>
      </w:r>
      <w:r w:rsidRPr="00D91889">
        <w:rPr>
          <w:rFonts w:ascii="Arial" w:hAnsi="Arial" w:cs="Arial"/>
          <w:color w:val="auto"/>
          <w:sz w:val="22"/>
          <w:szCs w:val="22"/>
        </w:rPr>
        <w:fldChar w:fldCharType="separate"/>
      </w:r>
      <w:r w:rsidRPr="00D91889">
        <w:rPr>
          <w:rFonts w:ascii="Arial" w:hAnsi="Arial" w:cs="Arial"/>
          <w:color w:val="auto"/>
          <w:sz w:val="22"/>
          <w:szCs w:val="22"/>
        </w:rPr>
        <w:t>1</w:t>
      </w:r>
      <w:r w:rsidRPr="00D91889">
        <w:rPr>
          <w:rFonts w:ascii="Arial" w:hAnsi="Arial" w:cs="Arial"/>
          <w:color w:val="auto"/>
          <w:sz w:val="22"/>
          <w:szCs w:val="22"/>
        </w:rPr>
        <w:fldChar w:fldCharType="end"/>
      </w:r>
      <w:r w:rsidRPr="00D91889">
        <w:rPr>
          <w:rFonts w:ascii="Arial" w:hAnsi="Arial" w:cs="Arial"/>
          <w:color w:val="auto"/>
          <w:sz w:val="22"/>
          <w:szCs w:val="22"/>
        </w:rPr>
        <w:t xml:space="preserve">: </w:t>
      </w:r>
      <w:r w:rsidR="00EB5F5D" w:rsidRPr="00D91889">
        <w:rPr>
          <w:rFonts w:ascii="Arial" w:hAnsi="Arial" w:cs="Arial"/>
          <w:color w:val="auto"/>
          <w:sz w:val="22"/>
          <w:szCs w:val="22"/>
        </w:rPr>
        <w:t>SIA activities planned in 2016-2017</w:t>
      </w:r>
    </w:p>
    <w:tbl>
      <w:tblPr>
        <w:tblStyle w:val="TableGrid"/>
        <w:tblW w:w="9900" w:type="dxa"/>
        <w:tblInd w:w="-252" w:type="dxa"/>
        <w:tblLook w:val="04A0" w:firstRow="1" w:lastRow="0" w:firstColumn="1" w:lastColumn="0" w:noHBand="0" w:noVBand="1"/>
      </w:tblPr>
      <w:tblGrid>
        <w:gridCol w:w="1003"/>
        <w:gridCol w:w="1254"/>
        <w:gridCol w:w="757"/>
        <w:gridCol w:w="1194"/>
        <w:gridCol w:w="1209"/>
        <w:gridCol w:w="1167"/>
        <w:gridCol w:w="962"/>
        <w:gridCol w:w="1017"/>
        <w:gridCol w:w="1412"/>
      </w:tblGrid>
      <w:tr w:rsidR="00D952F2" w:rsidRPr="00E9158F" w:rsidTr="00E9158F">
        <w:trPr>
          <w:trHeight w:val="255"/>
        </w:trPr>
        <w:tc>
          <w:tcPr>
            <w:tcW w:w="1003" w:type="dxa"/>
            <w:noWrap/>
            <w:hideMark/>
          </w:tcPr>
          <w:p w:rsidR="00D952F2" w:rsidRPr="00E9158F" w:rsidRDefault="00D952F2" w:rsidP="00E9158F">
            <w:pPr>
              <w:jc w:val="center"/>
              <w:rPr>
                <w:b/>
                <w:sz w:val="20"/>
                <w:szCs w:val="20"/>
                <w:lang w:val="en-US"/>
              </w:rPr>
            </w:pPr>
            <w:r w:rsidRPr="00E9158F">
              <w:rPr>
                <w:b/>
                <w:sz w:val="20"/>
                <w:szCs w:val="20"/>
                <w:lang w:val="en-US"/>
              </w:rPr>
              <w:t>Activity</w:t>
            </w:r>
          </w:p>
        </w:tc>
        <w:tc>
          <w:tcPr>
            <w:tcW w:w="1200" w:type="dxa"/>
            <w:noWrap/>
            <w:hideMark/>
          </w:tcPr>
          <w:p w:rsidR="00D952F2" w:rsidRPr="00E9158F" w:rsidRDefault="00D952F2" w:rsidP="00E9158F">
            <w:pPr>
              <w:jc w:val="center"/>
              <w:rPr>
                <w:b/>
                <w:sz w:val="20"/>
                <w:szCs w:val="20"/>
                <w:lang w:val="en-US"/>
              </w:rPr>
            </w:pPr>
            <w:r w:rsidRPr="00E9158F">
              <w:rPr>
                <w:b/>
                <w:sz w:val="20"/>
                <w:szCs w:val="20"/>
                <w:lang w:val="en-US"/>
              </w:rPr>
              <w:t>Intervention</w:t>
            </w:r>
          </w:p>
        </w:tc>
        <w:tc>
          <w:tcPr>
            <w:tcW w:w="757" w:type="dxa"/>
            <w:noWrap/>
            <w:hideMark/>
          </w:tcPr>
          <w:p w:rsidR="00D952F2" w:rsidRPr="00E9158F" w:rsidRDefault="00D952F2" w:rsidP="00E9158F">
            <w:pPr>
              <w:jc w:val="center"/>
              <w:rPr>
                <w:b/>
                <w:sz w:val="20"/>
                <w:szCs w:val="20"/>
                <w:lang w:val="en-US"/>
              </w:rPr>
            </w:pPr>
            <w:r w:rsidRPr="00E9158F">
              <w:rPr>
                <w:b/>
                <w:sz w:val="20"/>
                <w:szCs w:val="20"/>
                <w:lang w:val="en-US"/>
              </w:rPr>
              <w:t>Year</w:t>
            </w:r>
          </w:p>
        </w:tc>
        <w:tc>
          <w:tcPr>
            <w:tcW w:w="1194" w:type="dxa"/>
            <w:noWrap/>
            <w:hideMark/>
          </w:tcPr>
          <w:p w:rsidR="00D952F2" w:rsidRPr="00E9158F" w:rsidRDefault="00D952F2" w:rsidP="00E9158F">
            <w:pPr>
              <w:jc w:val="center"/>
              <w:rPr>
                <w:b/>
                <w:sz w:val="20"/>
                <w:szCs w:val="20"/>
                <w:lang w:val="en-US"/>
              </w:rPr>
            </w:pPr>
            <w:r w:rsidRPr="00E9158F">
              <w:rPr>
                <w:b/>
                <w:sz w:val="20"/>
                <w:szCs w:val="20"/>
                <w:lang w:val="en-US"/>
              </w:rPr>
              <w:t>Start</w:t>
            </w:r>
            <w:r w:rsidR="00E9158F" w:rsidRPr="00E9158F">
              <w:rPr>
                <w:b/>
                <w:sz w:val="20"/>
                <w:szCs w:val="20"/>
                <w:lang w:val="en-US"/>
              </w:rPr>
              <w:t xml:space="preserve"> </w:t>
            </w:r>
            <w:r w:rsidRPr="00E9158F">
              <w:rPr>
                <w:b/>
                <w:sz w:val="20"/>
                <w:szCs w:val="20"/>
                <w:lang w:val="en-US"/>
              </w:rPr>
              <w:t>Date</w:t>
            </w:r>
          </w:p>
        </w:tc>
        <w:tc>
          <w:tcPr>
            <w:tcW w:w="1209" w:type="dxa"/>
            <w:noWrap/>
            <w:hideMark/>
          </w:tcPr>
          <w:p w:rsidR="00D952F2" w:rsidRPr="00E9158F" w:rsidRDefault="00D952F2" w:rsidP="00E9158F">
            <w:pPr>
              <w:jc w:val="center"/>
              <w:rPr>
                <w:b/>
                <w:sz w:val="20"/>
                <w:szCs w:val="20"/>
                <w:lang w:val="en-US"/>
              </w:rPr>
            </w:pPr>
            <w:r w:rsidRPr="00E9158F">
              <w:rPr>
                <w:b/>
                <w:sz w:val="20"/>
                <w:szCs w:val="20"/>
                <w:lang w:val="en-US"/>
              </w:rPr>
              <w:t>End</w:t>
            </w:r>
            <w:r w:rsidR="00E9158F" w:rsidRPr="00E9158F">
              <w:rPr>
                <w:b/>
                <w:sz w:val="20"/>
                <w:szCs w:val="20"/>
                <w:lang w:val="en-US"/>
              </w:rPr>
              <w:t xml:space="preserve"> </w:t>
            </w:r>
            <w:r w:rsidRPr="00E9158F">
              <w:rPr>
                <w:b/>
                <w:sz w:val="20"/>
                <w:szCs w:val="20"/>
                <w:lang w:val="en-US"/>
              </w:rPr>
              <w:t>Date</w:t>
            </w:r>
          </w:p>
        </w:tc>
        <w:tc>
          <w:tcPr>
            <w:tcW w:w="1167" w:type="dxa"/>
            <w:noWrap/>
            <w:hideMark/>
          </w:tcPr>
          <w:p w:rsidR="00D952F2" w:rsidRPr="00E9158F" w:rsidRDefault="00D952F2" w:rsidP="00E9158F">
            <w:pPr>
              <w:jc w:val="center"/>
              <w:rPr>
                <w:b/>
                <w:sz w:val="20"/>
                <w:szCs w:val="20"/>
                <w:lang w:val="en-US"/>
              </w:rPr>
            </w:pPr>
            <w:r w:rsidRPr="00E9158F">
              <w:rPr>
                <w:b/>
                <w:sz w:val="20"/>
                <w:szCs w:val="20"/>
                <w:lang w:val="en-US"/>
              </w:rPr>
              <w:t>Age</w:t>
            </w:r>
            <w:r w:rsidR="00E9158F" w:rsidRPr="00E9158F">
              <w:rPr>
                <w:b/>
                <w:sz w:val="20"/>
                <w:szCs w:val="20"/>
                <w:lang w:val="en-US"/>
              </w:rPr>
              <w:t xml:space="preserve"> </w:t>
            </w:r>
            <w:r w:rsidRPr="00E9158F">
              <w:rPr>
                <w:b/>
                <w:sz w:val="20"/>
                <w:szCs w:val="20"/>
                <w:lang w:val="en-US"/>
              </w:rPr>
              <w:t>Group</w:t>
            </w:r>
          </w:p>
        </w:tc>
        <w:tc>
          <w:tcPr>
            <w:tcW w:w="962" w:type="dxa"/>
            <w:noWrap/>
            <w:hideMark/>
          </w:tcPr>
          <w:p w:rsidR="00D952F2" w:rsidRPr="00E9158F" w:rsidRDefault="00D952F2" w:rsidP="00E9158F">
            <w:pPr>
              <w:jc w:val="center"/>
              <w:rPr>
                <w:b/>
                <w:sz w:val="20"/>
                <w:szCs w:val="20"/>
                <w:lang w:val="en-US"/>
              </w:rPr>
            </w:pPr>
            <w:r w:rsidRPr="00E9158F">
              <w:rPr>
                <w:b/>
                <w:sz w:val="20"/>
                <w:szCs w:val="20"/>
                <w:lang w:val="en-US"/>
              </w:rPr>
              <w:t>Extent</w:t>
            </w:r>
          </w:p>
        </w:tc>
        <w:tc>
          <w:tcPr>
            <w:tcW w:w="996" w:type="dxa"/>
            <w:noWrap/>
            <w:hideMark/>
          </w:tcPr>
          <w:p w:rsidR="00D952F2" w:rsidRPr="00E9158F" w:rsidRDefault="00D952F2" w:rsidP="00E9158F">
            <w:pPr>
              <w:jc w:val="center"/>
              <w:rPr>
                <w:b/>
                <w:sz w:val="20"/>
                <w:szCs w:val="20"/>
                <w:lang w:val="en-US"/>
              </w:rPr>
            </w:pPr>
            <w:r w:rsidRPr="00E9158F">
              <w:rPr>
                <w:b/>
                <w:sz w:val="20"/>
                <w:szCs w:val="20"/>
                <w:lang w:val="en-US"/>
              </w:rPr>
              <w:t>Status</w:t>
            </w:r>
          </w:p>
        </w:tc>
        <w:tc>
          <w:tcPr>
            <w:tcW w:w="1412" w:type="dxa"/>
            <w:noWrap/>
            <w:hideMark/>
          </w:tcPr>
          <w:p w:rsidR="00D952F2" w:rsidRPr="00E9158F" w:rsidRDefault="00D952F2" w:rsidP="00E9158F">
            <w:pPr>
              <w:jc w:val="center"/>
              <w:rPr>
                <w:b/>
                <w:sz w:val="20"/>
                <w:szCs w:val="20"/>
                <w:lang w:val="en-US"/>
              </w:rPr>
            </w:pPr>
            <w:r w:rsidRPr="00E9158F">
              <w:rPr>
                <w:b/>
                <w:sz w:val="20"/>
                <w:szCs w:val="20"/>
                <w:lang w:val="en-US"/>
              </w:rPr>
              <w:t>Target</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t>Catch</w:t>
            </w:r>
            <w:r w:rsidR="00E9158F">
              <w:rPr>
                <w:sz w:val="20"/>
                <w:szCs w:val="20"/>
                <w:lang w:val="en-US"/>
              </w:rPr>
              <w:t xml:space="preserve"> </w:t>
            </w:r>
            <w:r w:rsidRPr="00E9158F">
              <w:rPr>
                <w:sz w:val="20"/>
                <w:szCs w:val="20"/>
                <w:lang w:val="en-US"/>
              </w:rPr>
              <w:t>Up</w:t>
            </w:r>
          </w:p>
        </w:tc>
        <w:tc>
          <w:tcPr>
            <w:tcW w:w="1200" w:type="dxa"/>
            <w:noWrap/>
            <w:hideMark/>
          </w:tcPr>
          <w:p w:rsidR="00D952F2" w:rsidRPr="00E9158F" w:rsidRDefault="00D952F2" w:rsidP="00D952F2">
            <w:pPr>
              <w:rPr>
                <w:sz w:val="20"/>
                <w:szCs w:val="20"/>
                <w:lang w:val="en-US"/>
              </w:rPr>
            </w:pPr>
            <w:r w:rsidRPr="00E9158F">
              <w:rPr>
                <w:sz w:val="20"/>
                <w:szCs w:val="20"/>
                <w:lang w:val="en-US"/>
              </w:rPr>
              <w:t>MR</w:t>
            </w:r>
          </w:p>
        </w:tc>
        <w:tc>
          <w:tcPr>
            <w:tcW w:w="757" w:type="dxa"/>
            <w:noWrap/>
            <w:hideMark/>
          </w:tcPr>
          <w:p w:rsidR="00D952F2" w:rsidRPr="00E9158F" w:rsidRDefault="00D952F2" w:rsidP="00D952F2">
            <w:pPr>
              <w:rPr>
                <w:sz w:val="20"/>
                <w:szCs w:val="20"/>
                <w:lang w:val="en-US"/>
              </w:rPr>
            </w:pPr>
            <w:r w:rsidRPr="00E9158F">
              <w:rPr>
                <w:sz w:val="20"/>
                <w:szCs w:val="20"/>
                <w:lang w:val="en-US"/>
              </w:rPr>
              <w:t>2017</w:t>
            </w:r>
          </w:p>
        </w:tc>
        <w:tc>
          <w:tcPr>
            <w:tcW w:w="1194" w:type="dxa"/>
            <w:noWrap/>
            <w:hideMark/>
          </w:tcPr>
          <w:p w:rsidR="00D952F2" w:rsidRPr="00E9158F" w:rsidRDefault="00D952F2" w:rsidP="00D952F2">
            <w:pPr>
              <w:rPr>
                <w:sz w:val="20"/>
                <w:szCs w:val="20"/>
                <w:lang w:val="en-US"/>
              </w:rPr>
            </w:pPr>
            <w:r w:rsidRPr="00E9158F">
              <w:rPr>
                <w:sz w:val="20"/>
                <w:szCs w:val="20"/>
                <w:lang w:val="en-US"/>
              </w:rPr>
              <w:t>29/02/1904</w:t>
            </w:r>
          </w:p>
        </w:tc>
        <w:tc>
          <w:tcPr>
            <w:tcW w:w="1209" w:type="dxa"/>
            <w:noWrap/>
            <w:hideMark/>
          </w:tcPr>
          <w:p w:rsidR="00D952F2" w:rsidRPr="00E9158F" w:rsidRDefault="00D952F2" w:rsidP="00D952F2">
            <w:pPr>
              <w:rPr>
                <w:sz w:val="20"/>
                <w:szCs w:val="20"/>
                <w:lang w:val="en-US"/>
              </w:rPr>
            </w:pPr>
          </w:p>
        </w:tc>
        <w:tc>
          <w:tcPr>
            <w:tcW w:w="1167" w:type="dxa"/>
            <w:noWrap/>
            <w:hideMark/>
          </w:tcPr>
          <w:p w:rsidR="00D952F2" w:rsidRPr="00E9158F" w:rsidRDefault="00D952F2" w:rsidP="00D952F2">
            <w:pPr>
              <w:rPr>
                <w:sz w:val="20"/>
                <w:szCs w:val="20"/>
                <w:lang w:val="en-US"/>
              </w:rPr>
            </w:pPr>
            <w:r w:rsidRPr="00E9158F">
              <w:rPr>
                <w:sz w:val="20"/>
                <w:szCs w:val="20"/>
                <w:lang w:val="en-US"/>
              </w:rPr>
              <w:t>9 M-14 Y</w:t>
            </w:r>
          </w:p>
        </w:tc>
        <w:tc>
          <w:tcPr>
            <w:tcW w:w="962" w:type="dxa"/>
            <w:noWrap/>
            <w:hideMark/>
          </w:tcPr>
          <w:p w:rsidR="00D952F2" w:rsidRPr="00E9158F" w:rsidRDefault="00D952F2" w:rsidP="00D952F2">
            <w:pPr>
              <w:rPr>
                <w:sz w:val="20"/>
                <w:szCs w:val="20"/>
                <w:lang w:val="en-US"/>
              </w:rPr>
            </w:pPr>
            <w:r w:rsidRPr="00E9158F">
              <w:rPr>
                <w:sz w:val="20"/>
                <w:szCs w:val="20"/>
                <w:lang w:val="en-US"/>
              </w:rPr>
              <w:t>National</w:t>
            </w:r>
          </w:p>
        </w:tc>
        <w:tc>
          <w:tcPr>
            <w:tcW w:w="996" w:type="dxa"/>
            <w:noWrap/>
            <w:hideMark/>
          </w:tcPr>
          <w:p w:rsidR="00D952F2" w:rsidRPr="00E9158F" w:rsidRDefault="00D952F2" w:rsidP="00D952F2">
            <w:pPr>
              <w:rPr>
                <w:sz w:val="20"/>
                <w:szCs w:val="20"/>
                <w:lang w:val="en-US"/>
              </w:rPr>
            </w:pPr>
            <w:r w:rsidRPr="00E9158F">
              <w:rPr>
                <w:sz w:val="20"/>
                <w:szCs w:val="20"/>
                <w:lang w:val="en-US"/>
              </w:rPr>
              <w:t>Uncertain</w:t>
            </w:r>
          </w:p>
        </w:tc>
        <w:tc>
          <w:tcPr>
            <w:tcW w:w="1412" w:type="dxa"/>
            <w:noWrap/>
            <w:hideMark/>
          </w:tcPr>
          <w:p w:rsidR="00D952F2" w:rsidRPr="00E9158F" w:rsidRDefault="00D952F2" w:rsidP="00D952F2">
            <w:pPr>
              <w:rPr>
                <w:sz w:val="20"/>
                <w:szCs w:val="20"/>
                <w:lang w:val="en-US"/>
              </w:rPr>
            </w:pPr>
            <w:r w:rsidRPr="00E9158F">
              <w:rPr>
                <w:sz w:val="20"/>
                <w:szCs w:val="20"/>
                <w:lang w:val="en-US"/>
              </w:rPr>
              <w:t>8</w:t>
            </w:r>
            <w:r w:rsidR="00E9158F">
              <w:rPr>
                <w:sz w:val="20"/>
                <w:szCs w:val="20"/>
                <w:lang w:val="en-US"/>
              </w:rPr>
              <w:t>,</w:t>
            </w:r>
            <w:r w:rsidRPr="00E9158F">
              <w:rPr>
                <w:sz w:val="20"/>
                <w:szCs w:val="20"/>
                <w:lang w:val="en-US"/>
              </w:rPr>
              <w:t>0447</w:t>
            </w:r>
            <w:r w:rsidR="00E9158F">
              <w:rPr>
                <w:sz w:val="20"/>
                <w:szCs w:val="20"/>
                <w:lang w:val="en-US"/>
              </w:rPr>
              <w:t>,</w:t>
            </w:r>
            <w:r w:rsidRPr="00E9158F">
              <w:rPr>
                <w:sz w:val="20"/>
                <w:szCs w:val="20"/>
                <w:lang w:val="en-US"/>
              </w:rPr>
              <w:t>735</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t>Follow</w:t>
            </w:r>
            <w:r w:rsidR="00E9158F">
              <w:rPr>
                <w:sz w:val="20"/>
                <w:szCs w:val="20"/>
                <w:lang w:val="en-US"/>
              </w:rPr>
              <w:t xml:space="preserve"> </w:t>
            </w:r>
            <w:r w:rsidRPr="00E9158F">
              <w:rPr>
                <w:sz w:val="20"/>
                <w:szCs w:val="20"/>
                <w:lang w:val="en-US"/>
              </w:rPr>
              <w:t>Up</w:t>
            </w:r>
          </w:p>
        </w:tc>
        <w:tc>
          <w:tcPr>
            <w:tcW w:w="1200" w:type="dxa"/>
            <w:noWrap/>
            <w:hideMark/>
          </w:tcPr>
          <w:p w:rsidR="00D952F2" w:rsidRPr="00E9158F" w:rsidRDefault="00D952F2" w:rsidP="00D952F2">
            <w:pPr>
              <w:rPr>
                <w:sz w:val="20"/>
                <w:szCs w:val="20"/>
                <w:lang w:val="en-US"/>
              </w:rPr>
            </w:pPr>
            <w:r w:rsidRPr="00E9158F">
              <w:rPr>
                <w:sz w:val="20"/>
                <w:szCs w:val="20"/>
                <w:lang w:val="en-US"/>
              </w:rPr>
              <w:t>Measles</w:t>
            </w:r>
          </w:p>
        </w:tc>
        <w:tc>
          <w:tcPr>
            <w:tcW w:w="757" w:type="dxa"/>
            <w:noWrap/>
            <w:hideMark/>
          </w:tcPr>
          <w:p w:rsidR="00D952F2" w:rsidRPr="00E9158F" w:rsidRDefault="00D952F2" w:rsidP="00D952F2">
            <w:pPr>
              <w:rPr>
                <w:sz w:val="20"/>
                <w:szCs w:val="20"/>
                <w:lang w:val="en-US"/>
              </w:rPr>
            </w:pPr>
            <w:r w:rsidRPr="00E9158F">
              <w:rPr>
                <w:sz w:val="20"/>
                <w:szCs w:val="20"/>
                <w:lang w:val="en-US"/>
              </w:rPr>
              <w:t>2016</w:t>
            </w:r>
          </w:p>
        </w:tc>
        <w:tc>
          <w:tcPr>
            <w:tcW w:w="1194" w:type="dxa"/>
            <w:noWrap/>
            <w:hideMark/>
          </w:tcPr>
          <w:p w:rsidR="00D952F2" w:rsidRPr="00E9158F" w:rsidRDefault="00D952F2" w:rsidP="00D952F2">
            <w:pPr>
              <w:rPr>
                <w:sz w:val="20"/>
                <w:szCs w:val="20"/>
                <w:lang w:val="en-US"/>
              </w:rPr>
            </w:pPr>
            <w:r w:rsidRPr="00E9158F">
              <w:rPr>
                <w:sz w:val="20"/>
                <w:szCs w:val="20"/>
                <w:lang w:val="en-US"/>
              </w:rPr>
              <w:t>28/01/2016</w:t>
            </w:r>
          </w:p>
        </w:tc>
        <w:tc>
          <w:tcPr>
            <w:tcW w:w="1209" w:type="dxa"/>
            <w:noWrap/>
            <w:hideMark/>
          </w:tcPr>
          <w:p w:rsidR="00D952F2" w:rsidRPr="00E9158F" w:rsidRDefault="00D952F2" w:rsidP="00D952F2">
            <w:pPr>
              <w:rPr>
                <w:sz w:val="20"/>
                <w:szCs w:val="20"/>
                <w:lang w:val="en-US"/>
              </w:rPr>
            </w:pPr>
            <w:r w:rsidRPr="00E9158F">
              <w:rPr>
                <w:sz w:val="20"/>
                <w:szCs w:val="20"/>
                <w:lang w:val="en-US"/>
              </w:rPr>
              <w:t>01/02/2016</w:t>
            </w:r>
          </w:p>
        </w:tc>
        <w:tc>
          <w:tcPr>
            <w:tcW w:w="1167" w:type="dxa"/>
            <w:noWrap/>
            <w:hideMark/>
          </w:tcPr>
          <w:p w:rsidR="00D952F2" w:rsidRPr="00E9158F" w:rsidRDefault="00D952F2" w:rsidP="00D952F2">
            <w:pPr>
              <w:rPr>
                <w:sz w:val="20"/>
                <w:szCs w:val="20"/>
                <w:lang w:val="en-US"/>
              </w:rPr>
            </w:pPr>
            <w:r w:rsidRPr="00E9158F">
              <w:rPr>
                <w:sz w:val="20"/>
                <w:szCs w:val="20"/>
                <w:lang w:val="en-US"/>
              </w:rPr>
              <w:t>9-59 M</w:t>
            </w:r>
          </w:p>
        </w:tc>
        <w:tc>
          <w:tcPr>
            <w:tcW w:w="962" w:type="dxa"/>
            <w:noWrap/>
            <w:hideMark/>
          </w:tcPr>
          <w:p w:rsidR="00D952F2" w:rsidRPr="00E9158F" w:rsidRDefault="00D952F2" w:rsidP="00D952F2">
            <w:pPr>
              <w:rPr>
                <w:sz w:val="20"/>
                <w:szCs w:val="20"/>
                <w:lang w:val="en-US"/>
              </w:rPr>
            </w:pPr>
            <w:r w:rsidRPr="00E9158F">
              <w:rPr>
                <w:sz w:val="20"/>
                <w:szCs w:val="20"/>
                <w:lang w:val="en-US"/>
              </w:rPr>
              <w:t>Sub-national</w:t>
            </w:r>
          </w:p>
        </w:tc>
        <w:tc>
          <w:tcPr>
            <w:tcW w:w="996" w:type="dxa"/>
            <w:noWrap/>
            <w:hideMark/>
          </w:tcPr>
          <w:p w:rsidR="00D952F2" w:rsidRPr="00E9158F" w:rsidRDefault="00D952F2" w:rsidP="00D952F2">
            <w:pPr>
              <w:rPr>
                <w:sz w:val="20"/>
                <w:szCs w:val="20"/>
                <w:lang w:val="en-US"/>
              </w:rPr>
            </w:pPr>
            <w:r w:rsidRPr="00E9158F">
              <w:rPr>
                <w:sz w:val="20"/>
                <w:szCs w:val="20"/>
                <w:lang w:val="en-US"/>
              </w:rPr>
              <w:t>done</w:t>
            </w:r>
          </w:p>
        </w:tc>
        <w:tc>
          <w:tcPr>
            <w:tcW w:w="1412" w:type="dxa"/>
            <w:noWrap/>
            <w:hideMark/>
          </w:tcPr>
          <w:p w:rsidR="00D952F2" w:rsidRPr="00E9158F" w:rsidRDefault="00D952F2" w:rsidP="00D952F2">
            <w:pPr>
              <w:rPr>
                <w:sz w:val="20"/>
                <w:szCs w:val="20"/>
                <w:lang w:val="en-US"/>
              </w:rPr>
            </w:pPr>
            <w:r w:rsidRPr="00E9158F">
              <w:rPr>
                <w:sz w:val="20"/>
                <w:szCs w:val="20"/>
                <w:lang w:val="en-US"/>
              </w:rPr>
              <w:t>14</w:t>
            </w:r>
            <w:r w:rsidR="00E9158F">
              <w:rPr>
                <w:sz w:val="20"/>
                <w:szCs w:val="20"/>
                <w:lang w:val="en-US"/>
              </w:rPr>
              <w:t>,</w:t>
            </w:r>
            <w:r w:rsidRPr="00E9158F">
              <w:rPr>
                <w:sz w:val="20"/>
                <w:szCs w:val="20"/>
                <w:lang w:val="en-US"/>
              </w:rPr>
              <w:t>562</w:t>
            </w:r>
            <w:r w:rsidR="00E9158F">
              <w:rPr>
                <w:sz w:val="20"/>
                <w:szCs w:val="20"/>
                <w:lang w:val="en-US"/>
              </w:rPr>
              <w:t>,</w:t>
            </w:r>
            <w:r w:rsidRPr="00E9158F">
              <w:rPr>
                <w:sz w:val="20"/>
                <w:szCs w:val="20"/>
                <w:lang w:val="en-US"/>
              </w:rPr>
              <w:t>967</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t>Mop</w:t>
            </w:r>
            <w:r w:rsidR="00E9158F">
              <w:rPr>
                <w:sz w:val="20"/>
                <w:szCs w:val="20"/>
                <w:lang w:val="en-US"/>
              </w:rPr>
              <w:t xml:space="preserve"> </w:t>
            </w:r>
            <w:r w:rsidRPr="00E9158F">
              <w:rPr>
                <w:sz w:val="20"/>
                <w:szCs w:val="20"/>
                <w:lang w:val="en-US"/>
              </w:rPr>
              <w:t>up</w:t>
            </w:r>
          </w:p>
        </w:tc>
        <w:tc>
          <w:tcPr>
            <w:tcW w:w="1200" w:type="dxa"/>
            <w:noWrap/>
            <w:hideMark/>
          </w:tcPr>
          <w:p w:rsidR="00D952F2" w:rsidRPr="00E9158F" w:rsidRDefault="00D952F2" w:rsidP="00D952F2">
            <w:pPr>
              <w:rPr>
                <w:sz w:val="20"/>
                <w:szCs w:val="20"/>
                <w:lang w:val="en-US"/>
              </w:rPr>
            </w:pPr>
            <w:r w:rsidRPr="00E9158F">
              <w:rPr>
                <w:sz w:val="20"/>
                <w:szCs w:val="20"/>
                <w:lang w:val="en-US"/>
              </w:rPr>
              <w:t>mOPV2</w:t>
            </w:r>
          </w:p>
        </w:tc>
        <w:tc>
          <w:tcPr>
            <w:tcW w:w="757" w:type="dxa"/>
            <w:noWrap/>
            <w:hideMark/>
          </w:tcPr>
          <w:p w:rsidR="00D952F2" w:rsidRPr="00E9158F" w:rsidRDefault="00D952F2" w:rsidP="00D952F2">
            <w:pPr>
              <w:rPr>
                <w:sz w:val="20"/>
                <w:szCs w:val="20"/>
                <w:lang w:val="en-US"/>
              </w:rPr>
            </w:pPr>
            <w:r w:rsidRPr="00E9158F">
              <w:rPr>
                <w:sz w:val="20"/>
                <w:szCs w:val="20"/>
                <w:lang w:val="en-US"/>
              </w:rPr>
              <w:t>2016</w:t>
            </w:r>
          </w:p>
        </w:tc>
        <w:tc>
          <w:tcPr>
            <w:tcW w:w="1194" w:type="dxa"/>
            <w:noWrap/>
            <w:hideMark/>
          </w:tcPr>
          <w:p w:rsidR="00D952F2" w:rsidRPr="00E9158F" w:rsidRDefault="00D952F2" w:rsidP="00D952F2">
            <w:pPr>
              <w:rPr>
                <w:sz w:val="20"/>
                <w:szCs w:val="20"/>
                <w:lang w:val="en-US"/>
              </w:rPr>
            </w:pPr>
            <w:r w:rsidRPr="00E9158F">
              <w:rPr>
                <w:sz w:val="20"/>
                <w:szCs w:val="20"/>
                <w:lang w:val="en-US"/>
              </w:rPr>
              <w:t>11/06/2016</w:t>
            </w:r>
          </w:p>
        </w:tc>
        <w:tc>
          <w:tcPr>
            <w:tcW w:w="1209" w:type="dxa"/>
            <w:noWrap/>
            <w:hideMark/>
          </w:tcPr>
          <w:p w:rsidR="00D952F2" w:rsidRPr="00E9158F" w:rsidRDefault="00D952F2" w:rsidP="00D952F2">
            <w:pPr>
              <w:rPr>
                <w:sz w:val="20"/>
                <w:szCs w:val="20"/>
                <w:lang w:val="en-US"/>
              </w:rPr>
            </w:pPr>
            <w:r w:rsidRPr="00E9158F">
              <w:rPr>
                <w:sz w:val="20"/>
                <w:szCs w:val="20"/>
                <w:lang w:val="en-US"/>
              </w:rPr>
              <w:t>14/06/2016</w:t>
            </w:r>
          </w:p>
        </w:tc>
        <w:tc>
          <w:tcPr>
            <w:tcW w:w="1167" w:type="dxa"/>
            <w:noWrap/>
            <w:hideMark/>
          </w:tcPr>
          <w:p w:rsidR="00D952F2" w:rsidRPr="00E9158F" w:rsidRDefault="00D952F2" w:rsidP="00D952F2">
            <w:pPr>
              <w:rPr>
                <w:sz w:val="20"/>
                <w:szCs w:val="20"/>
                <w:lang w:val="en-US"/>
              </w:rPr>
            </w:pPr>
            <w:r w:rsidRPr="00E9158F">
              <w:rPr>
                <w:sz w:val="20"/>
                <w:szCs w:val="20"/>
                <w:lang w:val="en-US"/>
              </w:rPr>
              <w:t>0 to 5 years</w:t>
            </w:r>
          </w:p>
        </w:tc>
        <w:tc>
          <w:tcPr>
            <w:tcW w:w="962" w:type="dxa"/>
            <w:noWrap/>
            <w:hideMark/>
          </w:tcPr>
          <w:p w:rsidR="00D952F2" w:rsidRPr="00E9158F" w:rsidRDefault="00D952F2" w:rsidP="00D952F2">
            <w:pPr>
              <w:rPr>
                <w:sz w:val="20"/>
                <w:szCs w:val="20"/>
                <w:lang w:val="en-US"/>
              </w:rPr>
            </w:pPr>
            <w:r w:rsidRPr="00E9158F">
              <w:rPr>
                <w:sz w:val="20"/>
                <w:szCs w:val="20"/>
                <w:lang w:val="en-US"/>
              </w:rPr>
              <w:t xml:space="preserve"> Sub-National</w:t>
            </w:r>
          </w:p>
        </w:tc>
        <w:tc>
          <w:tcPr>
            <w:tcW w:w="996" w:type="dxa"/>
            <w:noWrap/>
            <w:hideMark/>
          </w:tcPr>
          <w:p w:rsidR="00D952F2" w:rsidRPr="00E9158F" w:rsidRDefault="00D952F2" w:rsidP="00D952F2">
            <w:pPr>
              <w:rPr>
                <w:sz w:val="20"/>
                <w:szCs w:val="20"/>
                <w:lang w:val="en-US"/>
              </w:rPr>
            </w:pPr>
            <w:r w:rsidRPr="00E9158F">
              <w:rPr>
                <w:sz w:val="20"/>
                <w:szCs w:val="20"/>
                <w:lang w:val="en-US"/>
              </w:rPr>
              <w:t>Planned</w:t>
            </w:r>
          </w:p>
        </w:tc>
        <w:tc>
          <w:tcPr>
            <w:tcW w:w="1412" w:type="dxa"/>
            <w:noWrap/>
            <w:hideMark/>
          </w:tcPr>
          <w:p w:rsidR="00D952F2" w:rsidRPr="00E9158F" w:rsidRDefault="00D952F2" w:rsidP="00D952F2">
            <w:pPr>
              <w:rPr>
                <w:sz w:val="20"/>
                <w:szCs w:val="20"/>
                <w:lang w:val="en-US"/>
              </w:rPr>
            </w:pPr>
            <w:r w:rsidRPr="00E9158F">
              <w:rPr>
                <w:sz w:val="20"/>
                <w:szCs w:val="20"/>
                <w:lang w:val="en-US"/>
              </w:rPr>
              <w:t>2</w:t>
            </w:r>
            <w:r w:rsidR="00E9158F">
              <w:rPr>
                <w:sz w:val="20"/>
                <w:szCs w:val="20"/>
                <w:lang w:val="en-US"/>
              </w:rPr>
              <w:t>,</w:t>
            </w:r>
            <w:r w:rsidRPr="00E9158F">
              <w:rPr>
                <w:sz w:val="20"/>
                <w:szCs w:val="20"/>
                <w:lang w:val="en-US"/>
              </w:rPr>
              <w:t>536</w:t>
            </w:r>
            <w:r w:rsidR="00E9158F">
              <w:rPr>
                <w:sz w:val="20"/>
                <w:szCs w:val="20"/>
                <w:lang w:val="en-US"/>
              </w:rPr>
              <w:t>,</w:t>
            </w:r>
            <w:r w:rsidRPr="00E9158F">
              <w:rPr>
                <w:sz w:val="20"/>
                <w:szCs w:val="20"/>
                <w:lang w:val="en-US"/>
              </w:rPr>
              <w:t>136</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t>NID</w:t>
            </w:r>
          </w:p>
        </w:tc>
        <w:tc>
          <w:tcPr>
            <w:tcW w:w="1200" w:type="dxa"/>
            <w:noWrap/>
            <w:hideMark/>
          </w:tcPr>
          <w:p w:rsidR="00D952F2" w:rsidRPr="00E9158F" w:rsidRDefault="00D952F2" w:rsidP="00D952F2">
            <w:pPr>
              <w:rPr>
                <w:sz w:val="20"/>
                <w:szCs w:val="20"/>
                <w:lang w:val="en-US"/>
              </w:rPr>
            </w:pPr>
            <w:r w:rsidRPr="00E9158F">
              <w:rPr>
                <w:sz w:val="20"/>
                <w:szCs w:val="20"/>
                <w:lang w:val="en-US"/>
              </w:rPr>
              <w:t>tOPV</w:t>
            </w:r>
          </w:p>
        </w:tc>
        <w:tc>
          <w:tcPr>
            <w:tcW w:w="757" w:type="dxa"/>
            <w:noWrap/>
            <w:hideMark/>
          </w:tcPr>
          <w:p w:rsidR="00D952F2" w:rsidRPr="00E9158F" w:rsidRDefault="00D952F2" w:rsidP="00D952F2">
            <w:pPr>
              <w:rPr>
                <w:sz w:val="20"/>
                <w:szCs w:val="20"/>
                <w:lang w:val="en-US"/>
              </w:rPr>
            </w:pPr>
            <w:r w:rsidRPr="00E9158F">
              <w:rPr>
                <w:sz w:val="20"/>
                <w:szCs w:val="20"/>
                <w:lang w:val="en-US"/>
              </w:rPr>
              <w:t>2016</w:t>
            </w:r>
          </w:p>
        </w:tc>
        <w:tc>
          <w:tcPr>
            <w:tcW w:w="1194" w:type="dxa"/>
            <w:noWrap/>
            <w:hideMark/>
          </w:tcPr>
          <w:p w:rsidR="00D952F2" w:rsidRPr="00E9158F" w:rsidRDefault="00D952F2" w:rsidP="00D952F2">
            <w:pPr>
              <w:rPr>
                <w:sz w:val="20"/>
                <w:szCs w:val="20"/>
                <w:lang w:val="en-US"/>
              </w:rPr>
            </w:pPr>
            <w:r w:rsidRPr="00E9158F">
              <w:rPr>
                <w:sz w:val="20"/>
                <w:szCs w:val="20"/>
                <w:lang w:val="en-US"/>
              </w:rPr>
              <w:t>27/02/2016</w:t>
            </w:r>
          </w:p>
        </w:tc>
        <w:tc>
          <w:tcPr>
            <w:tcW w:w="1209" w:type="dxa"/>
            <w:noWrap/>
            <w:hideMark/>
          </w:tcPr>
          <w:p w:rsidR="00D952F2" w:rsidRPr="00E9158F" w:rsidRDefault="00D952F2" w:rsidP="00D952F2">
            <w:pPr>
              <w:rPr>
                <w:sz w:val="20"/>
                <w:szCs w:val="20"/>
                <w:lang w:val="en-US"/>
              </w:rPr>
            </w:pPr>
            <w:r w:rsidRPr="00E9158F">
              <w:rPr>
                <w:sz w:val="20"/>
                <w:szCs w:val="20"/>
                <w:lang w:val="en-US"/>
              </w:rPr>
              <w:t>01/03/2016</w:t>
            </w:r>
          </w:p>
        </w:tc>
        <w:tc>
          <w:tcPr>
            <w:tcW w:w="1167" w:type="dxa"/>
            <w:noWrap/>
            <w:hideMark/>
          </w:tcPr>
          <w:p w:rsidR="00D952F2" w:rsidRPr="00E9158F" w:rsidRDefault="00D952F2" w:rsidP="00D952F2">
            <w:pPr>
              <w:rPr>
                <w:sz w:val="20"/>
                <w:szCs w:val="20"/>
                <w:lang w:val="en-US"/>
              </w:rPr>
            </w:pPr>
            <w:r w:rsidRPr="00E9158F">
              <w:rPr>
                <w:sz w:val="20"/>
                <w:szCs w:val="20"/>
                <w:lang w:val="en-US"/>
              </w:rPr>
              <w:t>0 to 5 years</w:t>
            </w:r>
          </w:p>
        </w:tc>
        <w:tc>
          <w:tcPr>
            <w:tcW w:w="962" w:type="dxa"/>
            <w:noWrap/>
            <w:hideMark/>
          </w:tcPr>
          <w:p w:rsidR="00D952F2" w:rsidRPr="00E9158F" w:rsidRDefault="00D952F2" w:rsidP="00D952F2">
            <w:pPr>
              <w:rPr>
                <w:sz w:val="20"/>
                <w:szCs w:val="20"/>
                <w:lang w:val="en-US"/>
              </w:rPr>
            </w:pPr>
            <w:r w:rsidRPr="00E9158F">
              <w:rPr>
                <w:sz w:val="20"/>
                <w:szCs w:val="20"/>
                <w:lang w:val="en-US"/>
              </w:rPr>
              <w:t>National</w:t>
            </w:r>
          </w:p>
        </w:tc>
        <w:tc>
          <w:tcPr>
            <w:tcW w:w="996" w:type="dxa"/>
            <w:noWrap/>
            <w:hideMark/>
          </w:tcPr>
          <w:p w:rsidR="00D952F2" w:rsidRPr="00E9158F" w:rsidRDefault="00D952F2" w:rsidP="00D952F2">
            <w:pPr>
              <w:rPr>
                <w:sz w:val="20"/>
                <w:szCs w:val="20"/>
                <w:lang w:val="en-US"/>
              </w:rPr>
            </w:pPr>
            <w:r w:rsidRPr="00E9158F">
              <w:rPr>
                <w:sz w:val="20"/>
                <w:szCs w:val="20"/>
                <w:lang w:val="en-US"/>
              </w:rPr>
              <w:t>Planned</w:t>
            </w:r>
          </w:p>
        </w:tc>
        <w:tc>
          <w:tcPr>
            <w:tcW w:w="1412" w:type="dxa"/>
            <w:noWrap/>
            <w:hideMark/>
          </w:tcPr>
          <w:p w:rsidR="00D952F2" w:rsidRPr="00E9158F" w:rsidRDefault="00D952F2" w:rsidP="00D952F2">
            <w:pPr>
              <w:rPr>
                <w:sz w:val="20"/>
                <w:szCs w:val="20"/>
                <w:lang w:val="en-US"/>
              </w:rPr>
            </w:pPr>
            <w:r w:rsidRPr="00E9158F">
              <w:rPr>
                <w:sz w:val="20"/>
                <w:szCs w:val="20"/>
                <w:lang w:val="en-US"/>
              </w:rPr>
              <w:t>62</w:t>
            </w:r>
            <w:r w:rsidR="00E9158F">
              <w:rPr>
                <w:sz w:val="20"/>
                <w:szCs w:val="20"/>
                <w:lang w:val="en-US"/>
              </w:rPr>
              <w:t>,</w:t>
            </w:r>
            <w:r w:rsidRPr="00E9158F">
              <w:rPr>
                <w:sz w:val="20"/>
                <w:szCs w:val="20"/>
                <w:lang w:val="en-US"/>
              </w:rPr>
              <w:t>037</w:t>
            </w:r>
            <w:r w:rsidR="00E9158F">
              <w:rPr>
                <w:sz w:val="20"/>
                <w:szCs w:val="20"/>
                <w:lang w:val="en-US"/>
              </w:rPr>
              <w:t>,</w:t>
            </w:r>
            <w:r w:rsidRPr="00E9158F">
              <w:rPr>
                <w:sz w:val="20"/>
                <w:szCs w:val="20"/>
                <w:lang w:val="en-US"/>
              </w:rPr>
              <w:t>657</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t>SNID</w:t>
            </w:r>
          </w:p>
        </w:tc>
        <w:tc>
          <w:tcPr>
            <w:tcW w:w="1200" w:type="dxa"/>
            <w:noWrap/>
            <w:hideMark/>
          </w:tcPr>
          <w:p w:rsidR="00D952F2" w:rsidRPr="00E9158F" w:rsidRDefault="00D952F2" w:rsidP="00D952F2">
            <w:pPr>
              <w:rPr>
                <w:sz w:val="20"/>
                <w:szCs w:val="20"/>
                <w:lang w:val="en-US"/>
              </w:rPr>
            </w:pPr>
            <w:r w:rsidRPr="00E9158F">
              <w:rPr>
                <w:sz w:val="20"/>
                <w:szCs w:val="20"/>
                <w:lang w:val="en-US"/>
              </w:rPr>
              <w:t>bOPV</w:t>
            </w:r>
          </w:p>
        </w:tc>
        <w:tc>
          <w:tcPr>
            <w:tcW w:w="757" w:type="dxa"/>
            <w:noWrap/>
            <w:hideMark/>
          </w:tcPr>
          <w:p w:rsidR="00D952F2" w:rsidRPr="00E9158F" w:rsidRDefault="00D952F2" w:rsidP="00D952F2">
            <w:pPr>
              <w:rPr>
                <w:sz w:val="20"/>
                <w:szCs w:val="20"/>
                <w:lang w:val="en-US"/>
              </w:rPr>
            </w:pPr>
            <w:r w:rsidRPr="00E9158F">
              <w:rPr>
                <w:sz w:val="20"/>
                <w:szCs w:val="20"/>
                <w:lang w:val="en-US"/>
              </w:rPr>
              <w:t>2016</w:t>
            </w:r>
          </w:p>
        </w:tc>
        <w:tc>
          <w:tcPr>
            <w:tcW w:w="1194" w:type="dxa"/>
            <w:noWrap/>
            <w:hideMark/>
          </w:tcPr>
          <w:p w:rsidR="00D952F2" w:rsidRPr="00E9158F" w:rsidRDefault="00D952F2" w:rsidP="00D952F2">
            <w:pPr>
              <w:rPr>
                <w:sz w:val="20"/>
                <w:szCs w:val="20"/>
                <w:lang w:val="en-US"/>
              </w:rPr>
            </w:pPr>
            <w:r w:rsidRPr="00E9158F">
              <w:rPr>
                <w:sz w:val="20"/>
                <w:szCs w:val="20"/>
                <w:lang w:val="en-US"/>
              </w:rPr>
              <w:t>15/10/2016</w:t>
            </w:r>
          </w:p>
        </w:tc>
        <w:tc>
          <w:tcPr>
            <w:tcW w:w="1209" w:type="dxa"/>
            <w:noWrap/>
            <w:hideMark/>
          </w:tcPr>
          <w:p w:rsidR="00D952F2" w:rsidRPr="00E9158F" w:rsidRDefault="00D952F2" w:rsidP="00D952F2">
            <w:pPr>
              <w:rPr>
                <w:sz w:val="20"/>
                <w:szCs w:val="20"/>
                <w:lang w:val="en-US"/>
              </w:rPr>
            </w:pPr>
            <w:r w:rsidRPr="00E9158F">
              <w:rPr>
                <w:sz w:val="20"/>
                <w:szCs w:val="20"/>
                <w:lang w:val="en-US"/>
              </w:rPr>
              <w:t>18/10/2016</w:t>
            </w:r>
          </w:p>
        </w:tc>
        <w:tc>
          <w:tcPr>
            <w:tcW w:w="1167" w:type="dxa"/>
            <w:noWrap/>
            <w:hideMark/>
          </w:tcPr>
          <w:p w:rsidR="00D952F2" w:rsidRPr="00E9158F" w:rsidRDefault="00D952F2" w:rsidP="00D952F2">
            <w:pPr>
              <w:rPr>
                <w:sz w:val="20"/>
                <w:szCs w:val="20"/>
                <w:lang w:val="en-US"/>
              </w:rPr>
            </w:pPr>
            <w:r w:rsidRPr="00E9158F">
              <w:rPr>
                <w:sz w:val="20"/>
                <w:szCs w:val="20"/>
                <w:lang w:val="en-US"/>
              </w:rPr>
              <w:t>0 to 5 years</w:t>
            </w:r>
          </w:p>
        </w:tc>
        <w:tc>
          <w:tcPr>
            <w:tcW w:w="962" w:type="dxa"/>
            <w:noWrap/>
            <w:hideMark/>
          </w:tcPr>
          <w:p w:rsidR="00D952F2" w:rsidRPr="00E9158F" w:rsidRDefault="00D952F2" w:rsidP="00D952F2">
            <w:pPr>
              <w:rPr>
                <w:sz w:val="20"/>
                <w:szCs w:val="20"/>
                <w:lang w:val="en-US"/>
              </w:rPr>
            </w:pPr>
            <w:r w:rsidRPr="00E9158F">
              <w:rPr>
                <w:sz w:val="20"/>
                <w:szCs w:val="20"/>
                <w:lang w:val="en-US"/>
              </w:rPr>
              <w:t xml:space="preserve"> Sub-National</w:t>
            </w:r>
          </w:p>
        </w:tc>
        <w:tc>
          <w:tcPr>
            <w:tcW w:w="996" w:type="dxa"/>
            <w:noWrap/>
            <w:hideMark/>
          </w:tcPr>
          <w:p w:rsidR="00D952F2" w:rsidRPr="00E9158F" w:rsidRDefault="00D952F2" w:rsidP="00D952F2">
            <w:pPr>
              <w:rPr>
                <w:sz w:val="20"/>
                <w:szCs w:val="20"/>
                <w:lang w:val="en-US"/>
              </w:rPr>
            </w:pPr>
            <w:r w:rsidRPr="00E9158F">
              <w:rPr>
                <w:sz w:val="20"/>
                <w:szCs w:val="20"/>
                <w:lang w:val="en-US"/>
              </w:rPr>
              <w:t>Planned</w:t>
            </w:r>
          </w:p>
        </w:tc>
        <w:tc>
          <w:tcPr>
            <w:tcW w:w="1412" w:type="dxa"/>
            <w:noWrap/>
            <w:hideMark/>
          </w:tcPr>
          <w:p w:rsidR="00D952F2" w:rsidRPr="00E9158F" w:rsidRDefault="00D952F2" w:rsidP="00D952F2">
            <w:pPr>
              <w:rPr>
                <w:sz w:val="20"/>
                <w:szCs w:val="20"/>
                <w:lang w:val="en-US"/>
              </w:rPr>
            </w:pPr>
            <w:r w:rsidRPr="00E9158F">
              <w:rPr>
                <w:sz w:val="20"/>
                <w:szCs w:val="20"/>
                <w:lang w:val="en-US"/>
              </w:rPr>
              <w:t>27</w:t>
            </w:r>
            <w:r w:rsidR="00E9158F">
              <w:rPr>
                <w:sz w:val="20"/>
                <w:szCs w:val="20"/>
                <w:lang w:val="en-US"/>
              </w:rPr>
              <w:t>,</w:t>
            </w:r>
            <w:r w:rsidRPr="00E9158F">
              <w:rPr>
                <w:sz w:val="20"/>
                <w:szCs w:val="20"/>
                <w:lang w:val="en-US"/>
              </w:rPr>
              <w:t>916</w:t>
            </w:r>
            <w:r w:rsidR="00E9158F">
              <w:rPr>
                <w:sz w:val="20"/>
                <w:szCs w:val="20"/>
                <w:lang w:val="en-US"/>
              </w:rPr>
              <w:t>,</w:t>
            </w:r>
            <w:r w:rsidRPr="00E9158F">
              <w:rPr>
                <w:sz w:val="20"/>
                <w:szCs w:val="20"/>
                <w:lang w:val="en-US"/>
              </w:rPr>
              <w:t>946</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t>SNID</w:t>
            </w:r>
          </w:p>
        </w:tc>
        <w:tc>
          <w:tcPr>
            <w:tcW w:w="1200" w:type="dxa"/>
            <w:noWrap/>
            <w:hideMark/>
          </w:tcPr>
          <w:p w:rsidR="00D952F2" w:rsidRPr="00E9158F" w:rsidRDefault="00D952F2" w:rsidP="00D952F2">
            <w:pPr>
              <w:rPr>
                <w:sz w:val="20"/>
                <w:szCs w:val="20"/>
                <w:lang w:val="en-US"/>
              </w:rPr>
            </w:pPr>
            <w:r w:rsidRPr="00E9158F">
              <w:rPr>
                <w:sz w:val="20"/>
                <w:szCs w:val="20"/>
                <w:lang w:val="en-US"/>
              </w:rPr>
              <w:t>tOPV</w:t>
            </w:r>
          </w:p>
        </w:tc>
        <w:tc>
          <w:tcPr>
            <w:tcW w:w="757" w:type="dxa"/>
            <w:noWrap/>
            <w:hideMark/>
          </w:tcPr>
          <w:p w:rsidR="00D952F2" w:rsidRPr="00E9158F" w:rsidRDefault="00D952F2" w:rsidP="00D952F2">
            <w:pPr>
              <w:rPr>
                <w:sz w:val="20"/>
                <w:szCs w:val="20"/>
                <w:lang w:val="en-US"/>
              </w:rPr>
            </w:pPr>
            <w:r w:rsidRPr="00E9158F">
              <w:rPr>
                <w:sz w:val="20"/>
                <w:szCs w:val="20"/>
                <w:lang w:val="en-US"/>
              </w:rPr>
              <w:t>2016</w:t>
            </w:r>
          </w:p>
        </w:tc>
        <w:tc>
          <w:tcPr>
            <w:tcW w:w="1194" w:type="dxa"/>
            <w:noWrap/>
            <w:hideMark/>
          </w:tcPr>
          <w:p w:rsidR="00D952F2" w:rsidRPr="00E9158F" w:rsidRDefault="00D952F2" w:rsidP="00D952F2">
            <w:pPr>
              <w:rPr>
                <w:sz w:val="20"/>
                <w:szCs w:val="20"/>
                <w:lang w:val="en-US"/>
              </w:rPr>
            </w:pPr>
            <w:r w:rsidRPr="00E9158F">
              <w:rPr>
                <w:sz w:val="20"/>
                <w:szCs w:val="20"/>
                <w:lang w:val="en-US"/>
              </w:rPr>
              <w:t>16/01/2016</w:t>
            </w:r>
          </w:p>
        </w:tc>
        <w:tc>
          <w:tcPr>
            <w:tcW w:w="1209" w:type="dxa"/>
            <w:noWrap/>
            <w:hideMark/>
          </w:tcPr>
          <w:p w:rsidR="00D952F2" w:rsidRPr="00E9158F" w:rsidRDefault="00D952F2" w:rsidP="00D952F2">
            <w:pPr>
              <w:rPr>
                <w:sz w:val="20"/>
                <w:szCs w:val="20"/>
                <w:lang w:val="en-US"/>
              </w:rPr>
            </w:pPr>
            <w:r w:rsidRPr="00E9158F">
              <w:rPr>
                <w:sz w:val="20"/>
                <w:szCs w:val="20"/>
                <w:lang w:val="en-US"/>
              </w:rPr>
              <w:t>19/01/2016</w:t>
            </w:r>
          </w:p>
        </w:tc>
        <w:tc>
          <w:tcPr>
            <w:tcW w:w="1167" w:type="dxa"/>
            <w:noWrap/>
            <w:hideMark/>
          </w:tcPr>
          <w:p w:rsidR="00D952F2" w:rsidRPr="00E9158F" w:rsidRDefault="00D952F2" w:rsidP="00D952F2">
            <w:pPr>
              <w:rPr>
                <w:sz w:val="20"/>
                <w:szCs w:val="20"/>
                <w:lang w:val="en-US"/>
              </w:rPr>
            </w:pPr>
            <w:r w:rsidRPr="00E9158F">
              <w:rPr>
                <w:sz w:val="20"/>
                <w:szCs w:val="20"/>
                <w:lang w:val="en-US"/>
              </w:rPr>
              <w:t>0 to 5 years</w:t>
            </w:r>
          </w:p>
        </w:tc>
        <w:tc>
          <w:tcPr>
            <w:tcW w:w="962" w:type="dxa"/>
            <w:noWrap/>
            <w:hideMark/>
          </w:tcPr>
          <w:p w:rsidR="00D952F2" w:rsidRPr="00E9158F" w:rsidRDefault="00D952F2" w:rsidP="00D952F2">
            <w:pPr>
              <w:rPr>
                <w:sz w:val="20"/>
                <w:szCs w:val="20"/>
                <w:lang w:val="en-US"/>
              </w:rPr>
            </w:pPr>
            <w:r w:rsidRPr="00E9158F">
              <w:rPr>
                <w:sz w:val="20"/>
                <w:szCs w:val="20"/>
                <w:lang w:val="en-US"/>
              </w:rPr>
              <w:t xml:space="preserve"> Sub-National</w:t>
            </w:r>
          </w:p>
        </w:tc>
        <w:tc>
          <w:tcPr>
            <w:tcW w:w="996" w:type="dxa"/>
            <w:noWrap/>
            <w:hideMark/>
          </w:tcPr>
          <w:p w:rsidR="00D952F2" w:rsidRPr="00E9158F" w:rsidRDefault="00D952F2" w:rsidP="00D952F2">
            <w:pPr>
              <w:rPr>
                <w:sz w:val="20"/>
                <w:szCs w:val="20"/>
                <w:lang w:val="en-US"/>
              </w:rPr>
            </w:pPr>
            <w:r w:rsidRPr="00E9158F">
              <w:rPr>
                <w:sz w:val="20"/>
                <w:szCs w:val="20"/>
                <w:lang w:val="en-US"/>
              </w:rPr>
              <w:t>Planned</w:t>
            </w:r>
          </w:p>
        </w:tc>
        <w:tc>
          <w:tcPr>
            <w:tcW w:w="1412" w:type="dxa"/>
            <w:noWrap/>
            <w:hideMark/>
          </w:tcPr>
          <w:p w:rsidR="00D952F2" w:rsidRPr="00E9158F" w:rsidRDefault="00D952F2" w:rsidP="00D952F2">
            <w:pPr>
              <w:rPr>
                <w:sz w:val="20"/>
                <w:szCs w:val="20"/>
                <w:lang w:val="en-US"/>
              </w:rPr>
            </w:pPr>
            <w:r w:rsidRPr="00E9158F">
              <w:rPr>
                <w:sz w:val="20"/>
                <w:szCs w:val="20"/>
                <w:lang w:val="en-US"/>
              </w:rPr>
              <w:t>2</w:t>
            </w:r>
            <w:r w:rsidR="00E9158F">
              <w:rPr>
                <w:sz w:val="20"/>
                <w:szCs w:val="20"/>
                <w:lang w:val="en-US"/>
              </w:rPr>
              <w:t>,</w:t>
            </w:r>
            <w:r w:rsidRPr="00E9158F">
              <w:rPr>
                <w:sz w:val="20"/>
                <w:szCs w:val="20"/>
                <w:lang w:val="en-US"/>
              </w:rPr>
              <w:t>528</w:t>
            </w:r>
            <w:r w:rsidR="00E9158F">
              <w:rPr>
                <w:sz w:val="20"/>
                <w:szCs w:val="20"/>
                <w:lang w:val="en-US"/>
              </w:rPr>
              <w:t>,</w:t>
            </w:r>
            <w:r w:rsidRPr="00E9158F">
              <w:rPr>
                <w:sz w:val="20"/>
                <w:szCs w:val="20"/>
                <w:lang w:val="en-US"/>
              </w:rPr>
              <w:t>986</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t>Mop</w:t>
            </w:r>
            <w:r w:rsidR="00E9158F">
              <w:rPr>
                <w:sz w:val="20"/>
                <w:szCs w:val="20"/>
                <w:lang w:val="en-US"/>
              </w:rPr>
              <w:t xml:space="preserve"> </w:t>
            </w:r>
            <w:r w:rsidRPr="00E9158F">
              <w:rPr>
                <w:sz w:val="20"/>
                <w:szCs w:val="20"/>
                <w:lang w:val="en-US"/>
              </w:rPr>
              <w:t>up</w:t>
            </w:r>
          </w:p>
        </w:tc>
        <w:tc>
          <w:tcPr>
            <w:tcW w:w="1200" w:type="dxa"/>
            <w:noWrap/>
            <w:hideMark/>
          </w:tcPr>
          <w:p w:rsidR="00D952F2" w:rsidRPr="00E9158F" w:rsidRDefault="00D952F2" w:rsidP="00D952F2">
            <w:pPr>
              <w:rPr>
                <w:sz w:val="20"/>
                <w:szCs w:val="20"/>
                <w:lang w:val="en-US"/>
              </w:rPr>
            </w:pPr>
            <w:r w:rsidRPr="00E9158F">
              <w:rPr>
                <w:sz w:val="20"/>
                <w:szCs w:val="20"/>
                <w:lang w:val="en-US"/>
              </w:rPr>
              <w:t>mOPV2</w:t>
            </w:r>
          </w:p>
        </w:tc>
        <w:tc>
          <w:tcPr>
            <w:tcW w:w="757" w:type="dxa"/>
            <w:noWrap/>
            <w:hideMark/>
          </w:tcPr>
          <w:p w:rsidR="00D952F2" w:rsidRPr="00E9158F" w:rsidRDefault="00D952F2" w:rsidP="00D952F2">
            <w:pPr>
              <w:rPr>
                <w:sz w:val="20"/>
                <w:szCs w:val="20"/>
                <w:lang w:val="en-US"/>
              </w:rPr>
            </w:pPr>
            <w:r w:rsidRPr="00E9158F">
              <w:rPr>
                <w:sz w:val="20"/>
                <w:szCs w:val="20"/>
                <w:lang w:val="en-US"/>
              </w:rPr>
              <w:t>2016</w:t>
            </w:r>
          </w:p>
        </w:tc>
        <w:tc>
          <w:tcPr>
            <w:tcW w:w="1194" w:type="dxa"/>
            <w:noWrap/>
            <w:hideMark/>
          </w:tcPr>
          <w:p w:rsidR="00D952F2" w:rsidRPr="00E9158F" w:rsidRDefault="00D952F2" w:rsidP="00D952F2">
            <w:pPr>
              <w:rPr>
                <w:sz w:val="20"/>
                <w:szCs w:val="20"/>
                <w:lang w:val="en-US"/>
              </w:rPr>
            </w:pPr>
            <w:r w:rsidRPr="00E9158F">
              <w:rPr>
                <w:sz w:val="20"/>
                <w:szCs w:val="20"/>
                <w:lang w:val="en-US"/>
              </w:rPr>
              <w:t>09/05/2016</w:t>
            </w:r>
          </w:p>
        </w:tc>
        <w:tc>
          <w:tcPr>
            <w:tcW w:w="1209" w:type="dxa"/>
            <w:noWrap/>
            <w:hideMark/>
          </w:tcPr>
          <w:p w:rsidR="00D952F2" w:rsidRPr="00E9158F" w:rsidRDefault="00D952F2" w:rsidP="00D952F2">
            <w:pPr>
              <w:rPr>
                <w:sz w:val="20"/>
                <w:szCs w:val="20"/>
                <w:lang w:val="en-US"/>
              </w:rPr>
            </w:pPr>
            <w:r w:rsidRPr="00E9158F">
              <w:rPr>
                <w:sz w:val="20"/>
                <w:szCs w:val="20"/>
                <w:lang w:val="en-US"/>
              </w:rPr>
              <w:t>12/05/2016</w:t>
            </w:r>
          </w:p>
        </w:tc>
        <w:tc>
          <w:tcPr>
            <w:tcW w:w="1167" w:type="dxa"/>
            <w:noWrap/>
            <w:hideMark/>
          </w:tcPr>
          <w:p w:rsidR="00D952F2" w:rsidRPr="00E9158F" w:rsidRDefault="00D952F2" w:rsidP="00D952F2">
            <w:pPr>
              <w:rPr>
                <w:sz w:val="20"/>
                <w:szCs w:val="20"/>
                <w:lang w:val="en-US"/>
              </w:rPr>
            </w:pPr>
            <w:r w:rsidRPr="00E9158F">
              <w:rPr>
                <w:sz w:val="20"/>
                <w:szCs w:val="20"/>
                <w:lang w:val="en-US"/>
              </w:rPr>
              <w:t>0 to 5 years</w:t>
            </w:r>
          </w:p>
        </w:tc>
        <w:tc>
          <w:tcPr>
            <w:tcW w:w="962" w:type="dxa"/>
            <w:noWrap/>
            <w:hideMark/>
          </w:tcPr>
          <w:p w:rsidR="00D952F2" w:rsidRPr="00E9158F" w:rsidRDefault="00D952F2" w:rsidP="00D952F2">
            <w:pPr>
              <w:rPr>
                <w:sz w:val="20"/>
                <w:szCs w:val="20"/>
                <w:lang w:val="en-US"/>
              </w:rPr>
            </w:pPr>
            <w:r w:rsidRPr="00E9158F">
              <w:rPr>
                <w:sz w:val="20"/>
                <w:szCs w:val="20"/>
                <w:lang w:val="en-US"/>
              </w:rPr>
              <w:t xml:space="preserve"> Sub-National</w:t>
            </w:r>
          </w:p>
        </w:tc>
        <w:tc>
          <w:tcPr>
            <w:tcW w:w="996" w:type="dxa"/>
            <w:noWrap/>
            <w:hideMark/>
          </w:tcPr>
          <w:p w:rsidR="00D952F2" w:rsidRPr="00E9158F" w:rsidRDefault="00D952F2" w:rsidP="00D952F2">
            <w:pPr>
              <w:rPr>
                <w:sz w:val="20"/>
                <w:szCs w:val="20"/>
                <w:lang w:val="en-US"/>
              </w:rPr>
            </w:pPr>
            <w:r w:rsidRPr="00E9158F">
              <w:rPr>
                <w:sz w:val="20"/>
                <w:szCs w:val="20"/>
                <w:lang w:val="en-US"/>
              </w:rPr>
              <w:t>Planned</w:t>
            </w:r>
          </w:p>
        </w:tc>
        <w:tc>
          <w:tcPr>
            <w:tcW w:w="1412" w:type="dxa"/>
            <w:noWrap/>
            <w:hideMark/>
          </w:tcPr>
          <w:p w:rsidR="00D952F2" w:rsidRPr="00E9158F" w:rsidRDefault="00D952F2" w:rsidP="00D952F2">
            <w:pPr>
              <w:rPr>
                <w:sz w:val="20"/>
                <w:szCs w:val="20"/>
                <w:lang w:val="en-US"/>
              </w:rPr>
            </w:pPr>
            <w:r w:rsidRPr="00E9158F">
              <w:rPr>
                <w:sz w:val="20"/>
                <w:szCs w:val="20"/>
                <w:lang w:val="en-US"/>
              </w:rPr>
              <w:t>2</w:t>
            </w:r>
            <w:r w:rsidR="00E9158F">
              <w:rPr>
                <w:sz w:val="20"/>
                <w:szCs w:val="20"/>
                <w:lang w:val="en-US"/>
              </w:rPr>
              <w:t>,</w:t>
            </w:r>
            <w:r w:rsidRPr="00E9158F">
              <w:rPr>
                <w:sz w:val="20"/>
                <w:szCs w:val="20"/>
                <w:lang w:val="en-US"/>
              </w:rPr>
              <w:t>670</w:t>
            </w:r>
            <w:r w:rsidR="00E9158F">
              <w:rPr>
                <w:sz w:val="20"/>
                <w:szCs w:val="20"/>
                <w:lang w:val="en-US"/>
              </w:rPr>
              <w:t>,</w:t>
            </w:r>
            <w:r w:rsidRPr="00E9158F">
              <w:rPr>
                <w:sz w:val="20"/>
                <w:szCs w:val="20"/>
                <w:lang w:val="en-US"/>
              </w:rPr>
              <w:t>459</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t>Mop</w:t>
            </w:r>
            <w:r w:rsidR="00E9158F">
              <w:rPr>
                <w:sz w:val="20"/>
                <w:szCs w:val="20"/>
                <w:lang w:val="en-US"/>
              </w:rPr>
              <w:t xml:space="preserve"> </w:t>
            </w:r>
            <w:r w:rsidRPr="00E9158F">
              <w:rPr>
                <w:sz w:val="20"/>
                <w:szCs w:val="20"/>
                <w:lang w:val="en-US"/>
              </w:rPr>
              <w:t>up</w:t>
            </w:r>
          </w:p>
        </w:tc>
        <w:tc>
          <w:tcPr>
            <w:tcW w:w="1200" w:type="dxa"/>
            <w:noWrap/>
            <w:hideMark/>
          </w:tcPr>
          <w:p w:rsidR="00D952F2" w:rsidRPr="00E9158F" w:rsidRDefault="00D952F2" w:rsidP="00D952F2">
            <w:pPr>
              <w:rPr>
                <w:sz w:val="20"/>
                <w:szCs w:val="20"/>
                <w:lang w:val="en-US"/>
              </w:rPr>
            </w:pPr>
            <w:r w:rsidRPr="00E9158F">
              <w:rPr>
                <w:sz w:val="20"/>
                <w:szCs w:val="20"/>
                <w:lang w:val="en-US"/>
              </w:rPr>
              <w:t>mOPV2</w:t>
            </w:r>
          </w:p>
        </w:tc>
        <w:tc>
          <w:tcPr>
            <w:tcW w:w="757" w:type="dxa"/>
            <w:noWrap/>
            <w:hideMark/>
          </w:tcPr>
          <w:p w:rsidR="00D952F2" w:rsidRPr="00E9158F" w:rsidRDefault="00D952F2" w:rsidP="00D952F2">
            <w:pPr>
              <w:rPr>
                <w:sz w:val="20"/>
                <w:szCs w:val="20"/>
                <w:lang w:val="en-US"/>
              </w:rPr>
            </w:pPr>
            <w:r w:rsidRPr="00E9158F">
              <w:rPr>
                <w:sz w:val="20"/>
                <w:szCs w:val="20"/>
                <w:lang w:val="en-US"/>
              </w:rPr>
              <w:t>2016</w:t>
            </w:r>
          </w:p>
        </w:tc>
        <w:tc>
          <w:tcPr>
            <w:tcW w:w="1194" w:type="dxa"/>
            <w:noWrap/>
            <w:hideMark/>
          </w:tcPr>
          <w:p w:rsidR="00D952F2" w:rsidRPr="00E9158F" w:rsidRDefault="00D952F2" w:rsidP="00D952F2">
            <w:pPr>
              <w:rPr>
                <w:sz w:val="20"/>
                <w:szCs w:val="20"/>
                <w:lang w:val="en-US"/>
              </w:rPr>
            </w:pPr>
            <w:r w:rsidRPr="00E9158F">
              <w:rPr>
                <w:sz w:val="20"/>
                <w:szCs w:val="20"/>
                <w:lang w:val="en-US"/>
              </w:rPr>
              <w:t>18/06/2016</w:t>
            </w:r>
          </w:p>
        </w:tc>
        <w:tc>
          <w:tcPr>
            <w:tcW w:w="1209" w:type="dxa"/>
            <w:noWrap/>
            <w:hideMark/>
          </w:tcPr>
          <w:p w:rsidR="00D952F2" w:rsidRPr="00E9158F" w:rsidRDefault="00D952F2" w:rsidP="00D952F2">
            <w:pPr>
              <w:rPr>
                <w:sz w:val="20"/>
                <w:szCs w:val="20"/>
                <w:lang w:val="en-US"/>
              </w:rPr>
            </w:pPr>
            <w:r w:rsidRPr="00E9158F">
              <w:rPr>
                <w:sz w:val="20"/>
                <w:szCs w:val="20"/>
                <w:lang w:val="en-US"/>
              </w:rPr>
              <w:t>19/06/2016</w:t>
            </w:r>
          </w:p>
        </w:tc>
        <w:tc>
          <w:tcPr>
            <w:tcW w:w="1167" w:type="dxa"/>
            <w:noWrap/>
            <w:hideMark/>
          </w:tcPr>
          <w:p w:rsidR="00D952F2" w:rsidRPr="00E9158F" w:rsidRDefault="00D952F2" w:rsidP="00D952F2">
            <w:pPr>
              <w:rPr>
                <w:sz w:val="20"/>
                <w:szCs w:val="20"/>
                <w:lang w:val="en-US"/>
              </w:rPr>
            </w:pPr>
            <w:r w:rsidRPr="00E9158F">
              <w:rPr>
                <w:sz w:val="20"/>
                <w:szCs w:val="20"/>
                <w:lang w:val="en-US"/>
              </w:rPr>
              <w:t>0 to 5 years</w:t>
            </w:r>
          </w:p>
        </w:tc>
        <w:tc>
          <w:tcPr>
            <w:tcW w:w="962" w:type="dxa"/>
            <w:noWrap/>
            <w:hideMark/>
          </w:tcPr>
          <w:p w:rsidR="00D952F2" w:rsidRPr="00E9158F" w:rsidRDefault="00D952F2" w:rsidP="00D952F2">
            <w:pPr>
              <w:rPr>
                <w:sz w:val="20"/>
                <w:szCs w:val="20"/>
                <w:lang w:val="en-US"/>
              </w:rPr>
            </w:pPr>
            <w:r w:rsidRPr="00E9158F">
              <w:rPr>
                <w:sz w:val="20"/>
                <w:szCs w:val="20"/>
                <w:lang w:val="en-US"/>
              </w:rPr>
              <w:t xml:space="preserve"> Sub-National</w:t>
            </w:r>
          </w:p>
        </w:tc>
        <w:tc>
          <w:tcPr>
            <w:tcW w:w="996" w:type="dxa"/>
            <w:noWrap/>
            <w:hideMark/>
          </w:tcPr>
          <w:p w:rsidR="00D952F2" w:rsidRPr="00E9158F" w:rsidRDefault="00D952F2" w:rsidP="00D952F2">
            <w:pPr>
              <w:rPr>
                <w:sz w:val="20"/>
                <w:szCs w:val="20"/>
                <w:lang w:val="en-US"/>
              </w:rPr>
            </w:pPr>
            <w:r w:rsidRPr="00E9158F">
              <w:rPr>
                <w:sz w:val="20"/>
                <w:szCs w:val="20"/>
                <w:lang w:val="en-US"/>
              </w:rPr>
              <w:t>Planned</w:t>
            </w:r>
          </w:p>
        </w:tc>
        <w:tc>
          <w:tcPr>
            <w:tcW w:w="1412" w:type="dxa"/>
            <w:noWrap/>
            <w:hideMark/>
          </w:tcPr>
          <w:p w:rsidR="00D952F2" w:rsidRPr="00E9158F" w:rsidRDefault="00D952F2" w:rsidP="00D952F2">
            <w:pPr>
              <w:rPr>
                <w:sz w:val="20"/>
                <w:szCs w:val="20"/>
                <w:lang w:val="en-US"/>
              </w:rPr>
            </w:pPr>
            <w:r w:rsidRPr="00E9158F">
              <w:rPr>
                <w:sz w:val="20"/>
                <w:szCs w:val="20"/>
                <w:lang w:val="en-US"/>
              </w:rPr>
              <w:t>3</w:t>
            </w:r>
            <w:r w:rsidR="00E9158F">
              <w:rPr>
                <w:sz w:val="20"/>
                <w:szCs w:val="20"/>
                <w:lang w:val="en-US"/>
              </w:rPr>
              <w:t>,</w:t>
            </w:r>
            <w:r w:rsidRPr="00E9158F">
              <w:rPr>
                <w:sz w:val="20"/>
                <w:szCs w:val="20"/>
                <w:lang w:val="en-US"/>
              </w:rPr>
              <w:t>440</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t>NID</w:t>
            </w:r>
          </w:p>
        </w:tc>
        <w:tc>
          <w:tcPr>
            <w:tcW w:w="1200" w:type="dxa"/>
            <w:noWrap/>
            <w:hideMark/>
          </w:tcPr>
          <w:p w:rsidR="00D952F2" w:rsidRPr="00E9158F" w:rsidRDefault="00D952F2" w:rsidP="00D952F2">
            <w:pPr>
              <w:rPr>
                <w:sz w:val="20"/>
                <w:szCs w:val="20"/>
                <w:lang w:val="en-US"/>
              </w:rPr>
            </w:pPr>
            <w:r w:rsidRPr="00E9158F">
              <w:rPr>
                <w:sz w:val="20"/>
                <w:szCs w:val="20"/>
                <w:lang w:val="en-US"/>
              </w:rPr>
              <w:t>tOPV</w:t>
            </w:r>
          </w:p>
        </w:tc>
        <w:tc>
          <w:tcPr>
            <w:tcW w:w="757" w:type="dxa"/>
            <w:noWrap/>
            <w:hideMark/>
          </w:tcPr>
          <w:p w:rsidR="00D952F2" w:rsidRPr="00E9158F" w:rsidRDefault="00D952F2" w:rsidP="00D952F2">
            <w:pPr>
              <w:rPr>
                <w:sz w:val="20"/>
                <w:szCs w:val="20"/>
                <w:lang w:val="en-US"/>
              </w:rPr>
            </w:pPr>
            <w:r w:rsidRPr="00E9158F">
              <w:rPr>
                <w:sz w:val="20"/>
                <w:szCs w:val="20"/>
                <w:lang w:val="en-US"/>
              </w:rPr>
              <w:t>2016</w:t>
            </w:r>
          </w:p>
        </w:tc>
        <w:tc>
          <w:tcPr>
            <w:tcW w:w="1194" w:type="dxa"/>
            <w:noWrap/>
            <w:hideMark/>
          </w:tcPr>
          <w:p w:rsidR="00D952F2" w:rsidRPr="00E9158F" w:rsidRDefault="00D952F2" w:rsidP="00D952F2">
            <w:pPr>
              <w:rPr>
                <w:sz w:val="20"/>
                <w:szCs w:val="20"/>
                <w:lang w:val="en-US"/>
              </w:rPr>
            </w:pPr>
            <w:r w:rsidRPr="00E9158F">
              <w:rPr>
                <w:sz w:val="20"/>
                <w:szCs w:val="20"/>
                <w:lang w:val="en-US"/>
              </w:rPr>
              <w:t>19/03/2016</w:t>
            </w:r>
          </w:p>
        </w:tc>
        <w:tc>
          <w:tcPr>
            <w:tcW w:w="1209" w:type="dxa"/>
            <w:noWrap/>
            <w:hideMark/>
          </w:tcPr>
          <w:p w:rsidR="00D952F2" w:rsidRPr="00E9158F" w:rsidRDefault="00D952F2" w:rsidP="00D952F2">
            <w:pPr>
              <w:rPr>
                <w:sz w:val="20"/>
                <w:szCs w:val="20"/>
                <w:lang w:val="en-US"/>
              </w:rPr>
            </w:pPr>
            <w:r w:rsidRPr="00E9158F">
              <w:rPr>
                <w:sz w:val="20"/>
                <w:szCs w:val="20"/>
                <w:lang w:val="en-US"/>
              </w:rPr>
              <w:t>22/03/2016</w:t>
            </w:r>
          </w:p>
        </w:tc>
        <w:tc>
          <w:tcPr>
            <w:tcW w:w="1167" w:type="dxa"/>
            <w:noWrap/>
            <w:hideMark/>
          </w:tcPr>
          <w:p w:rsidR="00D952F2" w:rsidRPr="00E9158F" w:rsidRDefault="00D952F2" w:rsidP="00D952F2">
            <w:pPr>
              <w:rPr>
                <w:sz w:val="20"/>
                <w:szCs w:val="20"/>
                <w:lang w:val="en-US"/>
              </w:rPr>
            </w:pPr>
            <w:r w:rsidRPr="00E9158F">
              <w:rPr>
                <w:sz w:val="20"/>
                <w:szCs w:val="20"/>
                <w:lang w:val="en-US"/>
              </w:rPr>
              <w:t>0 to 5 years</w:t>
            </w:r>
          </w:p>
        </w:tc>
        <w:tc>
          <w:tcPr>
            <w:tcW w:w="962" w:type="dxa"/>
            <w:noWrap/>
            <w:hideMark/>
          </w:tcPr>
          <w:p w:rsidR="00D952F2" w:rsidRPr="00E9158F" w:rsidRDefault="00D952F2" w:rsidP="00D952F2">
            <w:pPr>
              <w:rPr>
                <w:sz w:val="20"/>
                <w:szCs w:val="20"/>
                <w:lang w:val="en-US"/>
              </w:rPr>
            </w:pPr>
            <w:r w:rsidRPr="00E9158F">
              <w:rPr>
                <w:sz w:val="20"/>
                <w:szCs w:val="20"/>
                <w:lang w:val="en-US"/>
              </w:rPr>
              <w:t>National</w:t>
            </w:r>
          </w:p>
        </w:tc>
        <w:tc>
          <w:tcPr>
            <w:tcW w:w="996" w:type="dxa"/>
            <w:noWrap/>
            <w:hideMark/>
          </w:tcPr>
          <w:p w:rsidR="00D952F2" w:rsidRPr="00E9158F" w:rsidRDefault="00D952F2" w:rsidP="00D952F2">
            <w:pPr>
              <w:rPr>
                <w:sz w:val="20"/>
                <w:szCs w:val="20"/>
                <w:lang w:val="en-US"/>
              </w:rPr>
            </w:pPr>
            <w:r w:rsidRPr="00E9158F">
              <w:rPr>
                <w:sz w:val="20"/>
                <w:szCs w:val="20"/>
                <w:lang w:val="en-US"/>
              </w:rPr>
              <w:t>Planned</w:t>
            </w:r>
          </w:p>
        </w:tc>
        <w:tc>
          <w:tcPr>
            <w:tcW w:w="1412" w:type="dxa"/>
            <w:noWrap/>
            <w:hideMark/>
          </w:tcPr>
          <w:p w:rsidR="00D952F2" w:rsidRPr="00E9158F" w:rsidRDefault="00D952F2" w:rsidP="00D952F2">
            <w:pPr>
              <w:rPr>
                <w:sz w:val="20"/>
                <w:szCs w:val="20"/>
                <w:lang w:val="en-US"/>
              </w:rPr>
            </w:pPr>
            <w:r w:rsidRPr="00E9158F">
              <w:rPr>
                <w:sz w:val="20"/>
                <w:szCs w:val="20"/>
                <w:lang w:val="en-US"/>
              </w:rPr>
              <w:t>62</w:t>
            </w:r>
            <w:r w:rsidR="00E9158F">
              <w:rPr>
                <w:sz w:val="20"/>
                <w:szCs w:val="20"/>
                <w:lang w:val="en-US"/>
              </w:rPr>
              <w:t>,</w:t>
            </w:r>
            <w:r w:rsidRPr="00E9158F">
              <w:rPr>
                <w:sz w:val="20"/>
                <w:szCs w:val="20"/>
                <w:lang w:val="en-US"/>
              </w:rPr>
              <w:t>037</w:t>
            </w:r>
            <w:r w:rsidR="00E9158F">
              <w:rPr>
                <w:sz w:val="20"/>
                <w:szCs w:val="20"/>
                <w:lang w:val="en-US"/>
              </w:rPr>
              <w:t>,</w:t>
            </w:r>
            <w:r w:rsidRPr="00E9158F">
              <w:rPr>
                <w:sz w:val="20"/>
                <w:szCs w:val="20"/>
                <w:lang w:val="en-US"/>
              </w:rPr>
              <w:t>657</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t>SNID</w:t>
            </w:r>
          </w:p>
        </w:tc>
        <w:tc>
          <w:tcPr>
            <w:tcW w:w="1200" w:type="dxa"/>
            <w:noWrap/>
            <w:hideMark/>
          </w:tcPr>
          <w:p w:rsidR="00D952F2" w:rsidRPr="00E9158F" w:rsidRDefault="00D952F2" w:rsidP="00D952F2">
            <w:pPr>
              <w:rPr>
                <w:sz w:val="20"/>
                <w:szCs w:val="20"/>
                <w:lang w:val="en-US"/>
              </w:rPr>
            </w:pPr>
            <w:r w:rsidRPr="00E9158F">
              <w:rPr>
                <w:sz w:val="20"/>
                <w:szCs w:val="20"/>
                <w:lang w:val="en-US"/>
              </w:rPr>
              <w:t>bOPV</w:t>
            </w:r>
          </w:p>
        </w:tc>
        <w:tc>
          <w:tcPr>
            <w:tcW w:w="757" w:type="dxa"/>
            <w:noWrap/>
            <w:hideMark/>
          </w:tcPr>
          <w:p w:rsidR="00D952F2" w:rsidRPr="00E9158F" w:rsidRDefault="00D952F2" w:rsidP="00D952F2">
            <w:pPr>
              <w:rPr>
                <w:sz w:val="20"/>
                <w:szCs w:val="20"/>
                <w:lang w:val="en-US"/>
              </w:rPr>
            </w:pPr>
            <w:r w:rsidRPr="00E9158F">
              <w:rPr>
                <w:sz w:val="20"/>
                <w:szCs w:val="20"/>
                <w:lang w:val="en-US"/>
              </w:rPr>
              <w:t>2016</w:t>
            </w:r>
          </w:p>
        </w:tc>
        <w:tc>
          <w:tcPr>
            <w:tcW w:w="1194" w:type="dxa"/>
            <w:noWrap/>
            <w:hideMark/>
          </w:tcPr>
          <w:p w:rsidR="00D952F2" w:rsidRPr="00E9158F" w:rsidRDefault="00D952F2" w:rsidP="00D952F2">
            <w:pPr>
              <w:rPr>
                <w:sz w:val="20"/>
                <w:szCs w:val="20"/>
                <w:lang w:val="en-US"/>
              </w:rPr>
            </w:pPr>
            <w:r w:rsidRPr="00E9158F">
              <w:rPr>
                <w:sz w:val="20"/>
                <w:szCs w:val="20"/>
                <w:lang w:val="en-US"/>
              </w:rPr>
              <w:t>14/05/2016</w:t>
            </w:r>
          </w:p>
        </w:tc>
        <w:tc>
          <w:tcPr>
            <w:tcW w:w="1209" w:type="dxa"/>
            <w:noWrap/>
            <w:hideMark/>
          </w:tcPr>
          <w:p w:rsidR="00D952F2" w:rsidRPr="00E9158F" w:rsidRDefault="00D952F2" w:rsidP="00D952F2">
            <w:pPr>
              <w:rPr>
                <w:sz w:val="20"/>
                <w:szCs w:val="20"/>
                <w:lang w:val="en-US"/>
              </w:rPr>
            </w:pPr>
            <w:r w:rsidRPr="00E9158F">
              <w:rPr>
                <w:sz w:val="20"/>
                <w:szCs w:val="20"/>
                <w:lang w:val="en-US"/>
              </w:rPr>
              <w:t>18/05/2016</w:t>
            </w:r>
          </w:p>
        </w:tc>
        <w:tc>
          <w:tcPr>
            <w:tcW w:w="1167" w:type="dxa"/>
            <w:noWrap/>
            <w:hideMark/>
          </w:tcPr>
          <w:p w:rsidR="00D952F2" w:rsidRPr="00E9158F" w:rsidRDefault="00D952F2" w:rsidP="00D952F2">
            <w:pPr>
              <w:rPr>
                <w:sz w:val="20"/>
                <w:szCs w:val="20"/>
                <w:lang w:val="en-US"/>
              </w:rPr>
            </w:pPr>
            <w:r w:rsidRPr="00E9158F">
              <w:rPr>
                <w:sz w:val="20"/>
                <w:szCs w:val="20"/>
                <w:lang w:val="en-US"/>
              </w:rPr>
              <w:t>0 to 5 years</w:t>
            </w:r>
          </w:p>
        </w:tc>
        <w:tc>
          <w:tcPr>
            <w:tcW w:w="962" w:type="dxa"/>
            <w:noWrap/>
            <w:hideMark/>
          </w:tcPr>
          <w:p w:rsidR="00D952F2" w:rsidRPr="00E9158F" w:rsidRDefault="00D952F2" w:rsidP="00D952F2">
            <w:pPr>
              <w:rPr>
                <w:sz w:val="20"/>
                <w:szCs w:val="20"/>
                <w:lang w:val="en-US"/>
              </w:rPr>
            </w:pPr>
            <w:r w:rsidRPr="00E9158F">
              <w:rPr>
                <w:sz w:val="20"/>
                <w:szCs w:val="20"/>
                <w:lang w:val="en-US"/>
              </w:rPr>
              <w:t xml:space="preserve"> Sub-National</w:t>
            </w:r>
          </w:p>
        </w:tc>
        <w:tc>
          <w:tcPr>
            <w:tcW w:w="996" w:type="dxa"/>
            <w:noWrap/>
            <w:hideMark/>
          </w:tcPr>
          <w:p w:rsidR="00D952F2" w:rsidRPr="00E9158F" w:rsidRDefault="00D952F2" w:rsidP="00D952F2">
            <w:pPr>
              <w:rPr>
                <w:sz w:val="20"/>
                <w:szCs w:val="20"/>
                <w:lang w:val="en-US"/>
              </w:rPr>
            </w:pPr>
            <w:r w:rsidRPr="00E9158F">
              <w:rPr>
                <w:sz w:val="20"/>
                <w:szCs w:val="20"/>
                <w:lang w:val="en-US"/>
              </w:rPr>
              <w:t>Planned</w:t>
            </w:r>
          </w:p>
        </w:tc>
        <w:tc>
          <w:tcPr>
            <w:tcW w:w="1412" w:type="dxa"/>
            <w:noWrap/>
            <w:hideMark/>
          </w:tcPr>
          <w:p w:rsidR="00D952F2" w:rsidRPr="00E9158F" w:rsidRDefault="00D952F2" w:rsidP="00D952F2">
            <w:pPr>
              <w:rPr>
                <w:sz w:val="20"/>
                <w:szCs w:val="20"/>
                <w:lang w:val="en-US"/>
              </w:rPr>
            </w:pPr>
            <w:r w:rsidRPr="00E9158F">
              <w:rPr>
                <w:sz w:val="20"/>
                <w:szCs w:val="20"/>
                <w:lang w:val="en-US"/>
              </w:rPr>
              <w:t>30</w:t>
            </w:r>
            <w:r w:rsidR="00E9158F">
              <w:rPr>
                <w:sz w:val="20"/>
                <w:szCs w:val="20"/>
                <w:lang w:val="en-US"/>
              </w:rPr>
              <w:t>,</w:t>
            </w:r>
            <w:r w:rsidRPr="00E9158F">
              <w:rPr>
                <w:sz w:val="20"/>
                <w:szCs w:val="20"/>
                <w:lang w:val="en-US"/>
              </w:rPr>
              <w:t>000</w:t>
            </w:r>
            <w:r w:rsidR="00E9158F">
              <w:rPr>
                <w:sz w:val="20"/>
                <w:szCs w:val="20"/>
                <w:lang w:val="en-US"/>
              </w:rPr>
              <w:t>,</w:t>
            </w:r>
            <w:r w:rsidRPr="00E9158F">
              <w:rPr>
                <w:sz w:val="20"/>
                <w:szCs w:val="20"/>
                <w:lang w:val="en-US"/>
              </w:rPr>
              <w:t>000</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t>SNID</w:t>
            </w:r>
          </w:p>
        </w:tc>
        <w:tc>
          <w:tcPr>
            <w:tcW w:w="1200" w:type="dxa"/>
            <w:noWrap/>
            <w:hideMark/>
          </w:tcPr>
          <w:p w:rsidR="00D952F2" w:rsidRPr="00E9158F" w:rsidRDefault="00D952F2" w:rsidP="00D952F2">
            <w:pPr>
              <w:rPr>
                <w:sz w:val="20"/>
                <w:szCs w:val="20"/>
                <w:lang w:val="en-US"/>
              </w:rPr>
            </w:pPr>
            <w:r w:rsidRPr="00E9158F">
              <w:rPr>
                <w:sz w:val="20"/>
                <w:szCs w:val="20"/>
                <w:lang w:val="en-US"/>
              </w:rPr>
              <w:t>tOPV</w:t>
            </w:r>
          </w:p>
        </w:tc>
        <w:tc>
          <w:tcPr>
            <w:tcW w:w="757" w:type="dxa"/>
            <w:noWrap/>
            <w:hideMark/>
          </w:tcPr>
          <w:p w:rsidR="00D952F2" w:rsidRPr="00E9158F" w:rsidRDefault="00D952F2" w:rsidP="00D952F2">
            <w:pPr>
              <w:rPr>
                <w:sz w:val="20"/>
                <w:szCs w:val="20"/>
                <w:lang w:val="en-US"/>
              </w:rPr>
            </w:pPr>
            <w:r w:rsidRPr="00E9158F">
              <w:rPr>
                <w:sz w:val="20"/>
                <w:szCs w:val="20"/>
                <w:lang w:val="en-US"/>
              </w:rPr>
              <w:t>2016</w:t>
            </w:r>
          </w:p>
        </w:tc>
        <w:tc>
          <w:tcPr>
            <w:tcW w:w="1194" w:type="dxa"/>
            <w:noWrap/>
            <w:hideMark/>
          </w:tcPr>
          <w:p w:rsidR="00D952F2" w:rsidRPr="00E9158F" w:rsidRDefault="00D952F2" w:rsidP="00D952F2">
            <w:pPr>
              <w:rPr>
                <w:sz w:val="20"/>
                <w:szCs w:val="20"/>
                <w:lang w:val="en-US"/>
              </w:rPr>
            </w:pPr>
            <w:r w:rsidRPr="00E9158F">
              <w:rPr>
                <w:sz w:val="20"/>
                <w:szCs w:val="20"/>
                <w:lang w:val="en-US"/>
              </w:rPr>
              <w:t>16/01/2016</w:t>
            </w:r>
          </w:p>
        </w:tc>
        <w:tc>
          <w:tcPr>
            <w:tcW w:w="1209" w:type="dxa"/>
            <w:noWrap/>
            <w:hideMark/>
          </w:tcPr>
          <w:p w:rsidR="00D952F2" w:rsidRPr="00E9158F" w:rsidRDefault="00D952F2" w:rsidP="00D952F2">
            <w:pPr>
              <w:rPr>
                <w:sz w:val="20"/>
                <w:szCs w:val="20"/>
                <w:lang w:val="en-US"/>
              </w:rPr>
            </w:pPr>
            <w:r w:rsidRPr="00E9158F">
              <w:rPr>
                <w:sz w:val="20"/>
                <w:szCs w:val="20"/>
                <w:lang w:val="en-US"/>
              </w:rPr>
              <w:t>19/01/2016</w:t>
            </w:r>
          </w:p>
        </w:tc>
        <w:tc>
          <w:tcPr>
            <w:tcW w:w="1167" w:type="dxa"/>
            <w:noWrap/>
            <w:hideMark/>
          </w:tcPr>
          <w:p w:rsidR="00D952F2" w:rsidRPr="00E9158F" w:rsidRDefault="00D952F2" w:rsidP="00D952F2">
            <w:pPr>
              <w:rPr>
                <w:sz w:val="20"/>
                <w:szCs w:val="20"/>
                <w:lang w:val="en-US"/>
              </w:rPr>
            </w:pPr>
            <w:r w:rsidRPr="00E9158F">
              <w:rPr>
                <w:sz w:val="20"/>
                <w:szCs w:val="20"/>
                <w:lang w:val="en-US"/>
              </w:rPr>
              <w:t>0 to 5 years</w:t>
            </w:r>
          </w:p>
        </w:tc>
        <w:tc>
          <w:tcPr>
            <w:tcW w:w="962" w:type="dxa"/>
            <w:noWrap/>
            <w:hideMark/>
          </w:tcPr>
          <w:p w:rsidR="00D952F2" w:rsidRPr="00E9158F" w:rsidRDefault="00D952F2" w:rsidP="00D952F2">
            <w:pPr>
              <w:rPr>
                <w:sz w:val="20"/>
                <w:szCs w:val="20"/>
                <w:lang w:val="en-US"/>
              </w:rPr>
            </w:pPr>
            <w:r w:rsidRPr="00E9158F">
              <w:rPr>
                <w:sz w:val="20"/>
                <w:szCs w:val="20"/>
                <w:lang w:val="en-US"/>
              </w:rPr>
              <w:t xml:space="preserve"> Sub-National</w:t>
            </w:r>
          </w:p>
        </w:tc>
        <w:tc>
          <w:tcPr>
            <w:tcW w:w="996" w:type="dxa"/>
            <w:noWrap/>
            <w:hideMark/>
          </w:tcPr>
          <w:p w:rsidR="00D952F2" w:rsidRPr="00E9158F" w:rsidRDefault="00D952F2" w:rsidP="00D952F2">
            <w:pPr>
              <w:rPr>
                <w:sz w:val="20"/>
                <w:szCs w:val="20"/>
                <w:lang w:val="en-US"/>
              </w:rPr>
            </w:pPr>
            <w:r w:rsidRPr="00E9158F">
              <w:rPr>
                <w:sz w:val="20"/>
                <w:szCs w:val="20"/>
                <w:lang w:val="en-US"/>
              </w:rPr>
              <w:t>Planned</w:t>
            </w:r>
          </w:p>
        </w:tc>
        <w:tc>
          <w:tcPr>
            <w:tcW w:w="1412" w:type="dxa"/>
            <w:noWrap/>
            <w:hideMark/>
          </w:tcPr>
          <w:p w:rsidR="00D952F2" w:rsidRPr="00E9158F" w:rsidRDefault="00D952F2" w:rsidP="00D952F2">
            <w:pPr>
              <w:rPr>
                <w:sz w:val="20"/>
                <w:szCs w:val="20"/>
                <w:lang w:val="en-US"/>
              </w:rPr>
            </w:pPr>
            <w:r w:rsidRPr="00E9158F">
              <w:rPr>
                <w:sz w:val="20"/>
                <w:szCs w:val="20"/>
                <w:lang w:val="en-US"/>
              </w:rPr>
              <w:t>27</w:t>
            </w:r>
            <w:r w:rsidR="00E9158F">
              <w:rPr>
                <w:sz w:val="20"/>
                <w:szCs w:val="20"/>
                <w:lang w:val="en-US"/>
              </w:rPr>
              <w:t>,</w:t>
            </w:r>
            <w:r w:rsidRPr="00E9158F">
              <w:rPr>
                <w:sz w:val="20"/>
                <w:szCs w:val="20"/>
                <w:lang w:val="en-US"/>
              </w:rPr>
              <w:t>500</w:t>
            </w:r>
            <w:r w:rsidR="00E9158F">
              <w:rPr>
                <w:sz w:val="20"/>
                <w:szCs w:val="20"/>
                <w:lang w:val="en-US"/>
              </w:rPr>
              <w:t>,</w:t>
            </w:r>
            <w:r w:rsidRPr="00E9158F">
              <w:rPr>
                <w:sz w:val="20"/>
                <w:szCs w:val="20"/>
                <w:lang w:val="en-US"/>
              </w:rPr>
              <w:t>275</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t>Mop</w:t>
            </w:r>
            <w:r w:rsidR="00E9158F">
              <w:rPr>
                <w:sz w:val="20"/>
                <w:szCs w:val="20"/>
                <w:lang w:val="en-US"/>
              </w:rPr>
              <w:t xml:space="preserve"> </w:t>
            </w:r>
            <w:r w:rsidRPr="00E9158F">
              <w:rPr>
                <w:sz w:val="20"/>
                <w:szCs w:val="20"/>
                <w:lang w:val="en-US"/>
              </w:rPr>
              <w:t>up</w:t>
            </w:r>
          </w:p>
        </w:tc>
        <w:tc>
          <w:tcPr>
            <w:tcW w:w="1200" w:type="dxa"/>
            <w:noWrap/>
            <w:hideMark/>
          </w:tcPr>
          <w:p w:rsidR="00D952F2" w:rsidRPr="00E9158F" w:rsidRDefault="00D952F2" w:rsidP="00D952F2">
            <w:pPr>
              <w:rPr>
                <w:sz w:val="20"/>
                <w:szCs w:val="20"/>
                <w:lang w:val="en-US"/>
              </w:rPr>
            </w:pPr>
            <w:r w:rsidRPr="00E9158F">
              <w:rPr>
                <w:sz w:val="20"/>
                <w:szCs w:val="20"/>
                <w:lang w:val="en-US"/>
              </w:rPr>
              <w:t>IPV + mOPV2</w:t>
            </w:r>
          </w:p>
        </w:tc>
        <w:tc>
          <w:tcPr>
            <w:tcW w:w="757" w:type="dxa"/>
            <w:noWrap/>
            <w:hideMark/>
          </w:tcPr>
          <w:p w:rsidR="00D952F2" w:rsidRPr="00E9158F" w:rsidRDefault="00D952F2" w:rsidP="00D952F2">
            <w:pPr>
              <w:rPr>
                <w:sz w:val="20"/>
                <w:szCs w:val="20"/>
                <w:lang w:val="en-US"/>
              </w:rPr>
            </w:pPr>
            <w:r w:rsidRPr="00E9158F">
              <w:rPr>
                <w:sz w:val="20"/>
                <w:szCs w:val="20"/>
                <w:lang w:val="en-US"/>
              </w:rPr>
              <w:t>2016</w:t>
            </w:r>
          </w:p>
        </w:tc>
        <w:tc>
          <w:tcPr>
            <w:tcW w:w="1194" w:type="dxa"/>
            <w:noWrap/>
            <w:hideMark/>
          </w:tcPr>
          <w:p w:rsidR="00D952F2" w:rsidRPr="00E9158F" w:rsidRDefault="00D952F2" w:rsidP="00D952F2">
            <w:pPr>
              <w:rPr>
                <w:sz w:val="20"/>
                <w:szCs w:val="20"/>
                <w:lang w:val="en-US"/>
              </w:rPr>
            </w:pPr>
            <w:r w:rsidRPr="00E9158F">
              <w:rPr>
                <w:sz w:val="20"/>
                <w:szCs w:val="20"/>
                <w:lang w:val="en-US"/>
              </w:rPr>
              <w:t>09/07/2016</w:t>
            </w:r>
          </w:p>
        </w:tc>
        <w:tc>
          <w:tcPr>
            <w:tcW w:w="1209" w:type="dxa"/>
            <w:noWrap/>
            <w:hideMark/>
          </w:tcPr>
          <w:p w:rsidR="00D952F2" w:rsidRPr="00E9158F" w:rsidRDefault="00D952F2" w:rsidP="00D952F2">
            <w:pPr>
              <w:rPr>
                <w:sz w:val="20"/>
                <w:szCs w:val="20"/>
                <w:lang w:val="en-US"/>
              </w:rPr>
            </w:pPr>
            <w:r w:rsidRPr="00E9158F">
              <w:rPr>
                <w:sz w:val="20"/>
                <w:szCs w:val="20"/>
                <w:lang w:val="en-US"/>
              </w:rPr>
              <w:t>16/07/2016</w:t>
            </w:r>
          </w:p>
        </w:tc>
        <w:tc>
          <w:tcPr>
            <w:tcW w:w="1167" w:type="dxa"/>
            <w:noWrap/>
            <w:hideMark/>
          </w:tcPr>
          <w:p w:rsidR="00D952F2" w:rsidRPr="00E9158F" w:rsidRDefault="00D952F2" w:rsidP="00D952F2">
            <w:pPr>
              <w:rPr>
                <w:sz w:val="20"/>
                <w:szCs w:val="20"/>
                <w:lang w:val="en-US"/>
              </w:rPr>
            </w:pPr>
            <w:r w:rsidRPr="00E9158F">
              <w:rPr>
                <w:sz w:val="20"/>
                <w:szCs w:val="20"/>
                <w:lang w:val="en-US"/>
              </w:rPr>
              <w:t>0 to 5 years,0-23M</w:t>
            </w:r>
          </w:p>
        </w:tc>
        <w:tc>
          <w:tcPr>
            <w:tcW w:w="962" w:type="dxa"/>
            <w:noWrap/>
            <w:hideMark/>
          </w:tcPr>
          <w:p w:rsidR="00D952F2" w:rsidRPr="00E9158F" w:rsidRDefault="00D952F2" w:rsidP="00D952F2">
            <w:pPr>
              <w:rPr>
                <w:sz w:val="20"/>
                <w:szCs w:val="20"/>
                <w:lang w:val="en-US"/>
              </w:rPr>
            </w:pPr>
            <w:r w:rsidRPr="00E9158F">
              <w:rPr>
                <w:sz w:val="20"/>
                <w:szCs w:val="20"/>
                <w:lang w:val="en-US"/>
              </w:rPr>
              <w:t xml:space="preserve"> Sub-National</w:t>
            </w:r>
          </w:p>
        </w:tc>
        <w:tc>
          <w:tcPr>
            <w:tcW w:w="996" w:type="dxa"/>
            <w:noWrap/>
            <w:hideMark/>
          </w:tcPr>
          <w:p w:rsidR="00D952F2" w:rsidRPr="00E9158F" w:rsidRDefault="00D952F2" w:rsidP="00D952F2">
            <w:pPr>
              <w:rPr>
                <w:sz w:val="20"/>
                <w:szCs w:val="20"/>
                <w:lang w:val="en-US"/>
              </w:rPr>
            </w:pPr>
            <w:r w:rsidRPr="00E9158F">
              <w:rPr>
                <w:sz w:val="20"/>
                <w:szCs w:val="20"/>
                <w:lang w:val="en-US"/>
              </w:rPr>
              <w:t>Planned</w:t>
            </w:r>
          </w:p>
        </w:tc>
        <w:tc>
          <w:tcPr>
            <w:tcW w:w="1412" w:type="dxa"/>
            <w:noWrap/>
            <w:hideMark/>
          </w:tcPr>
          <w:p w:rsidR="00D952F2" w:rsidRPr="00E9158F" w:rsidRDefault="00D952F2" w:rsidP="00D952F2">
            <w:pPr>
              <w:rPr>
                <w:sz w:val="20"/>
                <w:szCs w:val="20"/>
                <w:lang w:val="en-US"/>
              </w:rPr>
            </w:pPr>
            <w:r w:rsidRPr="00E9158F">
              <w:rPr>
                <w:sz w:val="20"/>
                <w:szCs w:val="20"/>
                <w:lang w:val="en-US"/>
              </w:rPr>
              <w:t>2</w:t>
            </w:r>
            <w:r w:rsidR="00E9158F">
              <w:rPr>
                <w:sz w:val="20"/>
                <w:szCs w:val="20"/>
                <w:lang w:val="en-US"/>
              </w:rPr>
              <w:t>,</w:t>
            </w:r>
            <w:r w:rsidRPr="00E9158F">
              <w:rPr>
                <w:sz w:val="20"/>
                <w:szCs w:val="20"/>
                <w:lang w:val="en-US"/>
              </w:rPr>
              <w:t>534</w:t>
            </w:r>
            <w:r w:rsidR="00E9158F">
              <w:rPr>
                <w:sz w:val="20"/>
                <w:szCs w:val="20"/>
                <w:lang w:val="en-US"/>
              </w:rPr>
              <w:t>,</w:t>
            </w:r>
            <w:r w:rsidRPr="00E9158F">
              <w:rPr>
                <w:sz w:val="20"/>
                <w:szCs w:val="20"/>
                <w:lang w:val="en-US"/>
              </w:rPr>
              <w:t>469</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t>Mop</w:t>
            </w:r>
            <w:r w:rsidR="00E9158F">
              <w:rPr>
                <w:sz w:val="20"/>
                <w:szCs w:val="20"/>
                <w:lang w:val="en-US"/>
              </w:rPr>
              <w:t xml:space="preserve"> </w:t>
            </w:r>
            <w:r w:rsidRPr="00E9158F">
              <w:rPr>
                <w:sz w:val="20"/>
                <w:szCs w:val="20"/>
                <w:lang w:val="en-US"/>
              </w:rPr>
              <w:t>up</w:t>
            </w:r>
          </w:p>
        </w:tc>
        <w:tc>
          <w:tcPr>
            <w:tcW w:w="1200" w:type="dxa"/>
            <w:noWrap/>
            <w:hideMark/>
          </w:tcPr>
          <w:p w:rsidR="00D952F2" w:rsidRPr="00E9158F" w:rsidRDefault="00D952F2" w:rsidP="00D952F2">
            <w:pPr>
              <w:rPr>
                <w:sz w:val="20"/>
                <w:szCs w:val="20"/>
                <w:lang w:val="en-US"/>
              </w:rPr>
            </w:pPr>
            <w:r w:rsidRPr="00E9158F">
              <w:rPr>
                <w:sz w:val="20"/>
                <w:szCs w:val="20"/>
                <w:lang w:val="en-US"/>
              </w:rPr>
              <w:t>mOPV2</w:t>
            </w:r>
          </w:p>
        </w:tc>
        <w:tc>
          <w:tcPr>
            <w:tcW w:w="757" w:type="dxa"/>
            <w:noWrap/>
            <w:hideMark/>
          </w:tcPr>
          <w:p w:rsidR="00D952F2" w:rsidRPr="00E9158F" w:rsidRDefault="00D952F2" w:rsidP="00D952F2">
            <w:pPr>
              <w:rPr>
                <w:sz w:val="20"/>
                <w:szCs w:val="20"/>
                <w:lang w:val="en-US"/>
              </w:rPr>
            </w:pPr>
            <w:r w:rsidRPr="00E9158F">
              <w:rPr>
                <w:sz w:val="20"/>
                <w:szCs w:val="20"/>
                <w:lang w:val="en-US"/>
              </w:rPr>
              <w:t>2016</w:t>
            </w:r>
          </w:p>
        </w:tc>
        <w:tc>
          <w:tcPr>
            <w:tcW w:w="1194" w:type="dxa"/>
            <w:noWrap/>
            <w:hideMark/>
          </w:tcPr>
          <w:p w:rsidR="00D952F2" w:rsidRPr="00E9158F" w:rsidRDefault="00D952F2" w:rsidP="00D952F2">
            <w:pPr>
              <w:rPr>
                <w:sz w:val="20"/>
                <w:szCs w:val="20"/>
                <w:lang w:val="en-US"/>
              </w:rPr>
            </w:pPr>
            <w:r w:rsidRPr="00E9158F">
              <w:rPr>
                <w:sz w:val="20"/>
                <w:szCs w:val="20"/>
                <w:lang w:val="en-US"/>
              </w:rPr>
              <w:t>25/06/2016</w:t>
            </w:r>
          </w:p>
        </w:tc>
        <w:tc>
          <w:tcPr>
            <w:tcW w:w="1209" w:type="dxa"/>
            <w:noWrap/>
            <w:hideMark/>
          </w:tcPr>
          <w:p w:rsidR="00D952F2" w:rsidRPr="00E9158F" w:rsidRDefault="00D952F2" w:rsidP="00D952F2">
            <w:pPr>
              <w:rPr>
                <w:sz w:val="20"/>
                <w:szCs w:val="20"/>
                <w:lang w:val="en-US"/>
              </w:rPr>
            </w:pPr>
            <w:r w:rsidRPr="00E9158F">
              <w:rPr>
                <w:sz w:val="20"/>
                <w:szCs w:val="20"/>
                <w:lang w:val="en-US"/>
              </w:rPr>
              <w:t>28/06/2016</w:t>
            </w:r>
          </w:p>
        </w:tc>
        <w:tc>
          <w:tcPr>
            <w:tcW w:w="1167" w:type="dxa"/>
            <w:noWrap/>
            <w:hideMark/>
          </w:tcPr>
          <w:p w:rsidR="00D952F2" w:rsidRPr="00E9158F" w:rsidRDefault="00D952F2" w:rsidP="00D952F2">
            <w:pPr>
              <w:rPr>
                <w:sz w:val="20"/>
                <w:szCs w:val="20"/>
                <w:lang w:val="en-US"/>
              </w:rPr>
            </w:pPr>
            <w:r w:rsidRPr="00E9158F">
              <w:rPr>
                <w:sz w:val="20"/>
                <w:szCs w:val="20"/>
                <w:lang w:val="en-US"/>
              </w:rPr>
              <w:t>0 to 5 years</w:t>
            </w:r>
          </w:p>
        </w:tc>
        <w:tc>
          <w:tcPr>
            <w:tcW w:w="962" w:type="dxa"/>
            <w:noWrap/>
            <w:hideMark/>
          </w:tcPr>
          <w:p w:rsidR="00D952F2" w:rsidRPr="00E9158F" w:rsidRDefault="00D952F2" w:rsidP="00D952F2">
            <w:pPr>
              <w:rPr>
                <w:sz w:val="20"/>
                <w:szCs w:val="20"/>
                <w:lang w:val="en-US"/>
              </w:rPr>
            </w:pPr>
            <w:r w:rsidRPr="00E9158F">
              <w:rPr>
                <w:sz w:val="20"/>
                <w:szCs w:val="20"/>
                <w:lang w:val="en-US"/>
              </w:rPr>
              <w:t xml:space="preserve"> Sub-National</w:t>
            </w:r>
          </w:p>
        </w:tc>
        <w:tc>
          <w:tcPr>
            <w:tcW w:w="996" w:type="dxa"/>
            <w:noWrap/>
            <w:hideMark/>
          </w:tcPr>
          <w:p w:rsidR="00D952F2" w:rsidRPr="00E9158F" w:rsidRDefault="00D952F2" w:rsidP="00D952F2">
            <w:pPr>
              <w:rPr>
                <w:sz w:val="20"/>
                <w:szCs w:val="20"/>
                <w:lang w:val="en-US"/>
              </w:rPr>
            </w:pPr>
            <w:r w:rsidRPr="00E9158F">
              <w:rPr>
                <w:sz w:val="20"/>
                <w:szCs w:val="20"/>
                <w:lang w:val="en-US"/>
              </w:rPr>
              <w:t>Planned</w:t>
            </w:r>
          </w:p>
        </w:tc>
        <w:tc>
          <w:tcPr>
            <w:tcW w:w="1412" w:type="dxa"/>
            <w:noWrap/>
            <w:hideMark/>
          </w:tcPr>
          <w:p w:rsidR="00D952F2" w:rsidRPr="00E9158F" w:rsidRDefault="00D952F2" w:rsidP="00D952F2">
            <w:pPr>
              <w:rPr>
                <w:sz w:val="20"/>
                <w:szCs w:val="20"/>
                <w:lang w:val="en-US"/>
              </w:rPr>
            </w:pPr>
            <w:r w:rsidRPr="00E9158F">
              <w:rPr>
                <w:sz w:val="20"/>
                <w:szCs w:val="20"/>
                <w:lang w:val="en-US"/>
              </w:rPr>
              <w:t>1</w:t>
            </w:r>
            <w:r w:rsidR="00E9158F">
              <w:rPr>
                <w:sz w:val="20"/>
                <w:szCs w:val="20"/>
                <w:lang w:val="en-US"/>
              </w:rPr>
              <w:t>,</w:t>
            </w:r>
            <w:r w:rsidRPr="00E9158F">
              <w:rPr>
                <w:sz w:val="20"/>
                <w:szCs w:val="20"/>
                <w:lang w:val="en-US"/>
              </w:rPr>
              <w:t>957</w:t>
            </w:r>
            <w:r w:rsidR="00E9158F">
              <w:rPr>
                <w:sz w:val="20"/>
                <w:szCs w:val="20"/>
                <w:lang w:val="en-US"/>
              </w:rPr>
              <w:t>,</w:t>
            </w:r>
            <w:r w:rsidRPr="00E9158F">
              <w:rPr>
                <w:sz w:val="20"/>
                <w:szCs w:val="20"/>
                <w:lang w:val="en-US"/>
              </w:rPr>
              <w:t>604</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t>Mop</w:t>
            </w:r>
            <w:r w:rsidR="00E9158F">
              <w:rPr>
                <w:sz w:val="20"/>
                <w:szCs w:val="20"/>
                <w:lang w:val="en-US"/>
              </w:rPr>
              <w:t xml:space="preserve"> </w:t>
            </w:r>
            <w:r w:rsidRPr="00E9158F">
              <w:rPr>
                <w:sz w:val="20"/>
                <w:szCs w:val="20"/>
                <w:lang w:val="en-US"/>
              </w:rPr>
              <w:t>up</w:t>
            </w:r>
          </w:p>
        </w:tc>
        <w:tc>
          <w:tcPr>
            <w:tcW w:w="1200" w:type="dxa"/>
            <w:noWrap/>
            <w:hideMark/>
          </w:tcPr>
          <w:p w:rsidR="00D952F2" w:rsidRPr="00E9158F" w:rsidRDefault="00D952F2" w:rsidP="00D952F2">
            <w:pPr>
              <w:rPr>
                <w:sz w:val="20"/>
                <w:szCs w:val="20"/>
                <w:lang w:val="en-US"/>
              </w:rPr>
            </w:pPr>
            <w:r w:rsidRPr="00E9158F">
              <w:rPr>
                <w:sz w:val="20"/>
                <w:szCs w:val="20"/>
                <w:lang w:val="en-US"/>
              </w:rPr>
              <w:t>mOPV2</w:t>
            </w:r>
          </w:p>
        </w:tc>
        <w:tc>
          <w:tcPr>
            <w:tcW w:w="757" w:type="dxa"/>
            <w:noWrap/>
            <w:hideMark/>
          </w:tcPr>
          <w:p w:rsidR="00D952F2" w:rsidRPr="00E9158F" w:rsidRDefault="00D952F2" w:rsidP="00D952F2">
            <w:pPr>
              <w:rPr>
                <w:sz w:val="20"/>
                <w:szCs w:val="20"/>
                <w:lang w:val="en-US"/>
              </w:rPr>
            </w:pPr>
            <w:r w:rsidRPr="00E9158F">
              <w:rPr>
                <w:sz w:val="20"/>
                <w:szCs w:val="20"/>
                <w:lang w:val="en-US"/>
              </w:rPr>
              <w:t>2016</w:t>
            </w:r>
          </w:p>
        </w:tc>
        <w:tc>
          <w:tcPr>
            <w:tcW w:w="1194" w:type="dxa"/>
            <w:noWrap/>
            <w:hideMark/>
          </w:tcPr>
          <w:p w:rsidR="00D952F2" w:rsidRPr="00E9158F" w:rsidRDefault="00D952F2" w:rsidP="00D952F2">
            <w:pPr>
              <w:rPr>
                <w:sz w:val="20"/>
                <w:szCs w:val="20"/>
                <w:lang w:val="en-US"/>
              </w:rPr>
            </w:pPr>
            <w:r w:rsidRPr="00E9158F">
              <w:rPr>
                <w:sz w:val="20"/>
                <w:szCs w:val="20"/>
                <w:lang w:val="en-US"/>
              </w:rPr>
              <w:t>23/07/2016</w:t>
            </w:r>
          </w:p>
        </w:tc>
        <w:tc>
          <w:tcPr>
            <w:tcW w:w="1209" w:type="dxa"/>
            <w:noWrap/>
            <w:hideMark/>
          </w:tcPr>
          <w:p w:rsidR="00D952F2" w:rsidRPr="00E9158F" w:rsidRDefault="00D952F2" w:rsidP="00D952F2">
            <w:pPr>
              <w:rPr>
                <w:sz w:val="20"/>
                <w:szCs w:val="20"/>
                <w:lang w:val="en-US"/>
              </w:rPr>
            </w:pPr>
            <w:r w:rsidRPr="00E9158F">
              <w:rPr>
                <w:sz w:val="20"/>
                <w:szCs w:val="20"/>
                <w:lang w:val="en-US"/>
              </w:rPr>
              <w:t>26/07/2016</w:t>
            </w:r>
          </w:p>
        </w:tc>
        <w:tc>
          <w:tcPr>
            <w:tcW w:w="1167" w:type="dxa"/>
            <w:noWrap/>
            <w:hideMark/>
          </w:tcPr>
          <w:p w:rsidR="00D952F2" w:rsidRPr="00E9158F" w:rsidRDefault="00D952F2" w:rsidP="00D952F2">
            <w:pPr>
              <w:rPr>
                <w:sz w:val="20"/>
                <w:szCs w:val="20"/>
                <w:lang w:val="en-US"/>
              </w:rPr>
            </w:pPr>
            <w:r w:rsidRPr="00E9158F">
              <w:rPr>
                <w:sz w:val="20"/>
                <w:szCs w:val="20"/>
                <w:lang w:val="en-US"/>
              </w:rPr>
              <w:t>0 to 5 years</w:t>
            </w:r>
          </w:p>
        </w:tc>
        <w:tc>
          <w:tcPr>
            <w:tcW w:w="962" w:type="dxa"/>
            <w:noWrap/>
            <w:hideMark/>
          </w:tcPr>
          <w:p w:rsidR="00D952F2" w:rsidRPr="00E9158F" w:rsidRDefault="00D952F2" w:rsidP="00D952F2">
            <w:pPr>
              <w:rPr>
                <w:sz w:val="20"/>
                <w:szCs w:val="20"/>
                <w:lang w:val="en-US"/>
              </w:rPr>
            </w:pPr>
            <w:r w:rsidRPr="00E9158F">
              <w:rPr>
                <w:sz w:val="20"/>
                <w:szCs w:val="20"/>
                <w:lang w:val="en-US"/>
              </w:rPr>
              <w:t xml:space="preserve"> Sub-</w:t>
            </w:r>
            <w:r w:rsidRPr="00E9158F">
              <w:rPr>
                <w:sz w:val="20"/>
                <w:szCs w:val="20"/>
                <w:lang w:val="en-US"/>
              </w:rPr>
              <w:lastRenderedPageBreak/>
              <w:t>National</w:t>
            </w:r>
          </w:p>
        </w:tc>
        <w:tc>
          <w:tcPr>
            <w:tcW w:w="996" w:type="dxa"/>
            <w:noWrap/>
            <w:hideMark/>
          </w:tcPr>
          <w:p w:rsidR="00D952F2" w:rsidRPr="00E9158F" w:rsidRDefault="00D952F2" w:rsidP="00D952F2">
            <w:pPr>
              <w:rPr>
                <w:sz w:val="20"/>
                <w:szCs w:val="20"/>
                <w:lang w:val="en-US"/>
              </w:rPr>
            </w:pPr>
            <w:r w:rsidRPr="00E9158F">
              <w:rPr>
                <w:sz w:val="20"/>
                <w:szCs w:val="20"/>
                <w:lang w:val="en-US"/>
              </w:rPr>
              <w:lastRenderedPageBreak/>
              <w:t>Planned</w:t>
            </w:r>
          </w:p>
        </w:tc>
        <w:tc>
          <w:tcPr>
            <w:tcW w:w="1412" w:type="dxa"/>
            <w:noWrap/>
            <w:hideMark/>
          </w:tcPr>
          <w:p w:rsidR="00D952F2" w:rsidRPr="00E9158F" w:rsidRDefault="00D952F2" w:rsidP="00D952F2">
            <w:pPr>
              <w:rPr>
                <w:sz w:val="20"/>
                <w:szCs w:val="20"/>
                <w:lang w:val="en-US"/>
              </w:rPr>
            </w:pPr>
            <w:r w:rsidRPr="00E9158F">
              <w:rPr>
                <w:sz w:val="20"/>
                <w:szCs w:val="20"/>
                <w:lang w:val="en-US"/>
              </w:rPr>
              <w:t>1</w:t>
            </w:r>
            <w:r w:rsidR="00E9158F">
              <w:rPr>
                <w:sz w:val="20"/>
                <w:szCs w:val="20"/>
                <w:lang w:val="en-US"/>
              </w:rPr>
              <w:t>,</w:t>
            </w:r>
            <w:r w:rsidRPr="00E9158F">
              <w:rPr>
                <w:sz w:val="20"/>
                <w:szCs w:val="20"/>
                <w:lang w:val="en-US"/>
              </w:rPr>
              <w:t>955</w:t>
            </w:r>
            <w:r w:rsidR="00E9158F">
              <w:rPr>
                <w:sz w:val="20"/>
                <w:szCs w:val="20"/>
                <w:lang w:val="en-US"/>
              </w:rPr>
              <w:t>,</w:t>
            </w:r>
            <w:r w:rsidRPr="00E9158F">
              <w:rPr>
                <w:sz w:val="20"/>
                <w:szCs w:val="20"/>
                <w:lang w:val="en-US"/>
              </w:rPr>
              <w:t>575</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lastRenderedPageBreak/>
              <w:t>Mop</w:t>
            </w:r>
            <w:r w:rsidR="00E9158F">
              <w:rPr>
                <w:sz w:val="20"/>
                <w:szCs w:val="20"/>
                <w:lang w:val="en-US"/>
              </w:rPr>
              <w:t xml:space="preserve"> </w:t>
            </w:r>
            <w:r w:rsidRPr="00E9158F">
              <w:rPr>
                <w:sz w:val="20"/>
                <w:szCs w:val="20"/>
                <w:lang w:val="en-US"/>
              </w:rPr>
              <w:t>up</w:t>
            </w:r>
          </w:p>
        </w:tc>
        <w:tc>
          <w:tcPr>
            <w:tcW w:w="1200" w:type="dxa"/>
            <w:noWrap/>
            <w:hideMark/>
          </w:tcPr>
          <w:p w:rsidR="00D952F2" w:rsidRPr="00E9158F" w:rsidRDefault="00D952F2" w:rsidP="00D952F2">
            <w:pPr>
              <w:rPr>
                <w:sz w:val="20"/>
                <w:szCs w:val="20"/>
                <w:lang w:val="en-US"/>
              </w:rPr>
            </w:pPr>
            <w:r w:rsidRPr="00E9158F">
              <w:rPr>
                <w:sz w:val="20"/>
                <w:szCs w:val="20"/>
                <w:lang w:val="en-US"/>
              </w:rPr>
              <w:t>mOPV2</w:t>
            </w:r>
          </w:p>
        </w:tc>
        <w:tc>
          <w:tcPr>
            <w:tcW w:w="757" w:type="dxa"/>
            <w:noWrap/>
            <w:hideMark/>
          </w:tcPr>
          <w:p w:rsidR="00D952F2" w:rsidRPr="00E9158F" w:rsidRDefault="00D952F2" w:rsidP="00D952F2">
            <w:pPr>
              <w:rPr>
                <w:sz w:val="20"/>
                <w:szCs w:val="20"/>
                <w:lang w:val="en-US"/>
              </w:rPr>
            </w:pPr>
            <w:r w:rsidRPr="00E9158F">
              <w:rPr>
                <w:sz w:val="20"/>
                <w:szCs w:val="20"/>
                <w:lang w:val="en-US"/>
              </w:rPr>
              <w:t>2016</w:t>
            </w:r>
          </w:p>
        </w:tc>
        <w:tc>
          <w:tcPr>
            <w:tcW w:w="1194" w:type="dxa"/>
            <w:noWrap/>
            <w:hideMark/>
          </w:tcPr>
          <w:p w:rsidR="00D952F2" w:rsidRPr="00E9158F" w:rsidRDefault="00D952F2" w:rsidP="00D952F2">
            <w:pPr>
              <w:rPr>
                <w:sz w:val="20"/>
                <w:szCs w:val="20"/>
                <w:lang w:val="en-US"/>
              </w:rPr>
            </w:pPr>
            <w:r w:rsidRPr="00E9158F">
              <w:rPr>
                <w:sz w:val="20"/>
                <w:szCs w:val="20"/>
                <w:lang w:val="en-US"/>
              </w:rPr>
              <w:t>27/08/2016</w:t>
            </w:r>
          </w:p>
        </w:tc>
        <w:tc>
          <w:tcPr>
            <w:tcW w:w="1209" w:type="dxa"/>
            <w:noWrap/>
            <w:hideMark/>
          </w:tcPr>
          <w:p w:rsidR="00D952F2" w:rsidRPr="00E9158F" w:rsidRDefault="00D952F2" w:rsidP="00D952F2">
            <w:pPr>
              <w:rPr>
                <w:sz w:val="20"/>
                <w:szCs w:val="20"/>
                <w:lang w:val="en-US"/>
              </w:rPr>
            </w:pPr>
            <w:r w:rsidRPr="00E9158F">
              <w:rPr>
                <w:sz w:val="20"/>
                <w:szCs w:val="20"/>
                <w:lang w:val="en-US"/>
              </w:rPr>
              <w:t>30/08/2016</w:t>
            </w:r>
          </w:p>
        </w:tc>
        <w:tc>
          <w:tcPr>
            <w:tcW w:w="1167" w:type="dxa"/>
            <w:noWrap/>
            <w:hideMark/>
          </w:tcPr>
          <w:p w:rsidR="00D952F2" w:rsidRPr="00E9158F" w:rsidRDefault="00D952F2" w:rsidP="00D952F2">
            <w:pPr>
              <w:rPr>
                <w:sz w:val="20"/>
                <w:szCs w:val="20"/>
                <w:lang w:val="en-US"/>
              </w:rPr>
            </w:pPr>
            <w:r w:rsidRPr="00E9158F">
              <w:rPr>
                <w:sz w:val="20"/>
                <w:szCs w:val="20"/>
                <w:lang w:val="en-US"/>
              </w:rPr>
              <w:t>0 to 5 years</w:t>
            </w:r>
          </w:p>
        </w:tc>
        <w:tc>
          <w:tcPr>
            <w:tcW w:w="962" w:type="dxa"/>
            <w:noWrap/>
            <w:hideMark/>
          </w:tcPr>
          <w:p w:rsidR="00D952F2" w:rsidRPr="00E9158F" w:rsidRDefault="00D952F2" w:rsidP="00D952F2">
            <w:pPr>
              <w:rPr>
                <w:sz w:val="20"/>
                <w:szCs w:val="20"/>
                <w:lang w:val="en-US"/>
              </w:rPr>
            </w:pPr>
            <w:r w:rsidRPr="00E9158F">
              <w:rPr>
                <w:sz w:val="20"/>
                <w:szCs w:val="20"/>
                <w:lang w:val="en-US"/>
              </w:rPr>
              <w:t xml:space="preserve"> Sub-National</w:t>
            </w:r>
          </w:p>
        </w:tc>
        <w:tc>
          <w:tcPr>
            <w:tcW w:w="996" w:type="dxa"/>
            <w:noWrap/>
            <w:hideMark/>
          </w:tcPr>
          <w:p w:rsidR="00D952F2" w:rsidRPr="00E9158F" w:rsidRDefault="00D952F2" w:rsidP="00D952F2">
            <w:pPr>
              <w:rPr>
                <w:sz w:val="20"/>
                <w:szCs w:val="20"/>
                <w:lang w:val="en-US"/>
              </w:rPr>
            </w:pPr>
            <w:r w:rsidRPr="00E9158F">
              <w:rPr>
                <w:sz w:val="20"/>
                <w:szCs w:val="20"/>
                <w:lang w:val="en-US"/>
              </w:rPr>
              <w:t>Planned</w:t>
            </w:r>
          </w:p>
        </w:tc>
        <w:tc>
          <w:tcPr>
            <w:tcW w:w="1412" w:type="dxa"/>
            <w:noWrap/>
            <w:hideMark/>
          </w:tcPr>
          <w:p w:rsidR="00D952F2" w:rsidRPr="00E9158F" w:rsidRDefault="00D952F2" w:rsidP="00D952F2">
            <w:pPr>
              <w:rPr>
                <w:sz w:val="20"/>
                <w:szCs w:val="20"/>
                <w:lang w:val="en-US"/>
              </w:rPr>
            </w:pPr>
            <w:r w:rsidRPr="00E9158F">
              <w:rPr>
                <w:sz w:val="20"/>
                <w:szCs w:val="20"/>
                <w:lang w:val="en-US"/>
              </w:rPr>
              <w:t>1</w:t>
            </w:r>
            <w:r w:rsidR="00E9158F">
              <w:rPr>
                <w:sz w:val="20"/>
                <w:szCs w:val="20"/>
                <w:lang w:val="en-US"/>
              </w:rPr>
              <w:t>,</w:t>
            </w:r>
            <w:r w:rsidRPr="00E9158F">
              <w:rPr>
                <w:sz w:val="20"/>
                <w:szCs w:val="20"/>
                <w:lang w:val="en-US"/>
              </w:rPr>
              <w:t>955</w:t>
            </w:r>
            <w:r w:rsidR="00E9158F">
              <w:rPr>
                <w:sz w:val="20"/>
                <w:szCs w:val="20"/>
                <w:lang w:val="en-US"/>
              </w:rPr>
              <w:t>,</w:t>
            </w:r>
            <w:r w:rsidRPr="00E9158F">
              <w:rPr>
                <w:sz w:val="20"/>
                <w:szCs w:val="20"/>
                <w:lang w:val="en-US"/>
              </w:rPr>
              <w:t>575</w:t>
            </w:r>
          </w:p>
        </w:tc>
      </w:tr>
    </w:tbl>
    <w:p w:rsidR="00E86411" w:rsidRPr="009B5560" w:rsidRDefault="00EB5F5D" w:rsidP="009B5560">
      <w:pPr>
        <w:rPr>
          <w:lang w:val="en-US"/>
        </w:rPr>
      </w:pPr>
      <w:r w:rsidRPr="00EA6F8C">
        <w:rPr>
          <w:lang w:val="en-US"/>
        </w:rPr>
        <w:t>Source: WHO/IVB Database as at 12/4/2016</w:t>
      </w:r>
      <w:bookmarkStart w:id="0" w:name="_GoBack"/>
      <w:bookmarkEnd w:id="0"/>
    </w:p>
    <w:sectPr w:rsidR="00E86411" w:rsidRPr="009B5560" w:rsidSect="00CA663B">
      <w:footerReference w:type="default" r:id="rId11"/>
      <w:type w:val="continuous"/>
      <w:pgSz w:w="11906" w:h="16838"/>
      <w:pgMar w:top="1440" w:right="1440" w:bottom="1440" w:left="1440"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23AA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866" w:rsidRDefault="00356866">
      <w:pPr>
        <w:spacing w:after="0" w:line="240" w:lineRule="auto"/>
      </w:pPr>
      <w:r>
        <w:separator/>
      </w:r>
    </w:p>
  </w:endnote>
  <w:endnote w:type="continuationSeparator" w:id="0">
    <w:p w:rsidR="00356866" w:rsidRDefault="00356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4857851"/>
      <w:docPartObj>
        <w:docPartGallery w:val="Page Numbers (Bottom of Page)"/>
        <w:docPartUnique/>
      </w:docPartObj>
    </w:sdtPr>
    <w:sdtEndPr>
      <w:rPr>
        <w:noProof/>
      </w:rPr>
    </w:sdtEndPr>
    <w:sdtContent>
      <w:p w:rsidR="00EE6083" w:rsidRDefault="00EE6083">
        <w:pPr>
          <w:pStyle w:val="Footer"/>
          <w:jc w:val="center"/>
        </w:pPr>
        <w:r>
          <w:fldChar w:fldCharType="begin"/>
        </w:r>
        <w:r>
          <w:instrText xml:space="preserve"> PAGE   \* MERGEFORMAT </w:instrText>
        </w:r>
        <w:r>
          <w:fldChar w:fldCharType="separate"/>
        </w:r>
        <w:r w:rsidR="009B5560">
          <w:rPr>
            <w:noProof/>
          </w:rPr>
          <w:t>5</w:t>
        </w:r>
        <w:r>
          <w:rPr>
            <w:noProof/>
          </w:rPr>
          <w:fldChar w:fldCharType="end"/>
        </w:r>
      </w:p>
    </w:sdtContent>
  </w:sdt>
  <w:p w:rsidR="00EE6083" w:rsidRDefault="00EE6083" w:rsidP="009C5D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866" w:rsidRDefault="00356866">
      <w:pPr>
        <w:spacing w:after="0" w:line="240" w:lineRule="auto"/>
      </w:pPr>
      <w:r>
        <w:separator/>
      </w:r>
    </w:p>
  </w:footnote>
  <w:footnote w:type="continuationSeparator" w:id="0">
    <w:p w:rsidR="00356866" w:rsidRDefault="00356866">
      <w:pPr>
        <w:spacing w:after="0" w:line="240" w:lineRule="auto"/>
      </w:pPr>
      <w:r>
        <w:continuationSeparator/>
      </w:r>
    </w:p>
  </w:footnote>
  <w:footnote w:id="1">
    <w:p w:rsidR="00EE6083" w:rsidRPr="00A077C6" w:rsidRDefault="00EE6083">
      <w:pPr>
        <w:pStyle w:val="FootnoteText"/>
        <w:rPr>
          <w:lang w:val="en-US"/>
        </w:rPr>
      </w:pPr>
      <w:r>
        <w:rPr>
          <w:rStyle w:val="FootnoteReference"/>
        </w:rPr>
        <w:footnoteRef/>
      </w:r>
      <w:r>
        <w:t xml:space="preserve"> </w:t>
      </w:r>
      <w:r>
        <w:rPr>
          <w:lang w:val="en-US"/>
        </w:rPr>
        <w:t>cMYP.</w:t>
      </w:r>
    </w:p>
  </w:footnote>
  <w:footnote w:id="2">
    <w:p w:rsidR="00EE6083" w:rsidRPr="00A077C6" w:rsidRDefault="00EE6083">
      <w:pPr>
        <w:pStyle w:val="FootnoteText"/>
        <w:rPr>
          <w:lang w:val="en-US"/>
        </w:rPr>
      </w:pPr>
      <w:r>
        <w:rPr>
          <w:rStyle w:val="FootnoteReference"/>
        </w:rPr>
        <w:footnoteRef/>
      </w:r>
      <w:r>
        <w:t xml:space="preserve"> WHO </w:t>
      </w:r>
      <w:r>
        <w:rPr>
          <w:lang w:val="en-US"/>
        </w:rPr>
        <w:t>Global summary of vaccine-preventable diseases for 2016: Nigeria.</w:t>
      </w:r>
    </w:p>
  </w:footnote>
  <w:footnote w:id="3">
    <w:p w:rsidR="00EE6083" w:rsidRPr="00A077C6" w:rsidRDefault="00EE6083">
      <w:pPr>
        <w:pStyle w:val="FootnoteText"/>
        <w:rPr>
          <w:lang w:val="en-US"/>
        </w:rPr>
      </w:pPr>
      <w:r>
        <w:rPr>
          <w:rStyle w:val="FootnoteReference"/>
        </w:rPr>
        <w:footnoteRef/>
      </w:r>
      <w:r>
        <w:t xml:space="preserve"> </w:t>
      </w:r>
      <w:r>
        <w:rPr>
          <w:lang w:val="en-US"/>
        </w:rPr>
        <w:t>cMYP.</w:t>
      </w:r>
    </w:p>
  </w:footnote>
  <w:footnote w:id="4">
    <w:p w:rsidR="00EE6083" w:rsidRPr="00A077C6" w:rsidRDefault="00EE6083">
      <w:pPr>
        <w:pStyle w:val="FootnoteText"/>
        <w:rPr>
          <w:lang w:val="en-US"/>
        </w:rPr>
      </w:pPr>
      <w:r>
        <w:rPr>
          <w:rStyle w:val="FootnoteReference"/>
        </w:rPr>
        <w:footnoteRef/>
      </w:r>
      <w:r>
        <w:t xml:space="preserve"> </w:t>
      </w:r>
      <w:r>
        <w:rPr>
          <w:lang w:val="en-US"/>
        </w:rPr>
        <w:t>GAVI Joint Appraisal report, 2015.</w:t>
      </w:r>
    </w:p>
  </w:footnote>
  <w:footnote w:id="5">
    <w:p w:rsidR="00EE6083" w:rsidRPr="007A2153" w:rsidRDefault="00EE6083">
      <w:pPr>
        <w:pStyle w:val="FootnoteText"/>
        <w:rPr>
          <w:lang w:val="en-US"/>
        </w:rPr>
      </w:pPr>
      <w:r>
        <w:rPr>
          <w:rStyle w:val="FootnoteReference"/>
        </w:rPr>
        <w:footnoteRef/>
      </w:r>
      <w:r>
        <w:t xml:space="preserve"> WHO </w:t>
      </w:r>
      <w:r>
        <w:rPr>
          <w:lang w:val="en-US"/>
        </w:rPr>
        <w:t>Global summary of vaccine-preventable diseases for 2016: Nigeria.</w:t>
      </w:r>
    </w:p>
  </w:footnote>
  <w:footnote w:id="6">
    <w:p w:rsidR="00EE6083" w:rsidRPr="007A2153" w:rsidRDefault="00EE6083">
      <w:pPr>
        <w:pStyle w:val="FootnoteText"/>
        <w:rPr>
          <w:lang w:val="en-US"/>
        </w:rPr>
      </w:pPr>
      <w:r>
        <w:rPr>
          <w:rStyle w:val="FootnoteReference"/>
        </w:rPr>
        <w:footnoteRef/>
      </w:r>
      <w:r>
        <w:t xml:space="preserve"> Nigerian National Bureau of Statistics. </w:t>
      </w:r>
      <w:r>
        <w:rPr>
          <w:lang w:val="en-US"/>
        </w:rPr>
        <w:t>National Nutrition and Health Survey (NNHS), 2015.</w:t>
      </w:r>
    </w:p>
  </w:footnote>
  <w:footnote w:id="7">
    <w:p w:rsidR="00EE6083" w:rsidRPr="00D34A31" w:rsidRDefault="00EE6083">
      <w:pPr>
        <w:pStyle w:val="FootnoteText"/>
        <w:rPr>
          <w:lang w:val="en-US"/>
        </w:rPr>
      </w:pPr>
      <w:r>
        <w:rPr>
          <w:rStyle w:val="FootnoteReference"/>
        </w:rPr>
        <w:footnoteRef/>
      </w:r>
      <w:r>
        <w:t xml:space="preserve"> </w:t>
      </w:r>
      <w:r>
        <w:rPr>
          <w:lang w:val="en-US"/>
        </w:rPr>
        <w:t>cMYP.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F710BA"/>
    <w:multiLevelType w:val="hybridMultilevel"/>
    <w:tmpl w:val="D8001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0C717BBF"/>
    <w:multiLevelType w:val="hybridMultilevel"/>
    <w:tmpl w:val="295AE8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1C78D5"/>
    <w:multiLevelType w:val="hybridMultilevel"/>
    <w:tmpl w:val="AAD074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A9911B8"/>
    <w:multiLevelType w:val="hybridMultilevel"/>
    <w:tmpl w:val="0BA65C4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DDB03E1"/>
    <w:multiLevelType w:val="hybridMultilevel"/>
    <w:tmpl w:val="17D0DA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910D11"/>
    <w:multiLevelType w:val="hybridMultilevel"/>
    <w:tmpl w:val="ECF66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210B62A0"/>
    <w:multiLevelType w:val="hybridMultilevel"/>
    <w:tmpl w:val="A8CACDC0"/>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8D2157"/>
    <w:multiLevelType w:val="multilevel"/>
    <w:tmpl w:val="8E3C3E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2EE0362"/>
    <w:multiLevelType w:val="multilevel"/>
    <w:tmpl w:val="D1BA6E1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4D5180B"/>
    <w:multiLevelType w:val="hybridMultilevel"/>
    <w:tmpl w:val="AAA283B2"/>
    <w:lvl w:ilvl="0" w:tplc="10421B90">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19">
    <w:nsid w:val="432F2042"/>
    <w:multiLevelType w:val="hybridMultilevel"/>
    <w:tmpl w:val="EC46C4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21">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4BB4A5A"/>
    <w:multiLevelType w:val="hybridMultilevel"/>
    <w:tmpl w:val="6A70A29C"/>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nsid w:val="582970CC"/>
    <w:multiLevelType w:val="hybridMultilevel"/>
    <w:tmpl w:val="334C477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5A704F80"/>
    <w:multiLevelType w:val="hybridMultilevel"/>
    <w:tmpl w:val="738AE0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0EA3A61"/>
    <w:multiLevelType w:val="hybridMultilevel"/>
    <w:tmpl w:val="B6A0B5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28">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29">
    <w:nsid w:val="76433DC8"/>
    <w:multiLevelType w:val="hybridMultilevel"/>
    <w:tmpl w:val="BCCA34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7F11D0B"/>
    <w:multiLevelType w:val="hybridMultilevel"/>
    <w:tmpl w:val="ABEC255A"/>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nsid w:val="7ADF19AB"/>
    <w:multiLevelType w:val="hybridMultilevel"/>
    <w:tmpl w:val="BD865C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34">
    <w:nsid w:val="7D2549A5"/>
    <w:multiLevelType w:val="hybridMultilevel"/>
    <w:tmpl w:val="12102DEE"/>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2"/>
  </w:num>
  <w:num w:numId="4">
    <w:abstractNumId w:val="14"/>
  </w:num>
  <w:num w:numId="5">
    <w:abstractNumId w:val="24"/>
  </w:num>
  <w:num w:numId="6">
    <w:abstractNumId w:val="1"/>
  </w:num>
  <w:num w:numId="7">
    <w:abstractNumId w:val="9"/>
  </w:num>
  <w:num w:numId="8">
    <w:abstractNumId w:val="21"/>
  </w:num>
  <w:num w:numId="9">
    <w:abstractNumId w:val="6"/>
  </w:num>
  <w:num w:numId="10">
    <w:abstractNumId w:val="32"/>
  </w:num>
  <w:num w:numId="11">
    <w:abstractNumId w:val="28"/>
  </w:num>
  <w:num w:numId="12">
    <w:abstractNumId w:val="18"/>
  </w:num>
  <w:num w:numId="13">
    <w:abstractNumId w:val="27"/>
  </w:num>
  <w:num w:numId="14">
    <w:abstractNumId w:val="20"/>
  </w:num>
  <w:num w:numId="15">
    <w:abstractNumId w:val="33"/>
  </w:num>
  <w:num w:numId="16">
    <w:abstractNumId w:val="13"/>
  </w:num>
  <w:num w:numId="17">
    <w:abstractNumId w:val="22"/>
  </w:num>
  <w:num w:numId="18">
    <w:abstractNumId w:val="16"/>
  </w:num>
  <w:num w:numId="19">
    <w:abstractNumId w:val="35"/>
  </w:num>
  <w:num w:numId="20">
    <w:abstractNumId w:val="0"/>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9"/>
  </w:num>
  <w:num w:numId="25">
    <w:abstractNumId w:val="21"/>
  </w:num>
  <w:num w:numId="26">
    <w:abstractNumId w:val="14"/>
  </w:num>
  <w:num w:numId="27">
    <w:abstractNumId w:val="11"/>
  </w:num>
  <w:num w:numId="28">
    <w:abstractNumId w:val="29"/>
  </w:num>
  <w:num w:numId="29">
    <w:abstractNumId w:val="26"/>
  </w:num>
  <w:num w:numId="30">
    <w:abstractNumId w:val="25"/>
  </w:num>
  <w:num w:numId="31">
    <w:abstractNumId w:val="7"/>
  </w:num>
  <w:num w:numId="32">
    <w:abstractNumId w:val="31"/>
  </w:num>
  <w:num w:numId="33">
    <w:abstractNumId w:val="10"/>
  </w:num>
  <w:num w:numId="34">
    <w:abstractNumId w:val="19"/>
  </w:num>
  <w:num w:numId="35">
    <w:abstractNumId w:val="12"/>
  </w:num>
  <w:num w:numId="36">
    <w:abstractNumId w:val="34"/>
  </w:num>
  <w:num w:numId="37">
    <w:abstractNumId w:val="23"/>
  </w:num>
  <w:num w:numId="38">
    <w:abstractNumId w:val="30"/>
  </w:num>
  <w:num w:numId="39">
    <w:abstractNumId w:val="3"/>
  </w:num>
  <w:num w:numId="40">
    <w:abstractNumId w:val="4"/>
  </w:num>
  <w:num w:numId="41">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DeRoeck">
    <w15:presenceInfo w15:providerId="Windows Live" w15:userId="dd5ab0a71e4737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352E"/>
    <w:rsid w:val="00010003"/>
    <w:rsid w:val="0002632E"/>
    <w:rsid w:val="00027E10"/>
    <w:rsid w:val="0005184D"/>
    <w:rsid w:val="00052693"/>
    <w:rsid w:val="0007442D"/>
    <w:rsid w:val="00086ABD"/>
    <w:rsid w:val="00096E70"/>
    <w:rsid w:val="000B2412"/>
    <w:rsid w:val="000C2C44"/>
    <w:rsid w:val="000D4A84"/>
    <w:rsid w:val="000D74F9"/>
    <w:rsid w:val="000E3D3E"/>
    <w:rsid w:val="000E3E9A"/>
    <w:rsid w:val="00111D50"/>
    <w:rsid w:val="001564B6"/>
    <w:rsid w:val="00163179"/>
    <w:rsid w:val="001635F5"/>
    <w:rsid w:val="001738CC"/>
    <w:rsid w:val="001A1767"/>
    <w:rsid w:val="001B0097"/>
    <w:rsid w:val="001C1193"/>
    <w:rsid w:val="001C1E4D"/>
    <w:rsid w:val="001C5026"/>
    <w:rsid w:val="001F2D8D"/>
    <w:rsid w:val="001F52A9"/>
    <w:rsid w:val="00211D17"/>
    <w:rsid w:val="002258E3"/>
    <w:rsid w:val="002327A5"/>
    <w:rsid w:val="00232D9A"/>
    <w:rsid w:val="00236906"/>
    <w:rsid w:val="00236A02"/>
    <w:rsid w:val="0025319C"/>
    <w:rsid w:val="002818D0"/>
    <w:rsid w:val="00281CEF"/>
    <w:rsid w:val="00292589"/>
    <w:rsid w:val="002B09F1"/>
    <w:rsid w:val="002B73D6"/>
    <w:rsid w:val="002C0BCF"/>
    <w:rsid w:val="002D61F5"/>
    <w:rsid w:val="002D762A"/>
    <w:rsid w:val="002F1749"/>
    <w:rsid w:val="002F20C9"/>
    <w:rsid w:val="00323542"/>
    <w:rsid w:val="00350FD0"/>
    <w:rsid w:val="00356866"/>
    <w:rsid w:val="00361F07"/>
    <w:rsid w:val="00364589"/>
    <w:rsid w:val="00370616"/>
    <w:rsid w:val="00371B50"/>
    <w:rsid w:val="00373BA5"/>
    <w:rsid w:val="003A7680"/>
    <w:rsid w:val="003B290A"/>
    <w:rsid w:val="003B59D3"/>
    <w:rsid w:val="003B6F84"/>
    <w:rsid w:val="003D24BB"/>
    <w:rsid w:val="003D6679"/>
    <w:rsid w:val="003D6F13"/>
    <w:rsid w:val="003E30EC"/>
    <w:rsid w:val="003E68D8"/>
    <w:rsid w:val="003F4825"/>
    <w:rsid w:val="00432B70"/>
    <w:rsid w:val="00436537"/>
    <w:rsid w:val="00437FD4"/>
    <w:rsid w:val="00441EDC"/>
    <w:rsid w:val="00457E0A"/>
    <w:rsid w:val="00460FC0"/>
    <w:rsid w:val="004826EF"/>
    <w:rsid w:val="00492F98"/>
    <w:rsid w:val="004A394A"/>
    <w:rsid w:val="004B1BA4"/>
    <w:rsid w:val="004B5B75"/>
    <w:rsid w:val="004C322B"/>
    <w:rsid w:val="004C4AD6"/>
    <w:rsid w:val="004D307D"/>
    <w:rsid w:val="004F6777"/>
    <w:rsid w:val="00500171"/>
    <w:rsid w:val="0050564C"/>
    <w:rsid w:val="005133F8"/>
    <w:rsid w:val="00513BF2"/>
    <w:rsid w:val="00530AD4"/>
    <w:rsid w:val="00530FEA"/>
    <w:rsid w:val="00532476"/>
    <w:rsid w:val="00534013"/>
    <w:rsid w:val="005608E7"/>
    <w:rsid w:val="0058000D"/>
    <w:rsid w:val="005B6B29"/>
    <w:rsid w:val="005C6F1C"/>
    <w:rsid w:val="005F0283"/>
    <w:rsid w:val="005F3C9B"/>
    <w:rsid w:val="005F4B52"/>
    <w:rsid w:val="0062336D"/>
    <w:rsid w:val="0063770B"/>
    <w:rsid w:val="006410AE"/>
    <w:rsid w:val="00641572"/>
    <w:rsid w:val="00661C74"/>
    <w:rsid w:val="00680885"/>
    <w:rsid w:val="006842AB"/>
    <w:rsid w:val="00696E6A"/>
    <w:rsid w:val="006A4380"/>
    <w:rsid w:val="006C334B"/>
    <w:rsid w:val="007033F7"/>
    <w:rsid w:val="007348D9"/>
    <w:rsid w:val="00753EBE"/>
    <w:rsid w:val="00762936"/>
    <w:rsid w:val="0076408F"/>
    <w:rsid w:val="00767749"/>
    <w:rsid w:val="00770EEA"/>
    <w:rsid w:val="0079008F"/>
    <w:rsid w:val="007A2153"/>
    <w:rsid w:val="007A35F6"/>
    <w:rsid w:val="007A623E"/>
    <w:rsid w:val="007B053A"/>
    <w:rsid w:val="007C5F79"/>
    <w:rsid w:val="007D16A4"/>
    <w:rsid w:val="007D2AA9"/>
    <w:rsid w:val="007E0DEE"/>
    <w:rsid w:val="007F0729"/>
    <w:rsid w:val="007F2339"/>
    <w:rsid w:val="008053B7"/>
    <w:rsid w:val="00805A3A"/>
    <w:rsid w:val="008105B2"/>
    <w:rsid w:val="008137E7"/>
    <w:rsid w:val="00815D92"/>
    <w:rsid w:val="00824C6B"/>
    <w:rsid w:val="00825812"/>
    <w:rsid w:val="0083568C"/>
    <w:rsid w:val="00856B69"/>
    <w:rsid w:val="00863F77"/>
    <w:rsid w:val="00865907"/>
    <w:rsid w:val="008829D8"/>
    <w:rsid w:val="00883C0A"/>
    <w:rsid w:val="008A1C67"/>
    <w:rsid w:val="008B7142"/>
    <w:rsid w:val="008C1347"/>
    <w:rsid w:val="008E2AE4"/>
    <w:rsid w:val="008E4926"/>
    <w:rsid w:val="008E7AA0"/>
    <w:rsid w:val="008F41EC"/>
    <w:rsid w:val="008F4F49"/>
    <w:rsid w:val="00916ACE"/>
    <w:rsid w:val="009318B8"/>
    <w:rsid w:val="009563E8"/>
    <w:rsid w:val="0098318B"/>
    <w:rsid w:val="009A5026"/>
    <w:rsid w:val="009A785D"/>
    <w:rsid w:val="009B091D"/>
    <w:rsid w:val="009B10F7"/>
    <w:rsid w:val="009B5560"/>
    <w:rsid w:val="009C09D8"/>
    <w:rsid w:val="009C5DC1"/>
    <w:rsid w:val="009D7CB0"/>
    <w:rsid w:val="009E1E59"/>
    <w:rsid w:val="00A03C34"/>
    <w:rsid w:val="00A077C6"/>
    <w:rsid w:val="00A11AC1"/>
    <w:rsid w:val="00A30557"/>
    <w:rsid w:val="00A44D74"/>
    <w:rsid w:val="00A472F6"/>
    <w:rsid w:val="00A53678"/>
    <w:rsid w:val="00AB6B44"/>
    <w:rsid w:val="00AD2901"/>
    <w:rsid w:val="00AE591E"/>
    <w:rsid w:val="00AE7557"/>
    <w:rsid w:val="00AF71FB"/>
    <w:rsid w:val="00B033CD"/>
    <w:rsid w:val="00B13423"/>
    <w:rsid w:val="00B218CC"/>
    <w:rsid w:val="00B47D53"/>
    <w:rsid w:val="00B50567"/>
    <w:rsid w:val="00BA09BC"/>
    <w:rsid w:val="00BA2589"/>
    <w:rsid w:val="00BD35F2"/>
    <w:rsid w:val="00BF14CF"/>
    <w:rsid w:val="00BF4CFA"/>
    <w:rsid w:val="00C235C2"/>
    <w:rsid w:val="00C35316"/>
    <w:rsid w:val="00C3741F"/>
    <w:rsid w:val="00C67C9D"/>
    <w:rsid w:val="00CA663B"/>
    <w:rsid w:val="00CD3FD9"/>
    <w:rsid w:val="00CD5CD2"/>
    <w:rsid w:val="00CE4ECE"/>
    <w:rsid w:val="00CF0E45"/>
    <w:rsid w:val="00D00DC6"/>
    <w:rsid w:val="00D139EF"/>
    <w:rsid w:val="00D17551"/>
    <w:rsid w:val="00D20E28"/>
    <w:rsid w:val="00D254A3"/>
    <w:rsid w:val="00D27E92"/>
    <w:rsid w:val="00D30DD8"/>
    <w:rsid w:val="00D34193"/>
    <w:rsid w:val="00D34A31"/>
    <w:rsid w:val="00D732C7"/>
    <w:rsid w:val="00D744D3"/>
    <w:rsid w:val="00D83222"/>
    <w:rsid w:val="00D91889"/>
    <w:rsid w:val="00D9435D"/>
    <w:rsid w:val="00D952F2"/>
    <w:rsid w:val="00D9563B"/>
    <w:rsid w:val="00DC5960"/>
    <w:rsid w:val="00DF6C7F"/>
    <w:rsid w:val="00E01C99"/>
    <w:rsid w:val="00E11B99"/>
    <w:rsid w:val="00E1686A"/>
    <w:rsid w:val="00E37109"/>
    <w:rsid w:val="00E54B4C"/>
    <w:rsid w:val="00E86411"/>
    <w:rsid w:val="00E9158F"/>
    <w:rsid w:val="00EA06D2"/>
    <w:rsid w:val="00EA6F8C"/>
    <w:rsid w:val="00EB5F5D"/>
    <w:rsid w:val="00EC5704"/>
    <w:rsid w:val="00EE3DBB"/>
    <w:rsid w:val="00EE6083"/>
    <w:rsid w:val="00F54563"/>
    <w:rsid w:val="00F577A7"/>
    <w:rsid w:val="00F63D60"/>
    <w:rsid w:val="00F81B65"/>
    <w:rsid w:val="00F85BA5"/>
    <w:rsid w:val="00F87D4C"/>
    <w:rsid w:val="00FB2BC5"/>
    <w:rsid w:val="00FD688B"/>
    <w:rsid w:val="00FE5EA1"/>
    <w:rsid w:val="00FE72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1738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38CC"/>
    <w:rPr>
      <w:sz w:val="20"/>
      <w:szCs w:val="20"/>
    </w:rPr>
  </w:style>
  <w:style w:type="character" w:styleId="FootnoteReference">
    <w:name w:val="footnote reference"/>
    <w:basedOn w:val="DefaultParagraphFont"/>
    <w:uiPriority w:val="99"/>
    <w:semiHidden/>
    <w:unhideWhenUsed/>
    <w:rsid w:val="001738CC"/>
    <w:rPr>
      <w:vertAlign w:val="superscript"/>
    </w:rPr>
  </w:style>
  <w:style w:type="paragraph" w:styleId="Caption">
    <w:name w:val="caption"/>
    <w:basedOn w:val="Normal"/>
    <w:next w:val="Normal"/>
    <w:uiPriority w:val="35"/>
    <w:unhideWhenUsed/>
    <w:qFormat/>
    <w:rsid w:val="001A176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1738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38CC"/>
    <w:rPr>
      <w:sz w:val="20"/>
      <w:szCs w:val="20"/>
    </w:rPr>
  </w:style>
  <w:style w:type="character" w:styleId="FootnoteReference">
    <w:name w:val="footnote reference"/>
    <w:basedOn w:val="DefaultParagraphFont"/>
    <w:uiPriority w:val="99"/>
    <w:semiHidden/>
    <w:unhideWhenUsed/>
    <w:rsid w:val="001738CC"/>
    <w:rPr>
      <w:vertAlign w:val="superscript"/>
    </w:rPr>
  </w:style>
  <w:style w:type="paragraph" w:styleId="Caption">
    <w:name w:val="caption"/>
    <w:basedOn w:val="Normal"/>
    <w:next w:val="Normal"/>
    <w:uiPriority w:val="35"/>
    <w:unhideWhenUsed/>
    <w:qFormat/>
    <w:rsid w:val="001A176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76927">
      <w:bodyDiv w:val="1"/>
      <w:marLeft w:val="0"/>
      <w:marRight w:val="0"/>
      <w:marTop w:val="0"/>
      <w:marBottom w:val="0"/>
      <w:divBdr>
        <w:top w:val="none" w:sz="0" w:space="0" w:color="auto"/>
        <w:left w:val="none" w:sz="0" w:space="0" w:color="auto"/>
        <w:bottom w:val="none" w:sz="0" w:space="0" w:color="auto"/>
        <w:right w:val="none" w:sz="0" w:space="0" w:color="auto"/>
      </w:divBdr>
    </w:div>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537400086">
          <w:marLeft w:val="806"/>
          <w:marRight w:val="0"/>
          <w:marTop w:val="72"/>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sChild>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07682006">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2050450190">
          <w:marLeft w:val="806"/>
          <w:marRight w:val="0"/>
          <w:marTop w:val="86"/>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59450289">
          <w:marLeft w:val="1440"/>
          <w:marRight w:val="0"/>
          <w:marTop w:val="72"/>
          <w:marBottom w:val="0"/>
          <w:divBdr>
            <w:top w:val="none" w:sz="0" w:space="0" w:color="auto"/>
            <w:left w:val="none" w:sz="0" w:space="0" w:color="auto"/>
            <w:bottom w:val="none" w:sz="0" w:space="0" w:color="auto"/>
            <w:right w:val="none" w:sz="0" w:space="0" w:color="auto"/>
          </w:divBdr>
        </w:div>
      </w:divsChild>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 w:id="212187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emf"/><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6E93DA3D-29F2-4A9B-AA40-060122262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5486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Majumder, Anwesha</cp:lastModifiedBy>
  <cp:revision>2</cp:revision>
  <cp:lastPrinted>2016-07-31T18:21:00Z</cp:lastPrinted>
  <dcterms:created xsi:type="dcterms:W3CDTF">2016-08-25T14:12:00Z</dcterms:created>
  <dcterms:modified xsi:type="dcterms:W3CDTF">2016-08-25T14:12:00Z</dcterms:modified>
</cp:coreProperties>
</file>