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4E97C" w14:textId="77777777" w:rsidR="00131E6A" w:rsidRPr="00C27BB5" w:rsidRDefault="00131E6A" w:rsidP="00131E6A">
      <w:pPr>
        <w:jc w:val="center"/>
        <w:rPr>
          <w:b/>
          <w:sz w:val="40"/>
          <w:szCs w:val="40"/>
        </w:rPr>
      </w:pPr>
      <w:r w:rsidRPr="00C27BB5">
        <w:rPr>
          <w:b/>
          <w:sz w:val="40"/>
          <w:szCs w:val="40"/>
        </w:rPr>
        <w:t>Global Vaccine Action Plan</w:t>
      </w:r>
    </w:p>
    <w:p w14:paraId="7A9E1AA0" w14:textId="77777777" w:rsidR="00131E6A" w:rsidRDefault="00131E6A" w:rsidP="00131E6A">
      <w:pPr>
        <w:jc w:val="center"/>
        <w:rPr>
          <w:i/>
          <w:sz w:val="40"/>
          <w:szCs w:val="40"/>
        </w:rPr>
      </w:pPr>
      <w:r w:rsidRPr="00C27BB5">
        <w:rPr>
          <w:i/>
          <w:sz w:val="40"/>
          <w:szCs w:val="40"/>
        </w:rPr>
        <w:t>Secretariat Annual Report 2016</w:t>
      </w:r>
    </w:p>
    <w:p w14:paraId="1E707180" w14:textId="77777777" w:rsidR="00131E6A" w:rsidRDefault="00131E6A" w:rsidP="00131E6A">
      <w:pPr>
        <w:jc w:val="center"/>
        <w:rPr>
          <w:i/>
          <w:sz w:val="40"/>
          <w:szCs w:val="40"/>
        </w:rPr>
      </w:pPr>
      <w:r>
        <w:rPr>
          <w:i/>
          <w:sz w:val="40"/>
          <w:szCs w:val="40"/>
        </w:rPr>
        <w:t>Priority C</w:t>
      </w:r>
      <w:r w:rsidRPr="00C27BB5">
        <w:rPr>
          <w:i/>
          <w:sz w:val="40"/>
          <w:szCs w:val="40"/>
        </w:rPr>
        <w:t xml:space="preserve">ountry report on progress towards </w:t>
      </w:r>
    </w:p>
    <w:p w14:paraId="5ABEFB43" w14:textId="77777777" w:rsidR="00131E6A" w:rsidRPr="00C27BB5" w:rsidRDefault="00131E6A" w:rsidP="00131E6A">
      <w:pPr>
        <w:jc w:val="center"/>
        <w:rPr>
          <w:i/>
          <w:sz w:val="40"/>
          <w:szCs w:val="40"/>
        </w:rPr>
      </w:pPr>
      <w:r>
        <w:rPr>
          <w:i/>
          <w:sz w:val="40"/>
          <w:szCs w:val="40"/>
        </w:rPr>
        <w:t>GVAP-RVAP</w:t>
      </w:r>
      <w:r w:rsidRPr="00C27BB5">
        <w:rPr>
          <w:i/>
          <w:sz w:val="40"/>
          <w:szCs w:val="40"/>
        </w:rPr>
        <w:t xml:space="preserve"> goals </w:t>
      </w:r>
    </w:p>
    <w:p w14:paraId="6BBA2948" w14:textId="77777777" w:rsidR="00131E6A" w:rsidRDefault="00131E6A" w:rsidP="00131E6A">
      <w:pPr>
        <w:jc w:val="center"/>
        <w:rPr>
          <w:rFonts w:ascii="Arial" w:hAnsi="Arial"/>
          <w:b/>
          <w:sz w:val="32"/>
        </w:rPr>
      </w:pPr>
    </w:p>
    <w:p w14:paraId="3D360856" w14:textId="1A4F50AB" w:rsidR="009745BB" w:rsidRDefault="00131E6A" w:rsidP="00131E6A">
      <w:pPr>
        <w:jc w:val="center"/>
        <w:rPr>
          <w:rFonts w:ascii="Arial" w:hAnsi="Arial"/>
          <w:b/>
          <w:sz w:val="36"/>
        </w:rPr>
      </w:pPr>
      <w:r>
        <w:rPr>
          <w:rFonts w:ascii="Arial" w:hAnsi="Arial"/>
          <w:b/>
          <w:sz w:val="36"/>
        </w:rPr>
        <w:t>PAKISTAN</w:t>
      </w:r>
    </w:p>
    <w:p w14:paraId="6FD66C49" w14:textId="77777777" w:rsidR="00131E6A" w:rsidRPr="002D3541" w:rsidRDefault="00131E6A" w:rsidP="00131E6A">
      <w:pPr>
        <w:jc w:val="center"/>
        <w:rPr>
          <w:rFonts w:ascii="Arial" w:hAnsi="Arial" w:cs="Arial"/>
          <w:b/>
          <w:sz w:val="32"/>
        </w:rPr>
      </w:pPr>
    </w:p>
    <w:p w14:paraId="1D623B59" w14:textId="77777777" w:rsidR="00457E0A" w:rsidRPr="002D3541" w:rsidRDefault="00457E0A" w:rsidP="00457E0A">
      <w:pPr>
        <w:pStyle w:val="ListParagraph"/>
        <w:numPr>
          <w:ilvl w:val="0"/>
          <w:numId w:val="3"/>
        </w:numPr>
        <w:rPr>
          <w:rFonts w:ascii="Arial" w:hAnsi="Arial" w:cs="Arial"/>
          <w:b/>
          <w:sz w:val="24"/>
        </w:rPr>
      </w:pPr>
      <w:r w:rsidRPr="002D3541">
        <w:rPr>
          <w:rFonts w:ascii="Arial" w:hAnsi="Arial" w:cs="Arial"/>
          <w:b/>
          <w:sz w:val="24"/>
        </w:rPr>
        <w:t xml:space="preserve">Progress towards achievement of GVAP goals </w:t>
      </w:r>
    </w:p>
    <w:p w14:paraId="5C8B88FE" w14:textId="77777777" w:rsidR="00457E0A" w:rsidRPr="002D3541" w:rsidRDefault="00457E0A" w:rsidP="00457E0A">
      <w:pPr>
        <w:pStyle w:val="ListParagraph"/>
        <w:rPr>
          <w:rFonts w:ascii="Arial" w:hAnsi="Arial" w:cs="Arial"/>
          <w:b/>
        </w:rPr>
      </w:pPr>
    </w:p>
    <w:p w14:paraId="701352EF" w14:textId="77777777" w:rsidR="00163179" w:rsidRPr="002D3541" w:rsidRDefault="00C67C9D" w:rsidP="00163179">
      <w:pPr>
        <w:pStyle w:val="ListParagraph"/>
        <w:numPr>
          <w:ilvl w:val="0"/>
          <w:numId w:val="1"/>
        </w:numPr>
        <w:rPr>
          <w:rFonts w:ascii="Arial" w:hAnsi="Arial" w:cs="Arial"/>
          <w:b/>
        </w:rPr>
      </w:pPr>
      <w:r w:rsidRPr="002D3541">
        <w:rPr>
          <w:rFonts w:ascii="Arial" w:hAnsi="Arial" w:cs="Arial"/>
          <w:b/>
        </w:rPr>
        <w:t xml:space="preserve">Summary </w:t>
      </w:r>
    </w:p>
    <w:p w14:paraId="2A48FB84" w14:textId="67DC00C4" w:rsidR="00BA2589" w:rsidRPr="002D3541" w:rsidRDefault="00BA2589" w:rsidP="00527B61">
      <w:pPr>
        <w:rPr>
          <w:rFonts w:ascii="Arial" w:hAnsi="Arial" w:cs="Arial"/>
        </w:rPr>
      </w:pPr>
      <w:r w:rsidRPr="002D3541">
        <w:rPr>
          <w:rFonts w:ascii="Arial" w:hAnsi="Arial" w:cs="Arial"/>
        </w:rPr>
        <w:t xml:space="preserve">This </w:t>
      </w:r>
      <w:r w:rsidR="006C334B" w:rsidRPr="002D3541">
        <w:rPr>
          <w:rFonts w:ascii="Arial" w:hAnsi="Arial" w:cs="Arial"/>
        </w:rPr>
        <w:t xml:space="preserve">summary table describes </w:t>
      </w:r>
      <w:r w:rsidRPr="002D3541">
        <w:rPr>
          <w:rFonts w:ascii="Arial" w:hAnsi="Arial" w:cs="Arial"/>
        </w:rPr>
        <w:t xml:space="preserve">the current situation in </w:t>
      </w:r>
      <w:r w:rsidR="00527B61" w:rsidRPr="002D3541">
        <w:rPr>
          <w:rFonts w:ascii="Arial" w:hAnsi="Arial" w:cs="Arial"/>
        </w:rPr>
        <w:t>Pakistan</w:t>
      </w:r>
      <w:r w:rsidRPr="002D3541">
        <w:rPr>
          <w:rFonts w:ascii="Arial" w:hAnsi="Arial" w:cs="Arial"/>
        </w:rPr>
        <w:t xml:space="preserve"> regarding achieving the GVAP goals.</w:t>
      </w:r>
      <w:r w:rsidR="00492F98" w:rsidRPr="002D3541">
        <w:rPr>
          <w:rFonts w:ascii="Arial" w:hAnsi="Arial" w:cs="Arial"/>
        </w:rPr>
        <w:t xml:space="preserve"> </w:t>
      </w:r>
      <w:r w:rsidR="00500171" w:rsidRPr="002D3541">
        <w:rPr>
          <w:rFonts w:ascii="Arial" w:hAnsi="Arial" w:cs="Arial"/>
        </w:rPr>
        <w:t>D</w:t>
      </w:r>
      <w:r w:rsidR="00696E6A" w:rsidRPr="002D3541">
        <w:rPr>
          <w:rFonts w:ascii="Arial" w:hAnsi="Arial" w:cs="Arial"/>
        </w:rPr>
        <w:t xml:space="preserve">ata </w:t>
      </w:r>
      <w:r w:rsidR="00E11B99" w:rsidRPr="002D3541">
        <w:rPr>
          <w:rFonts w:ascii="Arial" w:hAnsi="Arial" w:cs="Arial"/>
        </w:rPr>
        <w:t xml:space="preserve">used to assess progress towards achievement of </w:t>
      </w:r>
      <w:r w:rsidR="00696E6A" w:rsidRPr="002D3541">
        <w:rPr>
          <w:rFonts w:ascii="Arial" w:hAnsi="Arial" w:cs="Arial"/>
        </w:rPr>
        <w:t xml:space="preserve">GVAP goals are included in the annex (Country </w:t>
      </w:r>
      <w:r w:rsidR="00D00DC6" w:rsidRPr="002D3541">
        <w:rPr>
          <w:rFonts w:ascii="Arial" w:hAnsi="Arial" w:cs="Arial"/>
        </w:rPr>
        <w:t xml:space="preserve">immunization </w:t>
      </w:r>
      <w:r w:rsidR="00696E6A" w:rsidRPr="002D3541">
        <w:rPr>
          <w:rFonts w:ascii="Arial" w:hAnsi="Arial" w:cs="Arial"/>
        </w:rPr>
        <w:t>profile).</w:t>
      </w:r>
    </w:p>
    <w:tbl>
      <w:tblPr>
        <w:tblW w:w="9073" w:type="dxa"/>
        <w:jc w:val="center"/>
        <w:tblInd w:w="93" w:type="dxa"/>
        <w:tblLook w:val="04A0" w:firstRow="1" w:lastRow="0" w:firstColumn="1" w:lastColumn="0" w:noHBand="0" w:noVBand="1"/>
      </w:tblPr>
      <w:tblGrid>
        <w:gridCol w:w="3189"/>
        <w:gridCol w:w="3867"/>
        <w:gridCol w:w="2017"/>
      </w:tblGrid>
      <w:tr w:rsidR="002D3541" w:rsidRPr="002D3541" w14:paraId="47C0E0A7" w14:textId="77777777" w:rsidTr="0056171F">
        <w:trPr>
          <w:trHeight w:val="675"/>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82414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Area</w:t>
            </w:r>
          </w:p>
        </w:tc>
        <w:tc>
          <w:tcPr>
            <w:tcW w:w="3867" w:type="dxa"/>
            <w:tcBorders>
              <w:top w:val="single" w:sz="4" w:space="0" w:color="auto"/>
              <w:left w:val="nil"/>
              <w:bottom w:val="single" w:sz="4" w:space="0" w:color="auto"/>
              <w:right w:val="single" w:sz="4" w:space="0" w:color="auto"/>
            </w:tcBorders>
            <w:shd w:val="clear" w:color="auto" w:fill="auto"/>
            <w:vAlign w:val="center"/>
            <w:hideMark/>
          </w:tcPr>
          <w:p w14:paraId="470EB614" w14:textId="77777777" w:rsidR="0056171F" w:rsidRPr="002D3541" w:rsidRDefault="0056171F" w:rsidP="0056171F">
            <w:pPr>
              <w:spacing w:after="0" w:line="240" w:lineRule="auto"/>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Indicator</w:t>
            </w:r>
          </w:p>
        </w:tc>
        <w:tc>
          <w:tcPr>
            <w:tcW w:w="2017" w:type="dxa"/>
            <w:tcBorders>
              <w:top w:val="single" w:sz="4" w:space="0" w:color="auto"/>
              <w:left w:val="nil"/>
              <w:bottom w:val="single" w:sz="4" w:space="0" w:color="auto"/>
              <w:right w:val="single" w:sz="4" w:space="0" w:color="auto"/>
            </w:tcBorders>
            <w:shd w:val="clear" w:color="auto" w:fill="auto"/>
            <w:vAlign w:val="center"/>
            <w:hideMark/>
          </w:tcPr>
          <w:p w14:paraId="3B18F6CD" w14:textId="77777777" w:rsidR="0056171F" w:rsidRPr="002D3541" w:rsidRDefault="0056171F" w:rsidP="0056171F">
            <w:pPr>
              <w:spacing w:after="0" w:line="240" w:lineRule="auto"/>
              <w:jc w:val="center"/>
              <w:rPr>
                <w:rFonts w:ascii="Calibri" w:eastAsia="Times New Roman" w:hAnsi="Calibri" w:cs="Calibri"/>
                <w:b/>
                <w:bCs/>
                <w:sz w:val="28"/>
                <w:szCs w:val="28"/>
                <w:lang w:eastAsia="en-GB"/>
              </w:rPr>
            </w:pPr>
            <w:r w:rsidRPr="002D3541">
              <w:rPr>
                <w:rFonts w:ascii="Calibri" w:eastAsia="Times New Roman" w:hAnsi="Calibri" w:cs="Calibri"/>
                <w:b/>
                <w:bCs/>
                <w:sz w:val="28"/>
                <w:szCs w:val="28"/>
                <w:lang w:eastAsia="en-GB"/>
              </w:rPr>
              <w:t>Pakistan</w:t>
            </w:r>
          </w:p>
        </w:tc>
      </w:tr>
      <w:tr w:rsidR="002D3541" w:rsidRPr="002D3541" w14:paraId="3DDFB3C6" w14:textId="77777777" w:rsidTr="0056171F">
        <w:trPr>
          <w:trHeight w:val="600"/>
          <w:jc w:val="center"/>
        </w:trPr>
        <w:tc>
          <w:tcPr>
            <w:tcW w:w="3189" w:type="dxa"/>
            <w:tcBorders>
              <w:top w:val="nil"/>
              <w:left w:val="single" w:sz="4" w:space="0" w:color="auto"/>
              <w:bottom w:val="single" w:sz="4" w:space="0" w:color="auto"/>
              <w:right w:val="single" w:sz="4" w:space="0" w:color="auto"/>
            </w:tcBorders>
            <w:shd w:val="clear" w:color="000000" w:fill="FDE9D9"/>
            <w:vAlign w:val="center"/>
            <w:hideMark/>
          </w:tcPr>
          <w:p w14:paraId="4810D09B"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9. NITAG</w:t>
            </w:r>
          </w:p>
        </w:tc>
        <w:tc>
          <w:tcPr>
            <w:tcW w:w="3867" w:type="dxa"/>
            <w:tcBorders>
              <w:top w:val="nil"/>
              <w:left w:val="nil"/>
              <w:bottom w:val="single" w:sz="4" w:space="0" w:color="auto"/>
              <w:right w:val="single" w:sz="4" w:space="0" w:color="auto"/>
            </w:tcBorders>
            <w:shd w:val="clear" w:color="000000" w:fill="FDE9D9"/>
            <w:vAlign w:val="center"/>
            <w:hideMark/>
          </w:tcPr>
          <w:p w14:paraId="481F9F80" w14:textId="77777777" w:rsidR="0056171F" w:rsidRPr="002D3541" w:rsidRDefault="0056171F" w:rsidP="0056171F">
            <w:pPr>
              <w:spacing w:after="0" w:line="240" w:lineRule="auto"/>
              <w:rPr>
                <w:rFonts w:ascii="Calibri" w:eastAsia="Times New Roman" w:hAnsi="Calibri" w:cs="Calibri"/>
                <w:b/>
                <w:bCs/>
                <w:lang w:eastAsia="en-GB"/>
              </w:rPr>
            </w:pPr>
            <w:r w:rsidRPr="002D3541">
              <w:rPr>
                <w:rFonts w:ascii="Calibri" w:eastAsia="Times New Roman" w:hAnsi="Calibri" w:cs="Calibri"/>
                <w:b/>
                <w:bCs/>
                <w:lang w:eastAsia="en-GB"/>
              </w:rPr>
              <w:t>NITAG established?</w:t>
            </w:r>
          </w:p>
        </w:tc>
        <w:tc>
          <w:tcPr>
            <w:tcW w:w="2017" w:type="dxa"/>
            <w:tcBorders>
              <w:top w:val="nil"/>
              <w:left w:val="nil"/>
              <w:bottom w:val="single" w:sz="4" w:space="0" w:color="auto"/>
              <w:right w:val="single" w:sz="4" w:space="0" w:color="auto"/>
            </w:tcBorders>
            <w:shd w:val="clear" w:color="000000" w:fill="00B050"/>
            <w:vAlign w:val="center"/>
            <w:hideMark/>
          </w:tcPr>
          <w:p w14:paraId="5428D77D" w14:textId="77777777" w:rsidR="0056171F" w:rsidRPr="002D3541" w:rsidRDefault="0056171F" w:rsidP="0056171F">
            <w:pPr>
              <w:spacing w:after="0" w:line="240" w:lineRule="auto"/>
              <w:jc w:val="center"/>
              <w:rPr>
                <w:rFonts w:ascii="Calibri" w:eastAsia="Times New Roman" w:hAnsi="Calibri" w:cs="Calibri"/>
                <w:b/>
                <w:bCs/>
                <w:lang w:eastAsia="en-GB"/>
              </w:rPr>
            </w:pPr>
            <w:r w:rsidRPr="002D3541">
              <w:rPr>
                <w:rFonts w:ascii="Calibri" w:eastAsia="Times New Roman" w:hAnsi="Calibri" w:cs="Calibri"/>
                <w:b/>
                <w:bCs/>
                <w:lang w:eastAsia="en-GB"/>
              </w:rPr>
              <w:t>Yes</w:t>
            </w:r>
          </w:p>
        </w:tc>
      </w:tr>
    </w:tbl>
    <w:p w14:paraId="5E662CD6" w14:textId="77777777" w:rsidR="002F3739" w:rsidRPr="002D3541" w:rsidRDefault="002F3739" w:rsidP="00602C0A">
      <w:pPr>
        <w:pStyle w:val="ListParagraph"/>
        <w:numPr>
          <w:ilvl w:val="0"/>
          <w:numId w:val="1"/>
        </w:numPr>
        <w:contextualSpacing w:val="0"/>
        <w:rPr>
          <w:rFonts w:ascii="Arial" w:hAnsi="Arial" w:cs="Arial"/>
          <w:b/>
          <w:sz w:val="24"/>
          <w:szCs w:val="24"/>
          <w:lang w:val="en-US"/>
        </w:rPr>
      </w:pPr>
      <w:r w:rsidRPr="002D3541">
        <w:rPr>
          <w:rFonts w:ascii="Arial" w:hAnsi="Arial" w:cs="Arial"/>
          <w:b/>
          <w:sz w:val="24"/>
          <w:szCs w:val="24"/>
          <w:lang w:val="en-US"/>
        </w:rPr>
        <w:t xml:space="preserve">Country ownership of the immunization </w:t>
      </w:r>
      <w:proofErr w:type="spellStart"/>
      <w:r w:rsidRPr="002D3541">
        <w:rPr>
          <w:rFonts w:ascii="Arial" w:hAnsi="Arial" w:cs="Arial"/>
          <w:b/>
          <w:sz w:val="24"/>
          <w:szCs w:val="24"/>
          <w:lang w:val="en-US"/>
        </w:rPr>
        <w:t>programme</w:t>
      </w:r>
      <w:proofErr w:type="spellEnd"/>
    </w:p>
    <w:p w14:paraId="10D2EDCE" w14:textId="77777777" w:rsidR="002F3739" w:rsidRPr="002D3541" w:rsidRDefault="002F3739" w:rsidP="00602C0A">
      <w:pPr>
        <w:pStyle w:val="ListParagraph"/>
        <w:numPr>
          <w:ilvl w:val="1"/>
          <w:numId w:val="27"/>
        </w:numPr>
        <w:rPr>
          <w:rFonts w:ascii="Arial" w:hAnsi="Arial" w:cs="Arial"/>
          <w:b/>
          <w:lang w:val="en-US"/>
        </w:rPr>
      </w:pPr>
      <w:r w:rsidRPr="002D3541">
        <w:rPr>
          <w:rFonts w:ascii="Arial" w:hAnsi="Arial" w:cs="Arial"/>
          <w:b/>
          <w:lang w:val="en-US"/>
        </w:rPr>
        <w:t>Overview of country ownership in its primary health care system, including immunization</w:t>
      </w:r>
    </w:p>
    <w:p w14:paraId="4BA3FBAB" w14:textId="309E76A5" w:rsidR="002D3541" w:rsidRPr="00B068A2" w:rsidRDefault="00AE58AF" w:rsidP="00602C0A">
      <w:pPr>
        <w:pStyle w:val="Default"/>
        <w:adjustRightInd/>
        <w:spacing w:line="276" w:lineRule="auto"/>
        <w:rPr>
          <w:rFonts w:ascii="Arial" w:hAnsi="Arial" w:cs="Arial"/>
          <w:color w:val="auto"/>
          <w:sz w:val="22"/>
          <w:szCs w:val="22"/>
        </w:rPr>
      </w:pPr>
      <w:r w:rsidRPr="00B068A2">
        <w:rPr>
          <w:rFonts w:ascii="Arial" w:hAnsi="Arial" w:cs="Arial"/>
          <w:color w:val="auto"/>
          <w:sz w:val="22"/>
          <w:szCs w:val="22"/>
        </w:rPr>
        <w:t>I</w:t>
      </w:r>
      <w:r w:rsidR="00FF0157" w:rsidRPr="00B068A2">
        <w:rPr>
          <w:rFonts w:ascii="Arial" w:hAnsi="Arial" w:cs="Arial"/>
          <w:color w:val="auto"/>
          <w:sz w:val="22"/>
          <w:szCs w:val="22"/>
        </w:rPr>
        <w:t xml:space="preserve">n 2011, an amendment to the Pakistani constitution </w:t>
      </w:r>
      <w:r w:rsidRPr="00B068A2">
        <w:rPr>
          <w:rFonts w:ascii="Arial" w:hAnsi="Arial" w:cs="Arial"/>
          <w:color w:val="auto"/>
          <w:sz w:val="22"/>
          <w:szCs w:val="22"/>
        </w:rPr>
        <w:t>devolved the responsibility of health services from the Federal to the Provincial level</w:t>
      </w:r>
      <w:r w:rsidR="00FF0157" w:rsidRPr="00B068A2">
        <w:rPr>
          <w:rFonts w:ascii="Arial" w:hAnsi="Arial" w:cs="Arial"/>
          <w:color w:val="auto"/>
          <w:sz w:val="22"/>
          <w:szCs w:val="22"/>
        </w:rPr>
        <w:t xml:space="preserve"> and dissolved the Ministry of Health</w:t>
      </w:r>
      <w:r w:rsidRPr="00B068A2">
        <w:rPr>
          <w:rFonts w:ascii="Arial" w:hAnsi="Arial" w:cs="Arial"/>
          <w:color w:val="auto"/>
          <w:sz w:val="22"/>
          <w:szCs w:val="22"/>
        </w:rPr>
        <w:t>. Decentralization significantly changed the management of immunis</w:t>
      </w:r>
      <w:r w:rsidR="00FF0157" w:rsidRPr="00B068A2">
        <w:rPr>
          <w:rFonts w:ascii="Arial" w:hAnsi="Arial" w:cs="Arial"/>
          <w:color w:val="auto"/>
          <w:sz w:val="22"/>
          <w:szCs w:val="22"/>
        </w:rPr>
        <w:t>ation in Pakistan;</w:t>
      </w:r>
      <w:r w:rsidRPr="00B068A2">
        <w:rPr>
          <w:rFonts w:ascii="Arial" w:hAnsi="Arial" w:cs="Arial"/>
          <w:color w:val="auto"/>
          <w:sz w:val="22"/>
          <w:szCs w:val="22"/>
        </w:rPr>
        <w:t xml:space="preserve"> </w:t>
      </w:r>
      <w:r w:rsidR="00FF0157" w:rsidRPr="00B068A2">
        <w:rPr>
          <w:rFonts w:ascii="Arial" w:hAnsi="Arial" w:cs="Arial"/>
          <w:color w:val="auto"/>
          <w:sz w:val="22"/>
          <w:szCs w:val="22"/>
        </w:rPr>
        <w:t>it permitted a</w:t>
      </w:r>
      <w:r w:rsidRPr="00B068A2">
        <w:rPr>
          <w:rFonts w:ascii="Arial" w:hAnsi="Arial" w:cs="Arial"/>
          <w:color w:val="auto"/>
          <w:sz w:val="22"/>
          <w:szCs w:val="22"/>
        </w:rPr>
        <w:t xml:space="preserve"> t</w:t>
      </w:r>
      <w:r w:rsidR="00FF0157" w:rsidRPr="00B068A2">
        <w:rPr>
          <w:rFonts w:ascii="Arial" w:hAnsi="Arial" w:cs="Arial"/>
          <w:color w:val="auto"/>
          <w:sz w:val="22"/>
          <w:szCs w:val="22"/>
        </w:rPr>
        <w:t>ailored approach</w:t>
      </w:r>
      <w:r w:rsidRPr="00B068A2">
        <w:rPr>
          <w:rFonts w:ascii="Arial" w:hAnsi="Arial" w:cs="Arial"/>
          <w:color w:val="auto"/>
          <w:sz w:val="22"/>
          <w:szCs w:val="22"/>
        </w:rPr>
        <w:t xml:space="preserve"> to m</w:t>
      </w:r>
      <w:r w:rsidR="00FF0157" w:rsidRPr="00B068A2">
        <w:rPr>
          <w:rFonts w:ascii="Arial" w:hAnsi="Arial" w:cs="Arial"/>
          <w:color w:val="auto"/>
          <w:sz w:val="22"/>
          <w:szCs w:val="22"/>
        </w:rPr>
        <w:t>eeting</w:t>
      </w:r>
      <w:r w:rsidR="003A77B2" w:rsidRPr="00B068A2">
        <w:rPr>
          <w:rFonts w:ascii="Arial" w:hAnsi="Arial" w:cs="Arial"/>
          <w:color w:val="auto"/>
          <w:sz w:val="22"/>
          <w:szCs w:val="22"/>
        </w:rPr>
        <w:t xml:space="preserve"> p</w:t>
      </w:r>
      <w:r w:rsidR="00FF0157" w:rsidRPr="00B068A2">
        <w:rPr>
          <w:rFonts w:ascii="Arial" w:hAnsi="Arial" w:cs="Arial"/>
          <w:color w:val="auto"/>
          <w:sz w:val="22"/>
          <w:szCs w:val="22"/>
        </w:rPr>
        <w:t>rovincial needs but caused</w:t>
      </w:r>
      <w:r w:rsidRPr="00B068A2">
        <w:rPr>
          <w:rFonts w:ascii="Arial" w:hAnsi="Arial" w:cs="Arial"/>
          <w:color w:val="auto"/>
          <w:sz w:val="22"/>
          <w:szCs w:val="22"/>
        </w:rPr>
        <w:t xml:space="preserve"> initial confusion around the roles and responsibilities of EPI staff and financing at all levels</w:t>
      </w:r>
      <w:r w:rsidR="00FF0157" w:rsidRPr="00B068A2">
        <w:rPr>
          <w:rFonts w:ascii="Arial" w:hAnsi="Arial" w:cs="Arial"/>
          <w:color w:val="auto"/>
          <w:sz w:val="22"/>
          <w:szCs w:val="22"/>
        </w:rPr>
        <w:t>, primarily due to the unclear division of roles and responsibilities for federal and provincial governments.</w:t>
      </w:r>
      <w:r w:rsidRPr="00B068A2">
        <w:rPr>
          <w:rFonts w:ascii="Arial" w:hAnsi="Arial" w:cs="Arial"/>
          <w:color w:val="auto"/>
          <w:sz w:val="22"/>
          <w:szCs w:val="22"/>
        </w:rPr>
        <w:t xml:space="preserve"> </w:t>
      </w:r>
      <w:r w:rsidR="0052016B" w:rsidRPr="00B068A2">
        <w:rPr>
          <w:rFonts w:ascii="Arial" w:hAnsi="Arial" w:cs="Arial"/>
          <w:color w:val="auto"/>
          <w:sz w:val="22"/>
          <w:szCs w:val="22"/>
        </w:rPr>
        <w:t>There is also concern about the l</w:t>
      </w:r>
      <w:r w:rsidR="0052016B" w:rsidRPr="00B068A2">
        <w:rPr>
          <w:rFonts w:ascii="Arial" w:hAnsi="Arial" w:cs="Arial"/>
          <w:sz w:val="22"/>
          <w:szCs w:val="22"/>
        </w:rPr>
        <w:t xml:space="preserve">imited capacities of provincial </w:t>
      </w:r>
      <w:r w:rsidR="0052016B" w:rsidRPr="00B068A2">
        <w:rPr>
          <w:rFonts w:ascii="Arial" w:hAnsi="Arial" w:cs="Arial"/>
          <w:color w:val="auto"/>
          <w:sz w:val="22"/>
          <w:szCs w:val="22"/>
        </w:rPr>
        <w:t>governments to provide services, possibilities of diffe</w:t>
      </w:r>
      <w:r w:rsidR="0052016B" w:rsidRPr="00B068A2">
        <w:rPr>
          <w:rFonts w:ascii="Arial" w:hAnsi="Arial" w:cs="Arial"/>
          <w:sz w:val="22"/>
          <w:szCs w:val="22"/>
        </w:rPr>
        <w:t xml:space="preserve">ring immunization schedules and </w:t>
      </w:r>
      <w:r w:rsidR="0052016B" w:rsidRPr="00B068A2">
        <w:rPr>
          <w:rFonts w:ascii="Arial" w:hAnsi="Arial" w:cs="Arial"/>
          <w:color w:val="auto"/>
          <w:sz w:val="22"/>
          <w:szCs w:val="22"/>
        </w:rPr>
        <w:t xml:space="preserve">protocols, and disparate delivery strategies between provinces. </w:t>
      </w:r>
      <w:r w:rsidRPr="00B068A2">
        <w:rPr>
          <w:rFonts w:ascii="Arial" w:hAnsi="Arial" w:cs="Arial"/>
          <w:color w:val="auto"/>
          <w:sz w:val="22"/>
          <w:szCs w:val="22"/>
        </w:rPr>
        <w:t>Significant progress has been made since 2015 on the clarification of roles and responsibilities</w:t>
      </w:r>
      <w:r w:rsidR="00FF0157" w:rsidRPr="00B068A2">
        <w:rPr>
          <w:rFonts w:ascii="Arial" w:hAnsi="Arial" w:cs="Arial"/>
          <w:color w:val="auto"/>
          <w:sz w:val="22"/>
          <w:szCs w:val="22"/>
        </w:rPr>
        <w:t>.</w:t>
      </w:r>
      <w:r w:rsidR="003A77B2" w:rsidRPr="00B068A2">
        <w:rPr>
          <w:rFonts w:ascii="Arial" w:hAnsi="Arial" w:cs="Arial"/>
          <w:color w:val="auto"/>
          <w:sz w:val="22"/>
          <w:szCs w:val="22"/>
        </w:rPr>
        <w:t xml:space="preserve"> </w:t>
      </w:r>
    </w:p>
    <w:p w14:paraId="6A2D54A3" w14:textId="77777777" w:rsidR="002D3541" w:rsidRPr="00B068A2" w:rsidRDefault="002D3541" w:rsidP="00602C0A">
      <w:pPr>
        <w:pStyle w:val="Default"/>
        <w:adjustRightInd/>
        <w:spacing w:line="276" w:lineRule="auto"/>
        <w:rPr>
          <w:rFonts w:ascii="Arial" w:hAnsi="Arial" w:cs="Arial"/>
          <w:color w:val="auto"/>
          <w:sz w:val="22"/>
          <w:szCs w:val="22"/>
        </w:rPr>
      </w:pPr>
    </w:p>
    <w:p w14:paraId="00192EFF" w14:textId="49EE4210" w:rsidR="00AE58AF" w:rsidRPr="00B068A2" w:rsidRDefault="00FF0157" w:rsidP="00602C0A">
      <w:pPr>
        <w:pStyle w:val="Default"/>
        <w:adjustRightInd/>
        <w:spacing w:line="276" w:lineRule="auto"/>
        <w:rPr>
          <w:rFonts w:ascii="Arial" w:hAnsi="Arial" w:cs="Arial"/>
          <w:color w:val="auto"/>
          <w:sz w:val="22"/>
          <w:szCs w:val="22"/>
        </w:rPr>
      </w:pPr>
      <w:r w:rsidRPr="00B068A2">
        <w:rPr>
          <w:rFonts w:ascii="Arial" w:hAnsi="Arial" w:cs="Arial"/>
          <w:color w:val="auto"/>
          <w:sz w:val="22"/>
          <w:szCs w:val="22"/>
        </w:rPr>
        <w:t>As it stands,</w:t>
      </w:r>
      <w:r w:rsidR="003A77B2" w:rsidRPr="00B068A2">
        <w:rPr>
          <w:rFonts w:ascii="Arial" w:hAnsi="Arial" w:cs="Arial"/>
          <w:color w:val="auto"/>
          <w:sz w:val="22"/>
          <w:szCs w:val="22"/>
        </w:rPr>
        <w:t xml:space="preserve"> provincial governments are responsible for the</w:t>
      </w:r>
      <w:r w:rsidRPr="00B068A2">
        <w:rPr>
          <w:rFonts w:ascii="Arial" w:hAnsi="Arial" w:cs="Arial"/>
          <w:color w:val="auto"/>
          <w:sz w:val="22"/>
          <w:szCs w:val="22"/>
        </w:rPr>
        <w:t xml:space="preserve"> implementation and execution of immunization services and of </w:t>
      </w:r>
      <w:r w:rsidR="003A77B2" w:rsidRPr="00B068A2">
        <w:rPr>
          <w:rFonts w:ascii="Arial" w:hAnsi="Arial" w:cs="Arial"/>
          <w:color w:val="auto"/>
          <w:sz w:val="22"/>
          <w:szCs w:val="22"/>
        </w:rPr>
        <w:t>increasing</w:t>
      </w:r>
      <w:r w:rsidRPr="00B068A2">
        <w:rPr>
          <w:rFonts w:ascii="Arial" w:hAnsi="Arial" w:cs="Arial"/>
          <w:color w:val="auto"/>
          <w:sz w:val="22"/>
          <w:szCs w:val="22"/>
        </w:rPr>
        <w:t xml:space="preserve"> immunization coverage, while the Federal EPI Cell under the </w:t>
      </w:r>
      <w:r w:rsidR="003A77B2" w:rsidRPr="00B068A2">
        <w:rPr>
          <w:rFonts w:ascii="Arial" w:hAnsi="Arial" w:cs="Arial"/>
          <w:color w:val="auto"/>
          <w:sz w:val="22"/>
          <w:szCs w:val="22"/>
        </w:rPr>
        <w:t xml:space="preserve">newly created </w:t>
      </w:r>
      <w:r w:rsidRPr="00B068A2">
        <w:rPr>
          <w:rFonts w:ascii="Arial" w:hAnsi="Arial" w:cs="Arial"/>
          <w:color w:val="auto"/>
          <w:sz w:val="22"/>
          <w:szCs w:val="22"/>
        </w:rPr>
        <w:t xml:space="preserve">Ministry of National Health Services, Regulations and Coordination </w:t>
      </w:r>
      <w:r w:rsidRPr="00B068A2">
        <w:rPr>
          <w:rFonts w:ascii="Arial" w:hAnsi="Arial" w:cs="Arial"/>
          <w:color w:val="auto"/>
          <w:sz w:val="22"/>
          <w:szCs w:val="22"/>
        </w:rPr>
        <w:lastRenderedPageBreak/>
        <w:t>(</w:t>
      </w:r>
      <w:proofErr w:type="spellStart"/>
      <w:r w:rsidRPr="00B068A2">
        <w:rPr>
          <w:rFonts w:ascii="Arial" w:hAnsi="Arial" w:cs="Arial"/>
          <w:color w:val="auto"/>
          <w:sz w:val="22"/>
          <w:szCs w:val="22"/>
        </w:rPr>
        <w:t>MoNHSRC</w:t>
      </w:r>
      <w:proofErr w:type="spellEnd"/>
      <w:r w:rsidRPr="00B068A2">
        <w:rPr>
          <w:rFonts w:ascii="Arial" w:hAnsi="Arial" w:cs="Arial"/>
          <w:color w:val="auto"/>
          <w:sz w:val="22"/>
          <w:szCs w:val="22"/>
        </w:rPr>
        <w:t>) has the responsibility for coordination, technical support, international collaborations and donor coordination, disease information and surveillance, monitoring of infectious diseases in addition to regulations,</w:t>
      </w:r>
      <w:r w:rsidR="00B068A2">
        <w:rPr>
          <w:rFonts w:ascii="Arial" w:hAnsi="Arial" w:cs="Arial"/>
          <w:color w:val="auto"/>
          <w:sz w:val="22"/>
          <w:szCs w:val="22"/>
        </w:rPr>
        <w:t xml:space="preserve"> standards and accreditations. </w:t>
      </w:r>
      <w:r w:rsidRPr="00B068A2">
        <w:rPr>
          <w:rFonts w:ascii="Arial" w:hAnsi="Arial" w:cs="Arial"/>
          <w:color w:val="auto"/>
          <w:sz w:val="22"/>
          <w:szCs w:val="22"/>
        </w:rPr>
        <w:t>Recently a Health Planning, System Strengthening and Information Analysis unit</w:t>
      </w:r>
      <w:r w:rsidR="003A77B2" w:rsidRPr="00B068A2">
        <w:rPr>
          <w:rFonts w:ascii="Arial" w:hAnsi="Arial" w:cs="Arial"/>
          <w:color w:val="auto"/>
          <w:sz w:val="22"/>
          <w:szCs w:val="22"/>
        </w:rPr>
        <w:t xml:space="preserve"> was created</w:t>
      </w:r>
      <w:r w:rsidRPr="00B068A2">
        <w:rPr>
          <w:rFonts w:ascii="Arial" w:hAnsi="Arial" w:cs="Arial"/>
          <w:color w:val="auto"/>
          <w:sz w:val="22"/>
          <w:szCs w:val="22"/>
        </w:rPr>
        <w:t xml:space="preserve"> to oversee and coordinate health systems related work in the country.</w:t>
      </w:r>
      <w:r w:rsidR="002D3541" w:rsidRPr="00B068A2">
        <w:rPr>
          <w:rFonts w:ascii="Arial" w:hAnsi="Arial" w:cs="Arial"/>
          <w:sz w:val="22"/>
          <w:szCs w:val="22"/>
        </w:rPr>
        <w:t xml:space="preserve"> </w:t>
      </w:r>
      <w:r w:rsidR="00B068A2">
        <w:rPr>
          <w:rFonts w:ascii="Arial" w:eastAsia="Arial" w:hAnsi="Arial" w:cs="Arial"/>
          <w:color w:val="auto"/>
          <w:sz w:val="22"/>
          <w:szCs w:val="22"/>
        </w:rPr>
        <w:t>Immunization and health systems objectives are both represented in</w:t>
      </w:r>
      <w:r w:rsidR="00B068A2" w:rsidRPr="00B068A2">
        <w:rPr>
          <w:rFonts w:ascii="Arial" w:eastAsia="Arial" w:hAnsi="Arial" w:cs="Arial"/>
          <w:color w:val="auto"/>
          <w:sz w:val="22"/>
          <w:szCs w:val="22"/>
        </w:rPr>
        <w:t xml:space="preserve"> Pakistan’s National Immunisation Support Project (2016-2020) </w:t>
      </w:r>
      <w:r w:rsidR="00B068A2">
        <w:rPr>
          <w:rFonts w:ascii="Arial" w:eastAsia="Arial" w:hAnsi="Arial" w:cs="Arial"/>
          <w:color w:val="auto"/>
          <w:sz w:val="22"/>
          <w:szCs w:val="22"/>
        </w:rPr>
        <w:t xml:space="preserve">which is tasked with </w:t>
      </w:r>
      <w:r w:rsidR="00B068A2" w:rsidRPr="00B068A2">
        <w:rPr>
          <w:rFonts w:ascii="Arial" w:eastAsia="Arial" w:hAnsi="Arial" w:cs="Arial"/>
          <w:color w:val="auto"/>
          <w:sz w:val="22"/>
          <w:szCs w:val="22"/>
        </w:rPr>
        <w:t>increas</w:t>
      </w:r>
      <w:r w:rsidR="00B068A2">
        <w:rPr>
          <w:rFonts w:ascii="Arial" w:eastAsia="Arial" w:hAnsi="Arial" w:cs="Arial"/>
          <w:color w:val="auto"/>
          <w:sz w:val="22"/>
          <w:szCs w:val="22"/>
        </w:rPr>
        <w:t>ing</w:t>
      </w:r>
      <w:r w:rsidR="00B068A2" w:rsidRPr="00B068A2">
        <w:rPr>
          <w:rFonts w:ascii="Arial" w:eastAsia="Arial" w:hAnsi="Arial" w:cs="Arial"/>
          <w:color w:val="auto"/>
          <w:sz w:val="22"/>
          <w:szCs w:val="22"/>
        </w:rPr>
        <w:t xml:space="preserve"> the equitable coverage of services for immunisation against vaccine preventable diseases (VPD), for children under 2 years of age. This includes improving immunisation services through strengthening of routine immunisation systems (as part of </w:t>
      </w:r>
      <w:r w:rsidR="00B068A2">
        <w:rPr>
          <w:rFonts w:ascii="Arial" w:eastAsia="Arial" w:hAnsi="Arial" w:cs="Arial"/>
          <w:color w:val="auto"/>
          <w:sz w:val="22"/>
          <w:szCs w:val="22"/>
        </w:rPr>
        <w:t xml:space="preserve">the </w:t>
      </w:r>
      <w:r w:rsidR="00B068A2" w:rsidRPr="00B068A2">
        <w:rPr>
          <w:rFonts w:ascii="Arial" w:eastAsia="Arial" w:hAnsi="Arial" w:cs="Arial"/>
          <w:color w:val="auto"/>
          <w:sz w:val="22"/>
          <w:szCs w:val="22"/>
        </w:rPr>
        <w:t>country’s health system).</w:t>
      </w:r>
    </w:p>
    <w:p w14:paraId="729B51F4" w14:textId="77777777" w:rsidR="002D3541" w:rsidRPr="00B068A2" w:rsidRDefault="002D3541" w:rsidP="00602C0A">
      <w:pPr>
        <w:autoSpaceDE w:val="0"/>
        <w:autoSpaceDN w:val="0"/>
        <w:spacing w:after="0"/>
        <w:rPr>
          <w:rFonts w:ascii="Arial" w:hAnsi="Arial" w:cs="Arial"/>
        </w:rPr>
      </w:pPr>
    </w:p>
    <w:p w14:paraId="08DC6E6E" w14:textId="08E209C2" w:rsidR="002D3541" w:rsidRPr="00B068A2" w:rsidRDefault="002D3541" w:rsidP="00602C0A">
      <w:pPr>
        <w:autoSpaceDE w:val="0"/>
        <w:autoSpaceDN w:val="0"/>
        <w:spacing w:after="0"/>
        <w:rPr>
          <w:rFonts w:ascii="Arial" w:hAnsi="Arial" w:cs="Arial"/>
        </w:rPr>
      </w:pPr>
      <w:r w:rsidRPr="00B068A2">
        <w:rPr>
          <w:rFonts w:ascii="Arial" w:hAnsi="Arial" w:cs="Arial"/>
        </w:rPr>
        <w:t>Within the newly decentralized health system</w:t>
      </w:r>
      <w:r w:rsidR="003A77B2" w:rsidRPr="00B068A2">
        <w:rPr>
          <w:rFonts w:ascii="Arial" w:hAnsi="Arial" w:cs="Arial"/>
        </w:rPr>
        <w:t xml:space="preserve">, the federal health authorities </w:t>
      </w:r>
      <w:r w:rsidR="00E85FA1" w:rsidRPr="00B068A2">
        <w:rPr>
          <w:rFonts w:ascii="Arial" w:hAnsi="Arial" w:cs="Arial"/>
        </w:rPr>
        <w:t>remains</w:t>
      </w:r>
      <w:r w:rsidR="003A77B2" w:rsidRPr="00B068A2">
        <w:rPr>
          <w:rFonts w:ascii="Arial" w:hAnsi="Arial" w:cs="Arial"/>
        </w:rPr>
        <w:t xml:space="preserve"> exclusive</w:t>
      </w:r>
      <w:r w:rsidR="00E85FA1" w:rsidRPr="00B068A2">
        <w:rPr>
          <w:rFonts w:ascii="Arial" w:hAnsi="Arial" w:cs="Arial"/>
        </w:rPr>
        <w:t>ly</w:t>
      </w:r>
      <w:r w:rsidR="003A77B2" w:rsidRPr="00B068A2">
        <w:rPr>
          <w:rFonts w:ascii="Arial" w:hAnsi="Arial" w:cs="Arial"/>
        </w:rPr>
        <w:t xml:space="preserve"> </w:t>
      </w:r>
      <w:r w:rsidR="00E85FA1" w:rsidRPr="00B068A2">
        <w:rPr>
          <w:rFonts w:ascii="Arial" w:hAnsi="Arial" w:cs="Arial"/>
        </w:rPr>
        <w:t>responsible for</w:t>
      </w:r>
      <w:r w:rsidR="003A77B2" w:rsidRPr="00B068A2">
        <w:rPr>
          <w:rFonts w:ascii="Arial" w:hAnsi="Arial" w:cs="Arial"/>
        </w:rPr>
        <w:t xml:space="preserve"> fulfilment</w:t>
      </w:r>
      <w:r w:rsidR="00E85FA1" w:rsidRPr="00B068A2">
        <w:rPr>
          <w:rFonts w:ascii="Arial" w:hAnsi="Arial" w:cs="Arial"/>
        </w:rPr>
        <w:t xml:space="preserve"> of</w:t>
      </w:r>
      <w:r w:rsidR="003A77B2" w:rsidRPr="00B068A2">
        <w:rPr>
          <w:rFonts w:ascii="Arial" w:hAnsi="Arial" w:cs="Arial"/>
        </w:rPr>
        <w:t xml:space="preserve"> national commitments at the global and regional levels (such as </w:t>
      </w:r>
      <w:r w:rsidR="00E85FA1" w:rsidRPr="00B068A2">
        <w:rPr>
          <w:rFonts w:ascii="Arial" w:hAnsi="Arial" w:cs="Arial"/>
        </w:rPr>
        <w:t>the Sustainable</w:t>
      </w:r>
      <w:r w:rsidR="003A77B2" w:rsidRPr="00B068A2">
        <w:rPr>
          <w:rFonts w:ascii="Arial" w:hAnsi="Arial" w:cs="Arial"/>
        </w:rPr>
        <w:t xml:space="preserve"> Development Goals) while supporting sub-national entities in the implementation of their respective immunization programs.</w:t>
      </w:r>
      <w:r w:rsidR="00E85FA1" w:rsidRPr="00B068A2">
        <w:rPr>
          <w:rFonts w:ascii="Arial" w:hAnsi="Arial" w:cs="Arial"/>
        </w:rPr>
        <w:t xml:space="preserve"> Political leadership on immunization has improved over the past few years, particularly at the federal level, but varies between provinces.</w:t>
      </w:r>
      <w:r w:rsidR="0052016B" w:rsidRPr="00B068A2">
        <w:rPr>
          <w:rFonts w:ascii="Arial" w:hAnsi="Arial" w:cs="Arial"/>
        </w:rPr>
        <w:t xml:space="preserve"> However, d</w:t>
      </w:r>
      <w:r w:rsidRPr="00B068A2">
        <w:rPr>
          <w:rFonts w:ascii="Arial" w:hAnsi="Arial" w:cs="Arial"/>
        </w:rPr>
        <w:t>espite significant efforts by the government and its partners, Pakistan’s immunization indicators have yet to reach expected benchmarks. The key goals of polio eradication and measles and neonatal tetanus elimination are still not achieved</w:t>
      </w:r>
      <w:r w:rsidR="0052016B" w:rsidRPr="00B068A2">
        <w:rPr>
          <w:rFonts w:ascii="Arial" w:hAnsi="Arial" w:cs="Arial"/>
        </w:rPr>
        <w:t>.</w:t>
      </w:r>
      <w:r w:rsidRPr="00B068A2">
        <w:rPr>
          <w:rFonts w:ascii="Arial" w:hAnsi="Arial" w:cs="Arial"/>
        </w:rPr>
        <w:t xml:space="preserve"> </w:t>
      </w:r>
      <w:r w:rsidR="0052016B" w:rsidRPr="00B068A2">
        <w:rPr>
          <w:rFonts w:ascii="Arial" w:hAnsi="Arial" w:cs="Arial"/>
        </w:rPr>
        <w:t xml:space="preserve">Additionally </w:t>
      </w:r>
      <w:r w:rsidRPr="00B068A2">
        <w:rPr>
          <w:rFonts w:ascii="Arial" w:hAnsi="Arial" w:cs="Arial"/>
        </w:rPr>
        <w:t>routine vaccination coverage remains insufficient</w:t>
      </w:r>
      <w:r w:rsidR="0052016B" w:rsidRPr="00B068A2">
        <w:rPr>
          <w:rFonts w:ascii="Arial" w:hAnsi="Arial" w:cs="Arial"/>
        </w:rPr>
        <w:t>, as</w:t>
      </w:r>
      <w:r w:rsidRPr="00B068A2">
        <w:rPr>
          <w:rFonts w:ascii="Arial" w:hAnsi="Arial" w:cs="Arial"/>
        </w:rPr>
        <w:t xml:space="preserve"> evident in several recent outbreaks of measles, pertussis and diphtheria in</w:t>
      </w:r>
      <w:r w:rsidR="0052016B" w:rsidRPr="00B068A2">
        <w:rPr>
          <w:rFonts w:ascii="Arial" w:hAnsi="Arial" w:cs="Arial"/>
        </w:rPr>
        <w:t xml:space="preserve"> different parts of the country</w:t>
      </w:r>
      <w:r w:rsidRPr="00B068A2">
        <w:rPr>
          <w:rFonts w:ascii="Arial" w:hAnsi="Arial" w:cs="Arial"/>
        </w:rPr>
        <w:t>. Coverage of maternal and child health services, contraception, vaccination and communicable disease control is mostly better in urban areas than in rural areas</w:t>
      </w:r>
      <w:r w:rsidR="0052016B" w:rsidRPr="00B068A2">
        <w:rPr>
          <w:rFonts w:ascii="Arial" w:hAnsi="Arial" w:cs="Arial"/>
        </w:rPr>
        <w:t>, and there are significant geographic disparities</w:t>
      </w:r>
      <w:r w:rsidRPr="00B068A2">
        <w:rPr>
          <w:rFonts w:ascii="Arial" w:hAnsi="Arial" w:cs="Arial"/>
        </w:rPr>
        <w:t>.</w:t>
      </w:r>
    </w:p>
    <w:p w14:paraId="439E024C" w14:textId="77777777" w:rsidR="00E85FA1" w:rsidRPr="00B068A2" w:rsidRDefault="00E85FA1" w:rsidP="00602C0A">
      <w:pPr>
        <w:autoSpaceDE w:val="0"/>
        <w:autoSpaceDN w:val="0"/>
        <w:spacing w:after="0"/>
        <w:rPr>
          <w:rFonts w:ascii="Arial" w:hAnsi="Arial" w:cs="Arial"/>
        </w:rPr>
      </w:pPr>
    </w:p>
    <w:p w14:paraId="1FCB00F7" w14:textId="2DEAE47D" w:rsidR="00E85FA1" w:rsidRPr="00B068A2" w:rsidRDefault="0052016B" w:rsidP="00602C0A">
      <w:pPr>
        <w:autoSpaceDE w:val="0"/>
        <w:autoSpaceDN w:val="0"/>
        <w:spacing w:after="0"/>
        <w:rPr>
          <w:rFonts w:ascii="Arial" w:hAnsi="Arial" w:cs="Arial"/>
        </w:rPr>
      </w:pPr>
      <w:r w:rsidRPr="00B068A2">
        <w:rPr>
          <w:rFonts w:ascii="Arial" w:hAnsi="Arial" w:cs="Arial"/>
        </w:rPr>
        <w:t xml:space="preserve">CSOs can be essential to reaching </w:t>
      </w:r>
      <w:r w:rsidR="00605243" w:rsidRPr="00B068A2">
        <w:rPr>
          <w:rFonts w:ascii="Arial" w:hAnsi="Arial" w:cs="Arial"/>
        </w:rPr>
        <w:t>immunization targets</w:t>
      </w:r>
      <w:r w:rsidRPr="00B068A2">
        <w:rPr>
          <w:rFonts w:ascii="Arial" w:hAnsi="Arial" w:cs="Arial"/>
        </w:rPr>
        <w:t xml:space="preserve">, particularly in hard to reach areas and urban slums. However communication and roles need to be better defined and coordinated with the EPI programme. </w:t>
      </w:r>
      <w:r w:rsidR="00605243" w:rsidRPr="00B068A2">
        <w:rPr>
          <w:rFonts w:ascii="Arial" w:hAnsi="Arial" w:cs="Arial"/>
        </w:rPr>
        <w:t xml:space="preserve">This has been recognized in the creation of </w:t>
      </w:r>
      <w:r w:rsidR="00605243" w:rsidRPr="00B068A2">
        <w:rPr>
          <w:rFonts w:ascii="Arial" w:eastAsia="'arial',sans-serif" w:hAnsi="Arial" w:cs="Arial"/>
        </w:rPr>
        <w:t>the CSO unit, a coordinating unit to serve as an interface between the Government, CSOs and UNICEF. This unit was relocated to the office of Federal EPI in 2013 to ensure that it is better positioned to fulfil its function to strengthen health systems, but has recently become non-functional due to vacancies in key positions. A window of opportunity exists in the engagement of CSOs in Pakistan in demand generation for better health service delivery, as well as community mobilisation through advocacy, communication for development and other social mobilization approaches. By the virtue of their presence, CSOs can augment the capacity and coverage of public sector community health workers by deploying additional workforce. This would be particularly suited to areas where people resist vaccination due to some myths and misconceptions.</w:t>
      </w:r>
      <w:r w:rsidR="00B068A2" w:rsidRPr="00B068A2">
        <w:rPr>
          <w:rFonts w:ascii="Arial" w:eastAsia="'arial',sans-serif" w:hAnsi="Arial" w:cs="Arial"/>
        </w:rPr>
        <w:t xml:space="preserve"> Civil society has played a significant role in health systems strengthening in Pakistan, by extending support to government counterparts.</w:t>
      </w:r>
    </w:p>
    <w:p w14:paraId="24F516A6" w14:textId="77777777" w:rsidR="003A5EBF" w:rsidRPr="002D3541" w:rsidRDefault="003A5EBF" w:rsidP="00602C0A">
      <w:pPr>
        <w:autoSpaceDE w:val="0"/>
        <w:autoSpaceDN w:val="0"/>
        <w:adjustRightInd w:val="0"/>
        <w:spacing w:after="0" w:line="240" w:lineRule="auto"/>
        <w:rPr>
          <w:rFonts w:ascii="PalatinoLinotype-Roman" w:hAnsi="PalatinoLinotype-Roman" w:cs="PalatinoLinotype-Roman"/>
        </w:rPr>
      </w:pPr>
    </w:p>
    <w:p w14:paraId="20A80BCE" w14:textId="77777777" w:rsidR="00385B92" w:rsidRPr="002D3541" w:rsidRDefault="00385B92" w:rsidP="00602C0A">
      <w:pPr>
        <w:pStyle w:val="ListParagraph"/>
        <w:numPr>
          <w:ilvl w:val="1"/>
          <w:numId w:val="1"/>
        </w:numPr>
        <w:ind w:left="360"/>
        <w:rPr>
          <w:rFonts w:ascii="Arial" w:hAnsi="Arial" w:cs="Arial"/>
          <w:b/>
        </w:rPr>
      </w:pPr>
      <w:r w:rsidRPr="002D3541">
        <w:rPr>
          <w:rFonts w:ascii="Arial" w:hAnsi="Arial" w:cs="Arial"/>
          <w:b/>
        </w:rPr>
        <w:t>Immunization policy decision-making capacity</w:t>
      </w:r>
    </w:p>
    <w:p w14:paraId="438E5229" w14:textId="59676D69" w:rsidR="00A779B6" w:rsidRPr="002D3541" w:rsidRDefault="00A779B6" w:rsidP="00602C0A">
      <w:pPr>
        <w:autoSpaceDE w:val="0"/>
        <w:autoSpaceDN w:val="0"/>
        <w:adjustRightInd w:val="0"/>
        <w:spacing w:after="0"/>
        <w:rPr>
          <w:rFonts w:cstheme="minorHAnsi"/>
          <w:sz w:val="24"/>
          <w:szCs w:val="24"/>
        </w:rPr>
      </w:pPr>
      <w:r w:rsidRPr="00A779B6">
        <w:rPr>
          <w:rFonts w:ascii="Arial" w:hAnsi="Arial" w:cs="Arial"/>
        </w:rPr>
        <w:t xml:space="preserve">A National Immunization Technical Advisory Group (NITAG) exists comprised of renowned scientists, experts in different technical disciplines as core members along with key technical partners and relevant professional bodies as liaison members. This body provides technical advice on immunization to the ministry and has been instrumental in recommending new vaccine introductions. The ICC, as a strong governing body for </w:t>
      </w:r>
      <w:proofErr w:type="spellStart"/>
      <w:r w:rsidRPr="00A779B6">
        <w:rPr>
          <w:rFonts w:ascii="Arial" w:hAnsi="Arial" w:cs="Arial"/>
        </w:rPr>
        <w:t>Gavi</w:t>
      </w:r>
      <w:proofErr w:type="spellEnd"/>
      <w:r w:rsidRPr="00A779B6">
        <w:rPr>
          <w:rFonts w:ascii="Arial" w:hAnsi="Arial" w:cs="Arial"/>
        </w:rPr>
        <w:t xml:space="preserve"> support and overall immunization, </w:t>
      </w:r>
      <w:r>
        <w:rPr>
          <w:rFonts w:ascii="Arial" w:hAnsi="Arial" w:cs="Arial"/>
        </w:rPr>
        <w:t>is not fully functional and needs</w:t>
      </w:r>
      <w:r w:rsidRPr="00A779B6">
        <w:rPr>
          <w:rFonts w:ascii="Arial" w:hAnsi="Arial" w:cs="Arial"/>
        </w:rPr>
        <w:t xml:space="preserve"> to be further strengthened.</w:t>
      </w:r>
    </w:p>
    <w:p w14:paraId="6D6766D7" w14:textId="77777777" w:rsidR="00A779B6" w:rsidRPr="002D3541" w:rsidRDefault="00A779B6" w:rsidP="00602C0A">
      <w:pPr>
        <w:pStyle w:val="ListParagraph"/>
        <w:ind w:left="0"/>
        <w:rPr>
          <w:rFonts w:ascii="Arial" w:hAnsi="Arial" w:cs="Arial"/>
        </w:rPr>
      </w:pPr>
    </w:p>
    <w:p w14:paraId="22FB6D6F" w14:textId="77777777" w:rsidR="00385B92" w:rsidRPr="002D3541" w:rsidRDefault="00385B92" w:rsidP="00602C0A">
      <w:pPr>
        <w:pStyle w:val="ListParagraph"/>
        <w:ind w:left="0"/>
        <w:rPr>
          <w:rFonts w:ascii="Arial" w:hAnsi="Arial" w:cs="Arial"/>
          <w:b/>
        </w:rPr>
      </w:pPr>
      <w:proofErr w:type="gramStart"/>
      <w:r w:rsidRPr="002D3541">
        <w:rPr>
          <w:rFonts w:ascii="Arial" w:hAnsi="Arial" w:cs="Arial"/>
          <w:b/>
        </w:rPr>
        <w:t>c.  Human</w:t>
      </w:r>
      <w:proofErr w:type="gramEnd"/>
      <w:r w:rsidRPr="002D3541">
        <w:rPr>
          <w:rFonts w:ascii="Arial" w:hAnsi="Arial" w:cs="Arial"/>
          <w:b/>
        </w:rPr>
        <w:t xml:space="preserve"> resource situation</w:t>
      </w:r>
    </w:p>
    <w:p w14:paraId="4773C0A4" w14:textId="77777777" w:rsidR="00602C0A" w:rsidRPr="00602C0A" w:rsidRDefault="004744FE" w:rsidP="00602C0A">
      <w:pPr>
        <w:pStyle w:val="Default"/>
        <w:spacing w:after="149" w:line="276" w:lineRule="auto"/>
        <w:rPr>
          <w:rFonts w:ascii="Arial" w:hAnsi="Arial" w:cs="Arial"/>
          <w:color w:val="auto"/>
          <w:sz w:val="22"/>
          <w:szCs w:val="22"/>
        </w:rPr>
      </w:pPr>
      <w:r w:rsidRPr="00602C0A">
        <w:rPr>
          <w:rFonts w:ascii="Arial" w:hAnsi="Arial" w:cs="Arial"/>
          <w:color w:val="auto"/>
          <w:sz w:val="22"/>
          <w:szCs w:val="22"/>
        </w:rPr>
        <w:t xml:space="preserve">The EPI in Pakistan has serious shortfalls in the quality and number of human resources at both the management and operational level. Most of the provincial/area program offices including the Federal EPI have insufficiently skilled staff with insufficient technical and managerial competency. </w:t>
      </w:r>
      <w:r w:rsidR="003A5EBF" w:rsidRPr="00602C0A">
        <w:rPr>
          <w:rFonts w:ascii="Arial" w:eastAsia="Arial" w:hAnsi="Arial" w:cs="Arial"/>
          <w:color w:val="auto"/>
          <w:sz w:val="22"/>
          <w:szCs w:val="22"/>
        </w:rPr>
        <w:t xml:space="preserve">Certain areas (Particularly FATA, CDA/ICT, GB and AJK) experience severe human resource shortages. In some areas, there </w:t>
      </w:r>
      <w:proofErr w:type="gramStart"/>
      <w:r w:rsidR="003A5EBF" w:rsidRPr="00602C0A">
        <w:rPr>
          <w:rFonts w:ascii="Arial" w:eastAsia="Arial" w:hAnsi="Arial" w:cs="Arial"/>
          <w:color w:val="auto"/>
          <w:sz w:val="22"/>
          <w:szCs w:val="22"/>
        </w:rPr>
        <w:t>are</w:t>
      </w:r>
      <w:proofErr w:type="gramEnd"/>
      <w:r w:rsidR="003A5EBF" w:rsidRPr="00602C0A">
        <w:rPr>
          <w:rFonts w:ascii="Arial" w:eastAsia="Arial" w:hAnsi="Arial" w:cs="Arial"/>
          <w:color w:val="auto"/>
          <w:sz w:val="22"/>
          <w:szCs w:val="22"/>
        </w:rPr>
        <w:t xml:space="preserve"> only 1-2 dedicated EPI staff. The population of the areas combined is around 10 million and contains territory with challenging terrain because of the lack of infrastructure and high insecurity. </w:t>
      </w:r>
      <w:r w:rsidRPr="00602C0A">
        <w:rPr>
          <w:rFonts w:ascii="Arial" w:hAnsi="Arial" w:cs="Arial"/>
          <w:color w:val="auto"/>
          <w:sz w:val="22"/>
          <w:szCs w:val="22"/>
        </w:rPr>
        <w:t xml:space="preserve">TORs are unspecific, there is an overall lack of accountability, limited career potential and often limited job security. Orientation, training and continued education is only rudimentarily provided. There is a frequent staff turnover at all levels. </w:t>
      </w:r>
    </w:p>
    <w:p w14:paraId="2D86E150" w14:textId="3EB21D15" w:rsidR="003A5EBF" w:rsidRPr="00602C0A" w:rsidRDefault="004744FE" w:rsidP="00602C0A">
      <w:pPr>
        <w:pStyle w:val="Default"/>
        <w:spacing w:after="149" w:line="276" w:lineRule="auto"/>
        <w:rPr>
          <w:rFonts w:ascii="Arial" w:eastAsia="Arial" w:hAnsi="Arial" w:cs="Arial"/>
          <w:color w:val="auto"/>
          <w:sz w:val="22"/>
          <w:szCs w:val="22"/>
        </w:rPr>
      </w:pPr>
      <w:r w:rsidRPr="00602C0A">
        <w:rPr>
          <w:rFonts w:ascii="Arial" w:hAnsi="Arial" w:cs="Arial"/>
          <w:color w:val="auto"/>
          <w:sz w:val="22"/>
          <w:szCs w:val="22"/>
        </w:rPr>
        <w:t xml:space="preserve">Significant gaps exist specifically in cold chain and logistics staff number and technical knowledge at Federal and Provincial levels. Temporary support is provided by partners </w:t>
      </w:r>
      <w:r w:rsidR="00C275E8" w:rsidRPr="00602C0A">
        <w:rPr>
          <w:rFonts w:ascii="Arial" w:hAnsi="Arial" w:cs="Arial"/>
          <w:sz w:val="22"/>
          <w:szCs w:val="22"/>
        </w:rPr>
        <w:t>(WHO, UNICEF and USAID) to the f</w:t>
      </w:r>
      <w:r w:rsidRPr="00602C0A">
        <w:rPr>
          <w:rFonts w:ascii="Arial" w:hAnsi="Arial" w:cs="Arial"/>
          <w:color w:val="auto"/>
          <w:sz w:val="22"/>
          <w:szCs w:val="22"/>
        </w:rPr>
        <w:t xml:space="preserve">ederal and provincial program offices through secondments or other contractual arrangements, but their adequacy as well as current state of utilization is being questioned due to limited management capacity. The vaccinator / population ratio is very low resulting in highly irregular service delivery. The new EPI policy requires a minimum number of vaccinators per population and geographic area. Provinces have taken initiatives to recruit more vaccinators and at the same time train </w:t>
      </w:r>
      <w:r w:rsidR="00C275E8" w:rsidRPr="00602C0A">
        <w:rPr>
          <w:rFonts w:ascii="Arial" w:hAnsi="Arial" w:cs="Arial"/>
          <w:sz w:val="22"/>
          <w:szCs w:val="22"/>
        </w:rPr>
        <w:t>Lady Health Workers (</w:t>
      </w:r>
      <w:r w:rsidRPr="00602C0A">
        <w:rPr>
          <w:rFonts w:ascii="Arial" w:hAnsi="Arial" w:cs="Arial"/>
          <w:color w:val="auto"/>
          <w:sz w:val="22"/>
          <w:szCs w:val="22"/>
        </w:rPr>
        <w:t>LHWs</w:t>
      </w:r>
      <w:r w:rsidR="00C275E8" w:rsidRPr="00602C0A">
        <w:rPr>
          <w:rFonts w:ascii="Arial" w:hAnsi="Arial" w:cs="Arial"/>
          <w:sz w:val="22"/>
          <w:szCs w:val="22"/>
        </w:rPr>
        <w:t>)</w:t>
      </w:r>
      <w:r w:rsidRPr="00602C0A">
        <w:rPr>
          <w:rFonts w:ascii="Arial" w:hAnsi="Arial" w:cs="Arial"/>
          <w:color w:val="auto"/>
          <w:sz w:val="22"/>
          <w:szCs w:val="22"/>
        </w:rPr>
        <w:t xml:space="preserve"> to perform routine immunization services.</w:t>
      </w:r>
      <w:r w:rsidR="003A5EBF" w:rsidRPr="00602C0A">
        <w:rPr>
          <w:rFonts w:ascii="Arial" w:hAnsi="Arial" w:cs="Arial"/>
          <w:sz w:val="22"/>
          <w:szCs w:val="22"/>
        </w:rPr>
        <w:t xml:space="preserve"> </w:t>
      </w:r>
    </w:p>
    <w:p w14:paraId="4D27AC9C" w14:textId="68BA2C68" w:rsidR="008533CC" w:rsidRDefault="00602C0A" w:rsidP="00602C0A">
      <w:pPr>
        <w:autoSpaceDE w:val="0"/>
        <w:autoSpaceDN w:val="0"/>
        <w:adjustRightInd w:val="0"/>
        <w:spacing w:after="0"/>
        <w:rPr>
          <w:rFonts w:ascii="Arial" w:hAnsi="Arial" w:cs="Arial"/>
          <w:lang w:eastAsia="en-GB"/>
        </w:rPr>
      </w:pPr>
      <w:r w:rsidRPr="00602C0A">
        <w:rPr>
          <w:rFonts w:ascii="Arial" w:eastAsia="Arial" w:hAnsi="Arial" w:cs="Arial"/>
        </w:rPr>
        <w:t xml:space="preserve">The use of Lady Health Workers (LHWs) and Lady Health Supervisors (LHSs) is being explored by a number of provinces to strengthen Routine Immunisation through service delivery. </w:t>
      </w:r>
      <w:r w:rsidR="00BF58AC">
        <w:rPr>
          <w:rFonts w:ascii="Arial" w:eastAsia="Arial" w:hAnsi="Arial" w:cs="Arial"/>
        </w:rPr>
        <w:t xml:space="preserve">If more LHWs are used in campaigns, then vaccinators will have more time for RI. </w:t>
      </w:r>
      <w:r w:rsidRPr="00602C0A">
        <w:rPr>
          <w:rFonts w:ascii="Arial" w:eastAsia="Arial" w:hAnsi="Arial" w:cs="Arial"/>
        </w:rPr>
        <w:t xml:space="preserve">Previously, LHWs were used in social mobilisation and health education. Pakistan has more than 110,000 Lady Health Workers at the community level and they play an integral role in bridging between health facility and community for providing essential health services to communities, especially in rural areas that are difficult to reach. </w:t>
      </w:r>
      <w:r w:rsidR="00BF58AC">
        <w:rPr>
          <w:rFonts w:ascii="Arial" w:eastAsia="Arial" w:hAnsi="Arial" w:cs="Arial"/>
        </w:rPr>
        <w:t xml:space="preserve">Currently not all provinces allow LHWs to provide all vaccines, but this is under discussion. </w:t>
      </w:r>
      <w:r w:rsidRPr="00602C0A">
        <w:rPr>
          <w:rFonts w:ascii="Arial" w:eastAsia="Arial" w:hAnsi="Arial" w:cs="Arial"/>
        </w:rPr>
        <w:t xml:space="preserve">Ongoing training activities (funded from unspent funds from HSS-1) for LHWs and an assessment of their contribution to RI is underway. In May 2016, WHO with </w:t>
      </w:r>
      <w:proofErr w:type="spellStart"/>
      <w:r w:rsidRPr="00602C0A">
        <w:rPr>
          <w:rFonts w:ascii="Arial" w:eastAsia="Arial" w:hAnsi="Arial" w:cs="Arial"/>
        </w:rPr>
        <w:t>Gavi</w:t>
      </w:r>
      <w:proofErr w:type="spellEnd"/>
      <w:r w:rsidRPr="00602C0A">
        <w:rPr>
          <w:rFonts w:ascii="Arial" w:eastAsia="Arial" w:hAnsi="Arial" w:cs="Arial"/>
        </w:rPr>
        <w:t xml:space="preserve"> funding support held a consultation on the use of LHWs in </w:t>
      </w:r>
      <w:proofErr w:type="gramStart"/>
      <w:r w:rsidRPr="00602C0A">
        <w:rPr>
          <w:rFonts w:ascii="Arial" w:eastAsia="Arial" w:hAnsi="Arial" w:cs="Arial"/>
        </w:rPr>
        <w:t>RI.</w:t>
      </w:r>
      <w:proofErr w:type="gramEnd"/>
      <w:r w:rsidRPr="00602C0A">
        <w:rPr>
          <w:rFonts w:ascii="Arial" w:eastAsia="Arial" w:hAnsi="Arial" w:cs="Arial"/>
        </w:rPr>
        <w:t xml:space="preserve"> </w:t>
      </w:r>
      <w:r w:rsidRPr="00602C0A">
        <w:rPr>
          <w:rFonts w:ascii="Arial" w:hAnsi="Arial" w:cs="Arial"/>
          <w:lang w:eastAsia="en-GB"/>
        </w:rPr>
        <w:t>One of the significant workshop decisions included the formation and establishment of coordination committees at the Federal, Provincial, District and Health Facility level</w:t>
      </w:r>
      <w:r>
        <w:rPr>
          <w:rFonts w:ascii="Arial" w:hAnsi="Arial" w:cs="Arial"/>
          <w:lang w:eastAsia="en-GB"/>
        </w:rPr>
        <w:t>.</w:t>
      </w:r>
      <w:r w:rsidRPr="00602C0A">
        <w:rPr>
          <w:rFonts w:ascii="Arial" w:eastAsia="verdana, sans-serif" w:hAnsi="Arial" w:cs="Arial"/>
        </w:rPr>
        <w:t xml:space="preserve"> Availability of</w:t>
      </w:r>
      <w:r>
        <w:rPr>
          <w:rFonts w:ascii="Arial" w:eastAsia="verdana, sans-serif" w:hAnsi="Arial" w:cs="Arial"/>
        </w:rPr>
        <w:t xml:space="preserve"> these </w:t>
      </w:r>
      <w:r w:rsidRPr="00602C0A">
        <w:rPr>
          <w:rFonts w:ascii="Arial" w:eastAsia="verdana, sans-serif" w:hAnsi="Arial" w:cs="Arial"/>
        </w:rPr>
        <w:t xml:space="preserve">LHWs as female vaccinators will not only be a tremendous boost for vaccination service delivery for improving EPI coverage in Pakistan, but will also be more culturally acceptable to the community. </w:t>
      </w:r>
      <w:r w:rsidRPr="00602C0A">
        <w:rPr>
          <w:rFonts w:ascii="Arial" w:hAnsi="Arial" w:cs="Arial"/>
        </w:rPr>
        <w:t>LHWs have access to women and households in ways that other healthcare givers might not; they are important for increasing routine immunization and in strengthening other childcare practices.</w:t>
      </w:r>
    </w:p>
    <w:p w14:paraId="5317EBA3" w14:textId="77777777" w:rsidR="00602C0A" w:rsidRPr="00602C0A" w:rsidRDefault="00602C0A" w:rsidP="00602C0A">
      <w:pPr>
        <w:autoSpaceDE w:val="0"/>
        <w:autoSpaceDN w:val="0"/>
        <w:adjustRightInd w:val="0"/>
        <w:spacing w:after="0"/>
        <w:rPr>
          <w:rFonts w:ascii="Arial" w:hAnsi="Arial" w:cs="Arial"/>
          <w:lang w:eastAsia="en-GB"/>
        </w:rPr>
      </w:pPr>
    </w:p>
    <w:p w14:paraId="25B8E69C" w14:textId="33E03980" w:rsidR="00E4355C" w:rsidRPr="00602C0A" w:rsidRDefault="008533CC" w:rsidP="00085A2D">
      <w:pPr>
        <w:rPr>
          <w:rFonts w:ascii="Arial" w:eastAsia="verdana, sans-serif" w:hAnsi="Arial" w:cs="Arial"/>
        </w:rPr>
      </w:pPr>
      <w:r w:rsidRPr="00602C0A">
        <w:rPr>
          <w:rFonts w:ascii="Arial" w:eastAsia="'arial',sans-serif" w:hAnsi="Arial" w:cs="Arial"/>
        </w:rPr>
        <w:t xml:space="preserve">CSOs have </w:t>
      </w:r>
      <w:r w:rsidR="003A5EBF" w:rsidRPr="00602C0A">
        <w:rPr>
          <w:rFonts w:ascii="Arial" w:eastAsia="'arial',sans-serif" w:hAnsi="Arial" w:cs="Arial"/>
        </w:rPr>
        <w:t>continued to play a significant role,</w:t>
      </w:r>
      <w:r w:rsidRPr="00602C0A">
        <w:rPr>
          <w:rFonts w:ascii="Arial" w:eastAsia="'arial',sans-serif" w:hAnsi="Arial" w:cs="Arial"/>
        </w:rPr>
        <w:t xml:space="preserve"> particularly focusing on strengthening routine immunization</w:t>
      </w:r>
      <w:r w:rsidR="003A5EBF" w:rsidRPr="00602C0A">
        <w:rPr>
          <w:rFonts w:ascii="Arial" w:eastAsia="'arial',sans-serif" w:hAnsi="Arial" w:cs="Arial"/>
        </w:rPr>
        <w:t xml:space="preserve">, and have somewhat alleviated the personnel shortage. </w:t>
      </w:r>
      <w:r w:rsidRPr="00602C0A">
        <w:rPr>
          <w:rFonts w:ascii="Arial" w:eastAsia="'arial',sans-serif" w:hAnsi="Arial" w:cs="Arial"/>
        </w:rPr>
        <w:t xml:space="preserve">CSOs have clearly agreed on concrete results in terms of number of children immunized/percentage increase in immunization (BCG, </w:t>
      </w:r>
      <w:proofErr w:type="spellStart"/>
      <w:r w:rsidRPr="00602C0A">
        <w:rPr>
          <w:rFonts w:ascii="Arial" w:eastAsia="'arial',sans-serif" w:hAnsi="Arial" w:cs="Arial"/>
        </w:rPr>
        <w:t>Penta</w:t>
      </w:r>
      <w:proofErr w:type="spellEnd"/>
      <w:r w:rsidRPr="00602C0A">
        <w:rPr>
          <w:rFonts w:ascii="Arial" w:eastAsia="'arial',sans-serif" w:hAnsi="Arial" w:cs="Arial"/>
        </w:rPr>
        <w:t xml:space="preserve"> 3 and Measles). </w:t>
      </w:r>
      <w:r w:rsidR="003A5EBF" w:rsidRPr="00602C0A">
        <w:rPr>
          <w:rFonts w:ascii="Arial" w:eastAsia="'arial',sans-serif" w:hAnsi="Arial" w:cs="Arial"/>
        </w:rPr>
        <w:t>Because</w:t>
      </w:r>
      <w:r w:rsidRPr="00602C0A">
        <w:rPr>
          <w:rFonts w:ascii="Arial" w:eastAsia="'arial',sans-serif" w:hAnsi="Arial" w:cs="Arial"/>
        </w:rPr>
        <w:t xml:space="preserve"> the CSOs are </w:t>
      </w:r>
      <w:r w:rsidR="003A5EBF" w:rsidRPr="00602C0A">
        <w:rPr>
          <w:rFonts w:ascii="Arial" w:eastAsia="'arial',sans-serif" w:hAnsi="Arial" w:cs="Arial"/>
        </w:rPr>
        <w:t>successful at</w:t>
      </w:r>
      <w:r w:rsidRPr="00602C0A">
        <w:rPr>
          <w:rFonts w:ascii="Arial" w:eastAsia="'arial',sans-serif" w:hAnsi="Arial" w:cs="Arial"/>
        </w:rPr>
        <w:t xml:space="preserve"> social mobilization, </w:t>
      </w:r>
      <w:r w:rsidR="003A5EBF" w:rsidRPr="00602C0A">
        <w:rPr>
          <w:rFonts w:ascii="Arial" w:eastAsia="'arial',sans-serif" w:hAnsi="Arial" w:cs="Arial"/>
        </w:rPr>
        <w:t xml:space="preserve">they have been key for </w:t>
      </w:r>
      <w:r w:rsidRPr="00602C0A">
        <w:rPr>
          <w:rFonts w:ascii="Arial" w:eastAsia="'arial',sans-serif" w:hAnsi="Arial" w:cs="Arial"/>
        </w:rPr>
        <w:t>arranging vaccination camps and vaccination points to ensure vaccination of children (</w:t>
      </w:r>
      <w:r w:rsidR="00085A2D">
        <w:rPr>
          <w:rFonts w:ascii="Arial" w:eastAsia="'arial',sans-serif" w:hAnsi="Arial" w:cs="Arial"/>
        </w:rPr>
        <w:t xml:space="preserve">missed and defaulter children). There is some concern that CSOs are not fulfilling their task to reach children in areas where government vaccinators </w:t>
      </w:r>
      <w:r w:rsidR="00085A2D">
        <w:rPr>
          <w:rFonts w:ascii="Arial" w:eastAsia="'arial',sans-serif" w:hAnsi="Arial" w:cs="Arial"/>
        </w:rPr>
        <w:lastRenderedPageBreak/>
        <w:t>cannot go; however t</w:t>
      </w:r>
      <w:r w:rsidRPr="00602C0A">
        <w:rPr>
          <w:rFonts w:ascii="Arial" w:eastAsia="'arial',sans-serif" w:hAnsi="Arial" w:cs="Arial"/>
        </w:rPr>
        <w:t xml:space="preserve">he CSOs have remained successful in </w:t>
      </w:r>
      <w:r w:rsidR="003A5EBF" w:rsidRPr="00602C0A">
        <w:rPr>
          <w:rFonts w:ascii="Arial" w:eastAsia="'arial',sans-serif" w:hAnsi="Arial" w:cs="Arial"/>
        </w:rPr>
        <w:t>increasing</w:t>
      </w:r>
      <w:r w:rsidRPr="00602C0A">
        <w:rPr>
          <w:rFonts w:ascii="Arial" w:eastAsia="'arial',sans-serif" w:hAnsi="Arial" w:cs="Arial"/>
        </w:rPr>
        <w:t xml:space="preserve"> immunization </w:t>
      </w:r>
      <w:r w:rsidR="003A5EBF" w:rsidRPr="00602C0A">
        <w:rPr>
          <w:rFonts w:ascii="Arial" w:eastAsia="'arial',sans-serif" w:hAnsi="Arial" w:cs="Arial"/>
        </w:rPr>
        <w:t xml:space="preserve">coverage </w:t>
      </w:r>
      <w:r w:rsidRPr="00602C0A">
        <w:rPr>
          <w:rFonts w:ascii="Arial" w:eastAsia="'arial',sans-serif" w:hAnsi="Arial" w:cs="Arial"/>
        </w:rPr>
        <w:t>and addressing refusals. The district governments also truly appreciate and realize CSOs contribution. At many occasions, district health offices, issued letter of appreciation in recognition of CSOs work for immunization</w:t>
      </w:r>
      <w:r w:rsidR="00285D91" w:rsidRPr="00602C0A">
        <w:rPr>
          <w:rFonts w:ascii="Arial" w:eastAsia="verdana, sans-serif" w:hAnsi="Arial" w:cs="Arial"/>
        </w:rPr>
        <w:t>.</w:t>
      </w:r>
    </w:p>
    <w:p w14:paraId="2B5720D1" w14:textId="77777777" w:rsidR="00385B92" w:rsidRPr="002D3541" w:rsidRDefault="00385B92" w:rsidP="00602C0A">
      <w:pPr>
        <w:pStyle w:val="ListParagraph"/>
        <w:numPr>
          <w:ilvl w:val="0"/>
          <w:numId w:val="3"/>
        </w:numPr>
        <w:rPr>
          <w:rFonts w:ascii="Arial" w:hAnsi="Arial" w:cs="Arial"/>
          <w:b/>
          <w:sz w:val="24"/>
        </w:rPr>
      </w:pPr>
      <w:r w:rsidRPr="002D3541">
        <w:rPr>
          <w:rFonts w:ascii="Arial" w:hAnsi="Arial" w:cs="Arial"/>
          <w:b/>
          <w:sz w:val="24"/>
        </w:rPr>
        <w:t>Partner support to address remaining challenges to meet the GVAP goals and targets area</w:t>
      </w:r>
    </w:p>
    <w:p w14:paraId="08A53078" w14:textId="185F3A7A" w:rsidR="00422027" w:rsidRPr="00422027" w:rsidRDefault="00422027" w:rsidP="009E2D1E">
      <w:pPr>
        <w:rPr>
          <w:rFonts w:ascii="Arial" w:hAnsi="Arial" w:cs="Arial"/>
        </w:rPr>
      </w:pPr>
      <w:r>
        <w:rPr>
          <w:rFonts w:ascii="Arial" w:hAnsi="Arial" w:cs="Arial"/>
        </w:rPr>
        <w:t>Partner s</w:t>
      </w:r>
      <w:r w:rsidRPr="00634879">
        <w:rPr>
          <w:rFonts w:ascii="Arial" w:hAnsi="Arial" w:cs="Arial"/>
        </w:rPr>
        <w:t>upport</w:t>
      </w:r>
      <w:r>
        <w:rPr>
          <w:rFonts w:ascii="Arial" w:hAnsi="Arial" w:cs="Arial"/>
        </w:rPr>
        <w:t xml:space="preserve"> for immunization activities is similar to that in many other GAVI-supported countries, with major partners providing financial support and technical assistance for polio and measles immunization campaigns, new vaccine introductions, surveillance, training, social mobilization, cold chain improvements and so forth (see Table 1). </w:t>
      </w:r>
    </w:p>
    <w:p w14:paraId="498545DB" w14:textId="3B6FEE1A" w:rsidR="00422027" w:rsidRPr="00B3613C" w:rsidRDefault="00B3613C" w:rsidP="00B3613C">
      <w:pPr>
        <w:rPr>
          <w:rFonts w:ascii="Arial" w:hAnsi="Arial" w:cs="Arial"/>
          <w:b/>
          <w:sz w:val="24"/>
        </w:rPr>
      </w:pPr>
      <w:r w:rsidRPr="00B3613C">
        <w:rPr>
          <w:rFonts w:ascii="Arial" w:hAnsi="Arial" w:cs="Arial"/>
          <w:b/>
          <w:sz w:val="24"/>
        </w:rPr>
        <w:t>1.</w:t>
      </w:r>
      <w:r>
        <w:rPr>
          <w:rFonts w:ascii="Arial" w:hAnsi="Arial" w:cs="Arial"/>
          <w:b/>
          <w:sz w:val="24"/>
        </w:rPr>
        <w:t xml:space="preserve"> </w:t>
      </w:r>
      <w:r w:rsidR="00385B92" w:rsidRPr="00B3613C">
        <w:rPr>
          <w:rFonts w:ascii="Arial" w:hAnsi="Arial" w:cs="Arial"/>
          <w:b/>
          <w:sz w:val="24"/>
        </w:rPr>
        <w:t>Activities conducted by partners by categor</w:t>
      </w:r>
      <w:r w:rsidRPr="00B3613C">
        <w:rPr>
          <w:rFonts w:ascii="Arial" w:hAnsi="Arial" w:cs="Arial"/>
          <w:b/>
          <w:sz w:val="24"/>
        </w:rPr>
        <w:t>y</w:t>
      </w:r>
      <w:r w:rsidRPr="00B3613C">
        <w:rPr>
          <w:rFonts w:ascii="Arial" w:hAnsi="Arial" w:cs="Arial"/>
          <w:b/>
          <w:sz w:val="24"/>
        </w:rPr>
        <w:tab/>
      </w:r>
    </w:p>
    <w:p w14:paraId="32821C0A" w14:textId="2CC5B320" w:rsidR="00B3613C" w:rsidRPr="00E6431A" w:rsidRDefault="00E6431A" w:rsidP="00E6431A">
      <w:pPr>
        <w:pStyle w:val="Caption"/>
        <w:rPr>
          <w:rFonts w:ascii="Arial" w:hAnsi="Arial" w:cs="Arial"/>
          <w:color w:val="auto"/>
          <w:sz w:val="22"/>
        </w:rPr>
      </w:pPr>
      <w:r w:rsidRPr="00E6431A">
        <w:rPr>
          <w:rFonts w:ascii="Arial" w:hAnsi="Arial" w:cs="Arial"/>
          <w:color w:val="auto"/>
          <w:sz w:val="22"/>
        </w:rPr>
        <w:t xml:space="preserve">Table </w:t>
      </w:r>
      <w:r w:rsidRPr="00E6431A">
        <w:rPr>
          <w:rFonts w:ascii="Arial" w:hAnsi="Arial" w:cs="Arial"/>
          <w:color w:val="auto"/>
          <w:sz w:val="22"/>
        </w:rPr>
        <w:fldChar w:fldCharType="begin"/>
      </w:r>
      <w:r w:rsidRPr="00E6431A">
        <w:rPr>
          <w:rFonts w:ascii="Arial" w:hAnsi="Arial" w:cs="Arial"/>
          <w:color w:val="auto"/>
          <w:sz w:val="22"/>
        </w:rPr>
        <w:instrText xml:space="preserve"> SEQ Table \* ARABIC </w:instrText>
      </w:r>
      <w:r w:rsidRPr="00E6431A">
        <w:rPr>
          <w:rFonts w:ascii="Arial" w:hAnsi="Arial" w:cs="Arial"/>
          <w:color w:val="auto"/>
          <w:sz w:val="22"/>
        </w:rPr>
        <w:fldChar w:fldCharType="separate"/>
      </w:r>
      <w:r>
        <w:rPr>
          <w:rFonts w:ascii="Arial" w:hAnsi="Arial" w:cs="Arial"/>
          <w:noProof/>
          <w:color w:val="auto"/>
          <w:sz w:val="22"/>
        </w:rPr>
        <w:t>1</w:t>
      </w:r>
      <w:r w:rsidRPr="00E6431A">
        <w:rPr>
          <w:rFonts w:ascii="Arial" w:hAnsi="Arial" w:cs="Arial"/>
          <w:color w:val="auto"/>
          <w:sz w:val="22"/>
        </w:rPr>
        <w:fldChar w:fldCharType="end"/>
      </w:r>
      <w:r w:rsidRPr="00E6431A">
        <w:rPr>
          <w:rFonts w:ascii="Arial" w:hAnsi="Arial" w:cs="Arial"/>
          <w:color w:val="auto"/>
          <w:sz w:val="22"/>
        </w:rPr>
        <w:t xml:space="preserve">: </w:t>
      </w:r>
      <w:r w:rsidR="00B3613C" w:rsidRPr="00E6431A">
        <w:rPr>
          <w:rFonts w:ascii="Arial" w:hAnsi="Arial" w:cs="Arial"/>
          <w:color w:val="auto"/>
          <w:sz w:val="22"/>
        </w:rPr>
        <w:t>Partners and areas of assistance</w:t>
      </w:r>
      <w:r>
        <w:rPr>
          <w:rFonts w:ascii="Arial" w:hAnsi="Arial" w:cs="Arial"/>
          <w:color w:val="auto"/>
          <w:sz w:val="22"/>
        </w:rPr>
        <w:t xml:space="preserve"> in Pakistan</w:t>
      </w:r>
    </w:p>
    <w:tbl>
      <w:tblPr>
        <w:tblStyle w:val="TableGrid"/>
        <w:tblW w:w="0" w:type="auto"/>
        <w:jc w:val="center"/>
        <w:tblInd w:w="-852" w:type="dxa"/>
        <w:tblLook w:val="04A0" w:firstRow="1" w:lastRow="0" w:firstColumn="1" w:lastColumn="0" w:noHBand="0" w:noVBand="1"/>
      </w:tblPr>
      <w:tblGrid>
        <w:gridCol w:w="1427"/>
        <w:gridCol w:w="6941"/>
      </w:tblGrid>
      <w:tr w:rsidR="0009247D" w:rsidRPr="002A1D89" w14:paraId="5547FC23" w14:textId="77777777" w:rsidTr="00B3613C">
        <w:trPr>
          <w:tblHeader/>
          <w:jc w:val="center"/>
        </w:trPr>
        <w:tc>
          <w:tcPr>
            <w:tcW w:w="1427" w:type="dxa"/>
          </w:tcPr>
          <w:p w14:paraId="59C82B02" w14:textId="1074F28E" w:rsidR="0009247D" w:rsidRPr="002A1D89" w:rsidRDefault="0009247D" w:rsidP="0037485C">
            <w:pPr>
              <w:spacing w:after="80"/>
              <w:jc w:val="center"/>
              <w:rPr>
                <w:rFonts w:ascii="Arial" w:hAnsi="Arial" w:cs="Arial"/>
                <w:b/>
              </w:rPr>
            </w:pPr>
            <w:r w:rsidRPr="002A1D89">
              <w:rPr>
                <w:rFonts w:ascii="Arial" w:hAnsi="Arial" w:cs="Arial"/>
                <w:b/>
              </w:rPr>
              <w:t>Partner</w:t>
            </w:r>
          </w:p>
        </w:tc>
        <w:tc>
          <w:tcPr>
            <w:tcW w:w="6941" w:type="dxa"/>
          </w:tcPr>
          <w:p w14:paraId="6F26DBE4" w14:textId="093166F5" w:rsidR="0009247D" w:rsidRPr="002A1D89" w:rsidRDefault="0009247D" w:rsidP="0037485C">
            <w:pPr>
              <w:spacing w:after="80"/>
              <w:jc w:val="center"/>
              <w:rPr>
                <w:rFonts w:ascii="Arial" w:hAnsi="Arial" w:cs="Arial"/>
                <w:b/>
              </w:rPr>
            </w:pPr>
            <w:r w:rsidRPr="002A1D89">
              <w:rPr>
                <w:rFonts w:ascii="Arial" w:hAnsi="Arial" w:cs="Arial"/>
                <w:b/>
              </w:rPr>
              <w:t>Assistance Areas</w:t>
            </w:r>
          </w:p>
        </w:tc>
      </w:tr>
      <w:tr w:rsidR="0009247D" w:rsidRPr="002A1D89" w14:paraId="7506604B" w14:textId="77777777" w:rsidTr="00B3613C">
        <w:trPr>
          <w:tblHeader/>
          <w:jc w:val="center"/>
        </w:trPr>
        <w:tc>
          <w:tcPr>
            <w:tcW w:w="1427" w:type="dxa"/>
          </w:tcPr>
          <w:p w14:paraId="35FAF1B0" w14:textId="4B93EFA8" w:rsidR="0009247D" w:rsidRPr="002A1D89" w:rsidRDefault="002A1D89" w:rsidP="0037485C">
            <w:pPr>
              <w:spacing w:after="80"/>
              <w:rPr>
                <w:rFonts w:ascii="Arial" w:hAnsi="Arial" w:cs="Arial"/>
              </w:rPr>
            </w:pPr>
            <w:r w:rsidRPr="002A1D89">
              <w:rPr>
                <w:rFonts w:ascii="Arial" w:hAnsi="Arial" w:cs="Arial"/>
              </w:rPr>
              <w:t>WHO</w:t>
            </w:r>
          </w:p>
        </w:tc>
        <w:tc>
          <w:tcPr>
            <w:tcW w:w="6941" w:type="dxa"/>
          </w:tcPr>
          <w:p w14:paraId="06EDD73C" w14:textId="77777777" w:rsidR="005F2B70" w:rsidRPr="005F2B70" w:rsidRDefault="002A1D89" w:rsidP="005F2B70">
            <w:pPr>
              <w:spacing w:after="80"/>
              <w:rPr>
                <w:rFonts w:asciiTheme="minorBidi" w:hAnsiTheme="minorBidi"/>
              </w:rPr>
            </w:pPr>
            <w:r w:rsidRPr="005F2B70">
              <w:rPr>
                <w:rFonts w:asciiTheme="minorBidi" w:hAnsiTheme="minorBidi"/>
              </w:rPr>
              <w:t xml:space="preserve">Policy and leadership (development of </w:t>
            </w:r>
            <w:proofErr w:type="spellStart"/>
            <w:r w:rsidRPr="005F2B70">
              <w:rPr>
                <w:rFonts w:asciiTheme="minorBidi" w:hAnsiTheme="minorBidi"/>
              </w:rPr>
              <w:t>cMYP</w:t>
            </w:r>
            <w:proofErr w:type="spellEnd"/>
            <w:r w:rsidRPr="005F2B70">
              <w:rPr>
                <w:rFonts w:asciiTheme="minorBidi" w:hAnsiTheme="minorBidi"/>
              </w:rPr>
              <w:t>, financial sustainability plan)</w:t>
            </w:r>
          </w:p>
          <w:p w14:paraId="3DC72D66" w14:textId="77777777" w:rsidR="005F2B70" w:rsidRPr="005F2B70" w:rsidRDefault="002A1D89" w:rsidP="005F2B70">
            <w:pPr>
              <w:spacing w:after="80"/>
              <w:rPr>
                <w:rFonts w:asciiTheme="minorBidi" w:hAnsiTheme="minorBidi"/>
              </w:rPr>
            </w:pPr>
            <w:r w:rsidRPr="005F2B70">
              <w:rPr>
                <w:rFonts w:asciiTheme="minorBidi" w:hAnsiTheme="minorBidi"/>
              </w:rPr>
              <w:t>Disease surveillance</w:t>
            </w:r>
            <w:r w:rsidR="005F2B70" w:rsidRPr="005F2B70">
              <w:rPr>
                <w:rFonts w:asciiTheme="minorBidi" w:hAnsiTheme="minorBidi"/>
              </w:rPr>
              <w:t xml:space="preserve"> (case-based measles surveillance as part of integrated VPD surveillance)</w:t>
            </w:r>
          </w:p>
          <w:p w14:paraId="7E9C8F43" w14:textId="49903ED4" w:rsidR="002A1D89" w:rsidRPr="005F2B70" w:rsidRDefault="002A1D89" w:rsidP="005F2B70">
            <w:pPr>
              <w:spacing w:after="80"/>
              <w:rPr>
                <w:rFonts w:asciiTheme="minorBidi" w:hAnsiTheme="minorBidi"/>
              </w:rPr>
            </w:pPr>
            <w:r w:rsidRPr="005F2B70">
              <w:rPr>
                <w:rFonts w:asciiTheme="minorBidi" w:hAnsiTheme="minorBidi"/>
              </w:rPr>
              <w:t>Immunization campaigns/SIAs</w:t>
            </w:r>
          </w:p>
          <w:p w14:paraId="3F26535C" w14:textId="220196EE" w:rsidR="005F2B70" w:rsidRPr="005F2B70" w:rsidRDefault="005F2B70" w:rsidP="005F2B70">
            <w:pPr>
              <w:spacing w:after="80"/>
              <w:rPr>
                <w:rFonts w:asciiTheme="minorBidi" w:hAnsiTheme="minorBidi"/>
              </w:rPr>
            </w:pPr>
            <w:proofErr w:type="spellStart"/>
            <w:r w:rsidRPr="005F2B70">
              <w:rPr>
                <w:rFonts w:asciiTheme="minorBidi" w:hAnsiTheme="minorBidi"/>
              </w:rPr>
              <w:t>Microplanning</w:t>
            </w:r>
            <w:proofErr w:type="spellEnd"/>
            <w:r w:rsidRPr="005F2B70">
              <w:rPr>
                <w:rFonts w:asciiTheme="minorBidi" w:hAnsiTheme="minorBidi"/>
              </w:rPr>
              <w:t xml:space="preserve"> for Reach Every District (RED)/ Reach Every Community (REC) approach</w:t>
            </w:r>
          </w:p>
          <w:p w14:paraId="57310389" w14:textId="344BC0FF" w:rsidR="002A1D89" w:rsidRPr="005F2B70" w:rsidRDefault="002A1D89" w:rsidP="005F2B70">
            <w:pPr>
              <w:spacing w:after="80"/>
              <w:rPr>
                <w:rFonts w:asciiTheme="minorBidi" w:hAnsiTheme="minorBidi"/>
              </w:rPr>
            </w:pPr>
            <w:r w:rsidRPr="005F2B70">
              <w:rPr>
                <w:rFonts w:asciiTheme="minorBidi" w:hAnsiTheme="minorBidi"/>
              </w:rPr>
              <w:t>New vaccine introductions</w:t>
            </w:r>
            <w:r w:rsidR="005F2B70" w:rsidRPr="005F2B70">
              <w:rPr>
                <w:rFonts w:asciiTheme="minorBidi" w:hAnsiTheme="minorBidi"/>
              </w:rPr>
              <w:t xml:space="preserve"> (PCV10, IPV)</w:t>
            </w:r>
          </w:p>
          <w:p w14:paraId="343D6A8F" w14:textId="332DB316" w:rsidR="005F2B70" w:rsidRPr="005F2B70" w:rsidRDefault="005F2B70" w:rsidP="005F2B70">
            <w:pPr>
              <w:spacing w:after="80"/>
              <w:rPr>
                <w:rFonts w:asciiTheme="minorBidi" w:hAnsiTheme="minorBidi"/>
              </w:rPr>
            </w:pPr>
            <w:r w:rsidRPr="005F2B70">
              <w:rPr>
                <w:rFonts w:asciiTheme="minorBidi" w:hAnsiTheme="minorBidi"/>
              </w:rPr>
              <w:t>HR support to Federal and Provincial levels</w:t>
            </w:r>
          </w:p>
          <w:p w14:paraId="4D20C99B" w14:textId="77777777" w:rsidR="0009247D" w:rsidRPr="005F2B70" w:rsidRDefault="002A1D89" w:rsidP="005F2B70">
            <w:pPr>
              <w:rPr>
                <w:rFonts w:asciiTheme="minorBidi" w:hAnsiTheme="minorBidi"/>
              </w:rPr>
            </w:pPr>
            <w:r w:rsidRPr="005F2B70">
              <w:rPr>
                <w:rFonts w:asciiTheme="minorBidi" w:hAnsiTheme="minorBidi"/>
              </w:rPr>
              <w:t xml:space="preserve">Cold chain improvements (EVM </w:t>
            </w:r>
            <w:r w:rsidR="005F2B70" w:rsidRPr="005F2B70">
              <w:rPr>
                <w:rFonts w:asciiTheme="minorBidi" w:hAnsiTheme="minorBidi"/>
              </w:rPr>
              <w:t xml:space="preserve">assessment and </w:t>
            </w:r>
            <w:r w:rsidRPr="005F2B70">
              <w:rPr>
                <w:rFonts w:asciiTheme="minorBidi" w:hAnsiTheme="minorBidi"/>
              </w:rPr>
              <w:t>implementation)</w:t>
            </w:r>
          </w:p>
          <w:p w14:paraId="7716B218" w14:textId="7B3C233D" w:rsidR="005F2B70" w:rsidRPr="005F2B70" w:rsidRDefault="005F2B70" w:rsidP="005F2B70">
            <w:pPr>
              <w:rPr>
                <w:rFonts w:asciiTheme="minorBidi" w:hAnsiTheme="minorBidi"/>
              </w:rPr>
            </w:pPr>
          </w:p>
        </w:tc>
      </w:tr>
      <w:tr w:rsidR="0009247D" w:rsidRPr="002A1D89" w14:paraId="644A0E82" w14:textId="77777777" w:rsidTr="00B3613C">
        <w:trPr>
          <w:tblHeader/>
          <w:jc w:val="center"/>
        </w:trPr>
        <w:tc>
          <w:tcPr>
            <w:tcW w:w="1427" w:type="dxa"/>
          </w:tcPr>
          <w:p w14:paraId="43C55234" w14:textId="1D25687D" w:rsidR="0009247D" w:rsidRPr="002A1D89" w:rsidRDefault="002A1D89" w:rsidP="0037485C">
            <w:pPr>
              <w:spacing w:after="80"/>
              <w:rPr>
                <w:rFonts w:ascii="Arial" w:hAnsi="Arial" w:cs="Arial"/>
              </w:rPr>
            </w:pPr>
            <w:r w:rsidRPr="002A1D89">
              <w:rPr>
                <w:rFonts w:ascii="Arial" w:hAnsi="Arial" w:cs="Arial"/>
              </w:rPr>
              <w:t>Government of China</w:t>
            </w:r>
          </w:p>
        </w:tc>
        <w:tc>
          <w:tcPr>
            <w:tcW w:w="6941" w:type="dxa"/>
          </w:tcPr>
          <w:p w14:paraId="75F003DF" w14:textId="6BBD5981" w:rsidR="0009247D" w:rsidRPr="005F2B70" w:rsidRDefault="005F2B70" w:rsidP="005F2B70">
            <w:pPr>
              <w:pStyle w:val="Default"/>
              <w:rPr>
                <w:rFonts w:asciiTheme="minorBidi" w:hAnsiTheme="minorBidi" w:cstheme="minorBidi"/>
                <w:sz w:val="22"/>
                <w:szCs w:val="22"/>
              </w:rPr>
            </w:pPr>
            <w:r w:rsidRPr="005F2B70">
              <w:rPr>
                <w:rFonts w:asciiTheme="minorBidi" w:hAnsiTheme="minorBidi" w:cstheme="minorBidi"/>
                <w:sz w:val="22"/>
                <w:szCs w:val="22"/>
              </w:rPr>
              <w:t>Provides cold rooms, refrigerators,</w:t>
            </w:r>
            <w:r w:rsidR="002A1D89" w:rsidRPr="005F2B70">
              <w:rPr>
                <w:rFonts w:asciiTheme="minorBidi" w:hAnsiTheme="minorBidi" w:cstheme="minorBidi"/>
                <w:sz w:val="22"/>
                <w:szCs w:val="22"/>
              </w:rPr>
              <w:t xml:space="preserve"> refrigerator trucks</w:t>
            </w:r>
            <w:r w:rsidRPr="005F2B70">
              <w:rPr>
                <w:rFonts w:asciiTheme="minorBidi" w:hAnsiTheme="minorBidi" w:cstheme="minorBidi"/>
                <w:sz w:val="22"/>
                <w:szCs w:val="22"/>
              </w:rPr>
              <w:t>, and</w:t>
            </w:r>
            <w:r w:rsidR="002A1D89" w:rsidRPr="005F2B70">
              <w:rPr>
                <w:rFonts w:asciiTheme="minorBidi" w:hAnsiTheme="minorBidi" w:cstheme="minorBidi"/>
                <w:sz w:val="22"/>
                <w:szCs w:val="22"/>
              </w:rPr>
              <w:t xml:space="preserve"> repair and maintenance </w:t>
            </w:r>
            <w:r w:rsidRPr="005F2B70">
              <w:rPr>
                <w:rFonts w:asciiTheme="minorBidi" w:hAnsiTheme="minorBidi" w:cstheme="minorBidi"/>
                <w:sz w:val="22"/>
                <w:szCs w:val="22"/>
              </w:rPr>
              <w:t>of the cold rooms and trucks</w:t>
            </w:r>
          </w:p>
        </w:tc>
      </w:tr>
      <w:tr w:rsidR="0009247D" w:rsidRPr="002A1D89" w14:paraId="39E265DD" w14:textId="77777777" w:rsidTr="00B3613C">
        <w:trPr>
          <w:tblHeader/>
          <w:jc w:val="center"/>
        </w:trPr>
        <w:tc>
          <w:tcPr>
            <w:tcW w:w="1427" w:type="dxa"/>
          </w:tcPr>
          <w:p w14:paraId="45A0BBDB" w14:textId="68908CB1" w:rsidR="0009247D" w:rsidRPr="002A1D89" w:rsidRDefault="002A1D89" w:rsidP="0037485C">
            <w:pPr>
              <w:spacing w:after="80"/>
              <w:rPr>
                <w:rFonts w:ascii="Arial" w:hAnsi="Arial" w:cs="Arial"/>
              </w:rPr>
            </w:pPr>
            <w:r w:rsidRPr="002A1D89">
              <w:rPr>
                <w:rFonts w:ascii="Arial" w:hAnsi="Arial" w:cs="Arial"/>
              </w:rPr>
              <w:t>USAID</w:t>
            </w:r>
          </w:p>
        </w:tc>
        <w:tc>
          <w:tcPr>
            <w:tcW w:w="6941" w:type="dxa"/>
          </w:tcPr>
          <w:p w14:paraId="4B2DFD17" w14:textId="1DFAFC1D" w:rsidR="005F2B70" w:rsidRPr="005F2B70" w:rsidRDefault="005F2B70" w:rsidP="005F2B70">
            <w:pPr>
              <w:pStyle w:val="Default"/>
              <w:rPr>
                <w:rFonts w:asciiTheme="minorBidi" w:hAnsiTheme="minorBidi" w:cstheme="minorBidi"/>
                <w:sz w:val="22"/>
                <w:szCs w:val="22"/>
              </w:rPr>
            </w:pPr>
            <w:r>
              <w:rPr>
                <w:rFonts w:asciiTheme="minorBidi" w:hAnsiTheme="minorBidi" w:cstheme="minorBidi"/>
                <w:sz w:val="22"/>
                <w:szCs w:val="22"/>
              </w:rPr>
              <w:t>Support</w:t>
            </w:r>
            <w:r w:rsidR="002A1D89" w:rsidRPr="005F2B70">
              <w:rPr>
                <w:rFonts w:asciiTheme="minorBidi" w:hAnsiTheme="minorBidi" w:cstheme="minorBidi"/>
                <w:sz w:val="22"/>
                <w:szCs w:val="22"/>
              </w:rPr>
              <w:t xml:space="preserve"> in the development of vaccine logistics management information system (</w:t>
            </w:r>
            <w:proofErr w:type="spellStart"/>
            <w:r w:rsidR="002A1D89" w:rsidRPr="005F2B70">
              <w:rPr>
                <w:rFonts w:asciiTheme="minorBidi" w:hAnsiTheme="minorBidi" w:cstheme="minorBidi"/>
                <w:sz w:val="22"/>
                <w:szCs w:val="22"/>
              </w:rPr>
              <w:t>vLMIS</w:t>
            </w:r>
            <w:proofErr w:type="spellEnd"/>
            <w:r w:rsidR="002A1D89" w:rsidRPr="005F2B70">
              <w:rPr>
                <w:rFonts w:asciiTheme="minorBidi" w:hAnsiTheme="minorBidi" w:cstheme="minorBidi"/>
                <w:sz w:val="22"/>
                <w:szCs w:val="22"/>
              </w:rPr>
              <w:t>) for immunization along with its operationalizat</w:t>
            </w:r>
            <w:r w:rsidRPr="005F2B70">
              <w:rPr>
                <w:rFonts w:asciiTheme="minorBidi" w:hAnsiTheme="minorBidi" w:cstheme="minorBidi"/>
                <w:sz w:val="22"/>
                <w:szCs w:val="22"/>
              </w:rPr>
              <w:t xml:space="preserve">ion in 54 districts </w:t>
            </w:r>
            <w:r>
              <w:rPr>
                <w:rFonts w:asciiTheme="minorBidi" w:hAnsiTheme="minorBidi" w:cstheme="minorBidi"/>
                <w:sz w:val="22"/>
                <w:szCs w:val="22"/>
              </w:rPr>
              <w:t>through the Deliver Project</w:t>
            </w:r>
          </w:p>
          <w:p w14:paraId="1BA4F463" w14:textId="77777777" w:rsidR="005F2B70" w:rsidRPr="005F2B70" w:rsidRDefault="005F2B70" w:rsidP="005F2B70">
            <w:pPr>
              <w:pStyle w:val="Default"/>
              <w:rPr>
                <w:rFonts w:asciiTheme="minorBidi" w:hAnsiTheme="minorBidi" w:cstheme="minorBidi"/>
                <w:sz w:val="22"/>
                <w:szCs w:val="22"/>
              </w:rPr>
            </w:pPr>
          </w:p>
          <w:p w14:paraId="59445533" w14:textId="6C130FB1" w:rsidR="002A1D89" w:rsidRDefault="002A1D89" w:rsidP="005F2B70">
            <w:pPr>
              <w:pStyle w:val="Default"/>
              <w:rPr>
                <w:rFonts w:asciiTheme="minorBidi" w:hAnsiTheme="minorBidi" w:cstheme="minorBidi"/>
                <w:sz w:val="22"/>
                <w:szCs w:val="22"/>
              </w:rPr>
            </w:pPr>
            <w:r w:rsidRPr="005F2B70">
              <w:rPr>
                <w:rFonts w:asciiTheme="minorBidi" w:hAnsiTheme="minorBidi" w:cstheme="minorBidi"/>
                <w:sz w:val="22"/>
                <w:szCs w:val="22"/>
              </w:rPr>
              <w:t>Deliver provided both hardware and software alo</w:t>
            </w:r>
            <w:r w:rsidR="005F2B70">
              <w:rPr>
                <w:rFonts w:asciiTheme="minorBidi" w:hAnsiTheme="minorBidi" w:cstheme="minorBidi"/>
                <w:sz w:val="22"/>
                <w:szCs w:val="22"/>
              </w:rPr>
              <w:t xml:space="preserve">ng with the trainings on </w:t>
            </w:r>
            <w:proofErr w:type="spellStart"/>
            <w:r w:rsidR="005F2B70">
              <w:rPr>
                <w:rFonts w:asciiTheme="minorBidi" w:hAnsiTheme="minorBidi" w:cstheme="minorBidi"/>
                <w:sz w:val="22"/>
                <w:szCs w:val="22"/>
              </w:rPr>
              <w:t>vLMIS</w:t>
            </w:r>
            <w:proofErr w:type="spellEnd"/>
          </w:p>
          <w:p w14:paraId="324DFB61" w14:textId="77777777" w:rsidR="005F2B70" w:rsidRPr="005F2B70" w:rsidRDefault="005F2B70" w:rsidP="005F2B70">
            <w:pPr>
              <w:pStyle w:val="Default"/>
              <w:rPr>
                <w:rFonts w:asciiTheme="minorBidi" w:hAnsiTheme="minorBidi" w:cstheme="minorBidi"/>
                <w:sz w:val="22"/>
                <w:szCs w:val="22"/>
              </w:rPr>
            </w:pPr>
          </w:p>
          <w:p w14:paraId="57F09223" w14:textId="4066B830" w:rsidR="0009247D" w:rsidRPr="005F2B70" w:rsidRDefault="005F2B70" w:rsidP="005F2B70">
            <w:pPr>
              <w:spacing w:after="80"/>
              <w:rPr>
                <w:rFonts w:asciiTheme="minorBidi" w:hAnsiTheme="minorBidi"/>
              </w:rPr>
            </w:pPr>
            <w:r>
              <w:rPr>
                <w:rFonts w:asciiTheme="minorBidi" w:hAnsiTheme="minorBidi"/>
              </w:rPr>
              <w:t>Funding</w:t>
            </w:r>
            <w:r w:rsidR="002A1D89" w:rsidRPr="005F2B70">
              <w:rPr>
                <w:rFonts w:asciiTheme="minorBidi" w:hAnsiTheme="minorBidi"/>
              </w:rPr>
              <w:t xml:space="preserve"> MCHIP for routine immunization in some districts of Sindh </w:t>
            </w:r>
          </w:p>
        </w:tc>
      </w:tr>
      <w:tr w:rsidR="0009247D" w:rsidRPr="002A1D89" w14:paraId="795F3CA1" w14:textId="77777777" w:rsidTr="00B3613C">
        <w:trPr>
          <w:tblHeader/>
          <w:jc w:val="center"/>
        </w:trPr>
        <w:tc>
          <w:tcPr>
            <w:tcW w:w="1427" w:type="dxa"/>
          </w:tcPr>
          <w:p w14:paraId="707B6996" w14:textId="2AF793A6" w:rsidR="0009247D" w:rsidRPr="002A1D89" w:rsidRDefault="002A1D89" w:rsidP="0037485C">
            <w:pPr>
              <w:spacing w:after="80"/>
              <w:rPr>
                <w:rFonts w:ascii="Arial" w:hAnsi="Arial" w:cs="Arial"/>
              </w:rPr>
            </w:pPr>
            <w:r w:rsidRPr="002A1D89">
              <w:rPr>
                <w:rFonts w:ascii="Arial" w:hAnsi="Arial" w:cs="Arial"/>
              </w:rPr>
              <w:lastRenderedPageBreak/>
              <w:t>UNICEF</w:t>
            </w:r>
          </w:p>
        </w:tc>
        <w:tc>
          <w:tcPr>
            <w:tcW w:w="6941" w:type="dxa"/>
          </w:tcPr>
          <w:p w14:paraId="5638A287" w14:textId="34826401" w:rsidR="002A1D89" w:rsidRDefault="005F2B70" w:rsidP="00B3613C">
            <w:pPr>
              <w:pStyle w:val="Default"/>
              <w:rPr>
                <w:rFonts w:asciiTheme="minorBidi" w:hAnsiTheme="minorBidi" w:cstheme="minorBidi"/>
                <w:sz w:val="22"/>
                <w:szCs w:val="22"/>
              </w:rPr>
            </w:pPr>
            <w:r>
              <w:rPr>
                <w:rFonts w:asciiTheme="minorBidi" w:hAnsiTheme="minorBidi" w:cstheme="minorBidi"/>
                <w:sz w:val="22"/>
                <w:szCs w:val="22"/>
              </w:rPr>
              <w:t>Implementing</w:t>
            </w:r>
            <w:r w:rsidR="002A1D89" w:rsidRPr="005F2B70">
              <w:rPr>
                <w:rFonts w:asciiTheme="minorBidi" w:hAnsiTheme="minorBidi" w:cstheme="minorBidi"/>
                <w:sz w:val="22"/>
                <w:szCs w:val="22"/>
              </w:rPr>
              <w:t xml:space="preserve"> </w:t>
            </w:r>
            <w:r w:rsidRPr="005F2B70">
              <w:rPr>
                <w:rFonts w:asciiTheme="minorBidi" w:hAnsiTheme="minorBidi" w:cstheme="minorBidi"/>
              </w:rPr>
              <w:t xml:space="preserve">RED/REC </w:t>
            </w:r>
            <w:r w:rsidR="00B3613C">
              <w:rPr>
                <w:rFonts w:asciiTheme="minorBidi" w:hAnsiTheme="minorBidi" w:cstheme="minorBidi"/>
                <w:sz w:val="22"/>
                <w:szCs w:val="22"/>
              </w:rPr>
              <w:t>starting in</w:t>
            </w:r>
            <w:r w:rsidR="002A1D89" w:rsidRPr="005F2B70">
              <w:rPr>
                <w:rFonts w:asciiTheme="minorBidi" w:hAnsiTheme="minorBidi" w:cstheme="minorBidi"/>
                <w:sz w:val="22"/>
                <w:szCs w:val="22"/>
              </w:rPr>
              <w:t xml:space="preserve"> 23 districts</w:t>
            </w:r>
            <w:r w:rsidR="00B3613C">
              <w:rPr>
                <w:rFonts w:asciiTheme="minorBidi" w:hAnsiTheme="minorBidi" w:cstheme="minorBidi"/>
                <w:sz w:val="22"/>
                <w:szCs w:val="22"/>
              </w:rPr>
              <w:t>;</w:t>
            </w:r>
            <w:r w:rsidR="002A1D89" w:rsidRPr="005F2B70">
              <w:rPr>
                <w:rFonts w:asciiTheme="minorBidi" w:hAnsiTheme="minorBidi" w:cstheme="minorBidi"/>
                <w:sz w:val="22"/>
                <w:szCs w:val="22"/>
              </w:rPr>
              <w:t xml:space="preserve"> plans to scale up this approach in one-fifth of the cou</w:t>
            </w:r>
            <w:r w:rsidR="00B3613C">
              <w:rPr>
                <w:rFonts w:asciiTheme="minorBidi" w:hAnsiTheme="minorBidi" w:cstheme="minorBidi"/>
                <w:sz w:val="22"/>
                <w:szCs w:val="22"/>
              </w:rPr>
              <w:t>ntry during the next five years</w:t>
            </w:r>
            <w:r w:rsidR="002A1D89" w:rsidRPr="005F2B70">
              <w:rPr>
                <w:rFonts w:asciiTheme="minorBidi" w:hAnsiTheme="minorBidi" w:cstheme="minorBidi"/>
                <w:sz w:val="22"/>
                <w:szCs w:val="22"/>
              </w:rPr>
              <w:t xml:space="preserve"> </w:t>
            </w:r>
          </w:p>
          <w:p w14:paraId="09435BB3" w14:textId="77777777" w:rsidR="00B3613C" w:rsidRPr="005F2B70" w:rsidRDefault="00B3613C" w:rsidP="00B3613C">
            <w:pPr>
              <w:pStyle w:val="Default"/>
              <w:rPr>
                <w:rFonts w:asciiTheme="minorBidi" w:hAnsiTheme="minorBidi" w:cstheme="minorBidi"/>
                <w:sz w:val="22"/>
                <w:szCs w:val="22"/>
              </w:rPr>
            </w:pPr>
          </w:p>
          <w:p w14:paraId="55BFFF5D" w14:textId="2A32855A" w:rsidR="002A1D89" w:rsidRDefault="00B3613C" w:rsidP="002A1D89">
            <w:pPr>
              <w:pStyle w:val="Default"/>
              <w:rPr>
                <w:rFonts w:asciiTheme="minorBidi" w:hAnsiTheme="minorBidi" w:cstheme="minorBidi"/>
                <w:sz w:val="22"/>
                <w:szCs w:val="22"/>
              </w:rPr>
            </w:pPr>
            <w:r>
              <w:rPr>
                <w:rFonts w:asciiTheme="minorBidi" w:hAnsiTheme="minorBidi" w:cstheme="minorBidi"/>
                <w:sz w:val="22"/>
                <w:szCs w:val="22"/>
              </w:rPr>
              <w:t>P</w:t>
            </w:r>
            <w:r w:rsidR="002A1D89" w:rsidRPr="005F2B70">
              <w:rPr>
                <w:rFonts w:asciiTheme="minorBidi" w:hAnsiTheme="minorBidi" w:cstheme="minorBidi"/>
                <w:sz w:val="22"/>
                <w:szCs w:val="22"/>
              </w:rPr>
              <w:t>rocure</w:t>
            </w:r>
            <w:r>
              <w:rPr>
                <w:rFonts w:asciiTheme="minorBidi" w:hAnsiTheme="minorBidi" w:cstheme="minorBidi"/>
                <w:sz w:val="22"/>
                <w:szCs w:val="22"/>
              </w:rPr>
              <w:t>ment of vaccines and logistics</w:t>
            </w:r>
          </w:p>
          <w:p w14:paraId="344342FF" w14:textId="77777777" w:rsidR="00B3613C" w:rsidRPr="005F2B70" w:rsidRDefault="00B3613C" w:rsidP="002A1D89">
            <w:pPr>
              <w:pStyle w:val="Default"/>
              <w:rPr>
                <w:rFonts w:asciiTheme="minorBidi" w:hAnsiTheme="minorBidi" w:cstheme="minorBidi"/>
                <w:sz w:val="22"/>
                <w:szCs w:val="22"/>
              </w:rPr>
            </w:pPr>
          </w:p>
          <w:p w14:paraId="4604F644" w14:textId="1B46F76F" w:rsidR="002A1D89" w:rsidRPr="005F2B70" w:rsidRDefault="00B3613C" w:rsidP="00B3613C">
            <w:pPr>
              <w:pStyle w:val="Default"/>
              <w:rPr>
                <w:rFonts w:asciiTheme="minorBidi" w:hAnsiTheme="minorBidi" w:cstheme="minorBidi"/>
                <w:sz w:val="22"/>
                <w:szCs w:val="22"/>
              </w:rPr>
            </w:pPr>
            <w:r>
              <w:rPr>
                <w:rFonts w:asciiTheme="minorBidi" w:hAnsiTheme="minorBidi" w:cstheme="minorBidi"/>
                <w:sz w:val="22"/>
                <w:szCs w:val="22"/>
              </w:rPr>
              <w:t>Supported</w:t>
            </w:r>
            <w:r w:rsidR="002A1D89" w:rsidRPr="005F2B70">
              <w:rPr>
                <w:rFonts w:asciiTheme="minorBidi" w:hAnsiTheme="minorBidi" w:cstheme="minorBidi"/>
                <w:sz w:val="22"/>
                <w:szCs w:val="22"/>
              </w:rPr>
              <w:t xml:space="preserve"> the construction/renovation of 19 warehouses across four provinces and one area i.e., </w:t>
            </w:r>
            <w:proofErr w:type="spellStart"/>
            <w:r w:rsidR="002A1D89" w:rsidRPr="005F2B70">
              <w:rPr>
                <w:rFonts w:asciiTheme="minorBidi" w:hAnsiTheme="minorBidi" w:cstheme="minorBidi"/>
                <w:sz w:val="22"/>
                <w:szCs w:val="22"/>
              </w:rPr>
              <w:t>Gilgit</w:t>
            </w:r>
            <w:proofErr w:type="spellEnd"/>
            <w:r w:rsidR="002A1D89" w:rsidRPr="005F2B70">
              <w:rPr>
                <w:rFonts w:asciiTheme="minorBidi" w:hAnsiTheme="minorBidi" w:cstheme="minorBidi"/>
                <w:sz w:val="22"/>
                <w:szCs w:val="22"/>
              </w:rPr>
              <w:t xml:space="preserve"> Baltistan (GB) </w:t>
            </w:r>
          </w:p>
          <w:p w14:paraId="1C006C8B" w14:textId="77777777" w:rsidR="002A1D89" w:rsidRDefault="002A1D89" w:rsidP="002A1D89">
            <w:pPr>
              <w:pStyle w:val="Default"/>
              <w:rPr>
                <w:rFonts w:asciiTheme="minorBidi" w:hAnsiTheme="minorBidi" w:cstheme="minorBidi"/>
                <w:color w:val="auto"/>
                <w:sz w:val="22"/>
                <w:szCs w:val="22"/>
              </w:rPr>
            </w:pPr>
          </w:p>
          <w:p w14:paraId="4D72AC98" w14:textId="77777777" w:rsidR="00B3613C" w:rsidRPr="005F2B70" w:rsidRDefault="00B3613C" w:rsidP="00B3613C">
            <w:pPr>
              <w:rPr>
                <w:rFonts w:asciiTheme="minorBidi" w:hAnsiTheme="minorBidi"/>
              </w:rPr>
            </w:pPr>
            <w:r w:rsidRPr="005F2B70">
              <w:rPr>
                <w:rFonts w:asciiTheme="minorBidi" w:hAnsiTheme="minorBidi"/>
              </w:rPr>
              <w:t>Cold chain improvements (EVM assessment and implementation)</w:t>
            </w:r>
          </w:p>
          <w:p w14:paraId="2D952329" w14:textId="77777777" w:rsidR="00B3613C" w:rsidRPr="005F2B70" w:rsidRDefault="00B3613C" w:rsidP="002A1D89">
            <w:pPr>
              <w:pStyle w:val="Default"/>
              <w:rPr>
                <w:rFonts w:asciiTheme="minorBidi" w:hAnsiTheme="minorBidi" w:cstheme="minorBidi"/>
                <w:color w:val="auto"/>
                <w:sz w:val="22"/>
                <w:szCs w:val="22"/>
              </w:rPr>
            </w:pPr>
          </w:p>
          <w:p w14:paraId="7F5847E0" w14:textId="7EFB6F88" w:rsidR="002A1D89" w:rsidRDefault="00B3613C" w:rsidP="00B3613C">
            <w:pPr>
              <w:pStyle w:val="Default"/>
              <w:rPr>
                <w:rFonts w:asciiTheme="minorBidi" w:hAnsiTheme="minorBidi" w:cstheme="minorBidi"/>
                <w:sz w:val="22"/>
                <w:szCs w:val="22"/>
              </w:rPr>
            </w:pPr>
            <w:r>
              <w:rPr>
                <w:rFonts w:asciiTheme="minorBidi" w:hAnsiTheme="minorBidi" w:cstheme="minorBidi"/>
                <w:sz w:val="22"/>
                <w:szCs w:val="22"/>
              </w:rPr>
              <w:t>Development</w:t>
            </w:r>
            <w:r w:rsidR="002A1D89" w:rsidRPr="005F2B70">
              <w:rPr>
                <w:rFonts w:asciiTheme="minorBidi" w:hAnsiTheme="minorBidi" w:cstheme="minorBidi"/>
                <w:sz w:val="22"/>
                <w:szCs w:val="22"/>
              </w:rPr>
              <w:t xml:space="preserve"> and implementation of the communication plans for the Measles SIA across four provinces and four areas (AJK, GB, FATA, ICT/CDA) in addition to development of Measles and RI messages </w:t>
            </w:r>
          </w:p>
          <w:p w14:paraId="0F10618B" w14:textId="77777777" w:rsidR="00B3613C" w:rsidRDefault="00B3613C" w:rsidP="00B3613C">
            <w:pPr>
              <w:pStyle w:val="Default"/>
              <w:rPr>
                <w:rFonts w:asciiTheme="minorBidi" w:hAnsiTheme="minorBidi" w:cstheme="minorBidi"/>
                <w:sz w:val="22"/>
                <w:szCs w:val="22"/>
              </w:rPr>
            </w:pPr>
          </w:p>
          <w:p w14:paraId="3D3C1B1A" w14:textId="77777777" w:rsidR="00B3613C" w:rsidRPr="005F2B70" w:rsidRDefault="00B3613C" w:rsidP="00B3613C">
            <w:pPr>
              <w:spacing w:after="80"/>
              <w:rPr>
                <w:rFonts w:asciiTheme="minorBidi" w:hAnsiTheme="minorBidi"/>
              </w:rPr>
            </w:pPr>
            <w:r w:rsidRPr="005F2B70">
              <w:rPr>
                <w:rFonts w:asciiTheme="minorBidi" w:hAnsiTheme="minorBidi"/>
              </w:rPr>
              <w:t>New vaccine introductions (PCV10, IPV)</w:t>
            </w:r>
          </w:p>
          <w:p w14:paraId="027AD4A3" w14:textId="77777777" w:rsidR="00B3613C" w:rsidRPr="005F2B70" w:rsidRDefault="00B3613C" w:rsidP="00B3613C">
            <w:pPr>
              <w:pStyle w:val="Default"/>
              <w:rPr>
                <w:rFonts w:asciiTheme="minorBidi" w:hAnsiTheme="minorBidi" w:cstheme="minorBidi"/>
                <w:sz w:val="22"/>
                <w:szCs w:val="22"/>
              </w:rPr>
            </w:pPr>
          </w:p>
          <w:p w14:paraId="498E8399" w14:textId="4DC7E88E" w:rsidR="0009247D" w:rsidRPr="005F2B70" w:rsidRDefault="002A1D89" w:rsidP="00B3613C">
            <w:pPr>
              <w:pStyle w:val="Default"/>
              <w:rPr>
                <w:rFonts w:asciiTheme="minorBidi" w:hAnsiTheme="minorBidi" w:cstheme="minorBidi"/>
                <w:sz w:val="22"/>
                <w:szCs w:val="22"/>
              </w:rPr>
            </w:pPr>
            <w:r w:rsidRPr="005F2B70">
              <w:rPr>
                <w:rFonts w:asciiTheme="minorBidi" w:hAnsiTheme="minorBidi" w:cstheme="minorBidi"/>
                <w:sz w:val="22"/>
                <w:szCs w:val="22"/>
              </w:rPr>
              <w:t xml:space="preserve">Based on the findings of the National KAPB survey, supported the development of the national communication strategy for RI </w:t>
            </w:r>
          </w:p>
        </w:tc>
      </w:tr>
      <w:tr w:rsidR="0009247D" w:rsidRPr="002A1D89" w14:paraId="623A65E7" w14:textId="77777777" w:rsidTr="00B3613C">
        <w:trPr>
          <w:tblHeader/>
          <w:jc w:val="center"/>
        </w:trPr>
        <w:tc>
          <w:tcPr>
            <w:tcW w:w="1427" w:type="dxa"/>
          </w:tcPr>
          <w:p w14:paraId="053ACD07" w14:textId="4C0A4847" w:rsidR="0009247D" w:rsidRPr="002A1D89" w:rsidRDefault="002A1D89" w:rsidP="0037485C">
            <w:pPr>
              <w:spacing w:after="80"/>
              <w:rPr>
                <w:rFonts w:ascii="Arial" w:hAnsi="Arial" w:cs="Arial"/>
              </w:rPr>
            </w:pPr>
            <w:r w:rsidRPr="002A1D89">
              <w:rPr>
                <w:rFonts w:ascii="Arial" w:hAnsi="Arial" w:cs="Arial"/>
              </w:rPr>
              <w:t>World Bank</w:t>
            </w:r>
          </w:p>
        </w:tc>
        <w:tc>
          <w:tcPr>
            <w:tcW w:w="6941" w:type="dxa"/>
          </w:tcPr>
          <w:p w14:paraId="6593BACF" w14:textId="77777777" w:rsidR="00B3613C" w:rsidRDefault="00B3613C" w:rsidP="00B3613C">
            <w:pPr>
              <w:pStyle w:val="Default"/>
              <w:rPr>
                <w:rFonts w:asciiTheme="minorBidi" w:hAnsiTheme="minorBidi" w:cstheme="minorBidi"/>
                <w:sz w:val="22"/>
                <w:szCs w:val="22"/>
              </w:rPr>
            </w:pPr>
            <w:r>
              <w:rPr>
                <w:rFonts w:asciiTheme="minorBidi" w:hAnsiTheme="minorBidi" w:cstheme="minorBidi"/>
                <w:sz w:val="22"/>
                <w:szCs w:val="22"/>
              </w:rPr>
              <w:t>Support</w:t>
            </w:r>
            <w:r w:rsidR="002A1D89" w:rsidRPr="005F2B70">
              <w:rPr>
                <w:rFonts w:asciiTheme="minorBidi" w:hAnsiTheme="minorBidi" w:cstheme="minorBidi"/>
                <w:sz w:val="22"/>
                <w:szCs w:val="22"/>
              </w:rPr>
              <w:t xml:space="preserve"> in the designing and development of National Immunization Support Project </w:t>
            </w:r>
            <w:r>
              <w:rPr>
                <w:rFonts w:asciiTheme="minorBidi" w:hAnsiTheme="minorBidi" w:cstheme="minorBidi"/>
                <w:sz w:val="22"/>
                <w:szCs w:val="22"/>
              </w:rPr>
              <w:t>to improve coverage</w:t>
            </w:r>
          </w:p>
          <w:p w14:paraId="152AD583" w14:textId="77777777" w:rsidR="00B3613C" w:rsidRDefault="00B3613C" w:rsidP="00B3613C">
            <w:pPr>
              <w:pStyle w:val="Default"/>
              <w:rPr>
                <w:rFonts w:asciiTheme="minorBidi" w:hAnsiTheme="minorBidi" w:cstheme="minorBidi"/>
                <w:sz w:val="22"/>
                <w:szCs w:val="22"/>
              </w:rPr>
            </w:pPr>
          </w:p>
          <w:p w14:paraId="1545AC8A" w14:textId="77777777" w:rsidR="00B3613C" w:rsidRDefault="00B3613C" w:rsidP="00B3613C">
            <w:pPr>
              <w:pStyle w:val="Default"/>
              <w:rPr>
                <w:rFonts w:asciiTheme="minorBidi" w:hAnsiTheme="minorBidi" w:cstheme="minorBidi"/>
                <w:sz w:val="22"/>
                <w:szCs w:val="22"/>
              </w:rPr>
            </w:pPr>
            <w:r>
              <w:rPr>
                <w:rFonts w:asciiTheme="minorBidi" w:hAnsiTheme="minorBidi" w:cstheme="minorBidi"/>
                <w:sz w:val="22"/>
                <w:szCs w:val="22"/>
              </w:rPr>
              <w:t xml:space="preserve">Provided </w:t>
            </w:r>
            <w:r w:rsidR="002A1D89" w:rsidRPr="005F2B70">
              <w:rPr>
                <w:rFonts w:asciiTheme="minorBidi" w:hAnsiTheme="minorBidi" w:cstheme="minorBidi"/>
                <w:sz w:val="22"/>
                <w:szCs w:val="22"/>
              </w:rPr>
              <w:t>technical support in holding workshops for the development of Disbursement linked indicators (DLI) and for building understanding and consensus amo</w:t>
            </w:r>
            <w:r>
              <w:rPr>
                <w:rFonts w:asciiTheme="minorBidi" w:hAnsiTheme="minorBidi" w:cstheme="minorBidi"/>
                <w:sz w:val="22"/>
                <w:szCs w:val="22"/>
              </w:rPr>
              <w:t>ngst the provincial programmes</w:t>
            </w:r>
          </w:p>
          <w:p w14:paraId="65069C90" w14:textId="77777777" w:rsidR="00B3613C" w:rsidRDefault="00B3613C" w:rsidP="00B3613C">
            <w:pPr>
              <w:pStyle w:val="Default"/>
              <w:rPr>
                <w:rFonts w:asciiTheme="minorBidi" w:hAnsiTheme="minorBidi" w:cstheme="minorBidi"/>
                <w:sz w:val="22"/>
                <w:szCs w:val="22"/>
              </w:rPr>
            </w:pPr>
          </w:p>
          <w:p w14:paraId="1A15ACA7" w14:textId="695042E6" w:rsidR="0009247D" w:rsidRPr="005F2B70" w:rsidRDefault="00B3613C" w:rsidP="00B3613C">
            <w:pPr>
              <w:pStyle w:val="Default"/>
              <w:rPr>
                <w:rFonts w:asciiTheme="minorBidi" w:hAnsiTheme="minorBidi" w:cstheme="minorBidi"/>
                <w:sz w:val="22"/>
                <w:szCs w:val="22"/>
              </w:rPr>
            </w:pPr>
            <w:r>
              <w:rPr>
                <w:rFonts w:asciiTheme="minorBidi" w:hAnsiTheme="minorBidi" w:cstheme="minorBidi"/>
                <w:sz w:val="22"/>
                <w:szCs w:val="22"/>
              </w:rPr>
              <w:t>Provided</w:t>
            </w:r>
            <w:r w:rsidR="002A1D89" w:rsidRPr="005F2B70">
              <w:rPr>
                <w:rFonts w:asciiTheme="minorBidi" w:hAnsiTheme="minorBidi" w:cstheme="minorBidi"/>
                <w:sz w:val="22"/>
                <w:szCs w:val="22"/>
              </w:rPr>
              <w:t xml:space="preserve"> consultants for the development of NISP PC-1s for the </w:t>
            </w:r>
            <w:r>
              <w:rPr>
                <w:rFonts w:asciiTheme="minorBidi" w:hAnsiTheme="minorBidi" w:cstheme="minorBidi"/>
                <w:sz w:val="22"/>
                <w:szCs w:val="22"/>
              </w:rPr>
              <w:t xml:space="preserve">Provincial </w:t>
            </w:r>
            <w:r w:rsidR="002A1D89" w:rsidRPr="005F2B70">
              <w:rPr>
                <w:rFonts w:asciiTheme="minorBidi" w:hAnsiTheme="minorBidi" w:cstheme="minorBidi"/>
                <w:sz w:val="22"/>
                <w:szCs w:val="22"/>
              </w:rPr>
              <w:t xml:space="preserve">and Federal levels </w:t>
            </w:r>
          </w:p>
        </w:tc>
      </w:tr>
      <w:tr w:rsidR="0009247D" w:rsidRPr="002A1D89" w14:paraId="2E25904C" w14:textId="77777777" w:rsidTr="00B3613C">
        <w:trPr>
          <w:tblHeader/>
          <w:jc w:val="center"/>
        </w:trPr>
        <w:tc>
          <w:tcPr>
            <w:tcW w:w="1427" w:type="dxa"/>
          </w:tcPr>
          <w:p w14:paraId="08EB00A9" w14:textId="1E12090A" w:rsidR="0009247D" w:rsidRPr="002A1D89" w:rsidRDefault="002A1D89" w:rsidP="0037485C">
            <w:pPr>
              <w:spacing w:after="80"/>
              <w:rPr>
                <w:rFonts w:ascii="Arial" w:hAnsi="Arial" w:cs="Arial"/>
              </w:rPr>
            </w:pPr>
            <w:r w:rsidRPr="002A1D89">
              <w:rPr>
                <w:rFonts w:ascii="Arial" w:hAnsi="Arial" w:cs="Arial"/>
              </w:rPr>
              <w:t>JICA</w:t>
            </w:r>
          </w:p>
        </w:tc>
        <w:tc>
          <w:tcPr>
            <w:tcW w:w="6941" w:type="dxa"/>
          </w:tcPr>
          <w:p w14:paraId="1CF80417" w14:textId="19D5D509" w:rsidR="0009247D" w:rsidRPr="005F2B70" w:rsidRDefault="002A1D89" w:rsidP="002A1D89">
            <w:pPr>
              <w:pStyle w:val="Default"/>
              <w:rPr>
                <w:rFonts w:asciiTheme="minorBidi" w:hAnsiTheme="minorBidi" w:cstheme="minorBidi"/>
                <w:sz w:val="22"/>
                <w:szCs w:val="22"/>
              </w:rPr>
            </w:pPr>
            <w:r w:rsidRPr="005F2B70">
              <w:rPr>
                <w:rFonts w:asciiTheme="minorBidi" w:hAnsiTheme="minorBidi" w:cstheme="minorBidi"/>
                <w:sz w:val="22"/>
                <w:szCs w:val="22"/>
              </w:rPr>
              <w:t xml:space="preserve">Support has been provided to measles SIAs and cold chain in KPK </w:t>
            </w:r>
          </w:p>
        </w:tc>
      </w:tr>
      <w:tr w:rsidR="0009247D" w:rsidRPr="002A1D89" w14:paraId="00C7D7CE" w14:textId="77777777" w:rsidTr="00B3613C">
        <w:trPr>
          <w:tblHeader/>
          <w:jc w:val="center"/>
        </w:trPr>
        <w:tc>
          <w:tcPr>
            <w:tcW w:w="1427" w:type="dxa"/>
          </w:tcPr>
          <w:p w14:paraId="0B7CBA3E" w14:textId="74ADC0FF" w:rsidR="0009247D" w:rsidRPr="002A1D89" w:rsidRDefault="002A1D89" w:rsidP="0037485C">
            <w:pPr>
              <w:spacing w:after="80"/>
              <w:rPr>
                <w:rFonts w:ascii="Arial" w:hAnsi="Arial" w:cs="Arial"/>
              </w:rPr>
            </w:pPr>
            <w:r w:rsidRPr="002A1D89">
              <w:rPr>
                <w:rFonts w:ascii="Arial" w:hAnsi="Arial" w:cs="Arial"/>
              </w:rPr>
              <w:t>Rotary International</w:t>
            </w:r>
          </w:p>
        </w:tc>
        <w:tc>
          <w:tcPr>
            <w:tcW w:w="6941" w:type="dxa"/>
          </w:tcPr>
          <w:p w14:paraId="7A3EFF97" w14:textId="7F3EB284" w:rsidR="0009247D" w:rsidRPr="005F2B70" w:rsidRDefault="00B3613C" w:rsidP="00B3613C">
            <w:pPr>
              <w:pStyle w:val="Default"/>
              <w:rPr>
                <w:rFonts w:asciiTheme="minorBidi" w:hAnsiTheme="minorBidi" w:cstheme="minorBidi"/>
                <w:sz w:val="22"/>
                <w:szCs w:val="22"/>
              </w:rPr>
            </w:pPr>
            <w:r>
              <w:rPr>
                <w:rFonts w:asciiTheme="minorBidi" w:hAnsiTheme="minorBidi" w:cstheme="minorBidi"/>
                <w:sz w:val="22"/>
                <w:szCs w:val="22"/>
              </w:rPr>
              <w:t>S</w:t>
            </w:r>
            <w:r w:rsidR="002A1D89" w:rsidRPr="005F2B70">
              <w:rPr>
                <w:rFonts w:asciiTheme="minorBidi" w:hAnsiTheme="minorBidi" w:cstheme="minorBidi"/>
                <w:sz w:val="22"/>
                <w:szCs w:val="22"/>
              </w:rPr>
              <w:t xml:space="preserve">upported </w:t>
            </w:r>
            <w:r>
              <w:rPr>
                <w:rFonts w:asciiTheme="minorBidi" w:hAnsiTheme="minorBidi" w:cstheme="minorBidi"/>
                <w:sz w:val="22"/>
                <w:szCs w:val="22"/>
              </w:rPr>
              <w:t>immunization primarily through polio work</w:t>
            </w:r>
          </w:p>
        </w:tc>
      </w:tr>
    </w:tbl>
    <w:p w14:paraId="6DCFD917" w14:textId="77777777" w:rsidR="00422027" w:rsidRPr="00422027" w:rsidRDefault="00422027" w:rsidP="00422027">
      <w:pPr>
        <w:rPr>
          <w:rFonts w:ascii="Arial" w:hAnsi="Arial" w:cs="Arial"/>
        </w:rPr>
      </w:pPr>
    </w:p>
    <w:p w14:paraId="07AADF01" w14:textId="77777777" w:rsidR="00385B92" w:rsidRPr="002D3541" w:rsidRDefault="00385B92" w:rsidP="00602C0A">
      <w:pPr>
        <w:rPr>
          <w:rFonts w:ascii="Arial" w:hAnsi="Arial" w:cs="Arial"/>
          <w:b/>
          <w:sz w:val="24"/>
          <w:szCs w:val="24"/>
        </w:rPr>
      </w:pPr>
      <w:r w:rsidRPr="002D3541">
        <w:rPr>
          <w:rFonts w:ascii="Arial" w:hAnsi="Arial" w:cs="Arial"/>
          <w:b/>
          <w:sz w:val="24"/>
          <w:szCs w:val="24"/>
        </w:rPr>
        <w:t>2. Gaps in support to meet needs</w:t>
      </w:r>
    </w:p>
    <w:p w14:paraId="0038BFA1" w14:textId="234A8093" w:rsidR="0087403D" w:rsidRDefault="002C2C6B" w:rsidP="00C4191A">
      <w:pPr>
        <w:rPr>
          <w:rFonts w:ascii="Arial" w:hAnsi="Arial" w:cs="Arial"/>
        </w:rPr>
      </w:pPr>
      <w:r w:rsidRPr="0087403D">
        <w:rPr>
          <w:rFonts w:ascii="Arial" w:hAnsi="Arial" w:cs="Arial"/>
        </w:rPr>
        <w:t>The main areas identified for future technical support were trainings and capacity building of health workers, LHWs and poli</w:t>
      </w:r>
      <w:r w:rsidR="00C4191A">
        <w:rPr>
          <w:rFonts w:ascii="Arial" w:hAnsi="Arial" w:cs="Arial"/>
        </w:rPr>
        <w:t>o workers on EPI; trainings on surveillance and M&amp;E; r</w:t>
      </w:r>
      <w:r w:rsidRPr="0087403D">
        <w:rPr>
          <w:rFonts w:ascii="Arial" w:hAnsi="Arial" w:cs="Arial"/>
        </w:rPr>
        <w:t xml:space="preserve">eporting, trainings on data reporting, use of data and analysis; need for development of robust and integrated management information system, expansion of </w:t>
      </w:r>
      <w:proofErr w:type="spellStart"/>
      <w:r w:rsidRPr="0087403D">
        <w:rPr>
          <w:rFonts w:ascii="Arial" w:hAnsi="Arial" w:cs="Arial"/>
        </w:rPr>
        <w:t>vLMIS</w:t>
      </w:r>
      <w:proofErr w:type="spellEnd"/>
      <w:r w:rsidRPr="0087403D">
        <w:rPr>
          <w:rFonts w:ascii="Arial" w:hAnsi="Arial" w:cs="Arial"/>
        </w:rPr>
        <w:t xml:space="preserve"> and scale up f</w:t>
      </w:r>
      <w:r w:rsidR="00C4191A">
        <w:rPr>
          <w:rFonts w:ascii="Arial" w:hAnsi="Arial" w:cs="Arial"/>
        </w:rPr>
        <w:t>or integration of functions of s</w:t>
      </w:r>
      <w:r w:rsidRPr="0087403D">
        <w:rPr>
          <w:rFonts w:ascii="Arial" w:hAnsi="Arial" w:cs="Arial"/>
        </w:rPr>
        <w:t>urveillance, and M&amp;E. The n</w:t>
      </w:r>
      <w:r w:rsidR="00C4191A">
        <w:rPr>
          <w:rFonts w:ascii="Arial" w:hAnsi="Arial" w:cs="Arial"/>
        </w:rPr>
        <w:t>eed for upgrading standardized c</w:t>
      </w:r>
      <w:r w:rsidRPr="0087403D">
        <w:rPr>
          <w:rFonts w:ascii="Arial" w:hAnsi="Arial" w:cs="Arial"/>
        </w:rPr>
        <w:t xml:space="preserve">old </w:t>
      </w:r>
      <w:r w:rsidR="00C4191A">
        <w:rPr>
          <w:rFonts w:ascii="Arial" w:hAnsi="Arial" w:cs="Arial"/>
        </w:rPr>
        <w:t>c</w:t>
      </w:r>
      <w:r w:rsidRPr="0087403D">
        <w:rPr>
          <w:rFonts w:ascii="Arial" w:hAnsi="Arial" w:cs="Arial"/>
        </w:rPr>
        <w:t xml:space="preserve">hain equipment across all districts was highlighted during the EVM Assessment. In addition, demand creation for RI and the renewed engagement strategy with CSOs is an area that needs close attention. </w:t>
      </w:r>
    </w:p>
    <w:p w14:paraId="4AE205B3" w14:textId="540E3403" w:rsidR="002C2C6B" w:rsidRDefault="0087403D" w:rsidP="00B33CD7">
      <w:pPr>
        <w:rPr>
          <w:rFonts w:ascii="Arial" w:eastAsia="Arial" w:hAnsi="Arial" w:cs="Arial"/>
        </w:rPr>
      </w:pPr>
      <w:r w:rsidRPr="0087403D">
        <w:rPr>
          <w:rFonts w:ascii="Arial" w:eastAsia="Arial" w:hAnsi="Arial" w:cs="Arial"/>
        </w:rPr>
        <w:t xml:space="preserve">Significantly, a census has </w:t>
      </w:r>
      <w:r w:rsidR="00C4191A">
        <w:rPr>
          <w:rFonts w:ascii="Arial" w:eastAsia="Arial" w:hAnsi="Arial" w:cs="Arial"/>
        </w:rPr>
        <w:t>not been undertaken for almost 1</w:t>
      </w:r>
      <w:r w:rsidRPr="0087403D">
        <w:rPr>
          <w:rFonts w:ascii="Arial" w:eastAsia="Arial" w:hAnsi="Arial" w:cs="Arial"/>
        </w:rPr>
        <w:t xml:space="preserve">8 years, leading to different practices to estimate immunisation targets. The use of different sources </w:t>
      </w:r>
      <w:r w:rsidR="00B33CD7">
        <w:rPr>
          <w:rFonts w:ascii="Arial" w:eastAsia="Arial" w:hAnsi="Arial" w:cs="Arial"/>
        </w:rPr>
        <w:t>of data, such as p</w:t>
      </w:r>
      <w:r w:rsidRPr="0087403D">
        <w:rPr>
          <w:rFonts w:ascii="Arial" w:eastAsia="Arial" w:hAnsi="Arial" w:cs="Arial"/>
        </w:rPr>
        <w:t>olio SIA data (&lt;1 yea</w:t>
      </w:r>
      <w:r w:rsidR="00B33CD7">
        <w:rPr>
          <w:rFonts w:ascii="Arial" w:eastAsia="Arial" w:hAnsi="Arial" w:cs="Arial"/>
        </w:rPr>
        <w:t>r children from SIA tally sheet) and</w:t>
      </w:r>
      <w:r w:rsidRPr="0087403D">
        <w:rPr>
          <w:rFonts w:ascii="Arial" w:eastAsia="Arial" w:hAnsi="Arial" w:cs="Arial"/>
        </w:rPr>
        <w:t xml:space="preserve"> micro census data in certain UCs and LHW records to determine a more accurate estimate of the denominator is suggested. Provinces may consider triangulating different available sources of micro data in consultation with local </w:t>
      </w:r>
      <w:proofErr w:type="gramStart"/>
      <w:r w:rsidRPr="0087403D">
        <w:rPr>
          <w:rFonts w:ascii="Arial" w:eastAsia="Arial" w:hAnsi="Arial" w:cs="Arial"/>
        </w:rPr>
        <w:t>experts</w:t>
      </w:r>
      <w:proofErr w:type="gramEnd"/>
      <w:r w:rsidRPr="0087403D">
        <w:rPr>
          <w:rFonts w:ascii="Arial" w:eastAsia="Arial" w:hAnsi="Arial" w:cs="Arial"/>
        </w:rPr>
        <w:t xml:space="preserve"> e.g. Provincial bureau of statistics, P&amp;D etc. and technical partners. Until this data is made available, </w:t>
      </w:r>
      <w:r w:rsidR="00B33CD7">
        <w:rPr>
          <w:rFonts w:ascii="Arial" w:eastAsia="Arial" w:hAnsi="Arial" w:cs="Arial"/>
        </w:rPr>
        <w:t>EPI could be encouraged to use p</w:t>
      </w:r>
      <w:r w:rsidRPr="0087403D">
        <w:rPr>
          <w:rFonts w:ascii="Arial" w:eastAsia="Arial" w:hAnsi="Arial" w:cs="Arial"/>
        </w:rPr>
        <w:t>olio data for ta</w:t>
      </w:r>
      <w:r w:rsidR="00C015DD">
        <w:rPr>
          <w:rFonts w:ascii="Arial" w:eastAsia="Arial" w:hAnsi="Arial" w:cs="Arial"/>
        </w:rPr>
        <w:t xml:space="preserve">rget setting in </w:t>
      </w:r>
      <w:proofErr w:type="spellStart"/>
      <w:r w:rsidR="00C015DD">
        <w:rPr>
          <w:rFonts w:ascii="Arial" w:eastAsia="Arial" w:hAnsi="Arial" w:cs="Arial"/>
        </w:rPr>
        <w:t>microplanning</w:t>
      </w:r>
      <w:proofErr w:type="spellEnd"/>
      <w:r w:rsidR="00C015DD">
        <w:rPr>
          <w:rFonts w:ascii="Arial" w:eastAsia="Arial" w:hAnsi="Arial" w:cs="Arial"/>
        </w:rPr>
        <w:t xml:space="preserve">. </w:t>
      </w:r>
    </w:p>
    <w:p w14:paraId="7C179DCB" w14:textId="47B75274" w:rsidR="00B33CD7" w:rsidRPr="00553195" w:rsidRDefault="00B33CD7" w:rsidP="00553195">
      <w:pPr>
        <w:rPr>
          <w:rFonts w:ascii="Arial" w:eastAsia="Arial" w:hAnsi="Arial" w:cs="Arial"/>
        </w:rPr>
      </w:pPr>
      <w:r>
        <w:rPr>
          <w:rFonts w:ascii="Arial" w:eastAsia="Arial" w:hAnsi="Arial" w:cs="Arial"/>
        </w:rPr>
        <w:lastRenderedPageBreak/>
        <w:t xml:space="preserve">There are large coverage discrepancies within the country, with Punjab having the highest coverage levels and very strong political commitment, KPK and </w:t>
      </w:r>
      <w:proofErr w:type="spellStart"/>
      <w:r>
        <w:rPr>
          <w:rFonts w:ascii="Arial" w:eastAsia="Arial" w:hAnsi="Arial" w:cs="Arial"/>
        </w:rPr>
        <w:t>Balochistan</w:t>
      </w:r>
      <w:proofErr w:type="spellEnd"/>
      <w:r>
        <w:rPr>
          <w:rFonts w:ascii="Arial" w:eastAsia="Arial" w:hAnsi="Arial" w:cs="Arial"/>
        </w:rPr>
        <w:t xml:space="preserve"> also having strong political interest but a lower baseline than Punjab, and Sindh </w:t>
      </w:r>
      <w:proofErr w:type="gramStart"/>
      <w:r>
        <w:rPr>
          <w:rFonts w:ascii="Arial" w:eastAsia="Arial" w:hAnsi="Arial" w:cs="Arial"/>
        </w:rPr>
        <w:t>struggling</w:t>
      </w:r>
      <w:proofErr w:type="gramEnd"/>
      <w:r>
        <w:rPr>
          <w:rFonts w:ascii="Arial" w:eastAsia="Arial" w:hAnsi="Arial" w:cs="Arial"/>
        </w:rPr>
        <w:t xml:space="preserve"> the most. In Sindh in particular, there is significant political turnover, and a recently installed chief minister could lead to changes for the province, though this remains to be seen. </w:t>
      </w:r>
      <w:r>
        <w:rPr>
          <w:rFonts w:ascii="Arial" w:hAnsi="Arial" w:cs="Arial"/>
          <w:b/>
          <w:sz w:val="24"/>
        </w:rPr>
        <w:br w:type="page"/>
      </w:r>
    </w:p>
    <w:p w14:paraId="276B7FC9" w14:textId="568309B1" w:rsidR="009C42C9" w:rsidRPr="002D3541" w:rsidRDefault="009C42C9" w:rsidP="009C42C9">
      <w:pPr>
        <w:rPr>
          <w:rFonts w:ascii="Arial" w:hAnsi="Arial" w:cs="Arial"/>
          <w:b/>
          <w:sz w:val="24"/>
        </w:rPr>
      </w:pPr>
      <w:r w:rsidRPr="002D3541">
        <w:rPr>
          <w:rFonts w:ascii="Arial" w:hAnsi="Arial" w:cs="Arial"/>
          <w:b/>
          <w:sz w:val="24"/>
        </w:rPr>
        <w:lastRenderedPageBreak/>
        <w:t>ANNEXES</w:t>
      </w:r>
    </w:p>
    <w:p w14:paraId="4B928D24" w14:textId="77777777" w:rsidR="009C42C9" w:rsidRPr="00E6431A" w:rsidRDefault="009C42C9" w:rsidP="009C42C9">
      <w:pPr>
        <w:pStyle w:val="ListParagraph"/>
        <w:numPr>
          <w:ilvl w:val="0"/>
          <w:numId w:val="25"/>
        </w:numPr>
      </w:pPr>
      <w:r w:rsidRPr="00E6431A">
        <w:t>Planning and management:</w:t>
      </w:r>
    </w:p>
    <w:p w14:paraId="6005271E" w14:textId="38F2AEE6" w:rsidR="00E6431A" w:rsidRPr="00E6431A" w:rsidRDefault="00E6431A" w:rsidP="00E6431A">
      <w:pPr>
        <w:pStyle w:val="ListParagraph"/>
        <w:numPr>
          <w:ilvl w:val="0"/>
          <w:numId w:val="32"/>
        </w:numPr>
        <w:spacing w:after="0" w:line="240" w:lineRule="auto"/>
        <w:contextualSpacing w:val="0"/>
        <w:rPr>
          <w:color w:val="000000"/>
        </w:rPr>
      </w:pPr>
      <w:r w:rsidRPr="00E6431A">
        <w:t xml:space="preserve">Vaccines </w:t>
      </w:r>
      <w:proofErr w:type="spellStart"/>
      <w:r w:rsidRPr="00E6431A">
        <w:t>s</w:t>
      </w:r>
      <w:r w:rsidR="009C42C9" w:rsidRPr="00E6431A">
        <w:t>tockout</w:t>
      </w:r>
      <w:proofErr w:type="spellEnd"/>
      <w:r w:rsidRPr="00E6431A">
        <w:t>:</w:t>
      </w:r>
      <w:r w:rsidRPr="00E6431A">
        <w:rPr>
          <w:color w:val="000000"/>
        </w:rPr>
        <w:t xml:space="preserve"> 1 </w:t>
      </w:r>
      <w:r>
        <w:rPr>
          <w:color w:val="000000"/>
        </w:rPr>
        <w:t xml:space="preserve">event for </w:t>
      </w:r>
      <w:r w:rsidRPr="00E6431A">
        <w:rPr>
          <w:color w:val="000000"/>
        </w:rPr>
        <w:t>BCG (3 months duration)</w:t>
      </w:r>
    </w:p>
    <w:p w14:paraId="0176E4E1" w14:textId="294F4CF9" w:rsidR="009C42C9" w:rsidRPr="00E6431A" w:rsidRDefault="009C42C9" w:rsidP="00E6431A">
      <w:pPr>
        <w:pStyle w:val="ListParagraph"/>
        <w:numPr>
          <w:ilvl w:val="0"/>
          <w:numId w:val="32"/>
        </w:numPr>
        <w:spacing w:after="0" w:line="240" w:lineRule="auto"/>
        <w:contextualSpacing w:val="0"/>
      </w:pPr>
      <w:proofErr w:type="spellStart"/>
      <w:r w:rsidRPr="00E6431A">
        <w:t>cMYP</w:t>
      </w:r>
      <w:proofErr w:type="spellEnd"/>
      <w:r w:rsidRPr="00E6431A">
        <w:t>: 201</w:t>
      </w:r>
      <w:r w:rsidR="006F18CE" w:rsidRPr="00E6431A">
        <w:t>4</w:t>
      </w:r>
      <w:r w:rsidRPr="00E6431A">
        <w:t>-201</w:t>
      </w:r>
      <w:r w:rsidR="006F18CE" w:rsidRPr="00E6431A">
        <w:t>8</w:t>
      </w:r>
    </w:p>
    <w:p w14:paraId="49372C08" w14:textId="77777777" w:rsidR="009C42C9" w:rsidRPr="00E6431A" w:rsidRDefault="009C42C9" w:rsidP="00E6431A">
      <w:pPr>
        <w:pStyle w:val="ListParagraph"/>
        <w:numPr>
          <w:ilvl w:val="0"/>
          <w:numId w:val="32"/>
        </w:numPr>
        <w:spacing w:after="0" w:line="240" w:lineRule="auto"/>
        <w:contextualSpacing w:val="0"/>
      </w:pPr>
      <w:r w:rsidRPr="00E6431A">
        <w:t>Annual Plan: Yes</w:t>
      </w:r>
    </w:p>
    <w:p w14:paraId="4B587F4D" w14:textId="0E15304A" w:rsidR="00E86411" w:rsidRPr="00E6431A" w:rsidRDefault="009C42C9" w:rsidP="00553195">
      <w:pPr>
        <w:pStyle w:val="ListParagraph"/>
        <w:numPr>
          <w:ilvl w:val="0"/>
          <w:numId w:val="32"/>
        </w:numPr>
        <w:spacing w:after="0" w:line="240" w:lineRule="auto"/>
        <w:contextualSpacing w:val="0"/>
      </w:pPr>
      <w:r w:rsidRPr="00E6431A">
        <w:t>Country decision making: NITAG  meeting the 6 minimum criteria defined by WHO for a functioning NITAG</w:t>
      </w:r>
      <w:bookmarkStart w:id="0" w:name="_GoBack"/>
      <w:bookmarkEnd w:id="0"/>
    </w:p>
    <w:sectPr w:rsidR="00E86411" w:rsidRPr="00E6431A" w:rsidSect="00385B92">
      <w:footerReference w:type="default" r:id="rId9"/>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AD250" w14:textId="77777777" w:rsidR="00BC2C64" w:rsidRDefault="00BC2C64">
      <w:pPr>
        <w:spacing w:after="0" w:line="240" w:lineRule="auto"/>
      </w:pPr>
      <w:r>
        <w:separator/>
      </w:r>
    </w:p>
  </w:endnote>
  <w:endnote w:type="continuationSeparator" w:id="0">
    <w:p w14:paraId="33BC439F" w14:textId="77777777" w:rsidR="00BC2C64" w:rsidRDefault="00BC2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sans-serif">
    <w:altName w:val="Arial"/>
    <w:charset w:val="00"/>
    <w:family w:val="swiss"/>
    <w:pitch w:val="variable"/>
    <w:sig w:usb0="00000000" w:usb1="80000000" w:usb2="00000008"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 w:name="verdana, sans-serif">
    <w:altName w:val="Arial"/>
    <w:charset w:val="00"/>
    <w:family w:val="swiss"/>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E7B36" w14:textId="0488DA66" w:rsidR="0037485C" w:rsidRDefault="0037485C" w:rsidP="002C2C6B">
    <w:pPr>
      <w:pStyle w:val="Footer"/>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26021" w14:textId="77777777" w:rsidR="00BC2C64" w:rsidRDefault="00BC2C64">
      <w:pPr>
        <w:spacing w:after="0" w:line="240" w:lineRule="auto"/>
      </w:pPr>
      <w:r>
        <w:separator/>
      </w:r>
    </w:p>
  </w:footnote>
  <w:footnote w:type="continuationSeparator" w:id="0">
    <w:p w14:paraId="1699A41A" w14:textId="77777777" w:rsidR="00BC2C64" w:rsidRDefault="00BC2C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lvlText w:val="%1."/>
      <w:lvlJc w:val="left"/>
      <w:rPr>
        <w:rFonts w:ascii="Arial" w:eastAsia="Arial" w:hAnsi="Arial" w:cs="Arial"/>
        <w:sz w:val="20"/>
      </w:rPr>
    </w:lvl>
    <w:lvl w:ilvl="1">
      <w:start w:val="1"/>
      <w:numFmt w:val="lowerRoman"/>
      <w:lvlText w:val="%2."/>
      <w:lvlJc w:val="left"/>
      <w:rPr>
        <w:rFonts w:ascii="Arial" w:eastAsia="Arial" w:hAnsi="Arial" w:cs="Arial"/>
        <w:sz w:val="20"/>
      </w:rPr>
    </w:lvl>
    <w:lvl w:ilvl="2">
      <w:start w:val="1"/>
      <w:numFmt w:val="lowerLetter"/>
      <w:lvlText w:val="%3."/>
      <w:lvlJc w:val="left"/>
      <w:rPr>
        <w:rFonts w:ascii="Arial" w:eastAsia="Arial" w:hAnsi="Arial" w:cs="Arial"/>
        <w:sz w:val="20"/>
      </w:rPr>
    </w:lvl>
    <w:lvl w:ilvl="3">
      <w:start w:val="1"/>
      <w:numFmt w:val="decimal"/>
      <w:lvlText w:val="%4."/>
      <w:lvlJc w:val="left"/>
      <w:rPr>
        <w:rFonts w:ascii="Arial" w:eastAsia="Arial" w:hAnsi="Arial" w:cs="Arial"/>
        <w:sz w:val="20"/>
      </w:rPr>
    </w:lvl>
    <w:lvl w:ilvl="4">
      <w:start w:val="1"/>
      <w:numFmt w:val="lowerRoman"/>
      <w:lvlText w:val="%5."/>
      <w:lvlJc w:val="left"/>
      <w:rPr>
        <w:rFonts w:ascii="Arial" w:eastAsia="Arial" w:hAnsi="Arial" w:cs="Arial"/>
        <w:sz w:val="20"/>
      </w:rPr>
    </w:lvl>
    <w:lvl w:ilvl="5">
      <w:start w:val="1"/>
      <w:numFmt w:val="lowerLetter"/>
      <w:lvlText w:val="%6."/>
      <w:lvlJc w:val="left"/>
      <w:rPr>
        <w:rFonts w:ascii="Arial" w:eastAsia="Arial" w:hAnsi="Arial" w:cs="Arial"/>
        <w:sz w:val="20"/>
      </w:rPr>
    </w:lvl>
    <w:lvl w:ilvl="6">
      <w:start w:val="1"/>
      <w:numFmt w:val="decimal"/>
      <w:lvlText w:val="%7."/>
      <w:lvlJc w:val="left"/>
      <w:rPr>
        <w:rFonts w:ascii="Arial" w:eastAsia="Arial" w:hAnsi="Arial" w:cs="Arial"/>
        <w:sz w:val="20"/>
      </w:rPr>
    </w:lvl>
    <w:lvl w:ilvl="7">
      <w:start w:val="1"/>
      <w:numFmt w:val="lowerRoman"/>
      <w:lvlText w:val="%8."/>
      <w:lvlJc w:val="left"/>
      <w:rPr>
        <w:rFonts w:ascii="Arial" w:eastAsia="Arial" w:hAnsi="Arial" w:cs="Arial"/>
        <w:sz w:val="20"/>
      </w:rPr>
    </w:lvl>
    <w:lvl w:ilvl="8">
      <w:start w:val="1"/>
      <w:numFmt w:val="lowerLetter"/>
      <w:lvlText w:val="%9."/>
      <w:lvlJc w:val="left"/>
      <w:rPr>
        <w:rFonts w:ascii="Arial" w:eastAsia="Arial" w:hAnsi="Arial" w:cs="Arial"/>
        <w:sz w:val="20"/>
      </w:rPr>
    </w:lvl>
  </w:abstractNum>
  <w:abstractNum w:abstractNumId="1">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22F210B"/>
    <w:multiLevelType w:val="hybridMultilevel"/>
    <w:tmpl w:val="29A2B8EE"/>
    <w:lvl w:ilvl="0" w:tplc="28EAFE1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6D7B42"/>
    <w:multiLevelType w:val="hybridMultilevel"/>
    <w:tmpl w:val="81E6D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A590C9C"/>
    <w:multiLevelType w:val="hybridMultilevel"/>
    <w:tmpl w:val="DB2CC0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7">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D6F47CE"/>
    <w:multiLevelType w:val="multilevel"/>
    <w:tmpl w:val="D6FE4D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2">
    <w:nsid w:val="6F63022C"/>
    <w:multiLevelType w:val="hybridMultilevel"/>
    <w:tmpl w:val="23D04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4">
    <w:nsid w:val="79726D08"/>
    <w:multiLevelType w:val="hybridMultilevel"/>
    <w:tmpl w:val="200C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7">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10"/>
  </w:num>
  <w:num w:numId="5">
    <w:abstractNumId w:val="19"/>
  </w:num>
  <w:num w:numId="6">
    <w:abstractNumId w:val="2"/>
  </w:num>
  <w:num w:numId="7">
    <w:abstractNumId w:val="6"/>
  </w:num>
  <w:num w:numId="8">
    <w:abstractNumId w:val="17"/>
  </w:num>
  <w:num w:numId="9">
    <w:abstractNumId w:val="5"/>
  </w:num>
  <w:num w:numId="10">
    <w:abstractNumId w:val="25"/>
  </w:num>
  <w:num w:numId="11">
    <w:abstractNumId w:val="23"/>
  </w:num>
  <w:num w:numId="12">
    <w:abstractNumId w:val="14"/>
  </w:num>
  <w:num w:numId="13">
    <w:abstractNumId w:val="21"/>
  </w:num>
  <w:num w:numId="14">
    <w:abstractNumId w:val="16"/>
  </w:num>
  <w:num w:numId="15">
    <w:abstractNumId w:val="26"/>
  </w:num>
  <w:num w:numId="16">
    <w:abstractNumId w:val="9"/>
  </w:num>
  <w:num w:numId="17">
    <w:abstractNumId w:val="18"/>
  </w:num>
  <w:num w:numId="18">
    <w:abstractNumId w:val="12"/>
  </w:num>
  <w:num w:numId="19">
    <w:abstractNumId w:val="27"/>
  </w:num>
  <w:num w:numId="20">
    <w:abstractNumId w:val="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6"/>
  </w:num>
  <w:num w:numId="25">
    <w:abstractNumId w:val="10"/>
  </w:num>
  <w:num w:numId="26">
    <w:abstractNumId w:val="0"/>
  </w:num>
  <w:num w:numId="27">
    <w:abstractNumId w:val="20"/>
  </w:num>
  <w:num w:numId="28">
    <w:abstractNumId w:val="22"/>
  </w:num>
  <w:num w:numId="29">
    <w:abstractNumId w:val="24"/>
  </w:num>
  <w:num w:numId="30">
    <w:abstractNumId w:val="8"/>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23AF"/>
    <w:rsid w:val="0000352E"/>
    <w:rsid w:val="00052693"/>
    <w:rsid w:val="000570A2"/>
    <w:rsid w:val="00066B87"/>
    <w:rsid w:val="0007442D"/>
    <w:rsid w:val="00081B6C"/>
    <w:rsid w:val="00085A2D"/>
    <w:rsid w:val="0009247D"/>
    <w:rsid w:val="00096E70"/>
    <w:rsid w:val="000C2C44"/>
    <w:rsid w:val="000D0834"/>
    <w:rsid w:val="000E3D3E"/>
    <w:rsid w:val="001027D1"/>
    <w:rsid w:val="00131E6A"/>
    <w:rsid w:val="001510E3"/>
    <w:rsid w:val="00163179"/>
    <w:rsid w:val="001B0097"/>
    <w:rsid w:val="001C1193"/>
    <w:rsid w:val="001C1E4D"/>
    <w:rsid w:val="001C5026"/>
    <w:rsid w:val="001D7062"/>
    <w:rsid w:val="001F2D8D"/>
    <w:rsid w:val="001F7C07"/>
    <w:rsid w:val="0020623E"/>
    <w:rsid w:val="002258E3"/>
    <w:rsid w:val="002327A5"/>
    <w:rsid w:val="00232D9A"/>
    <w:rsid w:val="00240028"/>
    <w:rsid w:val="00243D0F"/>
    <w:rsid w:val="002679F6"/>
    <w:rsid w:val="002818D0"/>
    <w:rsid w:val="00281CEF"/>
    <w:rsid w:val="00285D91"/>
    <w:rsid w:val="00292589"/>
    <w:rsid w:val="002A1D89"/>
    <w:rsid w:val="002B73D6"/>
    <w:rsid w:val="002C0BCF"/>
    <w:rsid w:val="002C2C6B"/>
    <w:rsid w:val="002D3541"/>
    <w:rsid w:val="002D61F5"/>
    <w:rsid w:val="002D762A"/>
    <w:rsid w:val="002F1749"/>
    <w:rsid w:val="002F20C9"/>
    <w:rsid w:val="002F3739"/>
    <w:rsid w:val="003219D9"/>
    <w:rsid w:val="00322004"/>
    <w:rsid w:val="00366E59"/>
    <w:rsid w:val="00370616"/>
    <w:rsid w:val="00371B50"/>
    <w:rsid w:val="00373BA5"/>
    <w:rsid w:val="0037485C"/>
    <w:rsid w:val="00374A4C"/>
    <w:rsid w:val="00385B92"/>
    <w:rsid w:val="003A5EBF"/>
    <w:rsid w:val="003A77B2"/>
    <w:rsid w:val="003B6F84"/>
    <w:rsid w:val="003D24BB"/>
    <w:rsid w:val="003D6679"/>
    <w:rsid w:val="003E30EC"/>
    <w:rsid w:val="003F00DA"/>
    <w:rsid w:val="003F4825"/>
    <w:rsid w:val="00422027"/>
    <w:rsid w:val="00432B70"/>
    <w:rsid w:val="00436537"/>
    <w:rsid w:val="00441EDC"/>
    <w:rsid w:val="00457E0A"/>
    <w:rsid w:val="00460FC0"/>
    <w:rsid w:val="00462998"/>
    <w:rsid w:val="004744FE"/>
    <w:rsid w:val="004826EF"/>
    <w:rsid w:val="00490863"/>
    <w:rsid w:val="00492F98"/>
    <w:rsid w:val="004A394A"/>
    <w:rsid w:val="004B5B75"/>
    <w:rsid w:val="004D307D"/>
    <w:rsid w:val="004E2E87"/>
    <w:rsid w:val="004F6777"/>
    <w:rsid w:val="00500171"/>
    <w:rsid w:val="0050564C"/>
    <w:rsid w:val="005133F8"/>
    <w:rsid w:val="00513BF2"/>
    <w:rsid w:val="0052016B"/>
    <w:rsid w:val="00527B61"/>
    <w:rsid w:val="00530FEA"/>
    <w:rsid w:val="00532476"/>
    <w:rsid w:val="00534013"/>
    <w:rsid w:val="00553195"/>
    <w:rsid w:val="0056171F"/>
    <w:rsid w:val="005631F6"/>
    <w:rsid w:val="00567723"/>
    <w:rsid w:val="0058000D"/>
    <w:rsid w:val="005B6B29"/>
    <w:rsid w:val="005C6F1C"/>
    <w:rsid w:val="005F0283"/>
    <w:rsid w:val="005F2B70"/>
    <w:rsid w:val="005F6A81"/>
    <w:rsid w:val="00602C0A"/>
    <w:rsid w:val="00605243"/>
    <w:rsid w:val="006212CA"/>
    <w:rsid w:val="0063008E"/>
    <w:rsid w:val="0063770B"/>
    <w:rsid w:val="006410AE"/>
    <w:rsid w:val="00641572"/>
    <w:rsid w:val="00646B5F"/>
    <w:rsid w:val="006842AB"/>
    <w:rsid w:val="00691245"/>
    <w:rsid w:val="00696E6A"/>
    <w:rsid w:val="006A4380"/>
    <w:rsid w:val="006B156B"/>
    <w:rsid w:val="006C334B"/>
    <w:rsid w:val="006F18CE"/>
    <w:rsid w:val="007033F7"/>
    <w:rsid w:val="0076408F"/>
    <w:rsid w:val="00767749"/>
    <w:rsid w:val="00770EEA"/>
    <w:rsid w:val="0079008F"/>
    <w:rsid w:val="00797196"/>
    <w:rsid w:val="007A35F6"/>
    <w:rsid w:val="007B053A"/>
    <w:rsid w:val="007C5F79"/>
    <w:rsid w:val="007D16A4"/>
    <w:rsid w:val="007D2AA9"/>
    <w:rsid w:val="007E0DEE"/>
    <w:rsid w:val="007F0729"/>
    <w:rsid w:val="008045DC"/>
    <w:rsid w:val="008053B7"/>
    <w:rsid w:val="008105B2"/>
    <w:rsid w:val="00824C6B"/>
    <w:rsid w:val="00825812"/>
    <w:rsid w:val="0083568C"/>
    <w:rsid w:val="008533CC"/>
    <w:rsid w:val="00856B69"/>
    <w:rsid w:val="00861552"/>
    <w:rsid w:val="00863F77"/>
    <w:rsid w:val="00865907"/>
    <w:rsid w:val="00871B75"/>
    <w:rsid w:val="0087403D"/>
    <w:rsid w:val="00883C0A"/>
    <w:rsid w:val="00897DBD"/>
    <w:rsid w:val="008A1C67"/>
    <w:rsid w:val="008A1F3D"/>
    <w:rsid w:val="008B503A"/>
    <w:rsid w:val="008C1347"/>
    <w:rsid w:val="008C4ABC"/>
    <w:rsid w:val="008E4926"/>
    <w:rsid w:val="008E7AA0"/>
    <w:rsid w:val="008F4F49"/>
    <w:rsid w:val="009318B8"/>
    <w:rsid w:val="00940E98"/>
    <w:rsid w:val="009563E8"/>
    <w:rsid w:val="00965288"/>
    <w:rsid w:val="009745BB"/>
    <w:rsid w:val="00987DD9"/>
    <w:rsid w:val="009A2C4E"/>
    <w:rsid w:val="009A5026"/>
    <w:rsid w:val="009B091D"/>
    <w:rsid w:val="009C09D8"/>
    <w:rsid w:val="009C42C9"/>
    <w:rsid w:val="009C6DBE"/>
    <w:rsid w:val="009E1E59"/>
    <w:rsid w:val="009E2D1E"/>
    <w:rsid w:val="009F11D6"/>
    <w:rsid w:val="009F3102"/>
    <w:rsid w:val="00A11AC1"/>
    <w:rsid w:val="00A32CA3"/>
    <w:rsid w:val="00A44D74"/>
    <w:rsid w:val="00A46BB2"/>
    <w:rsid w:val="00A779B6"/>
    <w:rsid w:val="00AC7954"/>
    <w:rsid w:val="00AE58AF"/>
    <w:rsid w:val="00AE7557"/>
    <w:rsid w:val="00B068A2"/>
    <w:rsid w:val="00B13423"/>
    <w:rsid w:val="00B16F22"/>
    <w:rsid w:val="00B218CC"/>
    <w:rsid w:val="00B31311"/>
    <w:rsid w:val="00B33CD7"/>
    <w:rsid w:val="00B3613C"/>
    <w:rsid w:val="00B84CF9"/>
    <w:rsid w:val="00B86047"/>
    <w:rsid w:val="00BA2589"/>
    <w:rsid w:val="00BC2C64"/>
    <w:rsid w:val="00BF0D06"/>
    <w:rsid w:val="00BF14CF"/>
    <w:rsid w:val="00BF4CFA"/>
    <w:rsid w:val="00BF58AC"/>
    <w:rsid w:val="00C015DD"/>
    <w:rsid w:val="00C20751"/>
    <w:rsid w:val="00C2304E"/>
    <w:rsid w:val="00C275E8"/>
    <w:rsid w:val="00C3329B"/>
    <w:rsid w:val="00C4191A"/>
    <w:rsid w:val="00C67C9D"/>
    <w:rsid w:val="00CD3FD9"/>
    <w:rsid w:val="00CF0E45"/>
    <w:rsid w:val="00D00DC6"/>
    <w:rsid w:val="00D17551"/>
    <w:rsid w:val="00D27E92"/>
    <w:rsid w:val="00D30DD8"/>
    <w:rsid w:val="00D732C7"/>
    <w:rsid w:val="00D91AC9"/>
    <w:rsid w:val="00D9435D"/>
    <w:rsid w:val="00D9563B"/>
    <w:rsid w:val="00D95B14"/>
    <w:rsid w:val="00DC5960"/>
    <w:rsid w:val="00DC6344"/>
    <w:rsid w:val="00DE4597"/>
    <w:rsid w:val="00E11B99"/>
    <w:rsid w:val="00E154A8"/>
    <w:rsid w:val="00E1686A"/>
    <w:rsid w:val="00E37109"/>
    <w:rsid w:val="00E4355C"/>
    <w:rsid w:val="00E6431A"/>
    <w:rsid w:val="00E7237E"/>
    <w:rsid w:val="00E85FA1"/>
    <w:rsid w:val="00E86411"/>
    <w:rsid w:val="00E92DBC"/>
    <w:rsid w:val="00EB059A"/>
    <w:rsid w:val="00EC5704"/>
    <w:rsid w:val="00F36758"/>
    <w:rsid w:val="00F37458"/>
    <w:rsid w:val="00F460E0"/>
    <w:rsid w:val="00F577A7"/>
    <w:rsid w:val="00F63D60"/>
    <w:rsid w:val="00F64BD6"/>
    <w:rsid w:val="00F81B65"/>
    <w:rsid w:val="00F8483D"/>
    <w:rsid w:val="00F85BA5"/>
    <w:rsid w:val="00FC041A"/>
    <w:rsid w:val="00FD688B"/>
    <w:rsid w:val="00FF015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NormalWeb">
    <w:name w:val="Normal (Web)"/>
    <w:basedOn w:val="Normal"/>
    <w:uiPriority w:val="99"/>
    <w:semiHidden/>
    <w:unhideWhenUsed/>
    <w:rsid w:val="00066B87"/>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Default">
    <w:name w:val="Default"/>
    <w:rsid w:val="00F64BD6"/>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2A1D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D89"/>
    <w:rPr>
      <w:sz w:val="20"/>
      <w:szCs w:val="20"/>
    </w:rPr>
  </w:style>
  <w:style w:type="paragraph" w:styleId="Caption">
    <w:name w:val="caption"/>
    <w:basedOn w:val="Normal"/>
    <w:next w:val="Normal"/>
    <w:uiPriority w:val="35"/>
    <w:unhideWhenUsed/>
    <w:qFormat/>
    <w:rsid w:val="00E6431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45731957">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726097497">
      <w:bodyDiv w:val="1"/>
      <w:marLeft w:val="0"/>
      <w:marRight w:val="0"/>
      <w:marTop w:val="0"/>
      <w:marBottom w:val="0"/>
      <w:divBdr>
        <w:top w:val="none" w:sz="0" w:space="0" w:color="auto"/>
        <w:left w:val="none" w:sz="0" w:space="0" w:color="auto"/>
        <w:bottom w:val="none" w:sz="0" w:space="0" w:color="auto"/>
        <w:right w:val="none" w:sz="0" w:space="0" w:color="auto"/>
      </w:divBdr>
    </w:div>
    <w:div w:id="1808352241">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710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2BAF439-DAAC-4EE7-A079-1E8F57FF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2016-08-24T06:50:00Z</cp:lastPrinted>
  <dcterms:created xsi:type="dcterms:W3CDTF">2016-08-25T14:42:00Z</dcterms:created>
  <dcterms:modified xsi:type="dcterms:W3CDTF">2016-08-25T14:42:00Z</dcterms:modified>
</cp:coreProperties>
</file>