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7BB5" w:rsidRPr="00C27BB5" w:rsidRDefault="00C27BB5" w:rsidP="00C27BB5">
      <w:pPr>
        <w:jc w:val="center"/>
        <w:rPr>
          <w:b/>
          <w:sz w:val="40"/>
          <w:szCs w:val="40"/>
        </w:rPr>
      </w:pPr>
      <w:bookmarkStart w:id="0" w:name="_GoBack"/>
      <w:bookmarkEnd w:id="0"/>
      <w:r w:rsidRPr="00C27BB5">
        <w:rPr>
          <w:b/>
          <w:sz w:val="40"/>
          <w:szCs w:val="40"/>
        </w:rPr>
        <w:t>Global Vaccine Action Plan</w:t>
      </w:r>
    </w:p>
    <w:p w:rsidR="009D32E5" w:rsidRDefault="00C27BB5" w:rsidP="00C27BB5">
      <w:pPr>
        <w:jc w:val="center"/>
        <w:rPr>
          <w:i/>
          <w:sz w:val="40"/>
          <w:szCs w:val="40"/>
        </w:rPr>
      </w:pPr>
      <w:r w:rsidRPr="00C27BB5">
        <w:rPr>
          <w:i/>
          <w:sz w:val="40"/>
          <w:szCs w:val="40"/>
        </w:rPr>
        <w:t>Secretariat Annual Report 2016</w:t>
      </w:r>
    </w:p>
    <w:p w:rsidR="009D32E5" w:rsidRDefault="00C27BB5" w:rsidP="00C27BB5">
      <w:pPr>
        <w:jc w:val="center"/>
        <w:rPr>
          <w:i/>
          <w:sz w:val="40"/>
          <w:szCs w:val="40"/>
        </w:rPr>
      </w:pPr>
      <w:r>
        <w:rPr>
          <w:i/>
          <w:sz w:val="40"/>
          <w:szCs w:val="40"/>
        </w:rPr>
        <w:t>Priority C</w:t>
      </w:r>
      <w:r w:rsidRPr="00C27BB5">
        <w:rPr>
          <w:i/>
          <w:sz w:val="40"/>
          <w:szCs w:val="40"/>
        </w:rPr>
        <w:t xml:space="preserve">ountry report on progress towards </w:t>
      </w:r>
    </w:p>
    <w:p w:rsidR="00734BA0" w:rsidRPr="00C27BB5" w:rsidRDefault="00C27BB5" w:rsidP="00C27BB5">
      <w:pPr>
        <w:jc w:val="center"/>
        <w:rPr>
          <w:i/>
          <w:sz w:val="40"/>
          <w:szCs w:val="40"/>
        </w:rPr>
      </w:pPr>
      <w:r>
        <w:rPr>
          <w:i/>
          <w:sz w:val="40"/>
          <w:szCs w:val="40"/>
        </w:rPr>
        <w:t>GVAP-RVAP</w:t>
      </w:r>
      <w:r w:rsidRPr="00C27BB5">
        <w:rPr>
          <w:i/>
          <w:sz w:val="40"/>
          <w:szCs w:val="40"/>
        </w:rPr>
        <w:t xml:space="preserve"> goals </w:t>
      </w:r>
    </w:p>
    <w:p w:rsidR="009D32E5" w:rsidRDefault="009D32E5" w:rsidP="00C27BB5">
      <w:pPr>
        <w:jc w:val="center"/>
        <w:rPr>
          <w:rFonts w:ascii="Arial" w:hAnsi="Arial"/>
          <w:b/>
          <w:sz w:val="32"/>
        </w:rPr>
      </w:pPr>
    </w:p>
    <w:p w:rsidR="00C27BB5" w:rsidRPr="00C400A7" w:rsidRDefault="00C27BB5" w:rsidP="00C27BB5">
      <w:pPr>
        <w:jc w:val="center"/>
        <w:rPr>
          <w:rFonts w:ascii="Arial" w:hAnsi="Arial"/>
          <w:b/>
          <w:sz w:val="36"/>
        </w:rPr>
      </w:pPr>
      <w:r w:rsidRPr="00C400A7">
        <w:rPr>
          <w:rFonts w:ascii="Arial" w:hAnsi="Arial"/>
          <w:b/>
          <w:sz w:val="36"/>
        </w:rPr>
        <w:t xml:space="preserve">UGANDA </w:t>
      </w:r>
    </w:p>
    <w:p w:rsidR="00C27BB5" w:rsidRDefault="00C27BB5" w:rsidP="00C27BB5">
      <w:pPr>
        <w:jc w:val="center"/>
        <w:rPr>
          <w:rFonts w:ascii="Arial" w:hAnsi="Arial"/>
          <w:b/>
          <w:sz w:val="32"/>
        </w:rPr>
      </w:pPr>
    </w:p>
    <w:p w:rsidR="00457E0A" w:rsidRPr="00BB5F62" w:rsidRDefault="00457E0A" w:rsidP="00457E0A">
      <w:pPr>
        <w:pStyle w:val="ListParagraph"/>
        <w:numPr>
          <w:ilvl w:val="0"/>
          <w:numId w:val="3"/>
        </w:numPr>
        <w:rPr>
          <w:rFonts w:ascii="Arial" w:hAnsi="Arial"/>
          <w:b/>
          <w:sz w:val="26"/>
          <w:szCs w:val="26"/>
        </w:rPr>
      </w:pPr>
      <w:r w:rsidRPr="00BB5F62">
        <w:rPr>
          <w:rFonts w:ascii="Arial" w:hAnsi="Arial"/>
          <w:b/>
          <w:sz w:val="26"/>
          <w:szCs w:val="26"/>
        </w:rPr>
        <w:t xml:space="preserve">Progress towards achievement of GVAP goals </w:t>
      </w:r>
    </w:p>
    <w:p w:rsidR="00457E0A" w:rsidRPr="00457E0A" w:rsidRDefault="00457E0A" w:rsidP="00457E0A">
      <w:pPr>
        <w:pStyle w:val="ListParagraph"/>
        <w:rPr>
          <w:rFonts w:ascii="Arial" w:hAnsi="Arial"/>
          <w:b/>
        </w:rPr>
      </w:pPr>
    </w:p>
    <w:p w:rsidR="00163179" w:rsidRPr="00BB5F62" w:rsidRDefault="00C67C9D" w:rsidP="00163179">
      <w:pPr>
        <w:pStyle w:val="ListParagraph"/>
        <w:numPr>
          <w:ilvl w:val="0"/>
          <w:numId w:val="1"/>
        </w:numPr>
        <w:rPr>
          <w:rFonts w:ascii="Arial" w:hAnsi="Arial"/>
          <w:b/>
          <w:sz w:val="24"/>
          <w:szCs w:val="24"/>
        </w:rPr>
      </w:pPr>
      <w:r w:rsidRPr="00BB5F62">
        <w:rPr>
          <w:rFonts w:ascii="Arial" w:hAnsi="Arial"/>
          <w:b/>
          <w:sz w:val="24"/>
          <w:szCs w:val="24"/>
        </w:rPr>
        <w:t xml:space="preserve">Summary </w:t>
      </w:r>
    </w:p>
    <w:p w:rsidR="00BA2589" w:rsidRDefault="00BA2589" w:rsidP="006A05E4">
      <w:pPr>
        <w:rPr>
          <w:rFonts w:ascii="Arial" w:hAnsi="Arial"/>
        </w:rPr>
      </w:pPr>
      <w:r w:rsidRPr="0000352E">
        <w:rPr>
          <w:rFonts w:ascii="Arial" w:hAnsi="Arial"/>
        </w:rPr>
        <w:t xml:space="preserve">This </w:t>
      </w:r>
      <w:r w:rsidR="006C334B">
        <w:rPr>
          <w:rFonts w:ascii="Arial" w:hAnsi="Arial"/>
        </w:rPr>
        <w:t xml:space="preserve">summary table describes </w:t>
      </w:r>
      <w:r w:rsidRPr="0000352E">
        <w:rPr>
          <w:rFonts w:ascii="Arial" w:hAnsi="Arial"/>
        </w:rPr>
        <w:t xml:space="preserve">the current situation in </w:t>
      </w:r>
      <w:r w:rsidR="006A05E4">
        <w:rPr>
          <w:rFonts w:ascii="Arial" w:hAnsi="Arial"/>
        </w:rPr>
        <w:t>Uganda</w:t>
      </w:r>
      <w:r w:rsidRPr="0000352E">
        <w:rPr>
          <w:rFonts w:ascii="Arial" w:hAnsi="Arial"/>
        </w:rPr>
        <w:t xml:space="preserve"> regarding achieving the GVAP goals.</w:t>
      </w:r>
      <w:r w:rsidR="00492F98">
        <w:rPr>
          <w:rFonts w:ascii="Arial" w:hAnsi="Arial"/>
        </w:rPr>
        <w:t xml:space="preserve"> </w:t>
      </w:r>
      <w:r w:rsidR="00500171">
        <w:rPr>
          <w:rFonts w:ascii="Arial" w:hAnsi="Arial"/>
        </w:rPr>
        <w:t>D</w:t>
      </w:r>
      <w:r w:rsidR="00696E6A">
        <w:rPr>
          <w:rFonts w:ascii="Arial" w:hAnsi="Arial"/>
        </w:rPr>
        <w:t xml:space="preserve">ata </w:t>
      </w:r>
      <w:r w:rsidR="00E11B99">
        <w:rPr>
          <w:rFonts w:ascii="Arial" w:hAnsi="Arial"/>
        </w:rPr>
        <w:t xml:space="preserve">used to assess progress towards achievement of </w:t>
      </w:r>
      <w:r w:rsidR="00696E6A">
        <w:rPr>
          <w:rFonts w:ascii="Arial" w:hAnsi="Arial"/>
        </w:rPr>
        <w:t xml:space="preserve">GVAP goals are included in the annex (Country </w:t>
      </w:r>
      <w:r w:rsidR="00D00DC6">
        <w:rPr>
          <w:rFonts w:ascii="Arial" w:hAnsi="Arial"/>
        </w:rPr>
        <w:t xml:space="preserve">immunization </w:t>
      </w:r>
      <w:r w:rsidR="00696E6A">
        <w:rPr>
          <w:rFonts w:ascii="Arial" w:hAnsi="Arial"/>
        </w:rPr>
        <w:t>profile).</w:t>
      </w:r>
    </w:p>
    <w:tbl>
      <w:tblPr>
        <w:tblW w:w="9249" w:type="dxa"/>
        <w:jc w:val="center"/>
        <w:tblLook w:val="04A0" w:firstRow="1" w:lastRow="0" w:firstColumn="1" w:lastColumn="0" w:noHBand="0" w:noVBand="1"/>
      </w:tblPr>
      <w:tblGrid>
        <w:gridCol w:w="3189"/>
        <w:gridCol w:w="3673"/>
        <w:gridCol w:w="2387"/>
      </w:tblGrid>
      <w:tr w:rsidR="00572AD9" w:rsidRPr="00B13A2F" w:rsidTr="00AB1003">
        <w:trPr>
          <w:trHeight w:val="675"/>
          <w:tblHeader/>
          <w:jc w:val="center"/>
        </w:trPr>
        <w:tc>
          <w:tcPr>
            <w:tcW w:w="318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Area</w:t>
            </w:r>
          </w:p>
        </w:tc>
        <w:tc>
          <w:tcPr>
            <w:tcW w:w="3673"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572AD9" w:rsidP="00572AD9">
            <w:pPr>
              <w:spacing w:after="0" w:line="240" w:lineRule="auto"/>
              <w:rPr>
                <w:rFonts w:eastAsia="Times New Roman" w:cs="Calibri"/>
                <w:b/>
                <w:bCs/>
                <w:color w:val="000000"/>
                <w:sz w:val="28"/>
                <w:szCs w:val="28"/>
                <w:lang w:eastAsia="en-GB"/>
              </w:rPr>
            </w:pPr>
            <w:r w:rsidRPr="00572AD9">
              <w:rPr>
                <w:rFonts w:eastAsia="Times New Roman" w:cs="Calibri"/>
                <w:b/>
                <w:bCs/>
                <w:color w:val="000000"/>
                <w:sz w:val="28"/>
                <w:szCs w:val="28"/>
                <w:lang w:eastAsia="en-GB"/>
              </w:rPr>
              <w:t>Indicator</w:t>
            </w:r>
          </w:p>
        </w:tc>
        <w:tc>
          <w:tcPr>
            <w:tcW w:w="2387" w:type="dxa"/>
            <w:tcBorders>
              <w:top w:val="single" w:sz="4" w:space="0" w:color="auto"/>
              <w:left w:val="nil"/>
              <w:bottom w:val="single" w:sz="4" w:space="0" w:color="auto"/>
              <w:right w:val="single" w:sz="4" w:space="0" w:color="auto"/>
            </w:tcBorders>
            <w:shd w:val="clear" w:color="auto" w:fill="auto"/>
            <w:vAlign w:val="center"/>
            <w:hideMark/>
          </w:tcPr>
          <w:p w:rsidR="00572AD9" w:rsidRPr="00572AD9" w:rsidRDefault="00BC6E1F" w:rsidP="00572AD9">
            <w:pPr>
              <w:spacing w:after="0" w:line="240" w:lineRule="auto"/>
              <w:jc w:val="center"/>
              <w:rPr>
                <w:rFonts w:eastAsia="Times New Roman" w:cs="Calibri"/>
                <w:b/>
                <w:bCs/>
                <w:color w:val="000000"/>
                <w:sz w:val="28"/>
                <w:szCs w:val="28"/>
                <w:lang w:eastAsia="en-GB"/>
              </w:rPr>
            </w:pPr>
            <w:r>
              <w:rPr>
                <w:rFonts w:eastAsia="Times New Roman" w:cs="Calibri"/>
                <w:b/>
                <w:bCs/>
                <w:color w:val="000000"/>
                <w:sz w:val="28"/>
                <w:szCs w:val="28"/>
                <w:lang w:eastAsia="en-GB"/>
              </w:rPr>
              <w:t xml:space="preserve">Data for </w:t>
            </w:r>
            <w:r w:rsidR="00572AD9" w:rsidRPr="00572AD9">
              <w:rPr>
                <w:rFonts w:eastAsia="Times New Roman" w:cs="Calibri"/>
                <w:b/>
                <w:bCs/>
                <w:color w:val="000000"/>
                <w:sz w:val="28"/>
                <w:szCs w:val="28"/>
                <w:lang w:eastAsia="en-GB"/>
              </w:rPr>
              <w:t>Uganda</w:t>
            </w:r>
          </w:p>
        </w:tc>
      </w:tr>
      <w:tr w:rsidR="00572AD9" w:rsidRPr="00B13A2F" w:rsidTr="00AB1003">
        <w:trPr>
          <w:trHeight w:val="1430"/>
          <w:jc w:val="center"/>
        </w:trPr>
        <w:tc>
          <w:tcPr>
            <w:tcW w:w="3189" w:type="dxa"/>
            <w:tcBorders>
              <w:top w:val="nil"/>
              <w:left w:val="single" w:sz="4" w:space="0" w:color="auto"/>
              <w:bottom w:val="single" w:sz="4" w:space="0" w:color="auto"/>
              <w:right w:val="single" w:sz="4" w:space="0" w:color="auto"/>
            </w:tcBorders>
            <w:shd w:val="clear" w:color="000000" w:fill="EBF1DE"/>
            <w:hideMark/>
          </w:tcPr>
          <w:p w:rsidR="00572AD9" w:rsidRPr="00572AD9" w:rsidRDefault="00572AD9" w:rsidP="00F1695C">
            <w:pPr>
              <w:spacing w:after="0" w:line="240" w:lineRule="auto"/>
              <w:rPr>
                <w:rFonts w:eastAsia="Times New Roman" w:cs="Calibri"/>
                <w:b/>
                <w:bCs/>
                <w:color w:val="000000"/>
                <w:lang w:eastAsia="en-GB"/>
              </w:rPr>
            </w:pPr>
            <w:r w:rsidRPr="00572AD9">
              <w:rPr>
                <w:rFonts w:eastAsia="Times New Roman" w:cs="Calibri"/>
                <w:b/>
                <w:bCs/>
                <w:color w:val="000000"/>
                <w:lang w:eastAsia="en-GB"/>
              </w:rPr>
              <w:t xml:space="preserve">6. Reach 90% </w:t>
            </w:r>
            <w:r w:rsidR="00F1695C">
              <w:rPr>
                <w:rFonts w:eastAsia="Times New Roman" w:cs="Calibri"/>
                <w:b/>
                <w:bCs/>
                <w:color w:val="000000"/>
                <w:lang w:eastAsia="en-GB"/>
              </w:rPr>
              <w:t xml:space="preserve">national coverage </w:t>
            </w:r>
            <w:r w:rsidRPr="00572AD9">
              <w:rPr>
                <w:rFonts w:eastAsia="Times New Roman" w:cs="Calibri"/>
                <w:b/>
                <w:bCs/>
                <w:color w:val="000000"/>
                <w:lang w:eastAsia="en-GB"/>
              </w:rPr>
              <w:t xml:space="preserve">and 80% coverage </w:t>
            </w:r>
            <w:r w:rsidR="00F1695C">
              <w:rPr>
                <w:rFonts w:eastAsia="Times New Roman" w:cs="Calibri"/>
                <w:b/>
                <w:bCs/>
                <w:color w:val="000000"/>
                <w:lang w:eastAsia="en-GB"/>
              </w:rPr>
              <w:t xml:space="preserve">in every district </w:t>
            </w:r>
            <w:r w:rsidRPr="00572AD9">
              <w:rPr>
                <w:rFonts w:eastAsia="Times New Roman" w:cs="Calibri"/>
                <w:b/>
                <w:bCs/>
                <w:color w:val="000000"/>
                <w:lang w:eastAsia="en-GB"/>
              </w:rPr>
              <w:t>with all vaccines in national immunization programme</w:t>
            </w:r>
          </w:p>
        </w:tc>
        <w:tc>
          <w:tcPr>
            <w:tcW w:w="3673" w:type="dxa"/>
            <w:tcBorders>
              <w:top w:val="nil"/>
              <w:left w:val="nil"/>
              <w:bottom w:val="single" w:sz="4" w:space="0" w:color="auto"/>
              <w:right w:val="single" w:sz="4" w:space="0" w:color="auto"/>
            </w:tcBorders>
            <w:shd w:val="clear" w:color="000000" w:fill="EBF1DE"/>
            <w:hideMark/>
          </w:tcPr>
          <w:p w:rsidR="00572AD9" w:rsidRPr="00572AD9" w:rsidRDefault="00AB1003" w:rsidP="007A3008">
            <w:pPr>
              <w:spacing w:after="0" w:line="240" w:lineRule="auto"/>
              <w:rPr>
                <w:rFonts w:eastAsia="Times New Roman" w:cs="Calibri"/>
                <w:b/>
                <w:bCs/>
                <w:color w:val="000000"/>
                <w:lang w:eastAsia="en-GB"/>
              </w:rPr>
            </w:pPr>
            <w:r>
              <w:rPr>
                <w:rFonts w:eastAsia="Times New Roman" w:cs="Calibri"/>
                <w:b/>
                <w:bCs/>
                <w:color w:val="000000"/>
                <w:lang w:eastAsia="en-GB"/>
              </w:rPr>
              <w:t>National c</w:t>
            </w:r>
            <w:r w:rsidR="00572AD9" w:rsidRPr="00572AD9">
              <w:rPr>
                <w:rFonts w:eastAsia="Times New Roman" w:cs="Calibri"/>
                <w:b/>
                <w:bCs/>
                <w:color w:val="000000"/>
                <w:lang w:eastAsia="en-GB"/>
              </w:rPr>
              <w:t>overage   (201</w:t>
            </w:r>
            <w:r w:rsidR="007A3008">
              <w:rPr>
                <w:rFonts w:eastAsia="Times New Roman" w:cs="Calibri"/>
                <w:b/>
                <w:bCs/>
                <w:color w:val="000000"/>
                <w:lang w:eastAsia="en-GB"/>
              </w:rPr>
              <w:t>5</w:t>
            </w:r>
            <w:r w:rsidR="00572AD9" w:rsidRPr="00572AD9">
              <w:rPr>
                <w:rFonts w:eastAsia="Times New Roman" w:cs="Calibri"/>
                <w:b/>
                <w:bCs/>
                <w:color w:val="000000"/>
                <w:lang w:eastAsia="en-GB"/>
              </w:rPr>
              <w:t xml:space="preserve"> WUENIC)</w:t>
            </w:r>
          </w:p>
        </w:tc>
        <w:tc>
          <w:tcPr>
            <w:tcW w:w="2387" w:type="dxa"/>
            <w:tcBorders>
              <w:top w:val="nil"/>
              <w:left w:val="nil"/>
              <w:bottom w:val="single" w:sz="4" w:space="0" w:color="auto"/>
              <w:right w:val="single" w:sz="4" w:space="0" w:color="auto"/>
            </w:tcBorders>
            <w:shd w:val="clear" w:color="000000" w:fill="FF0000"/>
            <w:hideMark/>
          </w:tcPr>
          <w:p w:rsidR="00572AD9" w:rsidRPr="00572AD9" w:rsidRDefault="00572AD9" w:rsidP="007A3008">
            <w:pPr>
              <w:spacing w:after="0" w:line="240" w:lineRule="auto"/>
              <w:jc w:val="center"/>
              <w:rPr>
                <w:rFonts w:eastAsia="Times New Roman" w:cs="Calibri"/>
                <w:b/>
                <w:bCs/>
                <w:color w:val="000000"/>
                <w:lang w:eastAsia="en-GB"/>
              </w:rPr>
            </w:pPr>
            <w:r w:rsidRPr="00572AD9">
              <w:rPr>
                <w:rFonts w:eastAsia="Times New Roman" w:cs="Calibri"/>
                <w:b/>
                <w:bCs/>
                <w:color w:val="000000"/>
                <w:lang w:eastAsia="en-GB"/>
              </w:rPr>
              <w:t>BCG</w:t>
            </w:r>
            <w:r w:rsidR="00F1695C">
              <w:rPr>
                <w:rFonts w:eastAsia="Times New Roman" w:cs="Calibri"/>
                <w:b/>
                <w:bCs/>
                <w:color w:val="000000"/>
                <w:lang w:eastAsia="en-GB"/>
              </w:rPr>
              <w:t>:</w:t>
            </w:r>
            <w:r w:rsidRPr="00572AD9">
              <w:rPr>
                <w:rFonts w:eastAsia="Times New Roman" w:cs="Calibri"/>
                <w:b/>
                <w:bCs/>
                <w:color w:val="000000"/>
                <w:lang w:eastAsia="en-GB"/>
              </w:rPr>
              <w:t xml:space="preserve"> 93</w:t>
            </w:r>
            <w:r w:rsidRPr="00572AD9">
              <w:rPr>
                <w:rFonts w:eastAsia="Times New Roman" w:cs="Calibri"/>
                <w:b/>
                <w:bCs/>
                <w:color w:val="000000"/>
                <w:lang w:eastAsia="en-GB"/>
              </w:rPr>
              <w:br/>
              <w:t>DTP3-HepB3-Hib3</w:t>
            </w:r>
            <w:r w:rsidR="00F1695C">
              <w:rPr>
                <w:rFonts w:eastAsia="Times New Roman" w:cs="Calibri"/>
                <w:b/>
                <w:bCs/>
                <w:color w:val="000000"/>
                <w:lang w:eastAsia="en-GB"/>
              </w:rPr>
              <w:t>:</w:t>
            </w:r>
            <w:r w:rsidRPr="00572AD9">
              <w:rPr>
                <w:rFonts w:eastAsia="Times New Roman" w:cs="Calibri"/>
                <w:b/>
                <w:bCs/>
                <w:color w:val="000000"/>
                <w:lang w:eastAsia="en-GB"/>
              </w:rPr>
              <w:t xml:space="preserve"> 78</w:t>
            </w:r>
            <w:r w:rsidRPr="00572AD9">
              <w:rPr>
                <w:rFonts w:eastAsia="Times New Roman" w:cs="Calibri"/>
                <w:b/>
                <w:bCs/>
                <w:color w:val="000000"/>
                <w:lang w:eastAsia="en-GB"/>
              </w:rPr>
              <w:br/>
              <w:t>MCV1</w:t>
            </w:r>
            <w:r w:rsidR="00F1695C">
              <w:rPr>
                <w:rFonts w:eastAsia="Times New Roman" w:cs="Calibri"/>
                <w:b/>
                <w:bCs/>
                <w:color w:val="000000"/>
                <w:lang w:eastAsia="en-GB"/>
              </w:rPr>
              <w:t>:</w:t>
            </w:r>
            <w:r w:rsidRPr="00572AD9">
              <w:rPr>
                <w:rFonts w:eastAsia="Times New Roman" w:cs="Calibri"/>
                <w:b/>
                <w:bCs/>
                <w:color w:val="000000"/>
                <w:lang w:eastAsia="en-GB"/>
              </w:rPr>
              <w:t xml:space="preserve"> 82</w:t>
            </w:r>
            <w:r w:rsidRPr="00572AD9">
              <w:rPr>
                <w:rFonts w:eastAsia="Times New Roman" w:cs="Calibri"/>
                <w:b/>
                <w:bCs/>
                <w:color w:val="000000"/>
                <w:lang w:eastAsia="en-GB"/>
              </w:rPr>
              <w:br/>
              <w:t>PCV3</w:t>
            </w:r>
            <w:r w:rsidR="00F1695C">
              <w:rPr>
                <w:rFonts w:eastAsia="Times New Roman" w:cs="Calibri"/>
                <w:b/>
                <w:bCs/>
                <w:color w:val="000000"/>
                <w:lang w:eastAsia="en-GB"/>
              </w:rPr>
              <w:t>:</w:t>
            </w:r>
            <w:r w:rsidRPr="00572AD9">
              <w:rPr>
                <w:rFonts w:eastAsia="Times New Roman" w:cs="Calibri"/>
                <w:b/>
                <w:bCs/>
                <w:color w:val="000000"/>
                <w:lang w:eastAsia="en-GB"/>
              </w:rPr>
              <w:t xml:space="preserve"> </w:t>
            </w:r>
            <w:r w:rsidR="007A3008">
              <w:rPr>
                <w:rFonts w:eastAsia="Times New Roman" w:cs="Calibri"/>
                <w:b/>
                <w:bCs/>
                <w:color w:val="000000"/>
                <w:lang w:eastAsia="en-GB"/>
              </w:rPr>
              <w:t>66</w:t>
            </w:r>
            <w:r w:rsidRPr="00572AD9">
              <w:rPr>
                <w:rFonts w:eastAsia="Times New Roman" w:cs="Calibri"/>
                <w:b/>
                <w:bCs/>
                <w:color w:val="000000"/>
                <w:lang w:eastAsia="en-GB"/>
              </w:rPr>
              <w:br/>
              <w:t>Pol</w:t>
            </w:r>
            <w:r w:rsidR="00F1695C">
              <w:rPr>
                <w:rFonts w:eastAsia="Times New Roman" w:cs="Calibri"/>
                <w:b/>
                <w:bCs/>
                <w:color w:val="000000"/>
                <w:lang w:eastAsia="en-GB"/>
              </w:rPr>
              <w:t>io</w:t>
            </w:r>
            <w:r w:rsidRPr="00572AD9">
              <w:rPr>
                <w:rFonts w:eastAsia="Times New Roman" w:cs="Calibri"/>
                <w:b/>
                <w:bCs/>
                <w:color w:val="000000"/>
                <w:lang w:eastAsia="en-GB"/>
              </w:rPr>
              <w:t>3</w:t>
            </w:r>
            <w:r w:rsidR="00F1695C">
              <w:rPr>
                <w:rFonts w:eastAsia="Times New Roman" w:cs="Calibri"/>
                <w:b/>
                <w:bCs/>
                <w:color w:val="000000"/>
                <w:lang w:eastAsia="en-GB"/>
              </w:rPr>
              <w:t>:</w:t>
            </w:r>
            <w:r w:rsidRPr="00572AD9">
              <w:rPr>
                <w:rFonts w:eastAsia="Times New Roman" w:cs="Calibri"/>
                <w:b/>
                <w:bCs/>
                <w:color w:val="000000"/>
                <w:lang w:eastAsia="en-GB"/>
              </w:rPr>
              <w:t xml:space="preserve"> 82</w:t>
            </w:r>
          </w:p>
        </w:tc>
      </w:tr>
    </w:tbl>
    <w:p w:rsidR="00572AD9" w:rsidRDefault="00572AD9">
      <w:pPr>
        <w:rPr>
          <w:rFonts w:ascii="Arial" w:hAnsi="Arial"/>
        </w:rPr>
        <w:sectPr w:rsidR="00572AD9" w:rsidSect="00734BA0">
          <w:footerReference w:type="default" r:id="rId9"/>
          <w:type w:val="continuous"/>
          <w:pgSz w:w="11906" w:h="16838"/>
          <w:pgMar w:top="1440" w:right="1440" w:bottom="1440" w:left="1440" w:header="709" w:footer="709" w:gutter="0"/>
          <w:cols w:space="708"/>
          <w:docGrid w:linePitch="360"/>
        </w:sectPr>
      </w:pPr>
    </w:p>
    <w:p w:rsidR="00734BA0" w:rsidRPr="00373BA5" w:rsidRDefault="00734BA0" w:rsidP="003B4E55">
      <w:pPr>
        <w:rPr>
          <w:rFonts w:ascii="Arial" w:hAnsi="Arial"/>
          <w:b/>
        </w:rPr>
      </w:pPr>
      <w:r>
        <w:rPr>
          <w:rFonts w:ascii="Arial" w:hAnsi="Arial"/>
          <w:b/>
        </w:rPr>
        <w:lastRenderedPageBreak/>
        <w:t>3.</w:t>
      </w:r>
      <w:r w:rsidR="00D00342">
        <w:rPr>
          <w:rFonts w:ascii="Arial" w:hAnsi="Arial"/>
          <w:b/>
        </w:rPr>
        <w:t>3</w:t>
      </w:r>
      <w:r>
        <w:rPr>
          <w:rFonts w:ascii="Arial" w:hAnsi="Arial"/>
          <w:b/>
        </w:rPr>
        <w:t xml:space="preserve"> </w:t>
      </w:r>
      <w:r w:rsidR="007709E9">
        <w:rPr>
          <w:rFonts w:ascii="Arial" w:hAnsi="Arial"/>
          <w:b/>
        </w:rPr>
        <w:t xml:space="preserve">  </w:t>
      </w:r>
      <w:r>
        <w:rPr>
          <w:rFonts w:ascii="Arial" w:hAnsi="Arial"/>
          <w:b/>
        </w:rPr>
        <w:t>Goal 3: M</w:t>
      </w:r>
      <w:r w:rsidRPr="00373BA5">
        <w:rPr>
          <w:rFonts w:ascii="Arial" w:hAnsi="Arial"/>
          <w:b/>
        </w:rPr>
        <w:t>eet vaccination coverage targets</w:t>
      </w:r>
    </w:p>
    <w:p w:rsidR="00734BA0" w:rsidRPr="00825812" w:rsidRDefault="00D00342" w:rsidP="00D00342">
      <w:pPr>
        <w:pStyle w:val="ListParagraph"/>
        <w:numPr>
          <w:ilvl w:val="1"/>
          <w:numId w:val="28"/>
        </w:numPr>
        <w:ind w:left="360"/>
        <w:contextualSpacing w:val="0"/>
        <w:rPr>
          <w:rFonts w:ascii="Arial" w:hAnsi="Arial"/>
          <w:b/>
        </w:rPr>
      </w:pPr>
      <w:r>
        <w:rPr>
          <w:rFonts w:ascii="Arial" w:hAnsi="Arial"/>
          <w:b/>
        </w:rPr>
        <w:t>Achieve 90% n</w:t>
      </w:r>
      <w:r w:rsidR="00734BA0" w:rsidRPr="00825812">
        <w:rPr>
          <w:rFonts w:ascii="Arial" w:hAnsi="Arial"/>
          <w:b/>
        </w:rPr>
        <w:t>ational coverage and 80%</w:t>
      </w:r>
      <w:r>
        <w:rPr>
          <w:rFonts w:ascii="Arial" w:hAnsi="Arial"/>
          <w:b/>
        </w:rPr>
        <w:t xml:space="preserve"> coverage</w:t>
      </w:r>
      <w:r w:rsidR="00734BA0" w:rsidRPr="00825812">
        <w:rPr>
          <w:rFonts w:ascii="Arial" w:hAnsi="Arial"/>
          <w:b/>
        </w:rPr>
        <w:t xml:space="preserve"> in every district with all vaccines included in the national schedule</w:t>
      </w:r>
    </w:p>
    <w:p w:rsidR="00B37105" w:rsidRDefault="009E5E09" w:rsidP="00734BA0">
      <w:pPr>
        <w:rPr>
          <w:rFonts w:ascii="Arial" w:hAnsi="Arial"/>
        </w:rPr>
      </w:pPr>
      <w:r>
        <w:rPr>
          <w:rFonts w:ascii="Arial" w:hAnsi="Arial"/>
        </w:rPr>
        <w:t>These targets have largely not been met. The WUENIC estimates for the third dose of pentavalent (DPT-HepB-Hib) vaccine have been 78% national for the past three years (2012 to 2014), and slightly down from 82% in 2011, with an estimated drop-out rate between the first and third doses of 12% nationally. However, according to data from the Joint Report Format, the country is close to meeting the district target, with 86% of districts having achieved 80% or greater coverage for three pentavalent doses.</w:t>
      </w:r>
      <w:r w:rsidR="00B37105">
        <w:rPr>
          <w:rFonts w:ascii="Arial" w:hAnsi="Arial"/>
        </w:rPr>
        <w:t xml:space="preserve"> There are no district-specific WUENIC estimates, however, and the JRF data are based largely on administrative data, so caution should be taken in reading these statistics. A coverage survey is currently underway, which should provide a more accurate picture of both national and district-level </w:t>
      </w:r>
      <w:r w:rsidR="00ED0BD7">
        <w:rPr>
          <w:rFonts w:ascii="Arial" w:hAnsi="Arial"/>
        </w:rPr>
        <w:t xml:space="preserve">immunization </w:t>
      </w:r>
      <w:r w:rsidR="00B37105">
        <w:rPr>
          <w:rFonts w:ascii="Arial" w:hAnsi="Arial"/>
        </w:rPr>
        <w:t>coverage.</w:t>
      </w:r>
    </w:p>
    <w:p w:rsidR="00B37105" w:rsidRPr="00B13A2F" w:rsidRDefault="00B37105" w:rsidP="00734BA0">
      <w:pPr>
        <w:rPr>
          <w:rFonts w:ascii="Arial" w:hAnsi="Arial"/>
          <w:color w:val="000000"/>
        </w:rPr>
      </w:pPr>
      <w:r w:rsidRPr="00B13A2F">
        <w:rPr>
          <w:rFonts w:ascii="Arial" w:hAnsi="Arial"/>
          <w:color w:val="000000"/>
        </w:rPr>
        <w:lastRenderedPageBreak/>
        <w:t>According to the 201</w:t>
      </w:r>
      <w:r w:rsidR="007A3008" w:rsidRPr="00B13A2F">
        <w:rPr>
          <w:rFonts w:ascii="Arial" w:hAnsi="Arial"/>
          <w:color w:val="000000"/>
        </w:rPr>
        <w:t>5</w:t>
      </w:r>
      <w:r w:rsidRPr="00B13A2F">
        <w:rPr>
          <w:rFonts w:ascii="Arial" w:hAnsi="Arial"/>
          <w:color w:val="000000"/>
        </w:rPr>
        <w:t xml:space="preserve"> WUENIC estimates, the 90% national coverage goal has been achieved for BCG (93%), but was 82% for three polio doses, 82% for measles, and </w:t>
      </w:r>
      <w:r w:rsidR="007A3008" w:rsidRPr="00B13A2F">
        <w:rPr>
          <w:rFonts w:ascii="Arial" w:hAnsi="Arial"/>
          <w:color w:val="000000"/>
        </w:rPr>
        <w:t>66</w:t>
      </w:r>
      <w:r w:rsidRPr="00B13A2F">
        <w:rPr>
          <w:rFonts w:ascii="Arial" w:hAnsi="Arial"/>
          <w:color w:val="000000"/>
        </w:rPr>
        <w:t xml:space="preserve">% for PCV3, which was introduced over </w:t>
      </w:r>
      <w:r w:rsidR="007C10B9">
        <w:rPr>
          <w:rFonts w:ascii="Arial" w:hAnsi="Arial"/>
          <w:color w:val="000000"/>
        </w:rPr>
        <w:t xml:space="preserve">a period of </w:t>
      </w:r>
      <w:r w:rsidRPr="00B13A2F">
        <w:rPr>
          <w:rFonts w:ascii="Arial" w:hAnsi="Arial"/>
          <w:color w:val="000000"/>
        </w:rPr>
        <w:t xml:space="preserve">a year in 2013 and 2014. </w:t>
      </w:r>
      <w:r w:rsidR="007A3008" w:rsidRPr="00B13A2F">
        <w:rPr>
          <w:rFonts w:ascii="Arial" w:hAnsi="Arial"/>
          <w:color w:val="000000"/>
        </w:rPr>
        <w:t>D</w:t>
      </w:r>
      <w:r w:rsidRPr="00B13A2F">
        <w:rPr>
          <w:rFonts w:ascii="Arial" w:hAnsi="Arial"/>
          <w:color w:val="000000"/>
        </w:rPr>
        <w:t xml:space="preserve">istrict-level </w:t>
      </w:r>
      <w:r w:rsidR="007A3008" w:rsidRPr="00B13A2F">
        <w:rPr>
          <w:rFonts w:ascii="Arial" w:hAnsi="Arial"/>
          <w:color w:val="000000"/>
        </w:rPr>
        <w:t>WUENIC estimates</w:t>
      </w:r>
      <w:r w:rsidRPr="00B13A2F">
        <w:rPr>
          <w:rFonts w:ascii="Arial" w:hAnsi="Arial"/>
          <w:color w:val="000000"/>
        </w:rPr>
        <w:t xml:space="preserve"> for these vaccines</w:t>
      </w:r>
      <w:r w:rsidR="007A3008" w:rsidRPr="00B13A2F">
        <w:rPr>
          <w:rFonts w:ascii="Arial" w:hAnsi="Arial"/>
          <w:color w:val="000000"/>
        </w:rPr>
        <w:t xml:space="preserve"> (to determine the percent of districts reaching 80% coverage) are not available.</w:t>
      </w:r>
      <w:r w:rsidRPr="00B13A2F">
        <w:rPr>
          <w:rFonts w:ascii="Arial" w:hAnsi="Arial"/>
          <w:color w:val="000000"/>
        </w:rPr>
        <w:t xml:space="preserve"> </w:t>
      </w:r>
    </w:p>
    <w:p w:rsidR="00B37105" w:rsidRDefault="00B37105" w:rsidP="00734BA0">
      <w:pPr>
        <w:rPr>
          <w:rFonts w:ascii="Arial" w:hAnsi="Arial"/>
        </w:rPr>
      </w:pPr>
      <w:r>
        <w:rPr>
          <w:rFonts w:ascii="Arial" w:hAnsi="Arial"/>
        </w:rPr>
        <w:t>An assessment of equity of immunization coverage by geographic areas, income level and other variable is currently taking place.</w:t>
      </w:r>
    </w:p>
    <w:p w:rsidR="004013B6" w:rsidRDefault="004013B6" w:rsidP="00734BA0">
      <w:pPr>
        <w:rPr>
          <w:rFonts w:ascii="Arial" w:hAnsi="Arial"/>
        </w:rPr>
      </w:pPr>
      <w:r>
        <w:rPr>
          <w:rFonts w:ascii="Arial" w:hAnsi="Arial"/>
        </w:rPr>
        <w:t>Key factors affecting UNEPI’s ability to reach its coverage targets include:</w:t>
      </w:r>
    </w:p>
    <w:p w:rsidR="00894DF4" w:rsidRDefault="004013B6" w:rsidP="004B1E23">
      <w:pPr>
        <w:pStyle w:val="ListParagraph"/>
        <w:numPr>
          <w:ilvl w:val="0"/>
          <w:numId w:val="41"/>
        </w:numPr>
        <w:contextualSpacing w:val="0"/>
        <w:rPr>
          <w:rFonts w:ascii="Arial" w:hAnsi="Arial"/>
        </w:rPr>
      </w:pPr>
      <w:r w:rsidRPr="00894DF4">
        <w:rPr>
          <w:rFonts w:ascii="Arial" w:hAnsi="Arial"/>
          <w:b/>
        </w:rPr>
        <w:t>Insufficient availability of static immunization services</w:t>
      </w:r>
      <w:r>
        <w:rPr>
          <w:rFonts w:ascii="Arial" w:hAnsi="Arial"/>
        </w:rPr>
        <w:t xml:space="preserve">: While national policy requires that all health facilities with refrigerators offer immunization services on a daily basis, the 2015 </w:t>
      </w:r>
      <w:r w:rsidR="004B1E23">
        <w:rPr>
          <w:rFonts w:ascii="Arial" w:hAnsi="Arial"/>
        </w:rPr>
        <w:t xml:space="preserve">Comprehensive </w:t>
      </w:r>
      <w:r>
        <w:rPr>
          <w:rFonts w:ascii="Arial" w:hAnsi="Arial"/>
        </w:rPr>
        <w:t>EPI</w:t>
      </w:r>
      <w:r w:rsidR="004B1E23">
        <w:rPr>
          <w:rFonts w:ascii="Arial" w:hAnsi="Arial"/>
        </w:rPr>
        <w:t>, surveillance and immunization financing</w:t>
      </w:r>
      <w:r>
        <w:rPr>
          <w:rFonts w:ascii="Arial" w:hAnsi="Arial"/>
        </w:rPr>
        <w:t xml:space="preserve"> review </w:t>
      </w:r>
      <w:r w:rsidR="004B1E23">
        <w:rPr>
          <w:rFonts w:ascii="Arial" w:hAnsi="Arial"/>
        </w:rPr>
        <w:t xml:space="preserve">(referred to as the “EPI review” in this document) </w:t>
      </w:r>
      <w:r>
        <w:rPr>
          <w:rFonts w:ascii="Arial" w:hAnsi="Arial"/>
        </w:rPr>
        <w:t>found that only 40% of the 55 health facilities visited provided EPI daily, 18% had sessions 2-3 times a week, and 58% provided only one session per week</w:t>
      </w:r>
      <w:r w:rsidR="004B1E23">
        <w:rPr>
          <w:rFonts w:ascii="Arial" w:hAnsi="Arial"/>
        </w:rPr>
        <w:t>. This is despite the fact that</w:t>
      </w:r>
      <w:r>
        <w:rPr>
          <w:rFonts w:ascii="Arial" w:hAnsi="Arial"/>
        </w:rPr>
        <w:t xml:space="preserve"> most facilities</w:t>
      </w:r>
      <w:r w:rsidR="004B1E23">
        <w:rPr>
          <w:rFonts w:ascii="Arial" w:hAnsi="Arial"/>
        </w:rPr>
        <w:t xml:space="preserve"> (88%), including hospitals and health centers levels II-IV, </w:t>
      </w:r>
      <w:r>
        <w:rPr>
          <w:rFonts w:ascii="Arial" w:hAnsi="Arial"/>
        </w:rPr>
        <w:t>had working refrigerators.</w:t>
      </w:r>
      <w:r w:rsidR="00894DF4">
        <w:rPr>
          <w:rFonts w:ascii="Arial" w:hAnsi="Arial"/>
        </w:rPr>
        <w:t xml:space="preserve"> A key factor is staff shortages, making it difficult for health clinics to provide daily immunization </w:t>
      </w:r>
      <w:r w:rsidR="004B1E23">
        <w:rPr>
          <w:rFonts w:ascii="Arial" w:hAnsi="Arial"/>
        </w:rPr>
        <w:t>along with</w:t>
      </w:r>
      <w:r w:rsidR="00894DF4">
        <w:rPr>
          <w:rFonts w:ascii="Arial" w:hAnsi="Arial"/>
        </w:rPr>
        <w:t xml:space="preserve"> all of the other services in the minimum health services package. One informant fears that adding more vaccines to the immunization schedule will make it even more difficult for health facilities to provide all vaccines on schedule. Another factor is spotty social mobilization, especially for routine immunization, affecting demand, especially for subsequent vaccine doses. </w:t>
      </w:r>
    </w:p>
    <w:p w:rsidR="002C65B5" w:rsidRDefault="00894DF4" w:rsidP="004B1E23">
      <w:pPr>
        <w:pStyle w:val="ListParagraph"/>
        <w:numPr>
          <w:ilvl w:val="0"/>
          <w:numId w:val="41"/>
        </w:numPr>
        <w:contextualSpacing w:val="0"/>
        <w:rPr>
          <w:rFonts w:ascii="Arial" w:hAnsi="Arial"/>
        </w:rPr>
      </w:pPr>
      <w:r w:rsidRPr="00894DF4">
        <w:rPr>
          <w:rFonts w:ascii="Arial" w:hAnsi="Arial"/>
          <w:b/>
        </w:rPr>
        <w:t>Insufficient outreach activities in many areas and inadequate implementation of Reach Every Community (REC) strategies</w:t>
      </w:r>
      <w:r>
        <w:rPr>
          <w:rFonts w:ascii="Arial" w:hAnsi="Arial"/>
        </w:rPr>
        <w:t xml:space="preserve">: Outreach activities were found to be irregular and insufficient in many </w:t>
      </w:r>
      <w:r w:rsidR="00A233ED">
        <w:rPr>
          <w:rFonts w:ascii="Arial" w:hAnsi="Arial"/>
        </w:rPr>
        <w:t>sites included in the EPI Review. The shortage of health workers is a key reason; many facilities have only two or so qualified personnel and thus conducting outreach activities (which usually require at least two staff</w:t>
      </w:r>
      <w:r w:rsidR="00ED0BD7">
        <w:rPr>
          <w:rFonts w:ascii="Arial" w:hAnsi="Arial"/>
        </w:rPr>
        <w:t xml:space="preserve"> members</w:t>
      </w:r>
      <w:r w:rsidR="00A233ED">
        <w:rPr>
          <w:rFonts w:ascii="Arial" w:hAnsi="Arial"/>
        </w:rPr>
        <w:t>) means closing down the clinic. The lack of transport and fuel due to insufficient PHC grant funds is anoth</w:t>
      </w:r>
      <w:r w:rsidR="004B1E23">
        <w:rPr>
          <w:rFonts w:ascii="Arial" w:hAnsi="Arial"/>
        </w:rPr>
        <w:t>er key factor. The 2015 GAVI Full Country E</w:t>
      </w:r>
      <w:r w:rsidR="00A233ED">
        <w:rPr>
          <w:rFonts w:ascii="Arial" w:hAnsi="Arial"/>
        </w:rPr>
        <w:t>valuation for Uganda found that only around 10% of Health Centres II had access to any vehicle for vaccination, while the rate was around 45% and 60% for Health Centres II and IV, respectively</w:t>
      </w:r>
      <w:r w:rsidR="004B1E23">
        <w:rPr>
          <w:rFonts w:ascii="Arial" w:hAnsi="Arial"/>
        </w:rPr>
        <w:t>.</w:t>
      </w:r>
      <w:r w:rsidR="004B1E23">
        <w:rPr>
          <w:rStyle w:val="FootnoteReference"/>
          <w:rFonts w:ascii="Arial" w:hAnsi="Arial"/>
        </w:rPr>
        <w:footnoteReference w:id="1"/>
      </w:r>
      <w:r w:rsidR="00A233ED">
        <w:rPr>
          <w:rFonts w:ascii="Arial" w:hAnsi="Arial"/>
        </w:rPr>
        <w:t xml:space="preserve"> The EPI Review found that only 20% of health facilities had REC microplans, as did only 8 out of 112 districts. Poor implementation of REC/RED is </w:t>
      </w:r>
      <w:r w:rsidR="002C65B5">
        <w:rPr>
          <w:rFonts w:ascii="Arial" w:hAnsi="Arial"/>
        </w:rPr>
        <w:t xml:space="preserve">reportedly </w:t>
      </w:r>
      <w:r w:rsidR="00A233ED">
        <w:rPr>
          <w:rFonts w:ascii="Arial" w:hAnsi="Arial"/>
        </w:rPr>
        <w:t xml:space="preserve">due to </w:t>
      </w:r>
      <w:r w:rsidR="002C65B5">
        <w:rPr>
          <w:rFonts w:ascii="Arial" w:hAnsi="Arial"/>
        </w:rPr>
        <w:t>insufficient training of health workers in microplanning, high health worker attrition rate</w:t>
      </w:r>
      <w:r w:rsidR="002654C3">
        <w:rPr>
          <w:rFonts w:ascii="Arial" w:hAnsi="Arial"/>
        </w:rPr>
        <w:t>s</w:t>
      </w:r>
      <w:r w:rsidR="002C65B5">
        <w:rPr>
          <w:rFonts w:ascii="Arial" w:hAnsi="Arial"/>
        </w:rPr>
        <w:t>, resulting in many workers not knowledgeable in microplanning, and a l</w:t>
      </w:r>
      <w:r w:rsidR="00A233ED">
        <w:rPr>
          <w:rFonts w:ascii="Arial" w:hAnsi="Arial"/>
        </w:rPr>
        <w:t>ack of funding</w:t>
      </w:r>
      <w:r w:rsidR="002C65B5">
        <w:rPr>
          <w:rFonts w:ascii="Arial" w:hAnsi="Arial"/>
        </w:rPr>
        <w:t xml:space="preserve"> to carry out microplanning activities.</w:t>
      </w:r>
    </w:p>
    <w:p w:rsidR="00CA7D81" w:rsidRDefault="002C65B5" w:rsidP="004B1E23">
      <w:pPr>
        <w:pStyle w:val="ListParagraph"/>
        <w:numPr>
          <w:ilvl w:val="0"/>
          <w:numId w:val="41"/>
        </w:numPr>
        <w:contextualSpacing w:val="0"/>
        <w:rPr>
          <w:rFonts w:ascii="Arial" w:hAnsi="Arial"/>
        </w:rPr>
      </w:pPr>
      <w:r w:rsidRPr="002C65B5">
        <w:rPr>
          <w:rFonts w:ascii="Arial" w:hAnsi="Arial"/>
          <w:b/>
        </w:rPr>
        <w:t>Vaccine shortages or stock</w:t>
      </w:r>
      <w:r w:rsidR="001F695A">
        <w:rPr>
          <w:rFonts w:ascii="Arial" w:hAnsi="Arial"/>
          <w:b/>
        </w:rPr>
        <w:t xml:space="preserve"> </w:t>
      </w:r>
      <w:r w:rsidRPr="002C65B5">
        <w:rPr>
          <w:rFonts w:ascii="Arial" w:hAnsi="Arial"/>
          <w:b/>
        </w:rPr>
        <w:t>outs at the local level</w:t>
      </w:r>
      <w:r>
        <w:rPr>
          <w:rFonts w:ascii="Arial" w:hAnsi="Arial"/>
        </w:rPr>
        <w:t xml:space="preserve">: </w:t>
      </w:r>
      <w:r w:rsidR="0018360B">
        <w:rPr>
          <w:rFonts w:ascii="Arial" w:hAnsi="Arial"/>
        </w:rPr>
        <w:t>The transition of responsibility for the storage and distribution of vaccines from UNEPI to the National Medical Stores (NMS)</w:t>
      </w:r>
      <w:r w:rsidR="00894DF4">
        <w:rPr>
          <w:rFonts w:ascii="Arial" w:hAnsi="Arial"/>
        </w:rPr>
        <w:t xml:space="preserve"> </w:t>
      </w:r>
      <w:r w:rsidR="0018360B">
        <w:rPr>
          <w:rFonts w:ascii="Arial" w:hAnsi="Arial"/>
        </w:rPr>
        <w:t>in 2012/13 has been completed, and after initial problems, the system was deemed “robust” since April 2014</w:t>
      </w:r>
      <w:r w:rsidR="002654C3">
        <w:rPr>
          <w:rStyle w:val="FootnoteReference"/>
          <w:rFonts w:ascii="Arial" w:hAnsi="Arial"/>
        </w:rPr>
        <w:footnoteReference w:id="2"/>
      </w:r>
      <w:r w:rsidR="0018360B">
        <w:rPr>
          <w:rFonts w:ascii="Arial" w:hAnsi="Arial"/>
        </w:rPr>
        <w:t xml:space="preserve"> and the time it takes for vaccines to reach all districts from the central level has been cut in half (to two weeks)</w:t>
      </w:r>
      <w:r w:rsidR="002654C3">
        <w:rPr>
          <w:rFonts w:ascii="Arial" w:hAnsi="Arial"/>
        </w:rPr>
        <w:t xml:space="preserve">. </w:t>
      </w:r>
      <w:r w:rsidR="0018360B">
        <w:rPr>
          <w:rFonts w:ascii="Arial" w:hAnsi="Arial"/>
        </w:rPr>
        <w:t xml:space="preserve">Nonetheless, 71% of health facilities and 96% of districts in the </w:t>
      </w:r>
      <w:r w:rsidR="002654C3">
        <w:rPr>
          <w:rFonts w:ascii="Arial" w:hAnsi="Arial"/>
        </w:rPr>
        <w:t xml:space="preserve">2015 </w:t>
      </w:r>
      <w:r w:rsidR="0018360B">
        <w:rPr>
          <w:rFonts w:ascii="Arial" w:hAnsi="Arial"/>
        </w:rPr>
        <w:t>EPI review reported at least one vaccine stock</w:t>
      </w:r>
      <w:r w:rsidR="001F695A">
        <w:rPr>
          <w:rFonts w:ascii="Arial" w:hAnsi="Arial"/>
        </w:rPr>
        <w:t xml:space="preserve"> </w:t>
      </w:r>
      <w:r w:rsidR="0018360B">
        <w:rPr>
          <w:rFonts w:ascii="Arial" w:hAnsi="Arial"/>
        </w:rPr>
        <w:t xml:space="preserve">out in the previous three months, especially PCV and BCG. While a global shortage of </w:t>
      </w:r>
      <w:r w:rsidR="004A203B">
        <w:rPr>
          <w:rFonts w:ascii="Arial" w:hAnsi="Arial"/>
        </w:rPr>
        <w:lastRenderedPageBreak/>
        <w:t xml:space="preserve">BCG </w:t>
      </w:r>
      <w:r w:rsidR="0018360B">
        <w:rPr>
          <w:rFonts w:ascii="Arial" w:hAnsi="Arial"/>
        </w:rPr>
        <w:t>contributed to the stock</w:t>
      </w:r>
      <w:r w:rsidR="001F695A">
        <w:rPr>
          <w:rFonts w:ascii="Arial" w:hAnsi="Arial"/>
        </w:rPr>
        <w:t xml:space="preserve"> </w:t>
      </w:r>
      <w:r w:rsidR="0018360B">
        <w:rPr>
          <w:rFonts w:ascii="Arial" w:hAnsi="Arial"/>
        </w:rPr>
        <w:t>outs of this vaccine, other contributing factors for local vaccine stock</w:t>
      </w:r>
      <w:r w:rsidR="001F695A">
        <w:rPr>
          <w:rFonts w:ascii="Arial" w:hAnsi="Arial"/>
        </w:rPr>
        <w:t xml:space="preserve"> </w:t>
      </w:r>
      <w:r w:rsidR="0018360B">
        <w:rPr>
          <w:rFonts w:ascii="Arial" w:hAnsi="Arial"/>
        </w:rPr>
        <w:t>outs are poor vaccine forecasting (especially denominator issues), lack of adequate cold storage space in some district stores, and</w:t>
      </w:r>
      <w:r w:rsidR="00CA7D81">
        <w:rPr>
          <w:rFonts w:ascii="Arial" w:hAnsi="Arial"/>
        </w:rPr>
        <w:t xml:space="preserve"> perhaps</w:t>
      </w:r>
      <w:r w:rsidR="0018360B">
        <w:rPr>
          <w:rFonts w:ascii="Arial" w:hAnsi="Arial"/>
        </w:rPr>
        <w:t xml:space="preserve"> most importantly</w:t>
      </w:r>
      <w:r w:rsidR="00CA7D81">
        <w:rPr>
          <w:rFonts w:ascii="Arial" w:hAnsi="Arial"/>
        </w:rPr>
        <w:t xml:space="preserve">, the continuing need for health facilities to collect vaccine from the district stores and their difficulty in doing so due to the lack of </w:t>
      </w:r>
      <w:r w:rsidR="00ED0BD7">
        <w:rPr>
          <w:rFonts w:ascii="Arial" w:hAnsi="Arial"/>
        </w:rPr>
        <w:t>vehicles</w:t>
      </w:r>
      <w:r w:rsidR="00CA7D81">
        <w:rPr>
          <w:rFonts w:ascii="Arial" w:hAnsi="Arial"/>
        </w:rPr>
        <w:t xml:space="preserve"> and fuel discussed above. “Last mile” vaccine delivery will </w:t>
      </w:r>
      <w:r w:rsidR="00ED0BD7">
        <w:rPr>
          <w:rFonts w:ascii="Arial" w:hAnsi="Arial"/>
        </w:rPr>
        <w:t xml:space="preserve">therefore </w:t>
      </w:r>
      <w:r w:rsidR="00CA7D81">
        <w:rPr>
          <w:rFonts w:ascii="Arial" w:hAnsi="Arial"/>
        </w:rPr>
        <w:t>require additional funding.</w:t>
      </w:r>
    </w:p>
    <w:p w:rsidR="00734BA0" w:rsidRDefault="00CA7D81" w:rsidP="004B1E23">
      <w:pPr>
        <w:pStyle w:val="ListParagraph"/>
        <w:numPr>
          <w:ilvl w:val="0"/>
          <w:numId w:val="41"/>
        </w:numPr>
        <w:contextualSpacing w:val="0"/>
        <w:rPr>
          <w:rFonts w:ascii="Arial" w:hAnsi="Arial"/>
        </w:rPr>
      </w:pPr>
      <w:r>
        <w:rPr>
          <w:rFonts w:ascii="Arial" w:hAnsi="Arial"/>
          <w:b/>
        </w:rPr>
        <w:t>Insufficient monitoring and supportive supervision</w:t>
      </w:r>
      <w:r w:rsidRPr="00CA7D81">
        <w:rPr>
          <w:rFonts w:ascii="Arial" w:hAnsi="Arial"/>
        </w:rPr>
        <w:t>:</w:t>
      </w:r>
      <w:r>
        <w:rPr>
          <w:rFonts w:ascii="Arial" w:hAnsi="Arial"/>
        </w:rPr>
        <w:t xml:space="preserve"> A supervision infrastructure is in place, with EPI Coordinators in each district and some sub-districts. However, regular supervision is lacking in many areas, due to insufficient funds and transportation to make supervisory visits. In addition, </w:t>
      </w:r>
      <w:r w:rsidR="0006192C">
        <w:rPr>
          <w:rFonts w:ascii="Arial" w:hAnsi="Arial"/>
        </w:rPr>
        <w:t xml:space="preserve">the EPI review found that </w:t>
      </w:r>
      <w:r>
        <w:rPr>
          <w:rFonts w:ascii="Arial" w:hAnsi="Arial"/>
        </w:rPr>
        <w:t xml:space="preserve">defaulting tracking was </w:t>
      </w:r>
      <w:r w:rsidR="0006192C">
        <w:rPr>
          <w:rFonts w:ascii="Arial" w:hAnsi="Arial"/>
        </w:rPr>
        <w:t>occurring regularly</w:t>
      </w:r>
      <w:r>
        <w:rPr>
          <w:rFonts w:ascii="Arial" w:hAnsi="Arial"/>
        </w:rPr>
        <w:t xml:space="preserve"> in </w:t>
      </w:r>
      <w:r w:rsidR="0006192C">
        <w:rPr>
          <w:rFonts w:ascii="Arial" w:hAnsi="Arial"/>
        </w:rPr>
        <w:t xml:space="preserve">only </w:t>
      </w:r>
      <w:r>
        <w:rPr>
          <w:rFonts w:ascii="Arial" w:hAnsi="Arial"/>
        </w:rPr>
        <w:t>38% of health facilities. However, the situation is improving with the establishment of Regional Supportive Supervision Teams</w:t>
      </w:r>
      <w:r w:rsidR="00ED0BD7">
        <w:rPr>
          <w:rFonts w:ascii="Arial" w:hAnsi="Arial"/>
        </w:rPr>
        <w:t xml:space="preserve">, starting in 2015. The teams, described in the last section of this report, are already operating in 11 of the country’s 14 regions, with funding from the polio program (and </w:t>
      </w:r>
      <w:r w:rsidR="00267F0A">
        <w:rPr>
          <w:rFonts w:ascii="Arial" w:hAnsi="Arial"/>
        </w:rPr>
        <w:t xml:space="preserve">the </w:t>
      </w:r>
      <w:r w:rsidR="00ED0BD7">
        <w:rPr>
          <w:rFonts w:ascii="Arial" w:hAnsi="Arial"/>
        </w:rPr>
        <w:t xml:space="preserve">HSS </w:t>
      </w:r>
      <w:r w:rsidR="00267F0A">
        <w:rPr>
          <w:rFonts w:ascii="Arial" w:hAnsi="Arial"/>
        </w:rPr>
        <w:t xml:space="preserve">grant </w:t>
      </w:r>
      <w:r w:rsidR="00ED0BD7">
        <w:rPr>
          <w:rFonts w:ascii="Arial" w:hAnsi="Arial"/>
        </w:rPr>
        <w:t>in the future).</w:t>
      </w:r>
    </w:p>
    <w:p w:rsidR="00734BA0" w:rsidRDefault="00ED0BD7" w:rsidP="00F96B80">
      <w:pPr>
        <w:rPr>
          <w:rFonts w:ascii="Arial" w:hAnsi="Arial"/>
        </w:rPr>
      </w:pPr>
      <w:r>
        <w:rPr>
          <w:rFonts w:ascii="Arial" w:hAnsi="Arial"/>
        </w:rPr>
        <w:t>The EPI Revitalization Plan</w:t>
      </w:r>
      <w:r w:rsidR="00F96B80">
        <w:rPr>
          <w:rFonts w:ascii="Arial" w:hAnsi="Arial"/>
        </w:rPr>
        <w:t>,</w:t>
      </w:r>
      <w:r>
        <w:rPr>
          <w:rFonts w:ascii="Arial" w:hAnsi="Arial"/>
        </w:rPr>
        <w:t xml:space="preserve"> enacted by the Government from 2012 to 2014 </w:t>
      </w:r>
      <w:r w:rsidR="00F96B80" w:rsidRPr="00F96B80">
        <w:rPr>
          <w:rFonts w:ascii="Arial" w:hAnsi="Arial"/>
        </w:rPr>
        <w:t>in response to declining or plateauing coverage rates and disease outbreaks</w:t>
      </w:r>
      <w:r w:rsidR="00F96B80">
        <w:rPr>
          <w:rFonts w:ascii="Arial" w:hAnsi="Arial"/>
        </w:rPr>
        <w:t xml:space="preserve">, </w:t>
      </w:r>
      <w:r>
        <w:rPr>
          <w:rFonts w:ascii="Arial" w:hAnsi="Arial"/>
        </w:rPr>
        <w:t>has demonstrated that many of these issues and bottlenecks can be resolved with an infusion of funds and attention</w:t>
      </w:r>
      <w:r w:rsidR="00F96B80">
        <w:rPr>
          <w:rFonts w:ascii="Arial" w:hAnsi="Arial"/>
        </w:rPr>
        <w:t xml:space="preserve">. With funding from many partners, the plan focused on improving coverage in poor-performing districts by providing the means with which to strengthen social mobilization, outreach activities, vaccine collection from district stores, supervision and the like (see description in the last section). </w:t>
      </w:r>
      <w:r w:rsidR="00E72094">
        <w:rPr>
          <w:rFonts w:ascii="Arial" w:hAnsi="Arial"/>
        </w:rPr>
        <w:t xml:space="preserve">Administrative coverage data show an increase in coverage between 2010 and 2015, which many attribute in large measure to the plan </w:t>
      </w:r>
      <w:r w:rsidR="00F96B80">
        <w:rPr>
          <w:rFonts w:ascii="Arial" w:hAnsi="Arial"/>
        </w:rPr>
        <w:t xml:space="preserve">(see </w:t>
      </w:r>
      <w:r w:rsidR="00634879">
        <w:rPr>
          <w:rFonts w:ascii="Arial" w:hAnsi="Arial"/>
        </w:rPr>
        <w:t xml:space="preserve">maps in </w:t>
      </w:r>
      <w:r w:rsidR="00F96B80">
        <w:rPr>
          <w:rFonts w:ascii="Arial" w:hAnsi="Arial"/>
        </w:rPr>
        <w:t>annex).</w:t>
      </w:r>
      <w:r w:rsidR="00E72094">
        <w:rPr>
          <w:rStyle w:val="FootnoteReference"/>
          <w:rFonts w:ascii="Arial" w:hAnsi="Arial"/>
        </w:rPr>
        <w:footnoteReference w:id="3"/>
      </w:r>
    </w:p>
    <w:p w:rsidR="0098010F" w:rsidRPr="00E6488A" w:rsidRDefault="0098010F" w:rsidP="0098010F">
      <w:pPr>
        <w:pStyle w:val="ListParagraph"/>
        <w:ind w:left="0"/>
        <w:rPr>
          <w:rFonts w:ascii="Arial" w:hAnsi="Arial"/>
        </w:rPr>
      </w:pPr>
    </w:p>
    <w:p w:rsidR="00960450" w:rsidRPr="00960450" w:rsidRDefault="00960450" w:rsidP="00960450">
      <w:pPr>
        <w:rPr>
          <w:rFonts w:ascii="Arial" w:hAnsi="Arial"/>
        </w:rPr>
        <w:sectPr w:rsidR="00960450" w:rsidRPr="00960450" w:rsidSect="00734BA0">
          <w:type w:val="continuous"/>
          <w:pgSz w:w="11906" w:h="16838"/>
          <w:pgMar w:top="1440" w:right="1440" w:bottom="1440" w:left="1440" w:header="709" w:footer="709" w:gutter="0"/>
          <w:cols w:space="708"/>
          <w:docGrid w:linePitch="360"/>
        </w:sectPr>
      </w:pPr>
    </w:p>
    <w:p w:rsidR="006F219F" w:rsidRDefault="006F219F" w:rsidP="006F219F">
      <w:pPr>
        <w:rPr>
          <w:rFonts w:ascii="Arial" w:hAnsi="Arial"/>
          <w:b/>
          <w:sz w:val="24"/>
        </w:rPr>
      </w:pPr>
      <w:r>
        <w:rPr>
          <w:rFonts w:ascii="Arial" w:hAnsi="Arial"/>
          <w:b/>
          <w:sz w:val="24"/>
        </w:rPr>
        <w:lastRenderedPageBreak/>
        <w:t>ANNEX: Country immunization profile</w:t>
      </w:r>
    </w:p>
    <w:p w:rsidR="006F219F" w:rsidRPr="00D151A4" w:rsidRDefault="001F695A" w:rsidP="006F219F">
      <w:pPr>
        <w:pStyle w:val="ListParagraph"/>
        <w:numPr>
          <w:ilvl w:val="0"/>
          <w:numId w:val="22"/>
        </w:numPr>
        <w:rPr>
          <w:b/>
          <w:bCs/>
        </w:rPr>
      </w:pPr>
      <w:r>
        <w:rPr>
          <w:b/>
          <w:bCs/>
        </w:rPr>
        <w:t>Immunization coverage and e</w:t>
      </w:r>
      <w:r w:rsidR="006F219F" w:rsidRPr="00D151A4">
        <w:rPr>
          <w:b/>
          <w:bCs/>
        </w:rPr>
        <w:t>quity</w:t>
      </w:r>
    </w:p>
    <w:p w:rsidR="007D3409" w:rsidRDefault="00AB3F20" w:rsidP="007D3409">
      <w:pPr>
        <w:pStyle w:val="Caption"/>
        <w:jc w:val="center"/>
        <w:rPr>
          <w:sz w:val="22"/>
        </w:rPr>
      </w:pPr>
      <w:r>
        <w:rPr>
          <w:bCs w:val="0"/>
          <w:noProof/>
          <w:sz w:val="22"/>
          <w:lang w:eastAsia="en-GB"/>
        </w:rPr>
        <w:drawing>
          <wp:inline distT="0" distB="0" distL="0" distR="0">
            <wp:extent cx="3890645" cy="2837815"/>
            <wp:effectExtent l="0" t="0" r="0" b="635"/>
            <wp:docPr id="1" name="Picture 1" descr="uga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gan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0645" cy="2837815"/>
                    </a:xfrm>
                    <a:prstGeom prst="rect">
                      <a:avLst/>
                    </a:prstGeom>
                    <a:noFill/>
                    <a:ln>
                      <a:noFill/>
                    </a:ln>
                  </pic:spPr>
                </pic:pic>
              </a:graphicData>
            </a:graphic>
          </wp:inline>
        </w:drawing>
      </w:r>
    </w:p>
    <w:p w:rsidR="00E6488A" w:rsidRPr="00BE3AFD" w:rsidRDefault="00AB3F20" w:rsidP="00BE3AFD">
      <w:pPr>
        <w:pStyle w:val="Caption"/>
        <w:jc w:val="center"/>
        <w:rPr>
          <w:sz w:val="22"/>
        </w:rPr>
      </w:pPr>
      <w:r>
        <w:rPr>
          <w:noProof/>
          <w:lang w:eastAsia="en-GB"/>
        </w:rPr>
        <w:drawing>
          <wp:inline distT="0" distB="0" distL="0" distR="0">
            <wp:extent cx="3554095" cy="819785"/>
            <wp:effectExtent l="0" t="0" r="8255" b="0"/>
            <wp:docPr id="2" name="Picture 7" descr="D:\data\GVAP Reports\2016\3. Scrore Cards 2016\jan visualizations DTP3 per country\Punch cards per country\_legend-punch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ata\GVAP Reports\2016\3. Scrore Cards 2016\jan visualizations DTP3 per country\Punch cards per country\_legend-punchcar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54095" cy="819785"/>
                    </a:xfrm>
                    <a:prstGeom prst="rect">
                      <a:avLst/>
                    </a:prstGeom>
                    <a:noFill/>
                    <a:ln>
                      <a:noFill/>
                    </a:ln>
                  </pic:spPr>
                </pic:pic>
              </a:graphicData>
            </a:graphic>
          </wp:inline>
        </w:drawing>
      </w:r>
    </w:p>
    <w:sectPr w:rsidR="00E6488A" w:rsidRPr="00BE3AFD" w:rsidSect="00634879">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F8D" w:rsidRDefault="00785F8D">
      <w:pPr>
        <w:spacing w:after="0" w:line="240" w:lineRule="auto"/>
      </w:pPr>
      <w:r>
        <w:separator/>
      </w:r>
    </w:p>
  </w:endnote>
  <w:endnote w:type="continuationSeparator" w:id="0">
    <w:p w:rsidR="00785F8D" w:rsidRDefault="00785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488A" w:rsidRDefault="00E6488A">
    <w:pPr>
      <w:pStyle w:val="Footer"/>
      <w:jc w:val="center"/>
    </w:pPr>
    <w:r>
      <w:fldChar w:fldCharType="begin"/>
    </w:r>
    <w:r>
      <w:instrText xml:space="preserve"> PAGE   \* MERGEFORMAT </w:instrText>
    </w:r>
    <w:r>
      <w:fldChar w:fldCharType="separate"/>
    </w:r>
    <w:r w:rsidR="00AB3F20">
      <w:rPr>
        <w:noProof/>
      </w:rPr>
      <w:t>1</w:t>
    </w:r>
    <w:r>
      <w:rPr>
        <w:noProof/>
      </w:rPr>
      <w:fldChar w:fldCharType="end"/>
    </w:r>
  </w:p>
  <w:p w:rsidR="00E6488A" w:rsidRDefault="00E6488A" w:rsidP="00641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F8D" w:rsidRDefault="00785F8D">
      <w:pPr>
        <w:spacing w:after="0" w:line="240" w:lineRule="auto"/>
      </w:pPr>
      <w:r>
        <w:separator/>
      </w:r>
    </w:p>
  </w:footnote>
  <w:footnote w:type="continuationSeparator" w:id="0">
    <w:p w:rsidR="00785F8D" w:rsidRDefault="00785F8D">
      <w:pPr>
        <w:spacing w:after="0" w:line="240" w:lineRule="auto"/>
      </w:pPr>
      <w:r>
        <w:continuationSeparator/>
      </w:r>
    </w:p>
  </w:footnote>
  <w:footnote w:id="1">
    <w:p w:rsidR="004B1E23" w:rsidRPr="004B1E23" w:rsidRDefault="004B1E23">
      <w:pPr>
        <w:pStyle w:val="FootnoteText"/>
      </w:pPr>
      <w:r>
        <w:rPr>
          <w:rStyle w:val="FootnoteReference"/>
        </w:rPr>
        <w:footnoteRef/>
      </w:r>
      <w:r>
        <w:t xml:space="preserve"> GAVI Full Country Evaluation, 2015 annual dissemination report, Uganda report.</w:t>
      </w:r>
    </w:p>
  </w:footnote>
  <w:footnote w:id="2">
    <w:p w:rsidR="002654C3" w:rsidRPr="002654C3" w:rsidRDefault="002654C3">
      <w:pPr>
        <w:pStyle w:val="FootnoteText"/>
      </w:pPr>
      <w:r>
        <w:rPr>
          <w:rStyle w:val="FootnoteReference"/>
        </w:rPr>
        <w:footnoteRef/>
      </w:r>
      <w:r>
        <w:t xml:space="preserve"> cMYP.</w:t>
      </w:r>
    </w:p>
  </w:footnote>
  <w:footnote w:id="3">
    <w:p w:rsidR="00E72094" w:rsidRPr="00E72094" w:rsidRDefault="00E72094">
      <w:pPr>
        <w:pStyle w:val="FootnoteText"/>
      </w:pPr>
      <w:r>
        <w:rPr>
          <w:rStyle w:val="FootnoteReference"/>
        </w:rPr>
        <w:footnoteRef/>
      </w:r>
      <w:r>
        <w:t xml:space="preserve"> Note that the WUENIC estimates for those years to not reflect these reported increases in coverage over this period and the WUENIC estimates are currently being challenged.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2BCA"/>
    <w:multiLevelType w:val="hybridMultilevel"/>
    <w:tmpl w:val="60F298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DD3098"/>
    <w:multiLevelType w:val="hybridMultilevel"/>
    <w:tmpl w:val="F3E8D5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FC0D88"/>
    <w:multiLevelType w:val="hybridMultilevel"/>
    <w:tmpl w:val="92B475DA"/>
    <w:lvl w:ilvl="0" w:tplc="04090005">
      <w:start w:val="1"/>
      <w:numFmt w:val="bullet"/>
      <w:lvlText w:val=""/>
      <w:lvlJc w:val="left"/>
      <w:pPr>
        <w:ind w:left="720" w:hanging="360"/>
      </w:pPr>
      <w:rPr>
        <w:rFonts w:ascii="Wingdings" w:hAnsi="Wingding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8F710BA"/>
    <w:multiLevelType w:val="hybridMultilevel"/>
    <w:tmpl w:val="D8001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9FF2851"/>
    <w:multiLevelType w:val="hybridMultilevel"/>
    <w:tmpl w:val="EB5A7962"/>
    <w:lvl w:ilvl="0" w:tplc="04090019">
      <w:start w:val="2"/>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BFE4796"/>
    <w:multiLevelType w:val="hybridMultilevel"/>
    <w:tmpl w:val="2D6047F6"/>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15201945"/>
    <w:multiLevelType w:val="hybridMultilevel"/>
    <w:tmpl w:val="EE3E514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179F56FE"/>
    <w:multiLevelType w:val="hybridMultilevel"/>
    <w:tmpl w:val="4EFCB3F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1EE73830"/>
    <w:multiLevelType w:val="hybridMultilevel"/>
    <w:tmpl w:val="95BE3878"/>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nsid w:val="20910D11"/>
    <w:multiLevelType w:val="hybridMultilevel"/>
    <w:tmpl w:val="ECF662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A3E5941"/>
    <w:multiLevelType w:val="multilevel"/>
    <w:tmpl w:val="A5A40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AE3068E"/>
    <w:multiLevelType w:val="multilevel"/>
    <w:tmpl w:val="417A48B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B3A0448"/>
    <w:multiLevelType w:val="hybridMultilevel"/>
    <w:tmpl w:val="BBAC69A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3055F6"/>
    <w:multiLevelType w:val="hybridMultilevel"/>
    <w:tmpl w:val="1E0AADD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5309A"/>
    <w:multiLevelType w:val="hybridMultilevel"/>
    <w:tmpl w:val="6C1CFB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36F6781"/>
    <w:multiLevelType w:val="multilevel"/>
    <w:tmpl w:val="12F245C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4851C67"/>
    <w:multiLevelType w:val="hybridMultilevel"/>
    <w:tmpl w:val="FA10C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D5180B"/>
    <w:multiLevelType w:val="hybridMultilevel"/>
    <w:tmpl w:val="AAA283B2"/>
    <w:lvl w:ilvl="0" w:tplc="10421B90">
      <w:numFmt w:val="bullet"/>
      <w:lvlText w:val="-"/>
      <w:lvlJc w:val="left"/>
      <w:pPr>
        <w:ind w:left="1080" w:hanging="360"/>
      </w:pPr>
      <w:rPr>
        <w:rFonts w:ascii="Arial" w:eastAsia="Calibri" w:hAnsi="Arial" w:cs="Aria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9AB2663"/>
    <w:multiLevelType w:val="multilevel"/>
    <w:tmpl w:val="A5E0EF8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A9B0E47"/>
    <w:multiLevelType w:val="hybridMultilevel"/>
    <w:tmpl w:val="F146A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nsid w:val="3AA214CF"/>
    <w:multiLevelType w:val="hybridMultilevel"/>
    <w:tmpl w:val="DBBEA92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C251F34"/>
    <w:multiLevelType w:val="hybridMultilevel"/>
    <w:tmpl w:val="77B83EF6"/>
    <w:lvl w:ilvl="0" w:tplc="CC78D78A">
      <w:start w:val="1"/>
      <w:numFmt w:val="lowerLetter"/>
      <w:lvlText w:val="%1."/>
      <w:lvlJc w:val="left"/>
      <w:pPr>
        <w:tabs>
          <w:tab w:val="num" w:pos="720"/>
        </w:tabs>
        <w:ind w:left="720" w:hanging="360"/>
      </w:pPr>
    </w:lvl>
    <w:lvl w:ilvl="1" w:tplc="65FE4AFC">
      <w:start w:val="835"/>
      <w:numFmt w:val="bullet"/>
      <w:lvlText w:val="–"/>
      <w:lvlJc w:val="left"/>
      <w:pPr>
        <w:tabs>
          <w:tab w:val="num" w:pos="1440"/>
        </w:tabs>
        <w:ind w:left="1440" w:hanging="360"/>
      </w:pPr>
      <w:rPr>
        <w:rFonts w:ascii="Arial" w:hAnsi="Arial" w:hint="default"/>
      </w:rPr>
    </w:lvl>
    <w:lvl w:ilvl="2" w:tplc="08F4FAD2">
      <w:start w:val="835"/>
      <w:numFmt w:val="bullet"/>
      <w:lvlText w:val="•"/>
      <w:lvlJc w:val="left"/>
      <w:pPr>
        <w:tabs>
          <w:tab w:val="num" w:pos="2160"/>
        </w:tabs>
        <w:ind w:left="2160" w:hanging="360"/>
      </w:pPr>
      <w:rPr>
        <w:rFonts w:ascii="Arial" w:hAnsi="Arial" w:hint="default"/>
      </w:rPr>
    </w:lvl>
    <w:lvl w:ilvl="3" w:tplc="F1E43FCC" w:tentative="1">
      <w:start w:val="1"/>
      <w:numFmt w:val="lowerLetter"/>
      <w:lvlText w:val="%4."/>
      <w:lvlJc w:val="left"/>
      <w:pPr>
        <w:tabs>
          <w:tab w:val="num" w:pos="2880"/>
        </w:tabs>
        <w:ind w:left="2880" w:hanging="360"/>
      </w:pPr>
    </w:lvl>
    <w:lvl w:ilvl="4" w:tplc="EF30CAAE" w:tentative="1">
      <w:start w:val="1"/>
      <w:numFmt w:val="lowerLetter"/>
      <w:lvlText w:val="%5."/>
      <w:lvlJc w:val="left"/>
      <w:pPr>
        <w:tabs>
          <w:tab w:val="num" w:pos="3600"/>
        </w:tabs>
        <w:ind w:left="3600" w:hanging="360"/>
      </w:pPr>
    </w:lvl>
    <w:lvl w:ilvl="5" w:tplc="1D3C0E56" w:tentative="1">
      <w:start w:val="1"/>
      <w:numFmt w:val="lowerLetter"/>
      <w:lvlText w:val="%6."/>
      <w:lvlJc w:val="left"/>
      <w:pPr>
        <w:tabs>
          <w:tab w:val="num" w:pos="4320"/>
        </w:tabs>
        <w:ind w:left="4320" w:hanging="360"/>
      </w:pPr>
    </w:lvl>
    <w:lvl w:ilvl="6" w:tplc="347E5004" w:tentative="1">
      <w:start w:val="1"/>
      <w:numFmt w:val="lowerLetter"/>
      <w:lvlText w:val="%7."/>
      <w:lvlJc w:val="left"/>
      <w:pPr>
        <w:tabs>
          <w:tab w:val="num" w:pos="5040"/>
        </w:tabs>
        <w:ind w:left="5040" w:hanging="360"/>
      </w:pPr>
    </w:lvl>
    <w:lvl w:ilvl="7" w:tplc="1C181A00" w:tentative="1">
      <w:start w:val="1"/>
      <w:numFmt w:val="lowerLetter"/>
      <w:lvlText w:val="%8."/>
      <w:lvlJc w:val="left"/>
      <w:pPr>
        <w:tabs>
          <w:tab w:val="num" w:pos="5760"/>
        </w:tabs>
        <w:ind w:left="5760" w:hanging="360"/>
      </w:pPr>
    </w:lvl>
    <w:lvl w:ilvl="8" w:tplc="C89A567E" w:tentative="1">
      <w:start w:val="1"/>
      <w:numFmt w:val="lowerLetter"/>
      <w:lvlText w:val="%9."/>
      <w:lvlJc w:val="left"/>
      <w:pPr>
        <w:tabs>
          <w:tab w:val="num" w:pos="6480"/>
        </w:tabs>
        <w:ind w:left="6480" w:hanging="360"/>
      </w:pPr>
    </w:lvl>
  </w:abstractNum>
  <w:abstractNum w:abstractNumId="22">
    <w:nsid w:val="4B960D6B"/>
    <w:multiLevelType w:val="hybridMultilevel"/>
    <w:tmpl w:val="F8A2219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10A3FD3"/>
    <w:multiLevelType w:val="hybridMultilevel"/>
    <w:tmpl w:val="60D2E280"/>
    <w:lvl w:ilvl="0" w:tplc="F75E9D44">
      <w:start w:val="1"/>
      <w:numFmt w:val="lowerLetter"/>
      <w:lvlText w:val="%1."/>
      <w:lvlJc w:val="left"/>
      <w:pPr>
        <w:tabs>
          <w:tab w:val="num" w:pos="720"/>
        </w:tabs>
        <w:ind w:left="720" w:hanging="360"/>
      </w:pPr>
    </w:lvl>
    <w:lvl w:ilvl="1" w:tplc="C09222A4" w:tentative="1">
      <w:start w:val="1"/>
      <w:numFmt w:val="lowerLetter"/>
      <w:lvlText w:val="%2."/>
      <w:lvlJc w:val="left"/>
      <w:pPr>
        <w:tabs>
          <w:tab w:val="num" w:pos="1440"/>
        </w:tabs>
        <w:ind w:left="1440" w:hanging="360"/>
      </w:pPr>
    </w:lvl>
    <w:lvl w:ilvl="2" w:tplc="62F4B0F6" w:tentative="1">
      <w:start w:val="1"/>
      <w:numFmt w:val="lowerLetter"/>
      <w:lvlText w:val="%3."/>
      <w:lvlJc w:val="left"/>
      <w:pPr>
        <w:tabs>
          <w:tab w:val="num" w:pos="2160"/>
        </w:tabs>
        <w:ind w:left="2160" w:hanging="360"/>
      </w:pPr>
    </w:lvl>
    <w:lvl w:ilvl="3" w:tplc="4E0CA842" w:tentative="1">
      <w:start w:val="1"/>
      <w:numFmt w:val="lowerLetter"/>
      <w:lvlText w:val="%4."/>
      <w:lvlJc w:val="left"/>
      <w:pPr>
        <w:tabs>
          <w:tab w:val="num" w:pos="2880"/>
        </w:tabs>
        <w:ind w:left="2880" w:hanging="360"/>
      </w:pPr>
    </w:lvl>
    <w:lvl w:ilvl="4" w:tplc="7F66CE10" w:tentative="1">
      <w:start w:val="1"/>
      <w:numFmt w:val="lowerLetter"/>
      <w:lvlText w:val="%5."/>
      <w:lvlJc w:val="left"/>
      <w:pPr>
        <w:tabs>
          <w:tab w:val="num" w:pos="3600"/>
        </w:tabs>
        <w:ind w:left="3600" w:hanging="360"/>
      </w:pPr>
    </w:lvl>
    <w:lvl w:ilvl="5" w:tplc="C7246AA8" w:tentative="1">
      <w:start w:val="1"/>
      <w:numFmt w:val="lowerLetter"/>
      <w:lvlText w:val="%6."/>
      <w:lvlJc w:val="left"/>
      <w:pPr>
        <w:tabs>
          <w:tab w:val="num" w:pos="4320"/>
        </w:tabs>
        <w:ind w:left="4320" w:hanging="360"/>
      </w:pPr>
    </w:lvl>
    <w:lvl w:ilvl="6" w:tplc="31D4196E" w:tentative="1">
      <w:start w:val="1"/>
      <w:numFmt w:val="lowerLetter"/>
      <w:lvlText w:val="%7."/>
      <w:lvlJc w:val="left"/>
      <w:pPr>
        <w:tabs>
          <w:tab w:val="num" w:pos="5040"/>
        </w:tabs>
        <w:ind w:left="5040" w:hanging="360"/>
      </w:pPr>
    </w:lvl>
    <w:lvl w:ilvl="7" w:tplc="FBCED516" w:tentative="1">
      <w:start w:val="1"/>
      <w:numFmt w:val="lowerLetter"/>
      <w:lvlText w:val="%8."/>
      <w:lvlJc w:val="left"/>
      <w:pPr>
        <w:tabs>
          <w:tab w:val="num" w:pos="5760"/>
        </w:tabs>
        <w:ind w:left="5760" w:hanging="360"/>
      </w:pPr>
    </w:lvl>
    <w:lvl w:ilvl="8" w:tplc="2864C6DA" w:tentative="1">
      <w:start w:val="1"/>
      <w:numFmt w:val="lowerLetter"/>
      <w:lvlText w:val="%9."/>
      <w:lvlJc w:val="left"/>
      <w:pPr>
        <w:tabs>
          <w:tab w:val="num" w:pos="6480"/>
        </w:tabs>
        <w:ind w:left="6480" w:hanging="360"/>
      </w:pPr>
    </w:lvl>
  </w:abstractNum>
  <w:abstractNum w:abstractNumId="24">
    <w:nsid w:val="514B7582"/>
    <w:multiLevelType w:val="hybridMultilevel"/>
    <w:tmpl w:val="9AFEA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27F13EF"/>
    <w:multiLevelType w:val="multilevel"/>
    <w:tmpl w:val="F32470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82970CC"/>
    <w:multiLevelType w:val="hybridMultilevel"/>
    <w:tmpl w:val="334C477E"/>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5B050937"/>
    <w:multiLevelType w:val="hybridMultilevel"/>
    <w:tmpl w:val="7004DC1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nsid w:val="612109B1"/>
    <w:multiLevelType w:val="hybridMultilevel"/>
    <w:tmpl w:val="CC8E04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344C4D"/>
    <w:multiLevelType w:val="multilevel"/>
    <w:tmpl w:val="D122AE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64D05912"/>
    <w:multiLevelType w:val="hybridMultilevel"/>
    <w:tmpl w:val="8CCE2F44"/>
    <w:lvl w:ilvl="0" w:tplc="AC7C927C">
      <w:start w:val="1"/>
      <w:numFmt w:val="lowerLetter"/>
      <w:lvlText w:val="%1."/>
      <w:lvlJc w:val="left"/>
      <w:pPr>
        <w:tabs>
          <w:tab w:val="num" w:pos="720"/>
        </w:tabs>
        <w:ind w:left="720" w:hanging="360"/>
      </w:pPr>
    </w:lvl>
    <w:lvl w:ilvl="1" w:tplc="491AC57C" w:tentative="1">
      <w:start w:val="1"/>
      <w:numFmt w:val="lowerLetter"/>
      <w:lvlText w:val="%2."/>
      <w:lvlJc w:val="left"/>
      <w:pPr>
        <w:tabs>
          <w:tab w:val="num" w:pos="1440"/>
        </w:tabs>
        <w:ind w:left="1440" w:hanging="360"/>
      </w:pPr>
    </w:lvl>
    <w:lvl w:ilvl="2" w:tplc="CA2EF9FC" w:tentative="1">
      <w:start w:val="1"/>
      <w:numFmt w:val="lowerLetter"/>
      <w:lvlText w:val="%3."/>
      <w:lvlJc w:val="left"/>
      <w:pPr>
        <w:tabs>
          <w:tab w:val="num" w:pos="2160"/>
        </w:tabs>
        <w:ind w:left="2160" w:hanging="360"/>
      </w:pPr>
    </w:lvl>
    <w:lvl w:ilvl="3" w:tplc="E204790E" w:tentative="1">
      <w:start w:val="1"/>
      <w:numFmt w:val="lowerLetter"/>
      <w:lvlText w:val="%4."/>
      <w:lvlJc w:val="left"/>
      <w:pPr>
        <w:tabs>
          <w:tab w:val="num" w:pos="2880"/>
        </w:tabs>
        <w:ind w:left="2880" w:hanging="360"/>
      </w:pPr>
    </w:lvl>
    <w:lvl w:ilvl="4" w:tplc="8FE4B9D0" w:tentative="1">
      <w:start w:val="1"/>
      <w:numFmt w:val="lowerLetter"/>
      <w:lvlText w:val="%5."/>
      <w:lvlJc w:val="left"/>
      <w:pPr>
        <w:tabs>
          <w:tab w:val="num" w:pos="3600"/>
        </w:tabs>
        <w:ind w:left="3600" w:hanging="360"/>
      </w:pPr>
    </w:lvl>
    <w:lvl w:ilvl="5" w:tplc="0416FB90" w:tentative="1">
      <w:start w:val="1"/>
      <w:numFmt w:val="lowerLetter"/>
      <w:lvlText w:val="%6."/>
      <w:lvlJc w:val="left"/>
      <w:pPr>
        <w:tabs>
          <w:tab w:val="num" w:pos="4320"/>
        </w:tabs>
        <w:ind w:left="4320" w:hanging="360"/>
      </w:pPr>
    </w:lvl>
    <w:lvl w:ilvl="6" w:tplc="8EF4CA38" w:tentative="1">
      <w:start w:val="1"/>
      <w:numFmt w:val="lowerLetter"/>
      <w:lvlText w:val="%7."/>
      <w:lvlJc w:val="left"/>
      <w:pPr>
        <w:tabs>
          <w:tab w:val="num" w:pos="5040"/>
        </w:tabs>
        <w:ind w:left="5040" w:hanging="360"/>
      </w:pPr>
    </w:lvl>
    <w:lvl w:ilvl="7" w:tplc="6CBA7550" w:tentative="1">
      <w:start w:val="1"/>
      <w:numFmt w:val="lowerLetter"/>
      <w:lvlText w:val="%8."/>
      <w:lvlJc w:val="left"/>
      <w:pPr>
        <w:tabs>
          <w:tab w:val="num" w:pos="5760"/>
        </w:tabs>
        <w:ind w:left="5760" w:hanging="360"/>
      </w:pPr>
    </w:lvl>
    <w:lvl w:ilvl="8" w:tplc="0ECCE49A" w:tentative="1">
      <w:start w:val="1"/>
      <w:numFmt w:val="lowerLetter"/>
      <w:lvlText w:val="%9."/>
      <w:lvlJc w:val="left"/>
      <w:pPr>
        <w:tabs>
          <w:tab w:val="num" w:pos="6480"/>
        </w:tabs>
        <w:ind w:left="6480" w:hanging="360"/>
      </w:pPr>
    </w:lvl>
  </w:abstractNum>
  <w:abstractNum w:abstractNumId="31">
    <w:nsid w:val="665D4B37"/>
    <w:multiLevelType w:val="hybridMultilevel"/>
    <w:tmpl w:val="A5C0474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08C7A5B"/>
    <w:multiLevelType w:val="multilevel"/>
    <w:tmpl w:val="900EF6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24A5E1E"/>
    <w:multiLevelType w:val="multilevel"/>
    <w:tmpl w:val="C11AAA4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2F01F3F"/>
    <w:multiLevelType w:val="hybridMultilevel"/>
    <w:tmpl w:val="F0AC8CE0"/>
    <w:lvl w:ilvl="0" w:tplc="0AEA3742">
      <w:start w:val="1"/>
      <w:numFmt w:val="lowerLetter"/>
      <w:lvlText w:val="%1."/>
      <w:lvlJc w:val="left"/>
      <w:pPr>
        <w:tabs>
          <w:tab w:val="num" w:pos="720"/>
        </w:tabs>
        <w:ind w:left="720" w:hanging="360"/>
      </w:pPr>
    </w:lvl>
    <w:lvl w:ilvl="1" w:tplc="35D24552" w:tentative="1">
      <w:start w:val="1"/>
      <w:numFmt w:val="lowerLetter"/>
      <w:lvlText w:val="%2."/>
      <w:lvlJc w:val="left"/>
      <w:pPr>
        <w:tabs>
          <w:tab w:val="num" w:pos="1440"/>
        </w:tabs>
        <w:ind w:left="1440" w:hanging="360"/>
      </w:pPr>
    </w:lvl>
    <w:lvl w:ilvl="2" w:tplc="B9CEC44A" w:tentative="1">
      <w:start w:val="1"/>
      <w:numFmt w:val="lowerLetter"/>
      <w:lvlText w:val="%3."/>
      <w:lvlJc w:val="left"/>
      <w:pPr>
        <w:tabs>
          <w:tab w:val="num" w:pos="2160"/>
        </w:tabs>
        <w:ind w:left="2160" w:hanging="360"/>
      </w:pPr>
    </w:lvl>
    <w:lvl w:ilvl="3" w:tplc="D34A7FE2" w:tentative="1">
      <w:start w:val="1"/>
      <w:numFmt w:val="lowerLetter"/>
      <w:lvlText w:val="%4."/>
      <w:lvlJc w:val="left"/>
      <w:pPr>
        <w:tabs>
          <w:tab w:val="num" w:pos="2880"/>
        </w:tabs>
        <w:ind w:left="2880" w:hanging="360"/>
      </w:pPr>
    </w:lvl>
    <w:lvl w:ilvl="4" w:tplc="8BFA7378" w:tentative="1">
      <w:start w:val="1"/>
      <w:numFmt w:val="lowerLetter"/>
      <w:lvlText w:val="%5."/>
      <w:lvlJc w:val="left"/>
      <w:pPr>
        <w:tabs>
          <w:tab w:val="num" w:pos="3600"/>
        </w:tabs>
        <w:ind w:left="3600" w:hanging="360"/>
      </w:pPr>
    </w:lvl>
    <w:lvl w:ilvl="5" w:tplc="43BCEA14" w:tentative="1">
      <w:start w:val="1"/>
      <w:numFmt w:val="lowerLetter"/>
      <w:lvlText w:val="%6."/>
      <w:lvlJc w:val="left"/>
      <w:pPr>
        <w:tabs>
          <w:tab w:val="num" w:pos="4320"/>
        </w:tabs>
        <w:ind w:left="4320" w:hanging="360"/>
      </w:pPr>
    </w:lvl>
    <w:lvl w:ilvl="6" w:tplc="C3F62F62" w:tentative="1">
      <w:start w:val="1"/>
      <w:numFmt w:val="lowerLetter"/>
      <w:lvlText w:val="%7."/>
      <w:lvlJc w:val="left"/>
      <w:pPr>
        <w:tabs>
          <w:tab w:val="num" w:pos="5040"/>
        </w:tabs>
        <w:ind w:left="5040" w:hanging="360"/>
      </w:pPr>
    </w:lvl>
    <w:lvl w:ilvl="7" w:tplc="0FCEC840" w:tentative="1">
      <w:start w:val="1"/>
      <w:numFmt w:val="lowerLetter"/>
      <w:lvlText w:val="%8."/>
      <w:lvlJc w:val="left"/>
      <w:pPr>
        <w:tabs>
          <w:tab w:val="num" w:pos="5760"/>
        </w:tabs>
        <w:ind w:left="5760" w:hanging="360"/>
      </w:pPr>
    </w:lvl>
    <w:lvl w:ilvl="8" w:tplc="FD5A1B24" w:tentative="1">
      <w:start w:val="1"/>
      <w:numFmt w:val="lowerLetter"/>
      <w:lvlText w:val="%9."/>
      <w:lvlJc w:val="left"/>
      <w:pPr>
        <w:tabs>
          <w:tab w:val="num" w:pos="6480"/>
        </w:tabs>
        <w:ind w:left="6480" w:hanging="360"/>
      </w:pPr>
    </w:lvl>
  </w:abstractNum>
  <w:abstractNum w:abstractNumId="35">
    <w:nsid w:val="750809DB"/>
    <w:multiLevelType w:val="hybridMultilevel"/>
    <w:tmpl w:val="A34C097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8716A93"/>
    <w:multiLevelType w:val="multilevel"/>
    <w:tmpl w:val="C46CE1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7B8A3DE2"/>
    <w:multiLevelType w:val="hybridMultilevel"/>
    <w:tmpl w:val="956020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C120FF5"/>
    <w:multiLevelType w:val="hybridMultilevel"/>
    <w:tmpl w:val="AAAAC672"/>
    <w:lvl w:ilvl="0" w:tplc="9872F6A8">
      <w:start w:val="1"/>
      <w:numFmt w:val="lowerLetter"/>
      <w:lvlText w:val="%1."/>
      <w:lvlJc w:val="left"/>
      <w:pPr>
        <w:tabs>
          <w:tab w:val="num" w:pos="720"/>
        </w:tabs>
        <w:ind w:left="720" w:hanging="360"/>
      </w:pPr>
    </w:lvl>
    <w:lvl w:ilvl="1" w:tplc="570002C6" w:tentative="1">
      <w:start w:val="1"/>
      <w:numFmt w:val="lowerLetter"/>
      <w:lvlText w:val="%2."/>
      <w:lvlJc w:val="left"/>
      <w:pPr>
        <w:tabs>
          <w:tab w:val="num" w:pos="1440"/>
        </w:tabs>
        <w:ind w:left="1440" w:hanging="360"/>
      </w:pPr>
    </w:lvl>
    <w:lvl w:ilvl="2" w:tplc="E7044478" w:tentative="1">
      <w:start w:val="1"/>
      <w:numFmt w:val="lowerLetter"/>
      <w:lvlText w:val="%3."/>
      <w:lvlJc w:val="left"/>
      <w:pPr>
        <w:tabs>
          <w:tab w:val="num" w:pos="2160"/>
        </w:tabs>
        <w:ind w:left="2160" w:hanging="360"/>
      </w:pPr>
    </w:lvl>
    <w:lvl w:ilvl="3" w:tplc="21B6B786" w:tentative="1">
      <w:start w:val="1"/>
      <w:numFmt w:val="lowerLetter"/>
      <w:lvlText w:val="%4."/>
      <w:lvlJc w:val="left"/>
      <w:pPr>
        <w:tabs>
          <w:tab w:val="num" w:pos="2880"/>
        </w:tabs>
        <w:ind w:left="2880" w:hanging="360"/>
      </w:pPr>
    </w:lvl>
    <w:lvl w:ilvl="4" w:tplc="1B560EC0" w:tentative="1">
      <w:start w:val="1"/>
      <w:numFmt w:val="lowerLetter"/>
      <w:lvlText w:val="%5."/>
      <w:lvlJc w:val="left"/>
      <w:pPr>
        <w:tabs>
          <w:tab w:val="num" w:pos="3600"/>
        </w:tabs>
        <w:ind w:left="3600" w:hanging="360"/>
      </w:pPr>
    </w:lvl>
    <w:lvl w:ilvl="5" w:tplc="1B60A3DC" w:tentative="1">
      <w:start w:val="1"/>
      <w:numFmt w:val="lowerLetter"/>
      <w:lvlText w:val="%6."/>
      <w:lvlJc w:val="left"/>
      <w:pPr>
        <w:tabs>
          <w:tab w:val="num" w:pos="4320"/>
        </w:tabs>
        <w:ind w:left="4320" w:hanging="360"/>
      </w:pPr>
    </w:lvl>
    <w:lvl w:ilvl="6" w:tplc="A0AA011E" w:tentative="1">
      <w:start w:val="1"/>
      <w:numFmt w:val="lowerLetter"/>
      <w:lvlText w:val="%7."/>
      <w:lvlJc w:val="left"/>
      <w:pPr>
        <w:tabs>
          <w:tab w:val="num" w:pos="5040"/>
        </w:tabs>
        <w:ind w:left="5040" w:hanging="360"/>
      </w:pPr>
    </w:lvl>
    <w:lvl w:ilvl="7" w:tplc="38DA9660" w:tentative="1">
      <w:start w:val="1"/>
      <w:numFmt w:val="lowerLetter"/>
      <w:lvlText w:val="%8."/>
      <w:lvlJc w:val="left"/>
      <w:pPr>
        <w:tabs>
          <w:tab w:val="num" w:pos="5760"/>
        </w:tabs>
        <w:ind w:left="5760" w:hanging="360"/>
      </w:pPr>
    </w:lvl>
    <w:lvl w:ilvl="8" w:tplc="6EC27BF0" w:tentative="1">
      <w:start w:val="1"/>
      <w:numFmt w:val="lowerLetter"/>
      <w:lvlText w:val="%9."/>
      <w:lvlJc w:val="left"/>
      <w:pPr>
        <w:tabs>
          <w:tab w:val="num" w:pos="6480"/>
        </w:tabs>
        <w:ind w:left="6480" w:hanging="360"/>
      </w:pPr>
    </w:lvl>
  </w:abstractNum>
  <w:abstractNum w:abstractNumId="39">
    <w:nsid w:val="7E2B1B49"/>
    <w:multiLevelType w:val="hybridMultilevel"/>
    <w:tmpl w:val="D5048F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EE615B6"/>
    <w:multiLevelType w:val="hybridMultilevel"/>
    <w:tmpl w:val="2132F91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5"/>
  </w:num>
  <w:num w:numId="4">
    <w:abstractNumId w:val="16"/>
  </w:num>
  <w:num w:numId="5">
    <w:abstractNumId w:val="26"/>
  </w:num>
  <w:num w:numId="6">
    <w:abstractNumId w:val="3"/>
  </w:num>
  <w:num w:numId="7">
    <w:abstractNumId w:val="9"/>
  </w:num>
  <w:num w:numId="8">
    <w:abstractNumId w:val="24"/>
  </w:num>
  <w:num w:numId="9">
    <w:abstractNumId w:val="7"/>
  </w:num>
  <w:num w:numId="10">
    <w:abstractNumId w:val="37"/>
  </w:num>
  <w:num w:numId="11">
    <w:abstractNumId w:val="34"/>
  </w:num>
  <w:num w:numId="12">
    <w:abstractNumId w:val="21"/>
  </w:num>
  <w:num w:numId="13">
    <w:abstractNumId w:val="30"/>
  </w:num>
  <w:num w:numId="14">
    <w:abstractNumId w:val="23"/>
  </w:num>
  <w:num w:numId="15">
    <w:abstractNumId w:val="38"/>
  </w:num>
  <w:num w:numId="16">
    <w:abstractNumId w:val="15"/>
  </w:num>
  <w:num w:numId="17">
    <w:abstractNumId w:val="25"/>
  </w:num>
  <w:num w:numId="18">
    <w:abstractNumId w:val="18"/>
  </w:num>
  <w:num w:numId="19">
    <w:abstractNumId w:val="40"/>
  </w:num>
  <w:num w:numId="20">
    <w:abstractNumId w:val="2"/>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39"/>
  </w:num>
  <w:num w:numId="25">
    <w:abstractNumId w:val="20"/>
  </w:num>
  <w:num w:numId="26">
    <w:abstractNumId w:val="31"/>
  </w:num>
  <w:num w:numId="27">
    <w:abstractNumId w:val="14"/>
  </w:num>
  <w:num w:numId="28">
    <w:abstractNumId w:val="4"/>
  </w:num>
  <w:num w:numId="29">
    <w:abstractNumId w:val="8"/>
  </w:num>
  <w:num w:numId="30">
    <w:abstractNumId w:val="27"/>
  </w:num>
  <w:num w:numId="31">
    <w:abstractNumId w:val="13"/>
  </w:num>
  <w:num w:numId="32">
    <w:abstractNumId w:val="11"/>
  </w:num>
  <w:num w:numId="33">
    <w:abstractNumId w:val="29"/>
  </w:num>
  <w:num w:numId="34">
    <w:abstractNumId w:val="28"/>
  </w:num>
  <w:num w:numId="35">
    <w:abstractNumId w:val="22"/>
  </w:num>
  <w:num w:numId="36">
    <w:abstractNumId w:val="35"/>
  </w:num>
  <w:num w:numId="37">
    <w:abstractNumId w:val="0"/>
  </w:num>
  <w:num w:numId="38">
    <w:abstractNumId w:val="36"/>
  </w:num>
  <w:num w:numId="39">
    <w:abstractNumId w:val="33"/>
  </w:num>
  <w:num w:numId="40">
    <w:abstractNumId w:val="1"/>
  </w:num>
  <w:num w:numId="41">
    <w:abstractNumId w:val="12"/>
  </w:num>
  <w:num w:numId="42">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179"/>
    <w:rsid w:val="0000352E"/>
    <w:rsid w:val="00005239"/>
    <w:rsid w:val="0002156C"/>
    <w:rsid w:val="00052693"/>
    <w:rsid w:val="0006192C"/>
    <w:rsid w:val="00066111"/>
    <w:rsid w:val="0007442D"/>
    <w:rsid w:val="00090336"/>
    <w:rsid w:val="00096E70"/>
    <w:rsid w:val="00097B01"/>
    <w:rsid w:val="000A4394"/>
    <w:rsid w:val="000C2C44"/>
    <w:rsid w:val="000E3D3E"/>
    <w:rsid w:val="001067B7"/>
    <w:rsid w:val="00163179"/>
    <w:rsid w:val="0018360B"/>
    <w:rsid w:val="00192CE6"/>
    <w:rsid w:val="001B0097"/>
    <w:rsid w:val="001B541B"/>
    <w:rsid w:val="001C1193"/>
    <w:rsid w:val="001C1E4D"/>
    <w:rsid w:val="001C3946"/>
    <w:rsid w:val="001C5026"/>
    <w:rsid w:val="001F2D8D"/>
    <w:rsid w:val="001F695A"/>
    <w:rsid w:val="00211848"/>
    <w:rsid w:val="002258E3"/>
    <w:rsid w:val="002327A5"/>
    <w:rsid w:val="00232D9A"/>
    <w:rsid w:val="002654C3"/>
    <w:rsid w:val="00267F0A"/>
    <w:rsid w:val="002716CC"/>
    <w:rsid w:val="0027368A"/>
    <w:rsid w:val="0028043B"/>
    <w:rsid w:val="002818D0"/>
    <w:rsid w:val="00281CEF"/>
    <w:rsid w:val="00292589"/>
    <w:rsid w:val="002B3BCF"/>
    <w:rsid w:val="002B73D6"/>
    <w:rsid w:val="002C0BCF"/>
    <w:rsid w:val="002C65B5"/>
    <w:rsid w:val="002D3C3D"/>
    <w:rsid w:val="002D61F5"/>
    <w:rsid w:val="002D762A"/>
    <w:rsid w:val="002F1749"/>
    <w:rsid w:val="002F20C9"/>
    <w:rsid w:val="00347756"/>
    <w:rsid w:val="00354BF5"/>
    <w:rsid w:val="00357361"/>
    <w:rsid w:val="00365AB4"/>
    <w:rsid w:val="00370616"/>
    <w:rsid w:val="00371B50"/>
    <w:rsid w:val="00373BA5"/>
    <w:rsid w:val="00385AF1"/>
    <w:rsid w:val="003B4E55"/>
    <w:rsid w:val="003B6F84"/>
    <w:rsid w:val="003D0373"/>
    <w:rsid w:val="003D0BC3"/>
    <w:rsid w:val="003D24BB"/>
    <w:rsid w:val="003D6679"/>
    <w:rsid w:val="003E30EC"/>
    <w:rsid w:val="003E3AFC"/>
    <w:rsid w:val="003F4825"/>
    <w:rsid w:val="004013B6"/>
    <w:rsid w:val="00412E93"/>
    <w:rsid w:val="00413925"/>
    <w:rsid w:val="00432B70"/>
    <w:rsid w:val="004333B5"/>
    <w:rsid w:val="00436537"/>
    <w:rsid w:val="00441EDC"/>
    <w:rsid w:val="00457E0A"/>
    <w:rsid w:val="00460FC0"/>
    <w:rsid w:val="004826EF"/>
    <w:rsid w:val="00492F98"/>
    <w:rsid w:val="004A0122"/>
    <w:rsid w:val="004A203B"/>
    <w:rsid w:val="004A394A"/>
    <w:rsid w:val="004B1494"/>
    <w:rsid w:val="004B1E23"/>
    <w:rsid w:val="004B5B75"/>
    <w:rsid w:val="004C353D"/>
    <w:rsid w:val="004C6880"/>
    <w:rsid w:val="004D307D"/>
    <w:rsid w:val="004F4D18"/>
    <w:rsid w:val="004F6777"/>
    <w:rsid w:val="00500171"/>
    <w:rsid w:val="005002BB"/>
    <w:rsid w:val="0050564C"/>
    <w:rsid w:val="005133F8"/>
    <w:rsid w:val="00513BF2"/>
    <w:rsid w:val="00522DB6"/>
    <w:rsid w:val="00530FEA"/>
    <w:rsid w:val="00532476"/>
    <w:rsid w:val="00534013"/>
    <w:rsid w:val="00572AD9"/>
    <w:rsid w:val="005737AD"/>
    <w:rsid w:val="0057783D"/>
    <w:rsid w:val="0058000D"/>
    <w:rsid w:val="00586763"/>
    <w:rsid w:val="00591618"/>
    <w:rsid w:val="005B6B29"/>
    <w:rsid w:val="005C6F1C"/>
    <w:rsid w:val="005D52E5"/>
    <w:rsid w:val="005F0283"/>
    <w:rsid w:val="005F74EB"/>
    <w:rsid w:val="00600D0F"/>
    <w:rsid w:val="006321C4"/>
    <w:rsid w:val="00634879"/>
    <w:rsid w:val="0063770B"/>
    <w:rsid w:val="006410AE"/>
    <w:rsid w:val="00641572"/>
    <w:rsid w:val="00641AEE"/>
    <w:rsid w:val="00677182"/>
    <w:rsid w:val="006842AB"/>
    <w:rsid w:val="00696E6A"/>
    <w:rsid w:val="006A05E4"/>
    <w:rsid w:val="006A269E"/>
    <w:rsid w:val="006A4380"/>
    <w:rsid w:val="006C334B"/>
    <w:rsid w:val="006C5F9A"/>
    <w:rsid w:val="006D0B40"/>
    <w:rsid w:val="006D7CA5"/>
    <w:rsid w:val="006F2132"/>
    <w:rsid w:val="006F219F"/>
    <w:rsid w:val="007033F7"/>
    <w:rsid w:val="00716827"/>
    <w:rsid w:val="00724435"/>
    <w:rsid w:val="00734BA0"/>
    <w:rsid w:val="0076408F"/>
    <w:rsid w:val="00767749"/>
    <w:rsid w:val="007709E9"/>
    <w:rsid w:val="00770EEA"/>
    <w:rsid w:val="00774C59"/>
    <w:rsid w:val="00782C2A"/>
    <w:rsid w:val="00785F8D"/>
    <w:rsid w:val="0079008F"/>
    <w:rsid w:val="00797196"/>
    <w:rsid w:val="007A3008"/>
    <w:rsid w:val="007A35F6"/>
    <w:rsid w:val="007A48F9"/>
    <w:rsid w:val="007B053A"/>
    <w:rsid w:val="007B7B71"/>
    <w:rsid w:val="007C10B9"/>
    <w:rsid w:val="007C2400"/>
    <w:rsid w:val="007C5F79"/>
    <w:rsid w:val="007D16A4"/>
    <w:rsid w:val="007D2844"/>
    <w:rsid w:val="007D2AA9"/>
    <w:rsid w:val="007D3409"/>
    <w:rsid w:val="007D7DC8"/>
    <w:rsid w:val="007E0DEE"/>
    <w:rsid w:val="007E1D0A"/>
    <w:rsid w:val="007E50D9"/>
    <w:rsid w:val="007E5C55"/>
    <w:rsid w:val="007F0729"/>
    <w:rsid w:val="00805389"/>
    <w:rsid w:val="008053B7"/>
    <w:rsid w:val="008062DF"/>
    <w:rsid w:val="008105B2"/>
    <w:rsid w:val="00812E29"/>
    <w:rsid w:val="00824C6B"/>
    <w:rsid w:val="00825812"/>
    <w:rsid w:val="0083568C"/>
    <w:rsid w:val="00835BBC"/>
    <w:rsid w:val="00856B69"/>
    <w:rsid w:val="00862516"/>
    <w:rsid w:val="00863F77"/>
    <w:rsid w:val="00865907"/>
    <w:rsid w:val="00883C0A"/>
    <w:rsid w:val="00894DF4"/>
    <w:rsid w:val="008A1C67"/>
    <w:rsid w:val="008A70DC"/>
    <w:rsid w:val="008A7BEC"/>
    <w:rsid w:val="008B3034"/>
    <w:rsid w:val="008C1347"/>
    <w:rsid w:val="008C64BB"/>
    <w:rsid w:val="008E4926"/>
    <w:rsid w:val="008E7AA0"/>
    <w:rsid w:val="008F4F49"/>
    <w:rsid w:val="008F69E2"/>
    <w:rsid w:val="009318B8"/>
    <w:rsid w:val="00933AAE"/>
    <w:rsid w:val="009563E8"/>
    <w:rsid w:val="00960450"/>
    <w:rsid w:val="0098010F"/>
    <w:rsid w:val="009A5026"/>
    <w:rsid w:val="009B091D"/>
    <w:rsid w:val="009C09D8"/>
    <w:rsid w:val="009C5F7F"/>
    <w:rsid w:val="009D32E5"/>
    <w:rsid w:val="009E1E59"/>
    <w:rsid w:val="009E5202"/>
    <w:rsid w:val="009E5E09"/>
    <w:rsid w:val="00A11AC1"/>
    <w:rsid w:val="00A1775D"/>
    <w:rsid w:val="00A233ED"/>
    <w:rsid w:val="00A44D74"/>
    <w:rsid w:val="00A56EBF"/>
    <w:rsid w:val="00A75FEA"/>
    <w:rsid w:val="00A77C6F"/>
    <w:rsid w:val="00A821A2"/>
    <w:rsid w:val="00AA67AB"/>
    <w:rsid w:val="00AB1003"/>
    <w:rsid w:val="00AB3F20"/>
    <w:rsid w:val="00AE11AD"/>
    <w:rsid w:val="00AE5D37"/>
    <w:rsid w:val="00AE7557"/>
    <w:rsid w:val="00AF31C8"/>
    <w:rsid w:val="00AF3E7B"/>
    <w:rsid w:val="00AF7C4D"/>
    <w:rsid w:val="00B11D26"/>
    <w:rsid w:val="00B13423"/>
    <w:rsid w:val="00B13A2F"/>
    <w:rsid w:val="00B17114"/>
    <w:rsid w:val="00B218CC"/>
    <w:rsid w:val="00B37105"/>
    <w:rsid w:val="00B4470F"/>
    <w:rsid w:val="00B61247"/>
    <w:rsid w:val="00BA2589"/>
    <w:rsid w:val="00BB5F62"/>
    <w:rsid w:val="00BC039B"/>
    <w:rsid w:val="00BC6904"/>
    <w:rsid w:val="00BC6E1F"/>
    <w:rsid w:val="00BD25D9"/>
    <w:rsid w:val="00BD47CC"/>
    <w:rsid w:val="00BD72BB"/>
    <w:rsid w:val="00BE3AFD"/>
    <w:rsid w:val="00BF14CF"/>
    <w:rsid w:val="00BF4CFA"/>
    <w:rsid w:val="00C000F1"/>
    <w:rsid w:val="00C03FFE"/>
    <w:rsid w:val="00C15E8C"/>
    <w:rsid w:val="00C2602F"/>
    <w:rsid w:val="00C27BB5"/>
    <w:rsid w:val="00C400A7"/>
    <w:rsid w:val="00C679C0"/>
    <w:rsid w:val="00C67C9D"/>
    <w:rsid w:val="00C8156B"/>
    <w:rsid w:val="00C82C17"/>
    <w:rsid w:val="00C95CCD"/>
    <w:rsid w:val="00CA4529"/>
    <w:rsid w:val="00CA465F"/>
    <w:rsid w:val="00CA4698"/>
    <w:rsid w:val="00CA7D81"/>
    <w:rsid w:val="00CC7611"/>
    <w:rsid w:val="00CD1366"/>
    <w:rsid w:val="00CD3FD9"/>
    <w:rsid w:val="00CF0E45"/>
    <w:rsid w:val="00CF23E9"/>
    <w:rsid w:val="00D00342"/>
    <w:rsid w:val="00D00DC6"/>
    <w:rsid w:val="00D0293C"/>
    <w:rsid w:val="00D05442"/>
    <w:rsid w:val="00D151A4"/>
    <w:rsid w:val="00D17551"/>
    <w:rsid w:val="00D27E92"/>
    <w:rsid w:val="00D30DD8"/>
    <w:rsid w:val="00D732C7"/>
    <w:rsid w:val="00D9435D"/>
    <w:rsid w:val="00D9563B"/>
    <w:rsid w:val="00DB46DE"/>
    <w:rsid w:val="00DB7347"/>
    <w:rsid w:val="00DC3E5F"/>
    <w:rsid w:val="00DC5960"/>
    <w:rsid w:val="00DC6AC7"/>
    <w:rsid w:val="00DD2B4F"/>
    <w:rsid w:val="00E11B99"/>
    <w:rsid w:val="00E1686A"/>
    <w:rsid w:val="00E2660D"/>
    <w:rsid w:val="00E3004C"/>
    <w:rsid w:val="00E3264D"/>
    <w:rsid w:val="00E34D87"/>
    <w:rsid w:val="00E37109"/>
    <w:rsid w:val="00E5103C"/>
    <w:rsid w:val="00E578A3"/>
    <w:rsid w:val="00E6488A"/>
    <w:rsid w:val="00E72094"/>
    <w:rsid w:val="00E86411"/>
    <w:rsid w:val="00E935C8"/>
    <w:rsid w:val="00E963B9"/>
    <w:rsid w:val="00EA1528"/>
    <w:rsid w:val="00EC5704"/>
    <w:rsid w:val="00EC678F"/>
    <w:rsid w:val="00ED0BD7"/>
    <w:rsid w:val="00EE1233"/>
    <w:rsid w:val="00EE1747"/>
    <w:rsid w:val="00EF28C5"/>
    <w:rsid w:val="00F01C3B"/>
    <w:rsid w:val="00F06C80"/>
    <w:rsid w:val="00F1695C"/>
    <w:rsid w:val="00F215A2"/>
    <w:rsid w:val="00F31093"/>
    <w:rsid w:val="00F41E81"/>
    <w:rsid w:val="00F539CA"/>
    <w:rsid w:val="00F577A7"/>
    <w:rsid w:val="00F63D60"/>
    <w:rsid w:val="00F76419"/>
    <w:rsid w:val="00F81B65"/>
    <w:rsid w:val="00F85BA5"/>
    <w:rsid w:val="00F9232C"/>
    <w:rsid w:val="00F96B80"/>
    <w:rsid w:val="00FB6476"/>
    <w:rsid w:val="00FD688B"/>
    <w:rsid w:val="00FD74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79"/>
    <w:pPr>
      <w:ind w:left="720"/>
      <w:contextualSpacing/>
    </w:pPr>
  </w:style>
  <w:style w:type="character" w:styleId="Hyperlink">
    <w:name w:val="Hyperlink"/>
    <w:uiPriority w:val="99"/>
    <w:unhideWhenUsed/>
    <w:rsid w:val="00513BF2"/>
    <w:rPr>
      <w:color w:val="0000FF"/>
      <w:u w:val="single"/>
    </w:rPr>
  </w:style>
  <w:style w:type="paragraph" w:styleId="Footer">
    <w:name w:val="footer"/>
    <w:basedOn w:val="Normal"/>
    <w:link w:val="FooterChar"/>
    <w:uiPriority w:val="99"/>
    <w:unhideWhenUsed/>
    <w:rsid w:val="00513BF2"/>
    <w:pPr>
      <w:tabs>
        <w:tab w:val="center" w:pos="4513"/>
        <w:tab w:val="right" w:pos="9026"/>
      </w:tabs>
      <w:spacing w:after="0" w:line="240" w:lineRule="auto"/>
    </w:pPr>
    <w:rPr>
      <w:rFonts w:eastAsia="SimSun"/>
      <w:lang w:eastAsia="zh-CN"/>
    </w:rPr>
  </w:style>
  <w:style w:type="character" w:customStyle="1" w:styleId="FooterChar">
    <w:name w:val="Footer Char"/>
    <w:link w:val="Footer"/>
    <w:uiPriority w:val="99"/>
    <w:rsid w:val="00513BF2"/>
    <w:rPr>
      <w:rFonts w:eastAsia="SimSun"/>
      <w:lang w:eastAsia="zh-CN"/>
    </w:rPr>
  </w:style>
  <w:style w:type="table" w:styleId="TableGrid">
    <w:name w:val="Table Grid"/>
    <w:basedOn w:val="TableNormal"/>
    <w:uiPriority w:val="59"/>
    <w:rsid w:val="00513BF2"/>
    <w:rPr>
      <w:rFonts w:eastAsia="SimSun"/>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3BF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13BF2"/>
    <w:rPr>
      <w:rFonts w:ascii="Tahoma" w:hAnsi="Tahoma" w:cs="Tahoma"/>
      <w:sz w:val="16"/>
      <w:szCs w:val="16"/>
    </w:rPr>
  </w:style>
  <w:style w:type="character" w:styleId="FollowedHyperlink">
    <w:name w:val="FollowedHyperlink"/>
    <w:uiPriority w:val="99"/>
    <w:semiHidden/>
    <w:unhideWhenUsed/>
    <w:rsid w:val="00513BF2"/>
    <w:rPr>
      <w:color w:val="800080"/>
      <w:u w:val="single"/>
    </w:rPr>
  </w:style>
  <w:style w:type="character" w:styleId="CommentReference">
    <w:name w:val="annotation reference"/>
    <w:uiPriority w:val="99"/>
    <w:semiHidden/>
    <w:unhideWhenUsed/>
    <w:rsid w:val="00C67C9D"/>
    <w:rPr>
      <w:sz w:val="16"/>
      <w:szCs w:val="16"/>
    </w:rPr>
  </w:style>
  <w:style w:type="paragraph" w:styleId="CommentText">
    <w:name w:val="annotation text"/>
    <w:basedOn w:val="Normal"/>
    <w:link w:val="CommentTextChar"/>
    <w:uiPriority w:val="99"/>
    <w:semiHidden/>
    <w:unhideWhenUsed/>
    <w:rsid w:val="00C67C9D"/>
    <w:pPr>
      <w:spacing w:line="240" w:lineRule="auto"/>
    </w:pPr>
    <w:rPr>
      <w:sz w:val="20"/>
      <w:szCs w:val="20"/>
    </w:rPr>
  </w:style>
  <w:style w:type="character" w:customStyle="1" w:styleId="CommentTextChar">
    <w:name w:val="Comment Text Char"/>
    <w:link w:val="CommentText"/>
    <w:uiPriority w:val="99"/>
    <w:semiHidden/>
    <w:rsid w:val="00C67C9D"/>
    <w:rPr>
      <w:sz w:val="20"/>
      <w:szCs w:val="20"/>
    </w:rPr>
  </w:style>
  <w:style w:type="paragraph" w:styleId="CommentSubject">
    <w:name w:val="annotation subject"/>
    <w:basedOn w:val="CommentText"/>
    <w:next w:val="CommentText"/>
    <w:link w:val="CommentSubjectChar"/>
    <w:uiPriority w:val="99"/>
    <w:semiHidden/>
    <w:unhideWhenUsed/>
    <w:rsid w:val="00C67C9D"/>
    <w:rPr>
      <w:b/>
      <w:bCs/>
    </w:rPr>
  </w:style>
  <w:style w:type="character" w:customStyle="1" w:styleId="CommentSubjectChar">
    <w:name w:val="Comment Subject Char"/>
    <w:link w:val="CommentSubject"/>
    <w:uiPriority w:val="99"/>
    <w:semiHidden/>
    <w:rsid w:val="00C67C9D"/>
    <w:rPr>
      <w:b/>
      <w:bCs/>
      <w:sz w:val="20"/>
      <w:szCs w:val="20"/>
    </w:rPr>
  </w:style>
  <w:style w:type="paragraph" w:styleId="Header">
    <w:name w:val="header"/>
    <w:basedOn w:val="Normal"/>
    <w:link w:val="HeaderChar"/>
    <w:uiPriority w:val="99"/>
    <w:unhideWhenUsed/>
    <w:rsid w:val="005B6B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6B29"/>
  </w:style>
  <w:style w:type="paragraph" w:styleId="FootnoteText">
    <w:name w:val="footnote text"/>
    <w:basedOn w:val="Normal"/>
    <w:link w:val="FootnoteTextChar"/>
    <w:uiPriority w:val="99"/>
    <w:semiHidden/>
    <w:unhideWhenUsed/>
    <w:rsid w:val="00F1695C"/>
    <w:pPr>
      <w:spacing w:after="0" w:line="240" w:lineRule="auto"/>
    </w:pPr>
    <w:rPr>
      <w:sz w:val="20"/>
      <w:szCs w:val="20"/>
    </w:rPr>
  </w:style>
  <w:style w:type="character" w:customStyle="1" w:styleId="FootnoteTextChar">
    <w:name w:val="Footnote Text Char"/>
    <w:link w:val="FootnoteText"/>
    <w:uiPriority w:val="99"/>
    <w:semiHidden/>
    <w:rsid w:val="00F1695C"/>
    <w:rPr>
      <w:sz w:val="20"/>
      <w:szCs w:val="20"/>
    </w:rPr>
  </w:style>
  <w:style w:type="character" w:styleId="FootnoteReference">
    <w:name w:val="footnote reference"/>
    <w:uiPriority w:val="99"/>
    <w:semiHidden/>
    <w:unhideWhenUsed/>
    <w:rsid w:val="00F1695C"/>
    <w:rPr>
      <w:vertAlign w:val="superscript"/>
    </w:rPr>
  </w:style>
  <w:style w:type="paragraph" w:styleId="Caption">
    <w:name w:val="caption"/>
    <w:basedOn w:val="Normal"/>
    <w:next w:val="Normal"/>
    <w:uiPriority w:val="35"/>
    <w:unhideWhenUsed/>
    <w:qFormat/>
    <w:rsid w:val="00F01C3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553530">
      <w:bodyDiv w:val="1"/>
      <w:marLeft w:val="0"/>
      <w:marRight w:val="0"/>
      <w:marTop w:val="0"/>
      <w:marBottom w:val="0"/>
      <w:divBdr>
        <w:top w:val="none" w:sz="0" w:space="0" w:color="auto"/>
        <w:left w:val="none" w:sz="0" w:space="0" w:color="auto"/>
        <w:bottom w:val="none" w:sz="0" w:space="0" w:color="auto"/>
        <w:right w:val="none" w:sz="0" w:space="0" w:color="auto"/>
      </w:divBdr>
    </w:div>
    <w:div w:id="479274181">
      <w:bodyDiv w:val="1"/>
      <w:marLeft w:val="0"/>
      <w:marRight w:val="0"/>
      <w:marTop w:val="0"/>
      <w:marBottom w:val="0"/>
      <w:divBdr>
        <w:top w:val="none" w:sz="0" w:space="0" w:color="auto"/>
        <w:left w:val="none" w:sz="0" w:space="0" w:color="auto"/>
        <w:bottom w:val="none" w:sz="0" w:space="0" w:color="auto"/>
        <w:right w:val="none" w:sz="0" w:space="0" w:color="auto"/>
      </w:divBdr>
    </w:div>
    <w:div w:id="555971470">
      <w:bodyDiv w:val="1"/>
      <w:marLeft w:val="0"/>
      <w:marRight w:val="0"/>
      <w:marTop w:val="0"/>
      <w:marBottom w:val="0"/>
      <w:divBdr>
        <w:top w:val="none" w:sz="0" w:space="0" w:color="auto"/>
        <w:left w:val="none" w:sz="0" w:space="0" w:color="auto"/>
        <w:bottom w:val="none" w:sz="0" w:space="0" w:color="auto"/>
        <w:right w:val="none" w:sz="0" w:space="0" w:color="auto"/>
      </w:divBdr>
      <w:divsChild>
        <w:div w:id="1290817122">
          <w:marLeft w:val="806"/>
          <w:marRight w:val="0"/>
          <w:marTop w:val="86"/>
          <w:marBottom w:val="0"/>
          <w:divBdr>
            <w:top w:val="none" w:sz="0" w:space="0" w:color="auto"/>
            <w:left w:val="none" w:sz="0" w:space="0" w:color="auto"/>
            <w:bottom w:val="none" w:sz="0" w:space="0" w:color="auto"/>
            <w:right w:val="none" w:sz="0" w:space="0" w:color="auto"/>
          </w:divBdr>
        </w:div>
      </w:divsChild>
    </w:div>
    <w:div w:id="599725068">
      <w:bodyDiv w:val="1"/>
      <w:marLeft w:val="0"/>
      <w:marRight w:val="0"/>
      <w:marTop w:val="0"/>
      <w:marBottom w:val="0"/>
      <w:divBdr>
        <w:top w:val="none" w:sz="0" w:space="0" w:color="auto"/>
        <w:left w:val="none" w:sz="0" w:space="0" w:color="auto"/>
        <w:bottom w:val="none" w:sz="0" w:space="0" w:color="auto"/>
        <w:right w:val="none" w:sz="0" w:space="0" w:color="auto"/>
      </w:divBdr>
      <w:divsChild>
        <w:div w:id="224100292">
          <w:marLeft w:val="0"/>
          <w:marRight w:val="0"/>
          <w:marTop w:val="0"/>
          <w:marBottom w:val="0"/>
          <w:divBdr>
            <w:top w:val="none" w:sz="0" w:space="0" w:color="auto"/>
            <w:left w:val="none" w:sz="0" w:space="0" w:color="auto"/>
            <w:bottom w:val="none" w:sz="0" w:space="0" w:color="auto"/>
            <w:right w:val="none" w:sz="0" w:space="0" w:color="auto"/>
          </w:divBdr>
        </w:div>
        <w:div w:id="287786343">
          <w:marLeft w:val="0"/>
          <w:marRight w:val="0"/>
          <w:marTop w:val="0"/>
          <w:marBottom w:val="0"/>
          <w:divBdr>
            <w:top w:val="none" w:sz="0" w:space="0" w:color="auto"/>
            <w:left w:val="none" w:sz="0" w:space="0" w:color="auto"/>
            <w:bottom w:val="none" w:sz="0" w:space="0" w:color="auto"/>
            <w:right w:val="none" w:sz="0" w:space="0" w:color="auto"/>
          </w:divBdr>
        </w:div>
        <w:div w:id="345906336">
          <w:marLeft w:val="0"/>
          <w:marRight w:val="0"/>
          <w:marTop w:val="0"/>
          <w:marBottom w:val="0"/>
          <w:divBdr>
            <w:top w:val="none" w:sz="0" w:space="0" w:color="auto"/>
            <w:left w:val="none" w:sz="0" w:space="0" w:color="auto"/>
            <w:bottom w:val="none" w:sz="0" w:space="0" w:color="auto"/>
            <w:right w:val="none" w:sz="0" w:space="0" w:color="auto"/>
          </w:divBdr>
        </w:div>
        <w:div w:id="424228582">
          <w:marLeft w:val="0"/>
          <w:marRight w:val="0"/>
          <w:marTop w:val="0"/>
          <w:marBottom w:val="0"/>
          <w:divBdr>
            <w:top w:val="none" w:sz="0" w:space="0" w:color="auto"/>
            <w:left w:val="none" w:sz="0" w:space="0" w:color="auto"/>
            <w:bottom w:val="none" w:sz="0" w:space="0" w:color="auto"/>
            <w:right w:val="none" w:sz="0" w:space="0" w:color="auto"/>
          </w:divBdr>
        </w:div>
        <w:div w:id="764106792">
          <w:marLeft w:val="0"/>
          <w:marRight w:val="0"/>
          <w:marTop w:val="0"/>
          <w:marBottom w:val="0"/>
          <w:divBdr>
            <w:top w:val="none" w:sz="0" w:space="0" w:color="auto"/>
            <w:left w:val="none" w:sz="0" w:space="0" w:color="auto"/>
            <w:bottom w:val="none" w:sz="0" w:space="0" w:color="auto"/>
            <w:right w:val="none" w:sz="0" w:space="0" w:color="auto"/>
          </w:divBdr>
        </w:div>
        <w:div w:id="988099662">
          <w:marLeft w:val="0"/>
          <w:marRight w:val="0"/>
          <w:marTop w:val="0"/>
          <w:marBottom w:val="0"/>
          <w:divBdr>
            <w:top w:val="none" w:sz="0" w:space="0" w:color="auto"/>
            <w:left w:val="none" w:sz="0" w:space="0" w:color="auto"/>
            <w:bottom w:val="none" w:sz="0" w:space="0" w:color="auto"/>
            <w:right w:val="none" w:sz="0" w:space="0" w:color="auto"/>
          </w:divBdr>
        </w:div>
        <w:div w:id="1054112521">
          <w:marLeft w:val="0"/>
          <w:marRight w:val="0"/>
          <w:marTop w:val="0"/>
          <w:marBottom w:val="0"/>
          <w:divBdr>
            <w:top w:val="none" w:sz="0" w:space="0" w:color="auto"/>
            <w:left w:val="none" w:sz="0" w:space="0" w:color="auto"/>
            <w:bottom w:val="none" w:sz="0" w:space="0" w:color="auto"/>
            <w:right w:val="none" w:sz="0" w:space="0" w:color="auto"/>
          </w:divBdr>
        </w:div>
        <w:div w:id="1193763961">
          <w:marLeft w:val="0"/>
          <w:marRight w:val="0"/>
          <w:marTop w:val="0"/>
          <w:marBottom w:val="0"/>
          <w:divBdr>
            <w:top w:val="none" w:sz="0" w:space="0" w:color="auto"/>
            <w:left w:val="none" w:sz="0" w:space="0" w:color="auto"/>
            <w:bottom w:val="none" w:sz="0" w:space="0" w:color="auto"/>
            <w:right w:val="none" w:sz="0" w:space="0" w:color="auto"/>
          </w:divBdr>
        </w:div>
      </w:divsChild>
    </w:div>
    <w:div w:id="675498362">
      <w:bodyDiv w:val="1"/>
      <w:marLeft w:val="0"/>
      <w:marRight w:val="0"/>
      <w:marTop w:val="0"/>
      <w:marBottom w:val="0"/>
      <w:divBdr>
        <w:top w:val="none" w:sz="0" w:space="0" w:color="auto"/>
        <w:left w:val="none" w:sz="0" w:space="0" w:color="auto"/>
        <w:bottom w:val="none" w:sz="0" w:space="0" w:color="auto"/>
        <w:right w:val="none" w:sz="0" w:space="0" w:color="auto"/>
      </w:divBdr>
      <w:divsChild>
        <w:div w:id="1681589683">
          <w:marLeft w:val="806"/>
          <w:marRight w:val="0"/>
          <w:marTop w:val="72"/>
          <w:marBottom w:val="0"/>
          <w:divBdr>
            <w:top w:val="none" w:sz="0" w:space="0" w:color="auto"/>
            <w:left w:val="none" w:sz="0" w:space="0" w:color="auto"/>
            <w:bottom w:val="none" w:sz="0" w:space="0" w:color="auto"/>
            <w:right w:val="none" w:sz="0" w:space="0" w:color="auto"/>
          </w:divBdr>
        </w:div>
      </w:divsChild>
    </w:div>
    <w:div w:id="794712550">
      <w:bodyDiv w:val="1"/>
      <w:marLeft w:val="0"/>
      <w:marRight w:val="0"/>
      <w:marTop w:val="0"/>
      <w:marBottom w:val="0"/>
      <w:divBdr>
        <w:top w:val="none" w:sz="0" w:space="0" w:color="auto"/>
        <w:left w:val="none" w:sz="0" w:space="0" w:color="auto"/>
        <w:bottom w:val="none" w:sz="0" w:space="0" w:color="auto"/>
        <w:right w:val="none" w:sz="0" w:space="0" w:color="auto"/>
      </w:divBdr>
      <w:divsChild>
        <w:div w:id="67962385">
          <w:marLeft w:val="1440"/>
          <w:marRight w:val="0"/>
          <w:marTop w:val="67"/>
          <w:marBottom w:val="0"/>
          <w:divBdr>
            <w:top w:val="none" w:sz="0" w:space="0" w:color="auto"/>
            <w:left w:val="none" w:sz="0" w:space="0" w:color="auto"/>
            <w:bottom w:val="none" w:sz="0" w:space="0" w:color="auto"/>
            <w:right w:val="none" w:sz="0" w:space="0" w:color="auto"/>
          </w:divBdr>
        </w:div>
        <w:div w:id="170728940">
          <w:marLeft w:val="1440"/>
          <w:marRight w:val="0"/>
          <w:marTop w:val="67"/>
          <w:marBottom w:val="0"/>
          <w:divBdr>
            <w:top w:val="none" w:sz="0" w:space="0" w:color="auto"/>
            <w:left w:val="none" w:sz="0" w:space="0" w:color="auto"/>
            <w:bottom w:val="none" w:sz="0" w:space="0" w:color="auto"/>
            <w:right w:val="none" w:sz="0" w:space="0" w:color="auto"/>
          </w:divBdr>
        </w:div>
        <w:div w:id="422722681">
          <w:marLeft w:val="1800"/>
          <w:marRight w:val="0"/>
          <w:marTop w:val="48"/>
          <w:marBottom w:val="0"/>
          <w:divBdr>
            <w:top w:val="none" w:sz="0" w:space="0" w:color="auto"/>
            <w:left w:val="none" w:sz="0" w:space="0" w:color="auto"/>
            <w:bottom w:val="none" w:sz="0" w:space="0" w:color="auto"/>
            <w:right w:val="none" w:sz="0" w:space="0" w:color="auto"/>
          </w:divBdr>
        </w:div>
        <w:div w:id="537400086">
          <w:marLeft w:val="806"/>
          <w:marRight w:val="0"/>
          <w:marTop w:val="72"/>
          <w:marBottom w:val="0"/>
          <w:divBdr>
            <w:top w:val="none" w:sz="0" w:space="0" w:color="auto"/>
            <w:left w:val="none" w:sz="0" w:space="0" w:color="auto"/>
            <w:bottom w:val="none" w:sz="0" w:space="0" w:color="auto"/>
            <w:right w:val="none" w:sz="0" w:space="0" w:color="auto"/>
          </w:divBdr>
        </w:div>
        <w:div w:id="656344529">
          <w:marLeft w:val="1800"/>
          <w:marRight w:val="0"/>
          <w:marTop w:val="48"/>
          <w:marBottom w:val="0"/>
          <w:divBdr>
            <w:top w:val="none" w:sz="0" w:space="0" w:color="auto"/>
            <w:left w:val="none" w:sz="0" w:space="0" w:color="auto"/>
            <w:bottom w:val="none" w:sz="0" w:space="0" w:color="auto"/>
            <w:right w:val="none" w:sz="0" w:space="0" w:color="auto"/>
          </w:divBdr>
        </w:div>
        <w:div w:id="903029954">
          <w:marLeft w:val="1440"/>
          <w:marRight w:val="0"/>
          <w:marTop w:val="67"/>
          <w:marBottom w:val="0"/>
          <w:divBdr>
            <w:top w:val="none" w:sz="0" w:space="0" w:color="auto"/>
            <w:left w:val="none" w:sz="0" w:space="0" w:color="auto"/>
            <w:bottom w:val="none" w:sz="0" w:space="0" w:color="auto"/>
            <w:right w:val="none" w:sz="0" w:space="0" w:color="auto"/>
          </w:divBdr>
        </w:div>
        <w:div w:id="1098331056">
          <w:marLeft w:val="1440"/>
          <w:marRight w:val="0"/>
          <w:marTop w:val="67"/>
          <w:marBottom w:val="0"/>
          <w:divBdr>
            <w:top w:val="none" w:sz="0" w:space="0" w:color="auto"/>
            <w:left w:val="none" w:sz="0" w:space="0" w:color="auto"/>
            <w:bottom w:val="none" w:sz="0" w:space="0" w:color="auto"/>
            <w:right w:val="none" w:sz="0" w:space="0" w:color="auto"/>
          </w:divBdr>
        </w:div>
        <w:div w:id="1137256038">
          <w:marLeft w:val="1440"/>
          <w:marRight w:val="0"/>
          <w:marTop w:val="67"/>
          <w:marBottom w:val="0"/>
          <w:divBdr>
            <w:top w:val="none" w:sz="0" w:space="0" w:color="auto"/>
            <w:left w:val="none" w:sz="0" w:space="0" w:color="auto"/>
            <w:bottom w:val="none" w:sz="0" w:space="0" w:color="auto"/>
            <w:right w:val="none" w:sz="0" w:space="0" w:color="auto"/>
          </w:divBdr>
        </w:div>
        <w:div w:id="1356351019">
          <w:marLeft w:val="806"/>
          <w:marRight w:val="0"/>
          <w:marTop w:val="72"/>
          <w:marBottom w:val="0"/>
          <w:divBdr>
            <w:top w:val="none" w:sz="0" w:space="0" w:color="auto"/>
            <w:left w:val="none" w:sz="0" w:space="0" w:color="auto"/>
            <w:bottom w:val="none" w:sz="0" w:space="0" w:color="auto"/>
            <w:right w:val="none" w:sz="0" w:space="0" w:color="auto"/>
          </w:divBdr>
        </w:div>
        <w:div w:id="1544249065">
          <w:marLeft w:val="1440"/>
          <w:marRight w:val="0"/>
          <w:marTop w:val="67"/>
          <w:marBottom w:val="0"/>
          <w:divBdr>
            <w:top w:val="none" w:sz="0" w:space="0" w:color="auto"/>
            <w:left w:val="none" w:sz="0" w:space="0" w:color="auto"/>
            <w:bottom w:val="none" w:sz="0" w:space="0" w:color="auto"/>
            <w:right w:val="none" w:sz="0" w:space="0" w:color="auto"/>
          </w:divBdr>
        </w:div>
        <w:div w:id="1708874776">
          <w:marLeft w:val="1166"/>
          <w:marRight w:val="0"/>
          <w:marTop w:val="58"/>
          <w:marBottom w:val="0"/>
          <w:divBdr>
            <w:top w:val="none" w:sz="0" w:space="0" w:color="auto"/>
            <w:left w:val="none" w:sz="0" w:space="0" w:color="auto"/>
            <w:bottom w:val="none" w:sz="0" w:space="0" w:color="auto"/>
            <w:right w:val="none" w:sz="0" w:space="0" w:color="auto"/>
          </w:divBdr>
        </w:div>
        <w:div w:id="1718311960">
          <w:marLeft w:val="1440"/>
          <w:marRight w:val="0"/>
          <w:marTop w:val="67"/>
          <w:marBottom w:val="0"/>
          <w:divBdr>
            <w:top w:val="none" w:sz="0" w:space="0" w:color="auto"/>
            <w:left w:val="none" w:sz="0" w:space="0" w:color="auto"/>
            <w:bottom w:val="none" w:sz="0" w:space="0" w:color="auto"/>
            <w:right w:val="none" w:sz="0" w:space="0" w:color="auto"/>
          </w:divBdr>
        </w:div>
        <w:div w:id="1796099052">
          <w:marLeft w:val="1440"/>
          <w:marRight w:val="0"/>
          <w:marTop w:val="67"/>
          <w:marBottom w:val="0"/>
          <w:divBdr>
            <w:top w:val="none" w:sz="0" w:space="0" w:color="auto"/>
            <w:left w:val="none" w:sz="0" w:space="0" w:color="auto"/>
            <w:bottom w:val="none" w:sz="0" w:space="0" w:color="auto"/>
            <w:right w:val="none" w:sz="0" w:space="0" w:color="auto"/>
          </w:divBdr>
        </w:div>
        <w:div w:id="1819572505">
          <w:marLeft w:val="1440"/>
          <w:marRight w:val="0"/>
          <w:marTop w:val="67"/>
          <w:marBottom w:val="0"/>
          <w:divBdr>
            <w:top w:val="none" w:sz="0" w:space="0" w:color="auto"/>
            <w:left w:val="none" w:sz="0" w:space="0" w:color="auto"/>
            <w:bottom w:val="none" w:sz="0" w:space="0" w:color="auto"/>
            <w:right w:val="none" w:sz="0" w:space="0" w:color="auto"/>
          </w:divBdr>
        </w:div>
        <w:div w:id="1991013543">
          <w:marLeft w:val="806"/>
          <w:marRight w:val="0"/>
          <w:marTop w:val="72"/>
          <w:marBottom w:val="0"/>
          <w:divBdr>
            <w:top w:val="none" w:sz="0" w:space="0" w:color="auto"/>
            <w:left w:val="none" w:sz="0" w:space="0" w:color="auto"/>
            <w:bottom w:val="none" w:sz="0" w:space="0" w:color="auto"/>
            <w:right w:val="none" w:sz="0" w:space="0" w:color="auto"/>
          </w:divBdr>
        </w:div>
      </w:divsChild>
    </w:div>
    <w:div w:id="913247913">
      <w:bodyDiv w:val="1"/>
      <w:marLeft w:val="0"/>
      <w:marRight w:val="0"/>
      <w:marTop w:val="0"/>
      <w:marBottom w:val="0"/>
      <w:divBdr>
        <w:top w:val="none" w:sz="0" w:space="0" w:color="auto"/>
        <w:left w:val="none" w:sz="0" w:space="0" w:color="auto"/>
        <w:bottom w:val="none" w:sz="0" w:space="0" w:color="auto"/>
        <w:right w:val="none" w:sz="0" w:space="0" w:color="auto"/>
      </w:divBdr>
    </w:div>
    <w:div w:id="1025712083">
      <w:bodyDiv w:val="1"/>
      <w:marLeft w:val="0"/>
      <w:marRight w:val="0"/>
      <w:marTop w:val="0"/>
      <w:marBottom w:val="0"/>
      <w:divBdr>
        <w:top w:val="none" w:sz="0" w:space="0" w:color="auto"/>
        <w:left w:val="none" w:sz="0" w:space="0" w:color="auto"/>
        <w:bottom w:val="none" w:sz="0" w:space="0" w:color="auto"/>
        <w:right w:val="none" w:sz="0" w:space="0" w:color="auto"/>
      </w:divBdr>
    </w:div>
    <w:div w:id="1199659044">
      <w:bodyDiv w:val="1"/>
      <w:marLeft w:val="0"/>
      <w:marRight w:val="0"/>
      <w:marTop w:val="0"/>
      <w:marBottom w:val="0"/>
      <w:divBdr>
        <w:top w:val="none" w:sz="0" w:space="0" w:color="auto"/>
        <w:left w:val="none" w:sz="0" w:space="0" w:color="auto"/>
        <w:bottom w:val="none" w:sz="0" w:space="0" w:color="auto"/>
        <w:right w:val="none" w:sz="0" w:space="0" w:color="auto"/>
      </w:divBdr>
      <w:divsChild>
        <w:div w:id="1955867629">
          <w:marLeft w:val="806"/>
          <w:marRight w:val="0"/>
          <w:marTop w:val="86"/>
          <w:marBottom w:val="0"/>
          <w:divBdr>
            <w:top w:val="none" w:sz="0" w:space="0" w:color="auto"/>
            <w:left w:val="none" w:sz="0" w:space="0" w:color="auto"/>
            <w:bottom w:val="none" w:sz="0" w:space="0" w:color="auto"/>
            <w:right w:val="none" w:sz="0" w:space="0" w:color="auto"/>
          </w:divBdr>
        </w:div>
      </w:divsChild>
    </w:div>
    <w:div w:id="1262033174">
      <w:bodyDiv w:val="1"/>
      <w:marLeft w:val="0"/>
      <w:marRight w:val="0"/>
      <w:marTop w:val="0"/>
      <w:marBottom w:val="0"/>
      <w:divBdr>
        <w:top w:val="none" w:sz="0" w:space="0" w:color="auto"/>
        <w:left w:val="none" w:sz="0" w:space="0" w:color="auto"/>
        <w:bottom w:val="none" w:sz="0" w:space="0" w:color="auto"/>
        <w:right w:val="none" w:sz="0" w:space="0" w:color="auto"/>
      </w:divBdr>
      <w:divsChild>
        <w:div w:id="1593852598">
          <w:marLeft w:val="806"/>
          <w:marRight w:val="0"/>
          <w:marTop w:val="86"/>
          <w:marBottom w:val="0"/>
          <w:divBdr>
            <w:top w:val="none" w:sz="0" w:space="0" w:color="auto"/>
            <w:left w:val="none" w:sz="0" w:space="0" w:color="auto"/>
            <w:bottom w:val="none" w:sz="0" w:space="0" w:color="auto"/>
            <w:right w:val="none" w:sz="0" w:space="0" w:color="auto"/>
          </w:divBdr>
        </w:div>
      </w:divsChild>
    </w:div>
    <w:div w:id="1484076944">
      <w:bodyDiv w:val="1"/>
      <w:marLeft w:val="0"/>
      <w:marRight w:val="0"/>
      <w:marTop w:val="0"/>
      <w:marBottom w:val="0"/>
      <w:divBdr>
        <w:top w:val="none" w:sz="0" w:space="0" w:color="auto"/>
        <w:left w:val="none" w:sz="0" w:space="0" w:color="auto"/>
        <w:bottom w:val="none" w:sz="0" w:space="0" w:color="auto"/>
        <w:right w:val="none" w:sz="0" w:space="0" w:color="auto"/>
      </w:divBdr>
      <w:divsChild>
        <w:div w:id="406656945">
          <w:marLeft w:val="0"/>
          <w:marRight w:val="0"/>
          <w:marTop w:val="0"/>
          <w:marBottom w:val="0"/>
          <w:divBdr>
            <w:top w:val="none" w:sz="0" w:space="0" w:color="auto"/>
            <w:left w:val="none" w:sz="0" w:space="0" w:color="auto"/>
            <w:bottom w:val="none" w:sz="0" w:space="0" w:color="auto"/>
            <w:right w:val="none" w:sz="0" w:space="0" w:color="auto"/>
          </w:divBdr>
        </w:div>
        <w:div w:id="1775131186">
          <w:marLeft w:val="0"/>
          <w:marRight w:val="0"/>
          <w:marTop w:val="0"/>
          <w:marBottom w:val="0"/>
          <w:divBdr>
            <w:top w:val="none" w:sz="0" w:space="0" w:color="auto"/>
            <w:left w:val="none" w:sz="0" w:space="0" w:color="auto"/>
            <w:bottom w:val="none" w:sz="0" w:space="0" w:color="auto"/>
            <w:right w:val="none" w:sz="0" w:space="0" w:color="auto"/>
          </w:divBdr>
        </w:div>
      </w:divsChild>
    </w:div>
    <w:div w:id="1647929035">
      <w:bodyDiv w:val="1"/>
      <w:marLeft w:val="0"/>
      <w:marRight w:val="0"/>
      <w:marTop w:val="0"/>
      <w:marBottom w:val="0"/>
      <w:divBdr>
        <w:top w:val="none" w:sz="0" w:space="0" w:color="auto"/>
        <w:left w:val="none" w:sz="0" w:space="0" w:color="auto"/>
        <w:bottom w:val="none" w:sz="0" w:space="0" w:color="auto"/>
        <w:right w:val="none" w:sz="0" w:space="0" w:color="auto"/>
      </w:divBdr>
      <w:divsChild>
        <w:div w:id="59450289">
          <w:marLeft w:val="1440"/>
          <w:marRight w:val="0"/>
          <w:marTop w:val="72"/>
          <w:marBottom w:val="0"/>
          <w:divBdr>
            <w:top w:val="none" w:sz="0" w:space="0" w:color="auto"/>
            <w:left w:val="none" w:sz="0" w:space="0" w:color="auto"/>
            <w:bottom w:val="none" w:sz="0" w:space="0" w:color="auto"/>
            <w:right w:val="none" w:sz="0" w:space="0" w:color="auto"/>
          </w:divBdr>
        </w:div>
        <w:div w:id="249778000">
          <w:marLeft w:val="1440"/>
          <w:marRight w:val="0"/>
          <w:marTop w:val="72"/>
          <w:marBottom w:val="0"/>
          <w:divBdr>
            <w:top w:val="none" w:sz="0" w:space="0" w:color="auto"/>
            <w:left w:val="none" w:sz="0" w:space="0" w:color="auto"/>
            <w:bottom w:val="none" w:sz="0" w:space="0" w:color="auto"/>
            <w:right w:val="none" w:sz="0" w:space="0" w:color="auto"/>
          </w:divBdr>
        </w:div>
        <w:div w:id="640765785">
          <w:marLeft w:val="1440"/>
          <w:marRight w:val="0"/>
          <w:marTop w:val="72"/>
          <w:marBottom w:val="0"/>
          <w:divBdr>
            <w:top w:val="none" w:sz="0" w:space="0" w:color="auto"/>
            <w:left w:val="none" w:sz="0" w:space="0" w:color="auto"/>
            <w:bottom w:val="none" w:sz="0" w:space="0" w:color="auto"/>
            <w:right w:val="none" w:sz="0" w:space="0" w:color="auto"/>
          </w:divBdr>
        </w:div>
        <w:div w:id="711423899">
          <w:marLeft w:val="1440"/>
          <w:marRight w:val="0"/>
          <w:marTop w:val="72"/>
          <w:marBottom w:val="0"/>
          <w:divBdr>
            <w:top w:val="none" w:sz="0" w:space="0" w:color="auto"/>
            <w:left w:val="none" w:sz="0" w:space="0" w:color="auto"/>
            <w:bottom w:val="none" w:sz="0" w:space="0" w:color="auto"/>
            <w:right w:val="none" w:sz="0" w:space="0" w:color="auto"/>
          </w:divBdr>
        </w:div>
        <w:div w:id="805007211">
          <w:marLeft w:val="1440"/>
          <w:marRight w:val="0"/>
          <w:marTop w:val="72"/>
          <w:marBottom w:val="0"/>
          <w:divBdr>
            <w:top w:val="none" w:sz="0" w:space="0" w:color="auto"/>
            <w:left w:val="none" w:sz="0" w:space="0" w:color="auto"/>
            <w:bottom w:val="none" w:sz="0" w:space="0" w:color="auto"/>
            <w:right w:val="none" w:sz="0" w:space="0" w:color="auto"/>
          </w:divBdr>
        </w:div>
        <w:div w:id="1248463691">
          <w:marLeft w:val="1440"/>
          <w:marRight w:val="0"/>
          <w:marTop w:val="72"/>
          <w:marBottom w:val="0"/>
          <w:divBdr>
            <w:top w:val="none" w:sz="0" w:space="0" w:color="auto"/>
            <w:left w:val="none" w:sz="0" w:space="0" w:color="auto"/>
            <w:bottom w:val="none" w:sz="0" w:space="0" w:color="auto"/>
            <w:right w:val="none" w:sz="0" w:space="0" w:color="auto"/>
          </w:divBdr>
        </w:div>
        <w:div w:id="1315992192">
          <w:marLeft w:val="1440"/>
          <w:marRight w:val="0"/>
          <w:marTop w:val="72"/>
          <w:marBottom w:val="0"/>
          <w:divBdr>
            <w:top w:val="none" w:sz="0" w:space="0" w:color="auto"/>
            <w:left w:val="none" w:sz="0" w:space="0" w:color="auto"/>
            <w:bottom w:val="none" w:sz="0" w:space="0" w:color="auto"/>
            <w:right w:val="none" w:sz="0" w:space="0" w:color="auto"/>
          </w:divBdr>
        </w:div>
        <w:div w:id="1560943314">
          <w:marLeft w:val="1440"/>
          <w:marRight w:val="0"/>
          <w:marTop w:val="72"/>
          <w:marBottom w:val="0"/>
          <w:divBdr>
            <w:top w:val="none" w:sz="0" w:space="0" w:color="auto"/>
            <w:left w:val="none" w:sz="0" w:space="0" w:color="auto"/>
            <w:bottom w:val="none" w:sz="0" w:space="0" w:color="auto"/>
            <w:right w:val="none" w:sz="0" w:space="0" w:color="auto"/>
          </w:divBdr>
        </w:div>
        <w:div w:id="1580023067">
          <w:marLeft w:val="806"/>
          <w:marRight w:val="0"/>
          <w:marTop w:val="86"/>
          <w:marBottom w:val="0"/>
          <w:divBdr>
            <w:top w:val="none" w:sz="0" w:space="0" w:color="auto"/>
            <w:left w:val="none" w:sz="0" w:space="0" w:color="auto"/>
            <w:bottom w:val="none" w:sz="0" w:space="0" w:color="auto"/>
            <w:right w:val="none" w:sz="0" w:space="0" w:color="auto"/>
          </w:divBdr>
        </w:div>
        <w:div w:id="1695112895">
          <w:marLeft w:val="806"/>
          <w:marRight w:val="0"/>
          <w:marTop w:val="86"/>
          <w:marBottom w:val="0"/>
          <w:divBdr>
            <w:top w:val="none" w:sz="0" w:space="0" w:color="auto"/>
            <w:left w:val="none" w:sz="0" w:space="0" w:color="auto"/>
            <w:bottom w:val="none" w:sz="0" w:space="0" w:color="auto"/>
            <w:right w:val="none" w:sz="0" w:space="0" w:color="auto"/>
          </w:divBdr>
        </w:div>
        <w:div w:id="2050450190">
          <w:marLeft w:val="806"/>
          <w:marRight w:val="0"/>
          <w:marTop w:val="86"/>
          <w:marBottom w:val="0"/>
          <w:divBdr>
            <w:top w:val="none" w:sz="0" w:space="0" w:color="auto"/>
            <w:left w:val="none" w:sz="0" w:space="0" w:color="auto"/>
            <w:bottom w:val="none" w:sz="0" w:space="0" w:color="auto"/>
            <w:right w:val="none" w:sz="0" w:space="0" w:color="auto"/>
          </w:divBdr>
        </w:div>
      </w:divsChild>
    </w:div>
    <w:div w:id="1829439182">
      <w:bodyDiv w:val="1"/>
      <w:marLeft w:val="0"/>
      <w:marRight w:val="0"/>
      <w:marTop w:val="0"/>
      <w:marBottom w:val="0"/>
      <w:divBdr>
        <w:top w:val="none" w:sz="0" w:space="0" w:color="auto"/>
        <w:left w:val="none" w:sz="0" w:space="0" w:color="auto"/>
        <w:bottom w:val="none" w:sz="0" w:space="0" w:color="auto"/>
        <w:right w:val="none" w:sz="0" w:space="0" w:color="auto"/>
      </w:divBdr>
    </w:div>
    <w:div w:id="1868442160">
      <w:bodyDiv w:val="1"/>
      <w:marLeft w:val="0"/>
      <w:marRight w:val="0"/>
      <w:marTop w:val="0"/>
      <w:marBottom w:val="0"/>
      <w:divBdr>
        <w:top w:val="none" w:sz="0" w:space="0" w:color="auto"/>
        <w:left w:val="none" w:sz="0" w:space="0" w:color="auto"/>
        <w:bottom w:val="none" w:sz="0" w:space="0" w:color="auto"/>
        <w:right w:val="none" w:sz="0" w:space="0" w:color="auto"/>
      </w:divBdr>
    </w:div>
    <w:div w:id="1978560774">
      <w:bodyDiv w:val="1"/>
      <w:marLeft w:val="0"/>
      <w:marRight w:val="0"/>
      <w:marTop w:val="0"/>
      <w:marBottom w:val="0"/>
      <w:divBdr>
        <w:top w:val="none" w:sz="0" w:space="0" w:color="auto"/>
        <w:left w:val="none" w:sz="0" w:space="0" w:color="auto"/>
        <w:bottom w:val="none" w:sz="0" w:space="0" w:color="auto"/>
        <w:right w:val="none" w:sz="0" w:space="0" w:color="auto"/>
      </w:divBdr>
    </w:div>
    <w:div w:id="2012104710">
      <w:bodyDiv w:val="1"/>
      <w:marLeft w:val="0"/>
      <w:marRight w:val="0"/>
      <w:marTop w:val="0"/>
      <w:marBottom w:val="0"/>
      <w:divBdr>
        <w:top w:val="none" w:sz="0" w:space="0" w:color="auto"/>
        <w:left w:val="none" w:sz="0" w:space="0" w:color="auto"/>
        <w:bottom w:val="none" w:sz="0" w:space="0" w:color="auto"/>
        <w:right w:val="none" w:sz="0" w:space="0" w:color="auto"/>
      </w:divBdr>
      <w:divsChild>
        <w:div w:id="197591574">
          <w:marLeft w:val="0"/>
          <w:marRight w:val="0"/>
          <w:marTop w:val="0"/>
          <w:marBottom w:val="0"/>
          <w:divBdr>
            <w:top w:val="none" w:sz="0" w:space="0" w:color="auto"/>
            <w:left w:val="none" w:sz="0" w:space="0" w:color="auto"/>
            <w:bottom w:val="none" w:sz="0" w:space="0" w:color="auto"/>
            <w:right w:val="none" w:sz="0" w:space="0" w:color="auto"/>
          </w:divBdr>
        </w:div>
        <w:div w:id="238447066">
          <w:marLeft w:val="0"/>
          <w:marRight w:val="0"/>
          <w:marTop w:val="0"/>
          <w:marBottom w:val="0"/>
          <w:divBdr>
            <w:top w:val="none" w:sz="0" w:space="0" w:color="auto"/>
            <w:left w:val="none" w:sz="0" w:space="0" w:color="auto"/>
            <w:bottom w:val="none" w:sz="0" w:space="0" w:color="auto"/>
            <w:right w:val="none" w:sz="0" w:space="0" w:color="auto"/>
          </w:divBdr>
        </w:div>
        <w:div w:id="266012378">
          <w:marLeft w:val="0"/>
          <w:marRight w:val="0"/>
          <w:marTop w:val="0"/>
          <w:marBottom w:val="0"/>
          <w:divBdr>
            <w:top w:val="none" w:sz="0" w:space="0" w:color="auto"/>
            <w:left w:val="none" w:sz="0" w:space="0" w:color="auto"/>
            <w:bottom w:val="none" w:sz="0" w:space="0" w:color="auto"/>
            <w:right w:val="none" w:sz="0" w:space="0" w:color="auto"/>
          </w:divBdr>
        </w:div>
        <w:div w:id="541287128">
          <w:marLeft w:val="0"/>
          <w:marRight w:val="0"/>
          <w:marTop w:val="0"/>
          <w:marBottom w:val="0"/>
          <w:divBdr>
            <w:top w:val="none" w:sz="0" w:space="0" w:color="auto"/>
            <w:left w:val="none" w:sz="0" w:space="0" w:color="auto"/>
            <w:bottom w:val="none" w:sz="0" w:space="0" w:color="auto"/>
            <w:right w:val="none" w:sz="0" w:space="0" w:color="auto"/>
          </w:divBdr>
        </w:div>
        <w:div w:id="1641611561">
          <w:marLeft w:val="0"/>
          <w:marRight w:val="0"/>
          <w:marTop w:val="0"/>
          <w:marBottom w:val="0"/>
          <w:divBdr>
            <w:top w:val="none" w:sz="0" w:space="0" w:color="auto"/>
            <w:left w:val="none" w:sz="0" w:space="0" w:color="auto"/>
            <w:bottom w:val="none" w:sz="0" w:space="0" w:color="auto"/>
            <w:right w:val="none" w:sz="0" w:space="0" w:color="auto"/>
          </w:divBdr>
        </w:div>
        <w:div w:id="1760953440">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2CE8D4D6-EF97-4A4A-8718-6AFAF93D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1052</Words>
  <Characters>5997</Characters>
  <Application>Microsoft Office Word</Application>
  <DocSecurity>4</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World Health Organization</Company>
  <LinksUpToDate>false</LinksUpToDate>
  <CharactersWithSpaces>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SENOUCI, Kamel</dc:creator>
  <cp:lastModifiedBy>MAFUNGA, Neddy</cp:lastModifiedBy>
  <cp:revision>2</cp:revision>
  <cp:lastPrinted>2016-06-28T07:36:00Z</cp:lastPrinted>
  <dcterms:created xsi:type="dcterms:W3CDTF">2016-08-26T10:48:00Z</dcterms:created>
  <dcterms:modified xsi:type="dcterms:W3CDTF">2016-08-26T10:48:00Z</dcterms:modified>
</cp:coreProperties>
</file>