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27BB5" w:rsidRPr="00C27BB5" w:rsidRDefault="00C27BB5" w:rsidP="00C27BB5">
      <w:pPr>
        <w:jc w:val="center"/>
        <w:rPr>
          <w:b/>
          <w:sz w:val="40"/>
          <w:szCs w:val="40"/>
        </w:rPr>
      </w:pPr>
      <w:bookmarkStart w:id="0" w:name="_GoBack"/>
      <w:bookmarkEnd w:id="0"/>
      <w:r w:rsidRPr="00C27BB5">
        <w:rPr>
          <w:b/>
          <w:sz w:val="40"/>
          <w:szCs w:val="40"/>
        </w:rPr>
        <w:t>Global Vaccine Action Plan</w:t>
      </w:r>
    </w:p>
    <w:p w:rsidR="009D32E5" w:rsidRDefault="00C27BB5" w:rsidP="00C27BB5">
      <w:pPr>
        <w:jc w:val="center"/>
        <w:rPr>
          <w:i/>
          <w:sz w:val="40"/>
          <w:szCs w:val="40"/>
        </w:rPr>
      </w:pPr>
      <w:r w:rsidRPr="00C27BB5">
        <w:rPr>
          <w:i/>
          <w:sz w:val="40"/>
          <w:szCs w:val="40"/>
        </w:rPr>
        <w:t>Secretariat Annual Report 2016</w:t>
      </w:r>
    </w:p>
    <w:p w:rsidR="009D32E5" w:rsidRDefault="00C27BB5" w:rsidP="00C27BB5">
      <w:pPr>
        <w:jc w:val="center"/>
        <w:rPr>
          <w:i/>
          <w:sz w:val="40"/>
          <w:szCs w:val="40"/>
        </w:rPr>
      </w:pPr>
      <w:r>
        <w:rPr>
          <w:i/>
          <w:sz w:val="40"/>
          <w:szCs w:val="40"/>
        </w:rPr>
        <w:t>Priority C</w:t>
      </w:r>
      <w:r w:rsidRPr="00C27BB5">
        <w:rPr>
          <w:i/>
          <w:sz w:val="40"/>
          <w:szCs w:val="40"/>
        </w:rPr>
        <w:t xml:space="preserve">ountry report on progress towards </w:t>
      </w:r>
    </w:p>
    <w:p w:rsidR="00734BA0" w:rsidRPr="00C27BB5" w:rsidRDefault="00C27BB5" w:rsidP="00C27BB5">
      <w:pPr>
        <w:jc w:val="center"/>
        <w:rPr>
          <w:i/>
          <w:sz w:val="40"/>
          <w:szCs w:val="40"/>
        </w:rPr>
      </w:pPr>
      <w:r>
        <w:rPr>
          <w:i/>
          <w:sz w:val="40"/>
          <w:szCs w:val="40"/>
        </w:rPr>
        <w:t>GVAP-RVAP</w:t>
      </w:r>
      <w:r w:rsidRPr="00C27BB5">
        <w:rPr>
          <w:i/>
          <w:sz w:val="40"/>
          <w:szCs w:val="40"/>
        </w:rPr>
        <w:t xml:space="preserve"> goals </w:t>
      </w:r>
    </w:p>
    <w:p w:rsidR="009D32E5" w:rsidRDefault="009D32E5" w:rsidP="00C27BB5">
      <w:pPr>
        <w:jc w:val="center"/>
        <w:rPr>
          <w:rFonts w:ascii="Arial" w:hAnsi="Arial"/>
          <w:b/>
          <w:sz w:val="32"/>
        </w:rPr>
      </w:pPr>
    </w:p>
    <w:p w:rsidR="00C27BB5" w:rsidRPr="00C400A7" w:rsidRDefault="00C27BB5" w:rsidP="00C27BB5">
      <w:pPr>
        <w:jc w:val="center"/>
        <w:rPr>
          <w:rFonts w:ascii="Arial" w:hAnsi="Arial"/>
          <w:b/>
          <w:sz w:val="36"/>
        </w:rPr>
      </w:pPr>
      <w:r w:rsidRPr="00C400A7">
        <w:rPr>
          <w:rFonts w:ascii="Arial" w:hAnsi="Arial"/>
          <w:b/>
          <w:sz w:val="36"/>
        </w:rPr>
        <w:t xml:space="preserve">UGANDA </w:t>
      </w:r>
    </w:p>
    <w:p w:rsidR="00C27BB5" w:rsidRDefault="00C27BB5" w:rsidP="00C27BB5">
      <w:pPr>
        <w:jc w:val="center"/>
        <w:rPr>
          <w:rFonts w:ascii="Arial" w:hAnsi="Arial"/>
          <w:b/>
          <w:sz w:val="32"/>
        </w:rPr>
      </w:pPr>
    </w:p>
    <w:p w:rsidR="00457E0A" w:rsidRPr="00BB5F62" w:rsidRDefault="00457E0A" w:rsidP="00457E0A">
      <w:pPr>
        <w:pStyle w:val="ListParagraph"/>
        <w:numPr>
          <w:ilvl w:val="0"/>
          <w:numId w:val="3"/>
        </w:numPr>
        <w:rPr>
          <w:rFonts w:ascii="Arial" w:hAnsi="Arial"/>
          <w:b/>
          <w:sz w:val="26"/>
          <w:szCs w:val="26"/>
        </w:rPr>
      </w:pPr>
      <w:r w:rsidRPr="00BB5F62">
        <w:rPr>
          <w:rFonts w:ascii="Arial" w:hAnsi="Arial"/>
          <w:b/>
          <w:sz w:val="26"/>
          <w:szCs w:val="26"/>
        </w:rPr>
        <w:t xml:space="preserve">Progress towards achievement of GVAP goals </w:t>
      </w:r>
    </w:p>
    <w:p w:rsidR="00457E0A" w:rsidRPr="00457E0A" w:rsidRDefault="00457E0A" w:rsidP="00457E0A">
      <w:pPr>
        <w:pStyle w:val="ListParagraph"/>
        <w:rPr>
          <w:rFonts w:ascii="Arial" w:hAnsi="Arial"/>
          <w:b/>
        </w:rPr>
      </w:pPr>
    </w:p>
    <w:p w:rsidR="00163179" w:rsidRPr="00BB5F62" w:rsidRDefault="00C67C9D" w:rsidP="00163179">
      <w:pPr>
        <w:pStyle w:val="ListParagraph"/>
        <w:numPr>
          <w:ilvl w:val="0"/>
          <w:numId w:val="1"/>
        </w:numPr>
        <w:rPr>
          <w:rFonts w:ascii="Arial" w:hAnsi="Arial"/>
          <w:b/>
          <w:sz w:val="24"/>
          <w:szCs w:val="24"/>
        </w:rPr>
      </w:pPr>
      <w:r w:rsidRPr="00BB5F62">
        <w:rPr>
          <w:rFonts w:ascii="Arial" w:hAnsi="Arial"/>
          <w:b/>
          <w:sz w:val="24"/>
          <w:szCs w:val="24"/>
        </w:rPr>
        <w:t xml:space="preserve">Summary </w:t>
      </w:r>
    </w:p>
    <w:p w:rsidR="00BA2589" w:rsidRDefault="00BA2589" w:rsidP="006A05E4">
      <w:pPr>
        <w:rPr>
          <w:rFonts w:ascii="Arial" w:hAnsi="Arial"/>
        </w:rPr>
      </w:pPr>
      <w:r w:rsidRPr="0000352E">
        <w:rPr>
          <w:rFonts w:ascii="Arial" w:hAnsi="Arial"/>
        </w:rPr>
        <w:t xml:space="preserve">This </w:t>
      </w:r>
      <w:r w:rsidR="006C334B">
        <w:rPr>
          <w:rFonts w:ascii="Arial" w:hAnsi="Arial"/>
        </w:rPr>
        <w:t xml:space="preserve">summary table describes </w:t>
      </w:r>
      <w:r w:rsidRPr="0000352E">
        <w:rPr>
          <w:rFonts w:ascii="Arial" w:hAnsi="Arial"/>
        </w:rPr>
        <w:t xml:space="preserve">the current situation in </w:t>
      </w:r>
      <w:r w:rsidR="006A05E4">
        <w:rPr>
          <w:rFonts w:ascii="Arial" w:hAnsi="Arial"/>
        </w:rPr>
        <w:t>Uganda</w:t>
      </w:r>
      <w:r w:rsidRPr="0000352E">
        <w:rPr>
          <w:rFonts w:ascii="Arial" w:hAnsi="Arial"/>
        </w:rPr>
        <w:t xml:space="preserve"> regarding achieving the GVAP goals.</w:t>
      </w:r>
      <w:r w:rsidR="00492F98">
        <w:rPr>
          <w:rFonts w:ascii="Arial" w:hAnsi="Arial"/>
        </w:rPr>
        <w:t xml:space="preserve"> </w:t>
      </w:r>
      <w:r w:rsidR="00500171">
        <w:rPr>
          <w:rFonts w:ascii="Arial" w:hAnsi="Arial"/>
        </w:rPr>
        <w:t>D</w:t>
      </w:r>
      <w:r w:rsidR="00696E6A">
        <w:rPr>
          <w:rFonts w:ascii="Arial" w:hAnsi="Arial"/>
        </w:rPr>
        <w:t xml:space="preserve">ata </w:t>
      </w:r>
      <w:r w:rsidR="00E11B99">
        <w:rPr>
          <w:rFonts w:ascii="Arial" w:hAnsi="Arial"/>
        </w:rPr>
        <w:t xml:space="preserve">used to assess progress towards achievement of </w:t>
      </w:r>
      <w:r w:rsidR="00696E6A">
        <w:rPr>
          <w:rFonts w:ascii="Arial" w:hAnsi="Arial"/>
        </w:rPr>
        <w:t xml:space="preserve">GVAP goals are included in the annex (Country </w:t>
      </w:r>
      <w:r w:rsidR="00D00DC6">
        <w:rPr>
          <w:rFonts w:ascii="Arial" w:hAnsi="Arial"/>
        </w:rPr>
        <w:t xml:space="preserve">immunization </w:t>
      </w:r>
      <w:r w:rsidR="00696E6A">
        <w:rPr>
          <w:rFonts w:ascii="Arial" w:hAnsi="Arial"/>
        </w:rPr>
        <w:t>profile).</w:t>
      </w:r>
    </w:p>
    <w:tbl>
      <w:tblPr>
        <w:tblW w:w="9249" w:type="dxa"/>
        <w:jc w:val="center"/>
        <w:tblLook w:val="04A0" w:firstRow="1" w:lastRow="0" w:firstColumn="1" w:lastColumn="0" w:noHBand="0" w:noVBand="1"/>
      </w:tblPr>
      <w:tblGrid>
        <w:gridCol w:w="3189"/>
        <w:gridCol w:w="3673"/>
        <w:gridCol w:w="2387"/>
      </w:tblGrid>
      <w:tr w:rsidR="00572AD9" w:rsidRPr="00B13A2F" w:rsidTr="00AB1003">
        <w:trPr>
          <w:trHeight w:val="675"/>
          <w:tblHeader/>
          <w:jc w:val="center"/>
        </w:trPr>
        <w:tc>
          <w:tcPr>
            <w:tcW w:w="318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72AD9" w:rsidRPr="00572AD9" w:rsidRDefault="00572AD9" w:rsidP="00572AD9">
            <w:pPr>
              <w:spacing w:after="0" w:line="240" w:lineRule="auto"/>
              <w:rPr>
                <w:rFonts w:eastAsia="Times New Roman" w:cs="Calibri"/>
                <w:b/>
                <w:bCs/>
                <w:color w:val="000000"/>
                <w:sz w:val="28"/>
                <w:szCs w:val="28"/>
                <w:lang w:eastAsia="en-GB"/>
              </w:rPr>
            </w:pPr>
            <w:r w:rsidRPr="00572AD9">
              <w:rPr>
                <w:rFonts w:eastAsia="Times New Roman" w:cs="Calibri"/>
                <w:b/>
                <w:bCs/>
                <w:color w:val="000000"/>
                <w:sz w:val="28"/>
                <w:szCs w:val="28"/>
                <w:lang w:eastAsia="en-GB"/>
              </w:rPr>
              <w:t>Area</w:t>
            </w:r>
          </w:p>
        </w:tc>
        <w:tc>
          <w:tcPr>
            <w:tcW w:w="3673" w:type="dxa"/>
            <w:tcBorders>
              <w:top w:val="single" w:sz="4" w:space="0" w:color="auto"/>
              <w:left w:val="nil"/>
              <w:bottom w:val="single" w:sz="4" w:space="0" w:color="auto"/>
              <w:right w:val="single" w:sz="4" w:space="0" w:color="auto"/>
            </w:tcBorders>
            <w:shd w:val="clear" w:color="auto" w:fill="auto"/>
            <w:vAlign w:val="center"/>
            <w:hideMark/>
          </w:tcPr>
          <w:p w:rsidR="00572AD9" w:rsidRPr="00572AD9" w:rsidRDefault="00572AD9" w:rsidP="00572AD9">
            <w:pPr>
              <w:spacing w:after="0" w:line="240" w:lineRule="auto"/>
              <w:rPr>
                <w:rFonts w:eastAsia="Times New Roman" w:cs="Calibri"/>
                <w:b/>
                <w:bCs/>
                <w:color w:val="000000"/>
                <w:sz w:val="28"/>
                <w:szCs w:val="28"/>
                <w:lang w:eastAsia="en-GB"/>
              </w:rPr>
            </w:pPr>
            <w:r w:rsidRPr="00572AD9">
              <w:rPr>
                <w:rFonts w:eastAsia="Times New Roman" w:cs="Calibri"/>
                <w:b/>
                <w:bCs/>
                <w:color w:val="000000"/>
                <w:sz w:val="28"/>
                <w:szCs w:val="28"/>
                <w:lang w:eastAsia="en-GB"/>
              </w:rPr>
              <w:t>Indicator</w:t>
            </w:r>
          </w:p>
        </w:tc>
        <w:tc>
          <w:tcPr>
            <w:tcW w:w="2387" w:type="dxa"/>
            <w:tcBorders>
              <w:top w:val="single" w:sz="4" w:space="0" w:color="auto"/>
              <w:left w:val="nil"/>
              <w:bottom w:val="single" w:sz="4" w:space="0" w:color="auto"/>
              <w:right w:val="single" w:sz="4" w:space="0" w:color="auto"/>
            </w:tcBorders>
            <w:shd w:val="clear" w:color="auto" w:fill="auto"/>
            <w:vAlign w:val="center"/>
            <w:hideMark/>
          </w:tcPr>
          <w:p w:rsidR="00572AD9" w:rsidRPr="00572AD9" w:rsidRDefault="00BC6E1F" w:rsidP="00572AD9">
            <w:pPr>
              <w:spacing w:after="0" w:line="240" w:lineRule="auto"/>
              <w:jc w:val="center"/>
              <w:rPr>
                <w:rFonts w:eastAsia="Times New Roman" w:cs="Calibri"/>
                <w:b/>
                <w:bCs/>
                <w:color w:val="000000"/>
                <w:sz w:val="28"/>
                <w:szCs w:val="28"/>
                <w:lang w:eastAsia="en-GB"/>
              </w:rPr>
            </w:pPr>
            <w:r>
              <w:rPr>
                <w:rFonts w:eastAsia="Times New Roman" w:cs="Calibri"/>
                <w:b/>
                <w:bCs/>
                <w:color w:val="000000"/>
                <w:sz w:val="28"/>
                <w:szCs w:val="28"/>
                <w:lang w:eastAsia="en-GB"/>
              </w:rPr>
              <w:t xml:space="preserve">Data for </w:t>
            </w:r>
            <w:r w:rsidR="00572AD9" w:rsidRPr="00572AD9">
              <w:rPr>
                <w:rFonts w:eastAsia="Times New Roman" w:cs="Calibri"/>
                <w:b/>
                <w:bCs/>
                <w:color w:val="000000"/>
                <w:sz w:val="28"/>
                <w:szCs w:val="28"/>
                <w:lang w:eastAsia="en-GB"/>
              </w:rPr>
              <w:t>Uganda</w:t>
            </w:r>
          </w:p>
        </w:tc>
      </w:tr>
      <w:tr w:rsidR="00AA67AB" w:rsidRPr="00B13A2F" w:rsidTr="00AB1003">
        <w:trPr>
          <w:trHeight w:val="300"/>
          <w:jc w:val="center"/>
        </w:trPr>
        <w:tc>
          <w:tcPr>
            <w:tcW w:w="3189" w:type="dxa"/>
            <w:vMerge w:val="restart"/>
            <w:tcBorders>
              <w:top w:val="nil"/>
              <w:left w:val="single" w:sz="4" w:space="0" w:color="auto"/>
              <w:right w:val="single" w:sz="4" w:space="0" w:color="auto"/>
            </w:tcBorders>
            <w:shd w:val="clear" w:color="auto" w:fill="auto"/>
            <w:hideMark/>
          </w:tcPr>
          <w:p w:rsidR="00AA67AB" w:rsidRPr="00572AD9" w:rsidRDefault="00AA67AB" w:rsidP="00AA67AB">
            <w:pPr>
              <w:spacing w:after="0" w:line="240" w:lineRule="auto"/>
              <w:rPr>
                <w:rFonts w:eastAsia="Times New Roman" w:cs="Calibri"/>
                <w:b/>
                <w:bCs/>
                <w:color w:val="000000"/>
                <w:lang w:eastAsia="en-GB"/>
              </w:rPr>
            </w:pPr>
            <w:r w:rsidRPr="00572AD9">
              <w:rPr>
                <w:rFonts w:eastAsia="Times New Roman" w:cs="Calibri"/>
                <w:b/>
                <w:bCs/>
                <w:color w:val="000000"/>
                <w:lang w:eastAsia="en-GB"/>
              </w:rPr>
              <w:t>Socio-demographic</w:t>
            </w:r>
          </w:p>
        </w:tc>
        <w:tc>
          <w:tcPr>
            <w:tcW w:w="3673" w:type="dxa"/>
            <w:tcBorders>
              <w:top w:val="nil"/>
              <w:left w:val="nil"/>
              <w:bottom w:val="single" w:sz="4" w:space="0" w:color="auto"/>
              <w:right w:val="single" w:sz="4" w:space="0" w:color="auto"/>
            </w:tcBorders>
            <w:shd w:val="clear" w:color="auto" w:fill="auto"/>
            <w:vAlign w:val="center"/>
            <w:hideMark/>
          </w:tcPr>
          <w:p w:rsidR="00AA67AB" w:rsidRPr="00572AD9" w:rsidRDefault="00AA67AB" w:rsidP="00572AD9">
            <w:pPr>
              <w:spacing w:after="0" w:line="240" w:lineRule="auto"/>
              <w:rPr>
                <w:rFonts w:eastAsia="Times New Roman" w:cs="Calibri"/>
                <w:b/>
                <w:bCs/>
                <w:color w:val="000000"/>
                <w:lang w:eastAsia="en-GB"/>
              </w:rPr>
            </w:pPr>
            <w:r w:rsidRPr="00572AD9">
              <w:rPr>
                <w:rFonts w:eastAsia="Times New Roman" w:cs="Calibri"/>
                <w:b/>
                <w:bCs/>
                <w:color w:val="000000"/>
                <w:lang w:eastAsia="en-GB"/>
              </w:rPr>
              <w:t>GNI 2014</w:t>
            </w:r>
          </w:p>
        </w:tc>
        <w:tc>
          <w:tcPr>
            <w:tcW w:w="2387" w:type="dxa"/>
            <w:tcBorders>
              <w:top w:val="nil"/>
              <w:left w:val="nil"/>
              <w:bottom w:val="single" w:sz="4" w:space="0" w:color="auto"/>
              <w:right w:val="single" w:sz="4" w:space="0" w:color="auto"/>
            </w:tcBorders>
            <w:shd w:val="clear" w:color="auto" w:fill="auto"/>
            <w:vAlign w:val="center"/>
            <w:hideMark/>
          </w:tcPr>
          <w:p w:rsidR="00AA67AB" w:rsidRPr="00572AD9" w:rsidRDefault="00AA67AB" w:rsidP="00572AD9">
            <w:pPr>
              <w:spacing w:after="0" w:line="240" w:lineRule="auto"/>
              <w:jc w:val="center"/>
              <w:rPr>
                <w:rFonts w:eastAsia="Times New Roman" w:cs="Calibri"/>
                <w:b/>
                <w:bCs/>
                <w:color w:val="000000"/>
                <w:lang w:eastAsia="en-GB"/>
              </w:rPr>
            </w:pPr>
            <w:r w:rsidRPr="00572AD9">
              <w:rPr>
                <w:rFonts w:eastAsia="Times New Roman" w:cs="Calibri"/>
                <w:b/>
                <w:bCs/>
                <w:color w:val="000000"/>
                <w:lang w:eastAsia="en-GB"/>
              </w:rPr>
              <w:t>660</w:t>
            </w:r>
          </w:p>
        </w:tc>
      </w:tr>
      <w:tr w:rsidR="00AA67AB" w:rsidRPr="00B13A2F" w:rsidTr="00AB1003">
        <w:trPr>
          <w:trHeight w:val="600"/>
          <w:jc w:val="center"/>
        </w:trPr>
        <w:tc>
          <w:tcPr>
            <w:tcW w:w="3189" w:type="dxa"/>
            <w:vMerge/>
            <w:tcBorders>
              <w:left w:val="single" w:sz="4" w:space="0" w:color="auto"/>
              <w:right w:val="single" w:sz="4" w:space="0" w:color="auto"/>
            </w:tcBorders>
            <w:shd w:val="clear" w:color="auto" w:fill="auto"/>
            <w:vAlign w:val="center"/>
            <w:hideMark/>
          </w:tcPr>
          <w:p w:rsidR="00AA67AB" w:rsidRPr="00572AD9" w:rsidRDefault="00AA67AB" w:rsidP="00572AD9">
            <w:pPr>
              <w:spacing w:after="0" w:line="240" w:lineRule="auto"/>
              <w:rPr>
                <w:rFonts w:eastAsia="Times New Roman" w:cs="Calibri"/>
                <w:b/>
                <w:bCs/>
                <w:color w:val="000000"/>
                <w:lang w:eastAsia="en-GB"/>
              </w:rPr>
            </w:pPr>
          </w:p>
        </w:tc>
        <w:tc>
          <w:tcPr>
            <w:tcW w:w="3673" w:type="dxa"/>
            <w:tcBorders>
              <w:top w:val="nil"/>
              <w:left w:val="nil"/>
              <w:bottom w:val="single" w:sz="4" w:space="0" w:color="auto"/>
              <w:right w:val="single" w:sz="4" w:space="0" w:color="auto"/>
            </w:tcBorders>
            <w:shd w:val="clear" w:color="auto" w:fill="auto"/>
            <w:vAlign w:val="center"/>
            <w:hideMark/>
          </w:tcPr>
          <w:p w:rsidR="00AA67AB" w:rsidRPr="00572AD9" w:rsidRDefault="00AA67AB" w:rsidP="00AA67AB">
            <w:pPr>
              <w:spacing w:after="0" w:line="240" w:lineRule="auto"/>
              <w:rPr>
                <w:rFonts w:eastAsia="Times New Roman" w:cs="Calibri"/>
                <w:b/>
                <w:bCs/>
                <w:color w:val="000000"/>
                <w:lang w:eastAsia="en-GB"/>
              </w:rPr>
            </w:pPr>
            <w:r w:rsidRPr="00572AD9">
              <w:rPr>
                <w:rFonts w:eastAsia="Times New Roman" w:cs="Calibri"/>
                <w:b/>
                <w:bCs/>
                <w:color w:val="000000"/>
                <w:lang w:eastAsia="en-GB"/>
              </w:rPr>
              <w:t xml:space="preserve">WB </w:t>
            </w:r>
            <w:r>
              <w:rPr>
                <w:rFonts w:eastAsia="Times New Roman" w:cs="Calibri"/>
                <w:b/>
                <w:bCs/>
                <w:color w:val="000000"/>
                <w:lang w:eastAsia="en-GB"/>
              </w:rPr>
              <w:t>s</w:t>
            </w:r>
            <w:r w:rsidRPr="00572AD9">
              <w:rPr>
                <w:rFonts w:eastAsia="Times New Roman" w:cs="Calibri"/>
                <w:b/>
                <w:bCs/>
                <w:color w:val="000000"/>
                <w:lang w:eastAsia="en-GB"/>
              </w:rPr>
              <w:t>tatus</w:t>
            </w:r>
          </w:p>
        </w:tc>
        <w:tc>
          <w:tcPr>
            <w:tcW w:w="2387" w:type="dxa"/>
            <w:tcBorders>
              <w:top w:val="nil"/>
              <w:left w:val="nil"/>
              <w:bottom w:val="single" w:sz="4" w:space="0" w:color="auto"/>
              <w:right w:val="single" w:sz="4" w:space="0" w:color="auto"/>
            </w:tcBorders>
            <w:shd w:val="clear" w:color="auto" w:fill="auto"/>
            <w:vAlign w:val="center"/>
            <w:hideMark/>
          </w:tcPr>
          <w:p w:rsidR="00AA67AB" w:rsidRPr="00572AD9" w:rsidRDefault="00AA67AB" w:rsidP="00572AD9">
            <w:pPr>
              <w:spacing w:after="0" w:line="240" w:lineRule="auto"/>
              <w:jc w:val="center"/>
              <w:rPr>
                <w:rFonts w:eastAsia="Times New Roman" w:cs="Calibri"/>
                <w:b/>
                <w:bCs/>
                <w:color w:val="000000"/>
                <w:lang w:eastAsia="en-GB"/>
              </w:rPr>
            </w:pPr>
            <w:r w:rsidRPr="00572AD9">
              <w:rPr>
                <w:rFonts w:eastAsia="Times New Roman" w:cs="Calibri"/>
                <w:b/>
                <w:bCs/>
                <w:color w:val="000000"/>
                <w:lang w:eastAsia="en-GB"/>
              </w:rPr>
              <w:t>Low Income</w:t>
            </w:r>
          </w:p>
        </w:tc>
      </w:tr>
      <w:tr w:rsidR="00AA67AB" w:rsidRPr="00B13A2F" w:rsidTr="00AB1003">
        <w:trPr>
          <w:trHeight w:val="600"/>
          <w:jc w:val="center"/>
        </w:trPr>
        <w:tc>
          <w:tcPr>
            <w:tcW w:w="3189" w:type="dxa"/>
            <w:vMerge/>
            <w:tcBorders>
              <w:left w:val="single" w:sz="4" w:space="0" w:color="auto"/>
              <w:right w:val="single" w:sz="4" w:space="0" w:color="auto"/>
            </w:tcBorders>
            <w:shd w:val="clear" w:color="auto" w:fill="auto"/>
            <w:vAlign w:val="center"/>
            <w:hideMark/>
          </w:tcPr>
          <w:p w:rsidR="00AA67AB" w:rsidRPr="00572AD9" w:rsidRDefault="00AA67AB" w:rsidP="00572AD9">
            <w:pPr>
              <w:spacing w:after="0" w:line="240" w:lineRule="auto"/>
              <w:rPr>
                <w:rFonts w:eastAsia="Times New Roman" w:cs="Calibri"/>
                <w:b/>
                <w:bCs/>
                <w:color w:val="000000"/>
                <w:lang w:eastAsia="en-GB"/>
              </w:rPr>
            </w:pPr>
          </w:p>
        </w:tc>
        <w:tc>
          <w:tcPr>
            <w:tcW w:w="3673" w:type="dxa"/>
            <w:tcBorders>
              <w:top w:val="nil"/>
              <w:left w:val="nil"/>
              <w:bottom w:val="single" w:sz="4" w:space="0" w:color="auto"/>
              <w:right w:val="single" w:sz="4" w:space="0" w:color="auto"/>
            </w:tcBorders>
            <w:shd w:val="clear" w:color="auto" w:fill="auto"/>
            <w:vAlign w:val="center"/>
            <w:hideMark/>
          </w:tcPr>
          <w:p w:rsidR="00AA67AB" w:rsidRPr="00BC6E1F" w:rsidRDefault="00AA67AB" w:rsidP="00572AD9">
            <w:pPr>
              <w:spacing w:after="0" w:line="240" w:lineRule="auto"/>
              <w:rPr>
                <w:rFonts w:eastAsia="Times New Roman" w:cs="Calibri"/>
                <w:b/>
                <w:bCs/>
                <w:color w:val="000000"/>
                <w:lang w:val="fr-FR" w:eastAsia="en-GB"/>
              </w:rPr>
            </w:pPr>
            <w:r w:rsidRPr="00BC6E1F">
              <w:rPr>
                <w:rFonts w:eastAsia="Times New Roman" w:cs="Calibri"/>
                <w:b/>
                <w:bCs/>
                <w:color w:val="000000"/>
                <w:lang w:val="fr-FR" w:eastAsia="en-GB"/>
              </w:rPr>
              <w:t xml:space="preserve">Infant mortality (&lt;12 M) 2015 </w:t>
            </w:r>
            <w:r>
              <w:rPr>
                <w:rFonts w:eastAsia="Times New Roman" w:cs="Calibri"/>
                <w:b/>
                <w:bCs/>
                <w:color w:val="000000"/>
                <w:lang w:val="fr-FR" w:eastAsia="en-GB"/>
              </w:rPr>
              <w:t>(</w:t>
            </w:r>
            <w:r w:rsidRPr="00BC6E1F">
              <w:rPr>
                <w:rFonts w:eastAsia="Times New Roman" w:cs="Calibri"/>
                <w:b/>
                <w:bCs/>
                <w:color w:val="000000"/>
                <w:lang w:val="fr-FR" w:eastAsia="en-GB"/>
              </w:rPr>
              <w:t>UN IAG CME</w:t>
            </w:r>
            <w:r>
              <w:rPr>
                <w:rFonts w:eastAsia="Times New Roman" w:cs="Calibri"/>
                <w:b/>
                <w:bCs/>
                <w:color w:val="000000"/>
                <w:lang w:val="fr-FR" w:eastAsia="en-GB"/>
              </w:rPr>
              <w:t>)</w:t>
            </w:r>
          </w:p>
        </w:tc>
        <w:tc>
          <w:tcPr>
            <w:tcW w:w="2387" w:type="dxa"/>
            <w:tcBorders>
              <w:top w:val="nil"/>
              <w:left w:val="nil"/>
              <w:bottom w:val="single" w:sz="4" w:space="0" w:color="auto"/>
              <w:right w:val="single" w:sz="4" w:space="0" w:color="auto"/>
            </w:tcBorders>
            <w:shd w:val="clear" w:color="auto" w:fill="auto"/>
            <w:vAlign w:val="center"/>
            <w:hideMark/>
          </w:tcPr>
          <w:p w:rsidR="00AA67AB" w:rsidRPr="00572AD9" w:rsidRDefault="00AA67AB" w:rsidP="00572AD9">
            <w:pPr>
              <w:spacing w:after="0" w:line="240" w:lineRule="auto"/>
              <w:jc w:val="center"/>
              <w:rPr>
                <w:rFonts w:eastAsia="Times New Roman" w:cs="Calibri"/>
                <w:b/>
                <w:bCs/>
                <w:color w:val="000000"/>
                <w:lang w:eastAsia="en-GB"/>
              </w:rPr>
            </w:pPr>
            <w:r w:rsidRPr="00572AD9">
              <w:rPr>
                <w:rFonts w:eastAsia="Times New Roman" w:cs="Calibri"/>
                <w:b/>
                <w:bCs/>
                <w:color w:val="000000"/>
                <w:lang w:eastAsia="en-GB"/>
              </w:rPr>
              <w:t>38</w:t>
            </w:r>
          </w:p>
        </w:tc>
      </w:tr>
      <w:tr w:rsidR="00AA67AB" w:rsidRPr="00B13A2F" w:rsidTr="00AB1003">
        <w:trPr>
          <w:trHeight w:val="300"/>
          <w:jc w:val="center"/>
        </w:trPr>
        <w:tc>
          <w:tcPr>
            <w:tcW w:w="3189" w:type="dxa"/>
            <w:vMerge/>
            <w:tcBorders>
              <w:left w:val="single" w:sz="4" w:space="0" w:color="auto"/>
              <w:right w:val="single" w:sz="4" w:space="0" w:color="auto"/>
            </w:tcBorders>
            <w:shd w:val="clear" w:color="auto" w:fill="auto"/>
            <w:vAlign w:val="center"/>
            <w:hideMark/>
          </w:tcPr>
          <w:p w:rsidR="00AA67AB" w:rsidRPr="00572AD9" w:rsidRDefault="00AA67AB" w:rsidP="00572AD9">
            <w:pPr>
              <w:spacing w:after="0" w:line="240" w:lineRule="auto"/>
              <w:rPr>
                <w:rFonts w:eastAsia="Times New Roman" w:cs="Calibri"/>
                <w:b/>
                <w:bCs/>
                <w:color w:val="000000"/>
                <w:lang w:eastAsia="en-GB"/>
              </w:rPr>
            </w:pPr>
          </w:p>
        </w:tc>
        <w:tc>
          <w:tcPr>
            <w:tcW w:w="3673" w:type="dxa"/>
            <w:tcBorders>
              <w:top w:val="nil"/>
              <w:left w:val="nil"/>
              <w:bottom w:val="single" w:sz="4" w:space="0" w:color="auto"/>
              <w:right w:val="single" w:sz="4" w:space="0" w:color="auto"/>
            </w:tcBorders>
            <w:shd w:val="clear" w:color="auto" w:fill="auto"/>
            <w:vAlign w:val="center"/>
            <w:hideMark/>
          </w:tcPr>
          <w:p w:rsidR="00AA67AB" w:rsidRPr="00572AD9" w:rsidRDefault="00AA67AB" w:rsidP="00572AD9">
            <w:pPr>
              <w:spacing w:after="0" w:line="240" w:lineRule="auto"/>
              <w:rPr>
                <w:rFonts w:eastAsia="Times New Roman" w:cs="Calibri"/>
                <w:b/>
                <w:bCs/>
                <w:color w:val="000000"/>
                <w:lang w:eastAsia="en-GB"/>
              </w:rPr>
            </w:pPr>
            <w:r>
              <w:rPr>
                <w:rFonts w:eastAsia="Times New Roman" w:cs="Calibri"/>
                <w:b/>
                <w:bCs/>
                <w:color w:val="000000"/>
                <w:lang w:eastAsia="en-GB"/>
              </w:rPr>
              <w:t>GAVI s</w:t>
            </w:r>
            <w:r w:rsidRPr="00572AD9">
              <w:rPr>
                <w:rFonts w:eastAsia="Times New Roman" w:cs="Calibri"/>
                <w:b/>
                <w:bCs/>
                <w:color w:val="000000"/>
                <w:lang w:eastAsia="en-GB"/>
              </w:rPr>
              <w:t>tatus</w:t>
            </w:r>
          </w:p>
        </w:tc>
        <w:tc>
          <w:tcPr>
            <w:tcW w:w="2387" w:type="dxa"/>
            <w:tcBorders>
              <w:top w:val="nil"/>
              <w:left w:val="nil"/>
              <w:bottom w:val="single" w:sz="4" w:space="0" w:color="auto"/>
              <w:right w:val="single" w:sz="4" w:space="0" w:color="auto"/>
            </w:tcBorders>
            <w:shd w:val="clear" w:color="auto" w:fill="auto"/>
            <w:vAlign w:val="center"/>
            <w:hideMark/>
          </w:tcPr>
          <w:p w:rsidR="00AA67AB" w:rsidRPr="00572AD9" w:rsidRDefault="00AA67AB" w:rsidP="00572AD9">
            <w:pPr>
              <w:spacing w:after="0" w:line="240" w:lineRule="auto"/>
              <w:jc w:val="center"/>
              <w:rPr>
                <w:rFonts w:eastAsia="Times New Roman" w:cs="Calibri"/>
                <w:b/>
                <w:bCs/>
                <w:color w:val="000000"/>
                <w:lang w:eastAsia="en-GB"/>
              </w:rPr>
            </w:pPr>
            <w:r w:rsidRPr="00572AD9">
              <w:rPr>
                <w:rFonts w:eastAsia="Times New Roman" w:cs="Calibri"/>
                <w:b/>
                <w:bCs/>
                <w:color w:val="000000"/>
                <w:lang w:eastAsia="en-GB"/>
              </w:rPr>
              <w:t>Eligible</w:t>
            </w:r>
          </w:p>
        </w:tc>
      </w:tr>
      <w:tr w:rsidR="00AA67AB" w:rsidRPr="00B13A2F" w:rsidTr="00AB1003">
        <w:trPr>
          <w:trHeight w:val="300"/>
          <w:jc w:val="center"/>
        </w:trPr>
        <w:tc>
          <w:tcPr>
            <w:tcW w:w="3189" w:type="dxa"/>
            <w:vMerge/>
            <w:tcBorders>
              <w:left w:val="single" w:sz="4" w:space="0" w:color="auto"/>
              <w:right w:val="single" w:sz="4" w:space="0" w:color="auto"/>
            </w:tcBorders>
            <w:shd w:val="clear" w:color="auto" w:fill="auto"/>
            <w:vAlign w:val="center"/>
            <w:hideMark/>
          </w:tcPr>
          <w:p w:rsidR="00AA67AB" w:rsidRPr="00572AD9" w:rsidRDefault="00AA67AB" w:rsidP="00572AD9">
            <w:pPr>
              <w:spacing w:after="0" w:line="240" w:lineRule="auto"/>
              <w:rPr>
                <w:rFonts w:eastAsia="Times New Roman" w:cs="Calibri"/>
                <w:b/>
                <w:bCs/>
                <w:color w:val="000000"/>
                <w:lang w:eastAsia="en-GB"/>
              </w:rPr>
            </w:pPr>
          </w:p>
        </w:tc>
        <w:tc>
          <w:tcPr>
            <w:tcW w:w="3673" w:type="dxa"/>
            <w:tcBorders>
              <w:top w:val="nil"/>
              <w:left w:val="nil"/>
              <w:bottom w:val="single" w:sz="4" w:space="0" w:color="auto"/>
              <w:right w:val="single" w:sz="4" w:space="0" w:color="auto"/>
            </w:tcBorders>
            <w:shd w:val="clear" w:color="auto" w:fill="auto"/>
            <w:vAlign w:val="center"/>
            <w:hideMark/>
          </w:tcPr>
          <w:p w:rsidR="00AA67AB" w:rsidRPr="00572AD9" w:rsidRDefault="00AA67AB" w:rsidP="00572AD9">
            <w:pPr>
              <w:spacing w:after="0" w:line="240" w:lineRule="auto"/>
              <w:rPr>
                <w:rFonts w:eastAsia="Times New Roman" w:cs="Calibri"/>
                <w:b/>
                <w:bCs/>
                <w:color w:val="000000"/>
                <w:lang w:eastAsia="en-GB"/>
              </w:rPr>
            </w:pPr>
            <w:r>
              <w:rPr>
                <w:rFonts w:eastAsia="Times New Roman" w:cs="Calibri"/>
                <w:b/>
                <w:bCs/>
                <w:color w:val="000000"/>
                <w:lang w:eastAsia="en-GB"/>
              </w:rPr>
              <w:t>Total p</w:t>
            </w:r>
            <w:r w:rsidRPr="00572AD9">
              <w:rPr>
                <w:rFonts w:eastAsia="Times New Roman" w:cs="Calibri"/>
                <w:b/>
                <w:bCs/>
                <w:color w:val="000000"/>
                <w:lang w:eastAsia="en-GB"/>
              </w:rPr>
              <w:t>opulation</w:t>
            </w:r>
          </w:p>
        </w:tc>
        <w:tc>
          <w:tcPr>
            <w:tcW w:w="2387" w:type="dxa"/>
            <w:tcBorders>
              <w:top w:val="nil"/>
              <w:left w:val="nil"/>
              <w:bottom w:val="single" w:sz="4" w:space="0" w:color="auto"/>
              <w:right w:val="single" w:sz="4" w:space="0" w:color="auto"/>
            </w:tcBorders>
            <w:shd w:val="clear" w:color="auto" w:fill="auto"/>
            <w:vAlign w:val="center"/>
            <w:hideMark/>
          </w:tcPr>
          <w:p w:rsidR="00AA67AB" w:rsidRPr="00572AD9" w:rsidRDefault="00F9232C" w:rsidP="00572AD9">
            <w:pPr>
              <w:spacing w:after="0" w:line="240" w:lineRule="auto"/>
              <w:jc w:val="center"/>
              <w:rPr>
                <w:rFonts w:eastAsia="Times New Roman" w:cs="Calibri"/>
                <w:b/>
                <w:bCs/>
                <w:color w:val="000000"/>
                <w:lang w:eastAsia="en-GB"/>
              </w:rPr>
            </w:pPr>
            <w:r w:rsidRPr="009932AD">
              <w:t>36,860,700</w:t>
            </w:r>
          </w:p>
        </w:tc>
      </w:tr>
      <w:tr w:rsidR="00AA67AB" w:rsidRPr="00B13A2F" w:rsidTr="00AB1003">
        <w:trPr>
          <w:trHeight w:val="300"/>
          <w:jc w:val="center"/>
        </w:trPr>
        <w:tc>
          <w:tcPr>
            <w:tcW w:w="3189" w:type="dxa"/>
            <w:vMerge/>
            <w:tcBorders>
              <w:left w:val="single" w:sz="4" w:space="0" w:color="auto"/>
              <w:right w:val="single" w:sz="4" w:space="0" w:color="auto"/>
            </w:tcBorders>
            <w:shd w:val="clear" w:color="auto" w:fill="auto"/>
            <w:vAlign w:val="center"/>
            <w:hideMark/>
          </w:tcPr>
          <w:p w:rsidR="00AA67AB" w:rsidRPr="00572AD9" w:rsidRDefault="00AA67AB" w:rsidP="00572AD9">
            <w:pPr>
              <w:spacing w:after="0" w:line="240" w:lineRule="auto"/>
              <w:rPr>
                <w:rFonts w:eastAsia="Times New Roman" w:cs="Calibri"/>
                <w:b/>
                <w:bCs/>
                <w:color w:val="000000"/>
                <w:lang w:eastAsia="en-GB"/>
              </w:rPr>
            </w:pPr>
          </w:p>
        </w:tc>
        <w:tc>
          <w:tcPr>
            <w:tcW w:w="3673" w:type="dxa"/>
            <w:tcBorders>
              <w:top w:val="nil"/>
              <w:left w:val="nil"/>
              <w:bottom w:val="single" w:sz="4" w:space="0" w:color="auto"/>
              <w:right w:val="single" w:sz="4" w:space="0" w:color="auto"/>
            </w:tcBorders>
            <w:shd w:val="clear" w:color="auto" w:fill="auto"/>
            <w:vAlign w:val="center"/>
            <w:hideMark/>
          </w:tcPr>
          <w:p w:rsidR="00AA67AB" w:rsidRPr="00572AD9" w:rsidRDefault="00AA67AB" w:rsidP="00572AD9">
            <w:pPr>
              <w:spacing w:after="0" w:line="240" w:lineRule="auto"/>
              <w:rPr>
                <w:rFonts w:eastAsia="Times New Roman" w:cs="Calibri"/>
                <w:b/>
                <w:bCs/>
                <w:color w:val="000000"/>
                <w:lang w:eastAsia="en-GB"/>
              </w:rPr>
            </w:pPr>
            <w:r>
              <w:rPr>
                <w:rFonts w:eastAsia="Times New Roman" w:cs="Calibri"/>
                <w:b/>
                <w:bCs/>
                <w:color w:val="000000"/>
                <w:lang w:eastAsia="en-GB"/>
              </w:rPr>
              <w:t>Birth c</w:t>
            </w:r>
            <w:r w:rsidRPr="00572AD9">
              <w:rPr>
                <w:rFonts w:eastAsia="Times New Roman" w:cs="Calibri"/>
                <w:b/>
                <w:bCs/>
                <w:color w:val="000000"/>
                <w:lang w:eastAsia="en-GB"/>
              </w:rPr>
              <w:t>ohort</w:t>
            </w:r>
          </w:p>
        </w:tc>
        <w:tc>
          <w:tcPr>
            <w:tcW w:w="2387" w:type="dxa"/>
            <w:tcBorders>
              <w:top w:val="nil"/>
              <w:left w:val="nil"/>
              <w:bottom w:val="single" w:sz="4" w:space="0" w:color="auto"/>
              <w:right w:val="single" w:sz="4" w:space="0" w:color="auto"/>
            </w:tcBorders>
            <w:shd w:val="clear" w:color="auto" w:fill="auto"/>
            <w:vAlign w:val="center"/>
            <w:hideMark/>
          </w:tcPr>
          <w:p w:rsidR="00AA67AB" w:rsidRPr="00572AD9" w:rsidRDefault="00AA67AB" w:rsidP="00572AD9">
            <w:pPr>
              <w:spacing w:after="0" w:line="240" w:lineRule="auto"/>
              <w:jc w:val="center"/>
              <w:rPr>
                <w:rFonts w:eastAsia="Times New Roman" w:cs="Calibri"/>
                <w:b/>
                <w:bCs/>
                <w:color w:val="000000"/>
                <w:lang w:eastAsia="en-GB"/>
              </w:rPr>
            </w:pPr>
            <w:r w:rsidRPr="00572AD9">
              <w:rPr>
                <w:rFonts w:eastAsia="Times New Roman" w:cs="Calibri"/>
                <w:b/>
                <w:bCs/>
                <w:color w:val="000000"/>
                <w:lang w:eastAsia="en-GB"/>
              </w:rPr>
              <w:t>1,665,000</w:t>
            </w:r>
          </w:p>
        </w:tc>
      </w:tr>
      <w:tr w:rsidR="00AA67AB" w:rsidRPr="00B13A2F" w:rsidTr="00AB1003">
        <w:trPr>
          <w:trHeight w:val="300"/>
          <w:jc w:val="center"/>
        </w:trPr>
        <w:tc>
          <w:tcPr>
            <w:tcW w:w="3189" w:type="dxa"/>
            <w:vMerge/>
            <w:tcBorders>
              <w:left w:val="single" w:sz="4" w:space="0" w:color="auto"/>
              <w:bottom w:val="single" w:sz="4" w:space="0" w:color="auto"/>
              <w:right w:val="single" w:sz="4" w:space="0" w:color="auto"/>
            </w:tcBorders>
            <w:shd w:val="clear" w:color="auto" w:fill="auto"/>
            <w:vAlign w:val="center"/>
            <w:hideMark/>
          </w:tcPr>
          <w:p w:rsidR="00AA67AB" w:rsidRPr="00572AD9" w:rsidRDefault="00AA67AB" w:rsidP="00572AD9">
            <w:pPr>
              <w:spacing w:after="0" w:line="240" w:lineRule="auto"/>
              <w:rPr>
                <w:rFonts w:eastAsia="Times New Roman" w:cs="Calibri"/>
                <w:b/>
                <w:bCs/>
                <w:color w:val="000000"/>
                <w:lang w:eastAsia="en-GB"/>
              </w:rPr>
            </w:pPr>
          </w:p>
        </w:tc>
        <w:tc>
          <w:tcPr>
            <w:tcW w:w="3673" w:type="dxa"/>
            <w:tcBorders>
              <w:top w:val="nil"/>
              <w:left w:val="nil"/>
              <w:bottom w:val="single" w:sz="4" w:space="0" w:color="auto"/>
              <w:right w:val="single" w:sz="4" w:space="0" w:color="auto"/>
            </w:tcBorders>
            <w:shd w:val="clear" w:color="auto" w:fill="auto"/>
            <w:vAlign w:val="center"/>
            <w:hideMark/>
          </w:tcPr>
          <w:p w:rsidR="00AA67AB" w:rsidRPr="00572AD9" w:rsidRDefault="00AA67AB" w:rsidP="00572AD9">
            <w:pPr>
              <w:spacing w:after="0" w:line="240" w:lineRule="auto"/>
              <w:rPr>
                <w:rFonts w:eastAsia="Times New Roman" w:cs="Calibri"/>
                <w:b/>
                <w:bCs/>
                <w:color w:val="000000"/>
                <w:lang w:eastAsia="en-GB"/>
              </w:rPr>
            </w:pPr>
            <w:r>
              <w:rPr>
                <w:rFonts w:eastAsia="Times New Roman" w:cs="Calibri"/>
                <w:b/>
                <w:bCs/>
                <w:color w:val="000000"/>
                <w:lang w:eastAsia="en-GB"/>
              </w:rPr>
              <w:t>Surviving i</w:t>
            </w:r>
            <w:r w:rsidRPr="00572AD9">
              <w:rPr>
                <w:rFonts w:eastAsia="Times New Roman" w:cs="Calibri"/>
                <w:b/>
                <w:bCs/>
                <w:color w:val="000000"/>
                <w:lang w:eastAsia="en-GB"/>
              </w:rPr>
              <w:t>nfants (JRF)</w:t>
            </w:r>
          </w:p>
        </w:tc>
        <w:tc>
          <w:tcPr>
            <w:tcW w:w="2387" w:type="dxa"/>
            <w:tcBorders>
              <w:top w:val="nil"/>
              <w:left w:val="nil"/>
              <w:bottom w:val="single" w:sz="4" w:space="0" w:color="auto"/>
              <w:right w:val="single" w:sz="4" w:space="0" w:color="auto"/>
            </w:tcBorders>
            <w:shd w:val="clear" w:color="auto" w:fill="auto"/>
            <w:vAlign w:val="center"/>
            <w:hideMark/>
          </w:tcPr>
          <w:p w:rsidR="00AA67AB" w:rsidRPr="00572AD9" w:rsidRDefault="00AA67AB" w:rsidP="00572AD9">
            <w:pPr>
              <w:spacing w:after="0" w:line="240" w:lineRule="auto"/>
              <w:jc w:val="center"/>
              <w:rPr>
                <w:rFonts w:eastAsia="Times New Roman" w:cs="Calibri"/>
                <w:b/>
                <w:bCs/>
                <w:color w:val="000000"/>
                <w:lang w:eastAsia="en-GB"/>
              </w:rPr>
            </w:pPr>
            <w:r w:rsidRPr="00572AD9">
              <w:rPr>
                <w:rFonts w:eastAsia="Times New Roman" w:cs="Calibri"/>
                <w:b/>
                <w:bCs/>
                <w:color w:val="000000"/>
                <w:lang w:eastAsia="en-GB"/>
              </w:rPr>
              <w:t>1,568,000</w:t>
            </w:r>
          </w:p>
        </w:tc>
      </w:tr>
      <w:tr w:rsidR="00BC6E1F" w:rsidRPr="00B13A2F" w:rsidTr="00AB1003">
        <w:trPr>
          <w:trHeight w:val="395"/>
          <w:jc w:val="center"/>
        </w:trPr>
        <w:tc>
          <w:tcPr>
            <w:tcW w:w="3189" w:type="dxa"/>
            <w:vMerge w:val="restart"/>
            <w:tcBorders>
              <w:top w:val="nil"/>
              <w:left w:val="single" w:sz="4" w:space="0" w:color="auto"/>
              <w:right w:val="single" w:sz="4" w:space="0" w:color="auto"/>
            </w:tcBorders>
            <w:shd w:val="clear" w:color="000000" w:fill="DDD9C4"/>
            <w:hideMark/>
          </w:tcPr>
          <w:p w:rsidR="00BC6E1F" w:rsidRPr="00572AD9" w:rsidRDefault="00BC6E1F" w:rsidP="00BC6E1F">
            <w:pPr>
              <w:spacing w:after="0" w:line="240" w:lineRule="auto"/>
              <w:rPr>
                <w:rFonts w:eastAsia="Times New Roman" w:cs="Calibri"/>
                <w:b/>
                <w:bCs/>
                <w:color w:val="000000"/>
                <w:lang w:eastAsia="en-GB"/>
              </w:rPr>
            </w:pPr>
            <w:r w:rsidRPr="00572AD9">
              <w:rPr>
                <w:rFonts w:eastAsia="Times New Roman" w:cs="Calibri"/>
                <w:b/>
                <w:bCs/>
                <w:color w:val="000000"/>
                <w:lang w:eastAsia="en-GB"/>
              </w:rPr>
              <w:t>1. Interrupt wild poliovirus transmission</w:t>
            </w:r>
          </w:p>
        </w:tc>
        <w:tc>
          <w:tcPr>
            <w:tcW w:w="3673" w:type="dxa"/>
            <w:tcBorders>
              <w:top w:val="nil"/>
              <w:left w:val="nil"/>
              <w:bottom w:val="single" w:sz="4" w:space="0" w:color="auto"/>
              <w:right w:val="single" w:sz="4" w:space="0" w:color="auto"/>
            </w:tcBorders>
            <w:shd w:val="clear" w:color="000000" w:fill="DDD9C4"/>
            <w:vAlign w:val="center"/>
            <w:hideMark/>
          </w:tcPr>
          <w:p w:rsidR="00BC6E1F" w:rsidRPr="00572AD9" w:rsidRDefault="00BC6E1F" w:rsidP="00572AD9">
            <w:pPr>
              <w:spacing w:after="0" w:line="240" w:lineRule="auto"/>
              <w:rPr>
                <w:rFonts w:eastAsia="Times New Roman" w:cs="Calibri"/>
                <w:b/>
                <w:bCs/>
                <w:color w:val="000000"/>
                <w:lang w:eastAsia="en-GB"/>
              </w:rPr>
            </w:pPr>
            <w:r w:rsidRPr="00572AD9">
              <w:rPr>
                <w:rFonts w:eastAsia="Times New Roman" w:cs="Calibri"/>
                <w:b/>
                <w:bCs/>
                <w:color w:val="000000"/>
                <w:lang w:eastAsia="en-GB"/>
              </w:rPr>
              <w:t>Transmission Interrupted</w:t>
            </w:r>
          </w:p>
        </w:tc>
        <w:tc>
          <w:tcPr>
            <w:tcW w:w="2387" w:type="dxa"/>
            <w:tcBorders>
              <w:top w:val="nil"/>
              <w:left w:val="nil"/>
              <w:bottom w:val="single" w:sz="4" w:space="0" w:color="auto"/>
              <w:right w:val="single" w:sz="4" w:space="0" w:color="auto"/>
            </w:tcBorders>
            <w:shd w:val="clear" w:color="000000" w:fill="00B050"/>
            <w:vAlign w:val="center"/>
            <w:hideMark/>
          </w:tcPr>
          <w:p w:rsidR="00BC6E1F" w:rsidRPr="00572AD9" w:rsidRDefault="00BC6E1F" w:rsidP="00412E93">
            <w:pPr>
              <w:spacing w:after="0" w:line="240" w:lineRule="auto"/>
              <w:jc w:val="center"/>
              <w:rPr>
                <w:rFonts w:eastAsia="Times New Roman" w:cs="Calibri"/>
                <w:b/>
                <w:bCs/>
                <w:color w:val="000000"/>
                <w:lang w:eastAsia="en-GB"/>
              </w:rPr>
            </w:pPr>
            <w:r w:rsidRPr="00572AD9">
              <w:rPr>
                <w:rFonts w:eastAsia="Times New Roman" w:cs="Calibri"/>
                <w:b/>
                <w:bCs/>
                <w:color w:val="000000"/>
                <w:lang w:eastAsia="en-GB"/>
              </w:rPr>
              <w:t>Yes</w:t>
            </w:r>
          </w:p>
        </w:tc>
      </w:tr>
      <w:tr w:rsidR="00BC6E1F" w:rsidRPr="00B13A2F" w:rsidTr="00AB1003">
        <w:trPr>
          <w:trHeight w:val="900"/>
          <w:jc w:val="center"/>
        </w:trPr>
        <w:tc>
          <w:tcPr>
            <w:tcW w:w="3189" w:type="dxa"/>
            <w:vMerge/>
            <w:tcBorders>
              <w:left w:val="single" w:sz="4" w:space="0" w:color="auto"/>
              <w:right w:val="single" w:sz="4" w:space="0" w:color="auto"/>
            </w:tcBorders>
            <w:shd w:val="clear" w:color="000000" w:fill="DDD9C4"/>
            <w:vAlign w:val="center"/>
            <w:hideMark/>
          </w:tcPr>
          <w:p w:rsidR="00BC6E1F" w:rsidRPr="00572AD9" w:rsidRDefault="00BC6E1F" w:rsidP="00572AD9">
            <w:pPr>
              <w:spacing w:after="0" w:line="240" w:lineRule="auto"/>
              <w:rPr>
                <w:rFonts w:eastAsia="Times New Roman" w:cs="Calibri"/>
                <w:b/>
                <w:bCs/>
                <w:color w:val="000000"/>
                <w:lang w:eastAsia="en-GB"/>
              </w:rPr>
            </w:pPr>
          </w:p>
        </w:tc>
        <w:tc>
          <w:tcPr>
            <w:tcW w:w="3673" w:type="dxa"/>
            <w:tcBorders>
              <w:top w:val="nil"/>
              <w:left w:val="nil"/>
              <w:bottom w:val="single" w:sz="4" w:space="0" w:color="auto"/>
              <w:right w:val="single" w:sz="4" w:space="0" w:color="auto"/>
            </w:tcBorders>
            <w:shd w:val="clear" w:color="000000" w:fill="DDD9C4"/>
            <w:vAlign w:val="center"/>
            <w:hideMark/>
          </w:tcPr>
          <w:p w:rsidR="00BC6E1F" w:rsidRPr="00572AD9" w:rsidRDefault="00BC6E1F" w:rsidP="00572AD9">
            <w:pPr>
              <w:spacing w:after="0" w:line="240" w:lineRule="auto"/>
              <w:rPr>
                <w:rFonts w:eastAsia="Times New Roman" w:cs="Calibri"/>
                <w:b/>
                <w:bCs/>
                <w:lang w:eastAsia="en-GB"/>
              </w:rPr>
            </w:pPr>
            <w:r w:rsidRPr="00572AD9">
              <w:rPr>
                <w:rFonts w:eastAsia="Times New Roman" w:cs="Calibri"/>
                <w:b/>
                <w:bCs/>
                <w:lang w:eastAsia="en-GB"/>
              </w:rPr>
              <w:t>Risk of late detection</w:t>
            </w:r>
            <w:r>
              <w:rPr>
                <w:rFonts w:eastAsia="Times New Roman" w:cs="Calibri"/>
                <w:b/>
                <w:bCs/>
                <w:lang w:eastAsia="en-GB"/>
              </w:rPr>
              <w:t>:</w:t>
            </w:r>
            <w:r w:rsidRPr="00572AD9">
              <w:rPr>
                <w:rFonts w:eastAsia="Times New Roman" w:cs="Calibri"/>
                <w:b/>
                <w:bCs/>
                <w:lang w:eastAsia="en-GB"/>
              </w:rPr>
              <w:br/>
              <w:t>Percen</w:t>
            </w:r>
            <w:r>
              <w:rPr>
                <w:rFonts w:eastAsia="Times New Roman" w:cs="Calibri"/>
                <w:b/>
                <w:bCs/>
                <w:lang w:eastAsia="en-GB"/>
              </w:rPr>
              <w:t>t of adequate stool specimens (r</w:t>
            </w:r>
            <w:r w:rsidRPr="00572AD9">
              <w:rPr>
                <w:rFonts w:eastAsia="Times New Roman" w:cs="Calibri"/>
                <w:b/>
                <w:bCs/>
                <w:lang w:eastAsia="en-GB"/>
              </w:rPr>
              <w:t>olling 12</w:t>
            </w:r>
            <w:r w:rsidR="00AE11AD">
              <w:rPr>
                <w:rFonts w:eastAsia="Times New Roman" w:cs="Calibri"/>
                <w:b/>
                <w:bCs/>
                <w:lang w:eastAsia="en-GB"/>
              </w:rPr>
              <w:t xml:space="preserve"> </w:t>
            </w:r>
            <w:r w:rsidRPr="00572AD9">
              <w:rPr>
                <w:rFonts w:eastAsia="Times New Roman" w:cs="Calibri"/>
                <w:b/>
                <w:bCs/>
                <w:lang w:eastAsia="en-GB"/>
              </w:rPr>
              <w:t>m</w:t>
            </w:r>
            <w:r w:rsidR="00AE11AD">
              <w:rPr>
                <w:rFonts w:eastAsia="Times New Roman" w:cs="Calibri"/>
                <w:b/>
                <w:bCs/>
                <w:lang w:eastAsia="en-GB"/>
              </w:rPr>
              <w:t>o.</w:t>
            </w:r>
            <w:r w:rsidRPr="00572AD9">
              <w:rPr>
                <w:rFonts w:eastAsia="Times New Roman" w:cs="Calibri"/>
                <w:b/>
                <w:bCs/>
                <w:lang w:eastAsia="en-GB"/>
              </w:rPr>
              <w:t xml:space="preserve">) </w:t>
            </w:r>
            <w:r w:rsidR="00AE11AD">
              <w:rPr>
                <w:rFonts w:eastAsia="Times New Roman" w:cs="Calibri"/>
                <w:b/>
                <w:bCs/>
                <w:lang w:eastAsia="en-GB"/>
              </w:rPr>
              <w:t>(</w:t>
            </w:r>
            <w:r w:rsidRPr="00572AD9">
              <w:rPr>
                <w:rFonts w:eastAsia="Times New Roman" w:cs="Calibri"/>
                <w:b/>
                <w:bCs/>
                <w:lang w:eastAsia="en-GB"/>
              </w:rPr>
              <w:t>Target &gt; 80%</w:t>
            </w:r>
            <w:r w:rsidR="00AE11AD">
              <w:rPr>
                <w:rFonts w:eastAsia="Times New Roman" w:cs="Calibri"/>
                <w:b/>
                <w:bCs/>
                <w:lang w:eastAsia="en-GB"/>
              </w:rPr>
              <w:t>)</w:t>
            </w:r>
          </w:p>
        </w:tc>
        <w:tc>
          <w:tcPr>
            <w:tcW w:w="2387" w:type="dxa"/>
            <w:tcBorders>
              <w:top w:val="nil"/>
              <w:left w:val="nil"/>
              <w:bottom w:val="single" w:sz="4" w:space="0" w:color="auto"/>
              <w:right w:val="single" w:sz="4" w:space="0" w:color="auto"/>
            </w:tcBorders>
            <w:shd w:val="clear" w:color="000000" w:fill="00B050"/>
            <w:vAlign w:val="center"/>
            <w:hideMark/>
          </w:tcPr>
          <w:p w:rsidR="00BC6E1F" w:rsidRPr="00572AD9" w:rsidRDefault="00BC6E1F" w:rsidP="00572AD9">
            <w:pPr>
              <w:spacing w:after="0" w:line="240" w:lineRule="auto"/>
              <w:jc w:val="center"/>
              <w:rPr>
                <w:rFonts w:eastAsia="Times New Roman" w:cs="Calibri"/>
                <w:b/>
                <w:bCs/>
                <w:color w:val="000000"/>
                <w:lang w:eastAsia="en-GB"/>
              </w:rPr>
            </w:pPr>
            <w:r w:rsidRPr="00572AD9">
              <w:rPr>
                <w:rFonts w:eastAsia="Times New Roman" w:cs="Calibri"/>
                <w:b/>
                <w:bCs/>
                <w:color w:val="000000"/>
                <w:lang w:eastAsia="en-GB"/>
              </w:rPr>
              <w:t>91.3</w:t>
            </w:r>
          </w:p>
        </w:tc>
      </w:tr>
      <w:tr w:rsidR="00BC6E1F" w:rsidRPr="00B13A2F" w:rsidTr="00AB1003">
        <w:trPr>
          <w:trHeight w:val="900"/>
          <w:jc w:val="center"/>
        </w:trPr>
        <w:tc>
          <w:tcPr>
            <w:tcW w:w="3189" w:type="dxa"/>
            <w:vMerge/>
            <w:tcBorders>
              <w:left w:val="single" w:sz="4" w:space="0" w:color="auto"/>
              <w:right w:val="single" w:sz="4" w:space="0" w:color="auto"/>
            </w:tcBorders>
            <w:shd w:val="clear" w:color="000000" w:fill="DDD9C4"/>
            <w:vAlign w:val="center"/>
            <w:hideMark/>
          </w:tcPr>
          <w:p w:rsidR="00BC6E1F" w:rsidRPr="00572AD9" w:rsidRDefault="00BC6E1F" w:rsidP="00572AD9">
            <w:pPr>
              <w:spacing w:after="0" w:line="240" w:lineRule="auto"/>
              <w:rPr>
                <w:rFonts w:eastAsia="Times New Roman" w:cs="Calibri"/>
                <w:b/>
                <w:bCs/>
                <w:color w:val="000000"/>
                <w:lang w:eastAsia="en-GB"/>
              </w:rPr>
            </w:pPr>
          </w:p>
        </w:tc>
        <w:tc>
          <w:tcPr>
            <w:tcW w:w="3673" w:type="dxa"/>
            <w:tcBorders>
              <w:top w:val="nil"/>
              <w:left w:val="nil"/>
              <w:bottom w:val="single" w:sz="4" w:space="0" w:color="auto"/>
              <w:right w:val="single" w:sz="4" w:space="0" w:color="auto"/>
            </w:tcBorders>
            <w:shd w:val="clear" w:color="000000" w:fill="DDD9C4"/>
            <w:vAlign w:val="center"/>
            <w:hideMark/>
          </w:tcPr>
          <w:p w:rsidR="00BC6E1F" w:rsidRPr="00572AD9" w:rsidRDefault="00BC6E1F" w:rsidP="00AE11AD">
            <w:pPr>
              <w:spacing w:after="0" w:line="240" w:lineRule="auto"/>
              <w:rPr>
                <w:rFonts w:eastAsia="Times New Roman" w:cs="Calibri"/>
                <w:b/>
                <w:bCs/>
                <w:lang w:eastAsia="en-GB"/>
              </w:rPr>
            </w:pPr>
            <w:r w:rsidRPr="00572AD9">
              <w:rPr>
                <w:rFonts w:eastAsia="Times New Roman" w:cs="Calibri"/>
                <w:b/>
                <w:bCs/>
                <w:lang w:eastAsia="en-GB"/>
              </w:rPr>
              <w:t>Risk of late detection</w:t>
            </w:r>
            <w:r>
              <w:rPr>
                <w:rFonts w:eastAsia="Times New Roman" w:cs="Calibri"/>
                <w:b/>
                <w:bCs/>
                <w:lang w:eastAsia="en-GB"/>
              </w:rPr>
              <w:t>:</w:t>
            </w:r>
            <w:r>
              <w:rPr>
                <w:rFonts w:eastAsia="Times New Roman" w:cs="Calibri"/>
                <w:b/>
                <w:bCs/>
                <w:lang w:eastAsia="en-GB"/>
              </w:rPr>
              <w:br/>
              <w:t>Non polio AFP rate (r</w:t>
            </w:r>
            <w:r w:rsidRPr="00572AD9">
              <w:rPr>
                <w:rFonts w:eastAsia="Times New Roman" w:cs="Calibri"/>
                <w:b/>
                <w:bCs/>
                <w:lang w:eastAsia="en-GB"/>
              </w:rPr>
              <w:t>olling 12</w:t>
            </w:r>
            <w:r w:rsidR="00AE11AD">
              <w:rPr>
                <w:rFonts w:eastAsia="Times New Roman" w:cs="Calibri"/>
                <w:b/>
                <w:bCs/>
                <w:lang w:eastAsia="en-GB"/>
              </w:rPr>
              <w:t xml:space="preserve"> </w:t>
            </w:r>
            <w:r w:rsidRPr="00572AD9">
              <w:rPr>
                <w:rFonts w:eastAsia="Times New Roman" w:cs="Calibri"/>
                <w:b/>
                <w:bCs/>
                <w:lang w:eastAsia="en-GB"/>
              </w:rPr>
              <w:t>m</w:t>
            </w:r>
            <w:r w:rsidR="00AE11AD">
              <w:rPr>
                <w:rFonts w:eastAsia="Times New Roman" w:cs="Calibri"/>
                <w:b/>
                <w:bCs/>
                <w:lang w:eastAsia="en-GB"/>
              </w:rPr>
              <w:t>o.</w:t>
            </w:r>
            <w:r w:rsidRPr="00572AD9">
              <w:rPr>
                <w:rFonts w:eastAsia="Times New Roman" w:cs="Calibri"/>
                <w:b/>
                <w:bCs/>
                <w:lang w:eastAsia="en-GB"/>
              </w:rPr>
              <w:t xml:space="preserve">) </w:t>
            </w:r>
            <w:r w:rsidRPr="00572AD9">
              <w:rPr>
                <w:rFonts w:eastAsia="Times New Roman" w:cs="Calibri"/>
                <w:b/>
                <w:bCs/>
                <w:lang w:eastAsia="en-GB"/>
              </w:rPr>
              <w:br/>
            </w:r>
            <w:r w:rsidR="00AE11AD">
              <w:rPr>
                <w:rFonts w:eastAsia="Times New Roman" w:cs="Calibri"/>
                <w:b/>
                <w:bCs/>
                <w:lang w:eastAsia="en-GB"/>
              </w:rPr>
              <w:t>(</w:t>
            </w:r>
            <w:r w:rsidRPr="00572AD9">
              <w:rPr>
                <w:rFonts w:eastAsia="Times New Roman" w:cs="Calibri"/>
                <w:b/>
                <w:bCs/>
                <w:lang w:eastAsia="en-GB"/>
              </w:rPr>
              <w:t>Target &gt; 2</w:t>
            </w:r>
            <w:r>
              <w:rPr>
                <w:rFonts w:eastAsia="Times New Roman" w:cs="Calibri"/>
                <w:b/>
                <w:bCs/>
                <w:lang w:eastAsia="en-GB"/>
              </w:rPr>
              <w:t xml:space="preserve"> per 100,000 </w:t>
            </w:r>
            <w:r w:rsidR="00AE11AD">
              <w:rPr>
                <w:rFonts w:eastAsia="Times New Roman" w:cs="Calibri"/>
                <w:b/>
                <w:bCs/>
                <w:lang w:eastAsia="en-GB"/>
              </w:rPr>
              <w:t>)</w:t>
            </w:r>
          </w:p>
        </w:tc>
        <w:tc>
          <w:tcPr>
            <w:tcW w:w="2387" w:type="dxa"/>
            <w:tcBorders>
              <w:top w:val="nil"/>
              <w:left w:val="nil"/>
              <w:bottom w:val="single" w:sz="4" w:space="0" w:color="auto"/>
              <w:right w:val="single" w:sz="4" w:space="0" w:color="auto"/>
            </w:tcBorders>
            <w:shd w:val="clear" w:color="000000" w:fill="00B050"/>
            <w:vAlign w:val="center"/>
            <w:hideMark/>
          </w:tcPr>
          <w:p w:rsidR="00BC6E1F" w:rsidRPr="00572AD9" w:rsidRDefault="00BC6E1F" w:rsidP="00572AD9">
            <w:pPr>
              <w:spacing w:after="0" w:line="240" w:lineRule="auto"/>
              <w:jc w:val="center"/>
              <w:rPr>
                <w:rFonts w:eastAsia="Times New Roman" w:cs="Calibri"/>
                <w:b/>
                <w:bCs/>
                <w:color w:val="000000"/>
                <w:lang w:eastAsia="en-GB"/>
              </w:rPr>
            </w:pPr>
            <w:r w:rsidRPr="00572AD9">
              <w:rPr>
                <w:rFonts w:eastAsia="Times New Roman" w:cs="Calibri"/>
                <w:b/>
                <w:bCs/>
                <w:color w:val="000000"/>
                <w:lang w:eastAsia="en-GB"/>
              </w:rPr>
              <w:t>3</w:t>
            </w:r>
            <w:r w:rsidR="00AE11AD">
              <w:rPr>
                <w:rFonts w:eastAsia="Times New Roman" w:cs="Calibri"/>
                <w:b/>
                <w:bCs/>
                <w:color w:val="000000"/>
                <w:lang w:eastAsia="en-GB"/>
              </w:rPr>
              <w:t>/100,000</w:t>
            </w:r>
          </w:p>
        </w:tc>
      </w:tr>
      <w:tr w:rsidR="00BC6E1F" w:rsidRPr="00B13A2F" w:rsidTr="00AB1003">
        <w:trPr>
          <w:trHeight w:val="1385"/>
          <w:jc w:val="center"/>
        </w:trPr>
        <w:tc>
          <w:tcPr>
            <w:tcW w:w="3189" w:type="dxa"/>
            <w:vMerge/>
            <w:tcBorders>
              <w:left w:val="single" w:sz="4" w:space="0" w:color="auto"/>
              <w:bottom w:val="single" w:sz="4" w:space="0" w:color="auto"/>
              <w:right w:val="single" w:sz="4" w:space="0" w:color="auto"/>
            </w:tcBorders>
            <w:shd w:val="clear" w:color="000000" w:fill="DDD9C4"/>
            <w:vAlign w:val="center"/>
            <w:hideMark/>
          </w:tcPr>
          <w:p w:rsidR="00BC6E1F" w:rsidRPr="00572AD9" w:rsidRDefault="00BC6E1F" w:rsidP="00572AD9">
            <w:pPr>
              <w:spacing w:after="0" w:line="240" w:lineRule="auto"/>
              <w:rPr>
                <w:rFonts w:eastAsia="Times New Roman" w:cs="Calibri"/>
                <w:b/>
                <w:bCs/>
                <w:color w:val="000000"/>
                <w:lang w:eastAsia="en-GB"/>
              </w:rPr>
            </w:pPr>
          </w:p>
        </w:tc>
        <w:tc>
          <w:tcPr>
            <w:tcW w:w="3673" w:type="dxa"/>
            <w:tcBorders>
              <w:top w:val="nil"/>
              <w:left w:val="nil"/>
              <w:bottom w:val="single" w:sz="4" w:space="0" w:color="auto"/>
              <w:right w:val="single" w:sz="4" w:space="0" w:color="auto"/>
            </w:tcBorders>
            <w:shd w:val="clear" w:color="000000" w:fill="DDD9C4"/>
            <w:vAlign w:val="center"/>
            <w:hideMark/>
          </w:tcPr>
          <w:p w:rsidR="00BC6E1F" w:rsidRPr="00572AD9" w:rsidRDefault="00BC6E1F" w:rsidP="00AE11AD">
            <w:pPr>
              <w:spacing w:after="0" w:line="240" w:lineRule="auto"/>
              <w:rPr>
                <w:rFonts w:eastAsia="Times New Roman" w:cs="Calibri"/>
                <w:b/>
                <w:bCs/>
                <w:lang w:eastAsia="en-GB"/>
              </w:rPr>
            </w:pPr>
            <w:r w:rsidRPr="00572AD9">
              <w:rPr>
                <w:rFonts w:eastAsia="Times New Roman" w:cs="Calibri"/>
                <w:b/>
                <w:bCs/>
                <w:lang w:eastAsia="en-GB"/>
              </w:rPr>
              <w:t>Risk of spread after importation</w:t>
            </w:r>
            <w:r>
              <w:rPr>
                <w:rFonts w:eastAsia="Times New Roman" w:cs="Calibri"/>
                <w:b/>
                <w:bCs/>
                <w:lang w:eastAsia="en-GB"/>
              </w:rPr>
              <w:t>:</w:t>
            </w:r>
            <w:r w:rsidRPr="00572AD9">
              <w:rPr>
                <w:rFonts w:eastAsia="Times New Roman" w:cs="Calibri"/>
                <w:b/>
                <w:bCs/>
                <w:lang w:eastAsia="en-GB"/>
              </w:rPr>
              <w:t xml:space="preserve"> </w:t>
            </w:r>
            <w:r w:rsidRPr="00572AD9">
              <w:rPr>
                <w:rFonts w:eastAsia="Times New Roman" w:cs="Calibri"/>
                <w:b/>
                <w:bCs/>
                <w:lang w:eastAsia="en-GB"/>
              </w:rPr>
              <w:br/>
              <w:t>% of 6-59</w:t>
            </w:r>
            <w:r w:rsidR="00AE11AD">
              <w:rPr>
                <w:rFonts w:eastAsia="Times New Roman" w:cs="Calibri"/>
                <w:b/>
                <w:bCs/>
                <w:lang w:eastAsia="en-GB"/>
              </w:rPr>
              <w:t xml:space="preserve"> month</w:t>
            </w:r>
            <w:r w:rsidRPr="00572AD9">
              <w:rPr>
                <w:rFonts w:eastAsia="Times New Roman" w:cs="Calibri"/>
                <w:b/>
                <w:bCs/>
                <w:lang w:eastAsia="en-GB"/>
              </w:rPr>
              <w:t xml:space="preserve"> </w:t>
            </w:r>
            <w:r>
              <w:rPr>
                <w:rFonts w:eastAsia="Times New Roman" w:cs="Calibri"/>
                <w:b/>
                <w:bCs/>
                <w:lang w:eastAsia="en-GB"/>
              </w:rPr>
              <w:t xml:space="preserve">olds </w:t>
            </w:r>
            <w:r w:rsidRPr="00572AD9">
              <w:rPr>
                <w:rFonts w:eastAsia="Times New Roman" w:cs="Calibri"/>
                <w:b/>
                <w:bCs/>
                <w:lang w:eastAsia="en-GB"/>
              </w:rPr>
              <w:t>having received less than 3 doses in the last year before occurrence case/environmental positive)</w:t>
            </w:r>
          </w:p>
        </w:tc>
        <w:tc>
          <w:tcPr>
            <w:tcW w:w="2387" w:type="dxa"/>
            <w:tcBorders>
              <w:top w:val="nil"/>
              <w:left w:val="nil"/>
              <w:bottom w:val="single" w:sz="4" w:space="0" w:color="auto"/>
              <w:right w:val="single" w:sz="4" w:space="0" w:color="auto"/>
            </w:tcBorders>
            <w:shd w:val="clear" w:color="000000" w:fill="00B050"/>
            <w:vAlign w:val="center"/>
            <w:hideMark/>
          </w:tcPr>
          <w:p w:rsidR="00BC6E1F" w:rsidRPr="00572AD9" w:rsidRDefault="00BC6E1F" w:rsidP="00572AD9">
            <w:pPr>
              <w:spacing w:after="0" w:line="240" w:lineRule="auto"/>
              <w:jc w:val="center"/>
              <w:rPr>
                <w:rFonts w:eastAsia="Times New Roman" w:cs="Calibri"/>
                <w:b/>
                <w:bCs/>
                <w:color w:val="000000"/>
                <w:lang w:eastAsia="en-GB"/>
              </w:rPr>
            </w:pPr>
            <w:r w:rsidRPr="00572AD9">
              <w:rPr>
                <w:rFonts w:eastAsia="Times New Roman" w:cs="Calibri"/>
                <w:b/>
                <w:bCs/>
                <w:color w:val="000000"/>
                <w:lang w:eastAsia="en-GB"/>
              </w:rPr>
              <w:t>8</w:t>
            </w:r>
            <w:r w:rsidR="00AE11AD">
              <w:rPr>
                <w:rFonts w:eastAsia="Times New Roman" w:cs="Calibri"/>
                <w:b/>
                <w:bCs/>
                <w:color w:val="000000"/>
                <w:lang w:eastAsia="en-GB"/>
              </w:rPr>
              <w:t>%</w:t>
            </w:r>
          </w:p>
        </w:tc>
      </w:tr>
      <w:tr w:rsidR="00BC6E1F" w:rsidRPr="00B13A2F" w:rsidTr="00AB1003">
        <w:trPr>
          <w:trHeight w:val="440"/>
          <w:jc w:val="center"/>
        </w:trPr>
        <w:tc>
          <w:tcPr>
            <w:tcW w:w="3189" w:type="dxa"/>
            <w:vMerge w:val="restart"/>
            <w:tcBorders>
              <w:top w:val="nil"/>
              <w:left w:val="single" w:sz="4" w:space="0" w:color="auto"/>
              <w:right w:val="single" w:sz="4" w:space="0" w:color="auto"/>
            </w:tcBorders>
            <w:shd w:val="clear" w:color="000000" w:fill="C5D9F1"/>
            <w:hideMark/>
          </w:tcPr>
          <w:p w:rsidR="00BC6E1F" w:rsidRPr="00572AD9" w:rsidRDefault="00BC6E1F" w:rsidP="00BC6E1F">
            <w:pPr>
              <w:spacing w:after="0" w:line="240" w:lineRule="auto"/>
              <w:rPr>
                <w:rFonts w:eastAsia="Times New Roman" w:cs="Calibri"/>
                <w:b/>
                <w:bCs/>
                <w:color w:val="000000"/>
                <w:lang w:eastAsia="en-GB"/>
              </w:rPr>
            </w:pPr>
            <w:r w:rsidRPr="00572AD9">
              <w:rPr>
                <w:rFonts w:eastAsia="Times New Roman" w:cs="Calibri"/>
                <w:b/>
                <w:bCs/>
                <w:color w:val="000000"/>
                <w:lang w:eastAsia="en-GB"/>
              </w:rPr>
              <w:t>2. Neonatal tetanus elimination</w:t>
            </w:r>
          </w:p>
        </w:tc>
        <w:tc>
          <w:tcPr>
            <w:tcW w:w="3673" w:type="dxa"/>
            <w:tcBorders>
              <w:top w:val="nil"/>
              <w:left w:val="nil"/>
              <w:bottom w:val="single" w:sz="4" w:space="0" w:color="auto"/>
              <w:right w:val="single" w:sz="4" w:space="0" w:color="auto"/>
            </w:tcBorders>
            <w:shd w:val="clear" w:color="000000" w:fill="C5D9F1"/>
            <w:vAlign w:val="center"/>
            <w:hideMark/>
          </w:tcPr>
          <w:p w:rsidR="00BC6E1F" w:rsidRPr="00572AD9" w:rsidRDefault="00AE11AD" w:rsidP="00AE11AD">
            <w:pPr>
              <w:spacing w:after="0" w:line="240" w:lineRule="auto"/>
              <w:rPr>
                <w:rFonts w:eastAsia="Times New Roman" w:cs="Calibri"/>
                <w:b/>
                <w:bCs/>
                <w:color w:val="000000"/>
                <w:lang w:eastAsia="en-GB"/>
              </w:rPr>
            </w:pPr>
            <w:r>
              <w:rPr>
                <w:rFonts w:eastAsia="Times New Roman" w:cs="Calibri"/>
                <w:b/>
                <w:bCs/>
                <w:color w:val="000000"/>
                <w:lang w:eastAsia="en-GB"/>
              </w:rPr>
              <w:t>TT2 c</w:t>
            </w:r>
            <w:r w:rsidR="00BC6E1F" w:rsidRPr="00572AD9">
              <w:rPr>
                <w:rFonts w:eastAsia="Times New Roman" w:cs="Calibri"/>
                <w:b/>
                <w:bCs/>
                <w:color w:val="000000"/>
                <w:lang w:eastAsia="en-GB"/>
              </w:rPr>
              <w:t>overage (reported 2015</w:t>
            </w:r>
            <w:r>
              <w:rPr>
                <w:rFonts w:eastAsia="Times New Roman" w:cs="Calibri"/>
                <w:b/>
                <w:bCs/>
                <w:color w:val="000000"/>
                <w:lang w:eastAsia="en-GB"/>
              </w:rPr>
              <w:t xml:space="preserve"> on JRF</w:t>
            </w:r>
            <w:r w:rsidR="00BC6E1F" w:rsidRPr="00572AD9">
              <w:rPr>
                <w:rFonts w:eastAsia="Times New Roman" w:cs="Calibri"/>
                <w:b/>
                <w:bCs/>
                <w:color w:val="000000"/>
                <w:lang w:eastAsia="en-GB"/>
              </w:rPr>
              <w:t>)</w:t>
            </w:r>
          </w:p>
        </w:tc>
        <w:tc>
          <w:tcPr>
            <w:tcW w:w="2387" w:type="dxa"/>
            <w:tcBorders>
              <w:top w:val="nil"/>
              <w:left w:val="nil"/>
              <w:bottom w:val="single" w:sz="4" w:space="0" w:color="auto"/>
              <w:right w:val="single" w:sz="4" w:space="0" w:color="auto"/>
            </w:tcBorders>
            <w:shd w:val="clear" w:color="000000" w:fill="FF0000"/>
            <w:vAlign w:val="center"/>
            <w:hideMark/>
          </w:tcPr>
          <w:p w:rsidR="00BC6E1F" w:rsidRPr="00572AD9" w:rsidRDefault="00BC6E1F" w:rsidP="00572AD9">
            <w:pPr>
              <w:spacing w:after="0" w:line="240" w:lineRule="auto"/>
              <w:jc w:val="center"/>
              <w:rPr>
                <w:rFonts w:eastAsia="Times New Roman" w:cs="Calibri"/>
                <w:b/>
                <w:bCs/>
                <w:color w:val="000000"/>
                <w:lang w:eastAsia="en-GB"/>
              </w:rPr>
            </w:pPr>
            <w:r w:rsidRPr="00572AD9">
              <w:rPr>
                <w:rFonts w:eastAsia="Times New Roman" w:cs="Calibri"/>
                <w:b/>
                <w:bCs/>
                <w:color w:val="000000"/>
                <w:lang w:eastAsia="en-GB"/>
              </w:rPr>
              <w:t>58%</w:t>
            </w:r>
          </w:p>
        </w:tc>
      </w:tr>
      <w:tr w:rsidR="00BC6E1F" w:rsidRPr="00B13A2F" w:rsidTr="00AB1003">
        <w:trPr>
          <w:trHeight w:val="600"/>
          <w:jc w:val="center"/>
        </w:trPr>
        <w:tc>
          <w:tcPr>
            <w:tcW w:w="3189" w:type="dxa"/>
            <w:vMerge/>
            <w:tcBorders>
              <w:left w:val="single" w:sz="4" w:space="0" w:color="auto"/>
              <w:right w:val="single" w:sz="4" w:space="0" w:color="auto"/>
            </w:tcBorders>
            <w:shd w:val="clear" w:color="000000" w:fill="C5D9F1"/>
            <w:vAlign w:val="center"/>
            <w:hideMark/>
          </w:tcPr>
          <w:p w:rsidR="00BC6E1F" w:rsidRPr="00572AD9" w:rsidRDefault="00BC6E1F" w:rsidP="00BC6E1F">
            <w:pPr>
              <w:spacing w:after="0" w:line="240" w:lineRule="auto"/>
              <w:rPr>
                <w:rFonts w:eastAsia="Times New Roman" w:cs="Calibri"/>
                <w:b/>
                <w:bCs/>
                <w:color w:val="000000"/>
                <w:lang w:eastAsia="en-GB"/>
              </w:rPr>
            </w:pPr>
          </w:p>
        </w:tc>
        <w:tc>
          <w:tcPr>
            <w:tcW w:w="3673" w:type="dxa"/>
            <w:tcBorders>
              <w:top w:val="nil"/>
              <w:left w:val="nil"/>
              <w:bottom w:val="single" w:sz="4" w:space="0" w:color="auto"/>
              <w:right w:val="single" w:sz="4" w:space="0" w:color="auto"/>
            </w:tcBorders>
            <w:shd w:val="clear" w:color="000000" w:fill="C5D9F1"/>
            <w:vAlign w:val="center"/>
            <w:hideMark/>
          </w:tcPr>
          <w:p w:rsidR="00BC6E1F" w:rsidRPr="00572AD9" w:rsidRDefault="00BC6E1F" w:rsidP="00AE11AD">
            <w:pPr>
              <w:spacing w:after="0" w:line="240" w:lineRule="auto"/>
              <w:rPr>
                <w:rFonts w:eastAsia="Times New Roman" w:cs="Calibri"/>
                <w:b/>
                <w:bCs/>
                <w:color w:val="000000"/>
                <w:lang w:eastAsia="en-GB"/>
              </w:rPr>
            </w:pPr>
            <w:r w:rsidRPr="00572AD9">
              <w:rPr>
                <w:rFonts w:eastAsia="Times New Roman" w:cs="Calibri"/>
                <w:b/>
                <w:bCs/>
                <w:color w:val="000000"/>
                <w:lang w:eastAsia="en-GB"/>
              </w:rPr>
              <w:t>P</w:t>
            </w:r>
            <w:r>
              <w:rPr>
                <w:rFonts w:eastAsia="Times New Roman" w:cs="Calibri"/>
                <w:b/>
                <w:bCs/>
                <w:color w:val="000000"/>
                <w:lang w:eastAsia="en-GB"/>
              </w:rPr>
              <w:t>rotection at b</w:t>
            </w:r>
            <w:r w:rsidRPr="00572AD9">
              <w:rPr>
                <w:rFonts w:eastAsia="Times New Roman" w:cs="Calibri"/>
                <w:b/>
                <w:bCs/>
                <w:color w:val="000000"/>
                <w:lang w:eastAsia="en-GB"/>
              </w:rPr>
              <w:t xml:space="preserve">irth against </w:t>
            </w:r>
            <w:r>
              <w:rPr>
                <w:rFonts w:eastAsia="Times New Roman" w:cs="Calibri"/>
                <w:b/>
                <w:bCs/>
                <w:color w:val="000000"/>
                <w:lang w:eastAsia="en-GB"/>
              </w:rPr>
              <w:t>tetanus</w:t>
            </w:r>
            <w:r w:rsidRPr="00572AD9">
              <w:rPr>
                <w:rFonts w:eastAsia="Times New Roman" w:cs="Calibri"/>
                <w:b/>
                <w:bCs/>
                <w:color w:val="000000"/>
                <w:lang w:eastAsia="en-GB"/>
              </w:rPr>
              <w:t xml:space="preserve"> (WUENIC 201</w:t>
            </w:r>
            <w:r w:rsidR="00AE11AD">
              <w:rPr>
                <w:rFonts w:eastAsia="Times New Roman" w:cs="Calibri"/>
                <w:b/>
                <w:bCs/>
                <w:color w:val="000000"/>
                <w:lang w:eastAsia="en-GB"/>
              </w:rPr>
              <w:t>5</w:t>
            </w:r>
            <w:r w:rsidRPr="00572AD9">
              <w:rPr>
                <w:rFonts w:eastAsia="Times New Roman" w:cs="Calibri"/>
                <w:b/>
                <w:bCs/>
                <w:color w:val="000000"/>
                <w:lang w:eastAsia="en-GB"/>
              </w:rPr>
              <w:t>)</w:t>
            </w:r>
          </w:p>
        </w:tc>
        <w:tc>
          <w:tcPr>
            <w:tcW w:w="2387" w:type="dxa"/>
            <w:tcBorders>
              <w:top w:val="nil"/>
              <w:left w:val="nil"/>
              <w:bottom w:val="single" w:sz="4" w:space="0" w:color="auto"/>
              <w:right w:val="single" w:sz="4" w:space="0" w:color="auto"/>
            </w:tcBorders>
            <w:shd w:val="clear" w:color="000000" w:fill="FFC000"/>
            <w:vAlign w:val="center"/>
            <w:hideMark/>
          </w:tcPr>
          <w:p w:rsidR="00BC6E1F" w:rsidRPr="00572AD9" w:rsidRDefault="00BC6E1F" w:rsidP="00572AD9">
            <w:pPr>
              <w:spacing w:after="0" w:line="240" w:lineRule="auto"/>
              <w:jc w:val="center"/>
              <w:rPr>
                <w:rFonts w:eastAsia="Times New Roman" w:cs="Calibri"/>
                <w:b/>
                <w:bCs/>
                <w:color w:val="000000"/>
                <w:lang w:eastAsia="en-GB"/>
              </w:rPr>
            </w:pPr>
            <w:r w:rsidRPr="00572AD9">
              <w:rPr>
                <w:rFonts w:eastAsia="Times New Roman" w:cs="Calibri"/>
                <w:b/>
                <w:bCs/>
                <w:color w:val="000000"/>
                <w:lang w:eastAsia="en-GB"/>
              </w:rPr>
              <w:t>85%</w:t>
            </w:r>
          </w:p>
        </w:tc>
      </w:tr>
      <w:tr w:rsidR="00BC6E1F" w:rsidRPr="00B13A2F" w:rsidTr="00AB1003">
        <w:trPr>
          <w:trHeight w:val="368"/>
          <w:jc w:val="center"/>
        </w:trPr>
        <w:tc>
          <w:tcPr>
            <w:tcW w:w="3189" w:type="dxa"/>
            <w:vMerge/>
            <w:tcBorders>
              <w:left w:val="single" w:sz="4" w:space="0" w:color="auto"/>
              <w:right w:val="single" w:sz="4" w:space="0" w:color="auto"/>
            </w:tcBorders>
            <w:shd w:val="clear" w:color="000000" w:fill="C5D9F1"/>
            <w:hideMark/>
          </w:tcPr>
          <w:p w:rsidR="00BC6E1F" w:rsidRPr="00572AD9" w:rsidRDefault="00BC6E1F" w:rsidP="00572AD9">
            <w:pPr>
              <w:spacing w:after="0" w:line="240" w:lineRule="auto"/>
              <w:rPr>
                <w:rFonts w:eastAsia="Times New Roman" w:cs="Calibri"/>
                <w:b/>
                <w:bCs/>
                <w:color w:val="000000"/>
                <w:lang w:eastAsia="en-GB"/>
              </w:rPr>
            </w:pPr>
          </w:p>
        </w:tc>
        <w:tc>
          <w:tcPr>
            <w:tcW w:w="3673" w:type="dxa"/>
            <w:tcBorders>
              <w:top w:val="nil"/>
              <w:left w:val="nil"/>
              <w:bottom w:val="single" w:sz="4" w:space="0" w:color="auto"/>
              <w:right w:val="single" w:sz="4" w:space="0" w:color="auto"/>
            </w:tcBorders>
            <w:shd w:val="clear" w:color="000000" w:fill="C5D9F1"/>
            <w:hideMark/>
          </w:tcPr>
          <w:p w:rsidR="00BC6E1F" w:rsidRPr="00572AD9" w:rsidRDefault="00BC6E1F" w:rsidP="00572AD9">
            <w:pPr>
              <w:spacing w:after="0" w:line="240" w:lineRule="auto"/>
              <w:rPr>
                <w:rFonts w:eastAsia="Times New Roman" w:cs="Calibri"/>
                <w:b/>
                <w:bCs/>
                <w:color w:val="000000"/>
                <w:lang w:eastAsia="en-GB"/>
              </w:rPr>
            </w:pPr>
            <w:r w:rsidRPr="00572AD9">
              <w:rPr>
                <w:rFonts w:eastAsia="Times New Roman" w:cs="Calibri"/>
                <w:b/>
                <w:bCs/>
                <w:color w:val="000000"/>
                <w:lang w:eastAsia="en-GB"/>
              </w:rPr>
              <w:t>Last SIAs conducted in the country</w:t>
            </w:r>
          </w:p>
        </w:tc>
        <w:tc>
          <w:tcPr>
            <w:tcW w:w="2387" w:type="dxa"/>
            <w:tcBorders>
              <w:top w:val="nil"/>
              <w:left w:val="nil"/>
              <w:bottom w:val="single" w:sz="4" w:space="0" w:color="auto"/>
              <w:right w:val="single" w:sz="4" w:space="0" w:color="auto"/>
            </w:tcBorders>
            <w:shd w:val="clear" w:color="auto" w:fill="auto"/>
            <w:hideMark/>
          </w:tcPr>
          <w:p w:rsidR="00BC6E1F" w:rsidRPr="00572AD9" w:rsidRDefault="00BC6E1F" w:rsidP="00572AD9">
            <w:pPr>
              <w:spacing w:after="0" w:line="240" w:lineRule="auto"/>
              <w:jc w:val="center"/>
              <w:rPr>
                <w:rFonts w:eastAsia="Times New Roman" w:cs="Calibri"/>
                <w:b/>
                <w:bCs/>
                <w:color w:val="000000"/>
                <w:lang w:eastAsia="en-GB"/>
              </w:rPr>
            </w:pPr>
            <w:r w:rsidRPr="00572AD9">
              <w:rPr>
                <w:rFonts w:eastAsia="Times New Roman" w:cs="Calibri"/>
                <w:b/>
                <w:bCs/>
                <w:color w:val="000000"/>
                <w:lang w:eastAsia="en-GB"/>
              </w:rPr>
              <w:t>N/A</w:t>
            </w:r>
          </w:p>
        </w:tc>
      </w:tr>
      <w:tr w:rsidR="00BC6E1F" w:rsidRPr="00B13A2F" w:rsidTr="00AB1003">
        <w:trPr>
          <w:trHeight w:val="512"/>
          <w:jc w:val="center"/>
        </w:trPr>
        <w:tc>
          <w:tcPr>
            <w:tcW w:w="3189" w:type="dxa"/>
            <w:vMerge/>
            <w:tcBorders>
              <w:left w:val="single" w:sz="4" w:space="0" w:color="auto"/>
              <w:bottom w:val="single" w:sz="4" w:space="0" w:color="auto"/>
              <w:right w:val="single" w:sz="4" w:space="0" w:color="auto"/>
            </w:tcBorders>
            <w:shd w:val="clear" w:color="000000" w:fill="C5D9F1"/>
            <w:vAlign w:val="center"/>
            <w:hideMark/>
          </w:tcPr>
          <w:p w:rsidR="00BC6E1F" w:rsidRPr="00572AD9" w:rsidRDefault="00BC6E1F" w:rsidP="00572AD9">
            <w:pPr>
              <w:spacing w:after="0" w:line="240" w:lineRule="auto"/>
              <w:rPr>
                <w:rFonts w:eastAsia="Times New Roman" w:cs="Calibri"/>
                <w:b/>
                <w:bCs/>
                <w:color w:val="000000"/>
                <w:lang w:eastAsia="en-GB"/>
              </w:rPr>
            </w:pPr>
          </w:p>
        </w:tc>
        <w:tc>
          <w:tcPr>
            <w:tcW w:w="3673" w:type="dxa"/>
            <w:tcBorders>
              <w:top w:val="nil"/>
              <w:left w:val="nil"/>
              <w:bottom w:val="single" w:sz="4" w:space="0" w:color="auto"/>
              <w:right w:val="single" w:sz="4" w:space="0" w:color="auto"/>
            </w:tcBorders>
            <w:shd w:val="clear" w:color="000000" w:fill="C5D9F1"/>
            <w:vAlign w:val="center"/>
            <w:hideMark/>
          </w:tcPr>
          <w:p w:rsidR="00BC6E1F" w:rsidRPr="00572AD9" w:rsidRDefault="00BC6E1F" w:rsidP="00572AD9">
            <w:pPr>
              <w:spacing w:after="0" w:line="240" w:lineRule="auto"/>
              <w:rPr>
                <w:rFonts w:eastAsia="Times New Roman" w:cs="Calibri"/>
                <w:b/>
                <w:bCs/>
                <w:color w:val="000000"/>
                <w:lang w:eastAsia="en-GB"/>
              </w:rPr>
            </w:pPr>
            <w:r w:rsidRPr="00572AD9">
              <w:rPr>
                <w:rFonts w:eastAsia="Times New Roman" w:cs="Calibri"/>
                <w:b/>
                <w:bCs/>
                <w:color w:val="000000"/>
                <w:lang w:eastAsia="en-GB"/>
              </w:rPr>
              <w:t>Elimination validation date</w:t>
            </w:r>
          </w:p>
        </w:tc>
        <w:tc>
          <w:tcPr>
            <w:tcW w:w="2387" w:type="dxa"/>
            <w:tcBorders>
              <w:top w:val="nil"/>
              <w:left w:val="nil"/>
              <w:bottom w:val="single" w:sz="4" w:space="0" w:color="auto"/>
              <w:right w:val="single" w:sz="4" w:space="0" w:color="auto"/>
            </w:tcBorders>
            <w:shd w:val="clear" w:color="000000" w:fill="00B050"/>
            <w:vAlign w:val="center"/>
            <w:hideMark/>
          </w:tcPr>
          <w:p w:rsidR="00BC6E1F" w:rsidRPr="00572AD9" w:rsidRDefault="00BC6E1F" w:rsidP="0027368A">
            <w:pPr>
              <w:spacing w:after="0" w:line="240" w:lineRule="auto"/>
              <w:jc w:val="center"/>
              <w:rPr>
                <w:rFonts w:eastAsia="Times New Roman" w:cs="Calibri"/>
                <w:b/>
                <w:bCs/>
                <w:color w:val="000000"/>
                <w:lang w:eastAsia="en-GB"/>
              </w:rPr>
            </w:pPr>
            <w:r w:rsidRPr="00572AD9">
              <w:rPr>
                <w:rFonts w:eastAsia="Times New Roman" w:cs="Calibri"/>
                <w:b/>
                <w:bCs/>
                <w:color w:val="000000"/>
                <w:lang w:eastAsia="en-GB"/>
              </w:rPr>
              <w:t xml:space="preserve">Validated </w:t>
            </w:r>
            <w:r>
              <w:rPr>
                <w:rFonts w:eastAsia="Times New Roman" w:cs="Calibri"/>
                <w:b/>
                <w:bCs/>
                <w:color w:val="000000"/>
                <w:lang w:eastAsia="en-GB"/>
              </w:rPr>
              <w:t>in 201</w:t>
            </w:r>
            <w:r w:rsidR="0027368A">
              <w:rPr>
                <w:rFonts w:eastAsia="Times New Roman" w:cs="Calibri"/>
                <w:b/>
                <w:bCs/>
                <w:color w:val="000000"/>
                <w:lang w:eastAsia="en-GB"/>
              </w:rPr>
              <w:t>1</w:t>
            </w:r>
          </w:p>
        </w:tc>
      </w:tr>
      <w:tr w:rsidR="00BC6E1F" w:rsidRPr="00B13A2F" w:rsidTr="00AB1003">
        <w:trPr>
          <w:trHeight w:val="300"/>
          <w:jc w:val="center"/>
        </w:trPr>
        <w:tc>
          <w:tcPr>
            <w:tcW w:w="3189" w:type="dxa"/>
            <w:vMerge w:val="restart"/>
            <w:tcBorders>
              <w:top w:val="nil"/>
              <w:left w:val="single" w:sz="4" w:space="0" w:color="auto"/>
              <w:right w:val="single" w:sz="4" w:space="0" w:color="auto"/>
            </w:tcBorders>
            <w:shd w:val="clear" w:color="000000" w:fill="F2DCDB"/>
            <w:hideMark/>
          </w:tcPr>
          <w:p w:rsidR="00BC6E1F" w:rsidRPr="00572AD9" w:rsidRDefault="00BC6E1F" w:rsidP="00BC6E1F">
            <w:pPr>
              <w:spacing w:after="0" w:line="240" w:lineRule="auto"/>
              <w:rPr>
                <w:rFonts w:eastAsia="Times New Roman" w:cs="Calibri"/>
                <w:b/>
                <w:bCs/>
                <w:color w:val="000000"/>
                <w:lang w:eastAsia="en-GB"/>
              </w:rPr>
            </w:pPr>
            <w:r w:rsidRPr="00572AD9">
              <w:rPr>
                <w:rFonts w:eastAsia="Times New Roman" w:cs="Calibri"/>
                <w:b/>
                <w:bCs/>
                <w:color w:val="000000"/>
                <w:lang w:eastAsia="en-GB"/>
              </w:rPr>
              <w:t>3. Measles Elimination</w:t>
            </w:r>
          </w:p>
        </w:tc>
        <w:tc>
          <w:tcPr>
            <w:tcW w:w="3673" w:type="dxa"/>
            <w:tcBorders>
              <w:top w:val="nil"/>
              <w:left w:val="nil"/>
              <w:bottom w:val="single" w:sz="4" w:space="0" w:color="auto"/>
              <w:right w:val="single" w:sz="4" w:space="0" w:color="auto"/>
            </w:tcBorders>
            <w:shd w:val="clear" w:color="000000" w:fill="F2DCDB"/>
            <w:vAlign w:val="center"/>
            <w:hideMark/>
          </w:tcPr>
          <w:p w:rsidR="00BC6E1F" w:rsidRPr="00572AD9" w:rsidRDefault="00BC6E1F" w:rsidP="00AE11AD">
            <w:pPr>
              <w:spacing w:after="0" w:line="240" w:lineRule="auto"/>
              <w:rPr>
                <w:rFonts w:eastAsia="Times New Roman" w:cs="Calibri"/>
                <w:b/>
                <w:bCs/>
                <w:color w:val="000000"/>
                <w:lang w:eastAsia="en-GB"/>
              </w:rPr>
            </w:pPr>
            <w:r w:rsidRPr="00572AD9">
              <w:rPr>
                <w:rFonts w:eastAsia="Times New Roman" w:cs="Calibri"/>
                <w:b/>
                <w:bCs/>
                <w:color w:val="000000"/>
                <w:lang w:eastAsia="en-GB"/>
              </w:rPr>
              <w:t>Coverage MCV1 (201</w:t>
            </w:r>
            <w:r w:rsidR="00AE11AD">
              <w:rPr>
                <w:rFonts w:eastAsia="Times New Roman" w:cs="Calibri"/>
                <w:b/>
                <w:bCs/>
                <w:color w:val="000000"/>
                <w:lang w:eastAsia="en-GB"/>
              </w:rPr>
              <w:t>5</w:t>
            </w:r>
            <w:r w:rsidRPr="00572AD9">
              <w:rPr>
                <w:rFonts w:eastAsia="Times New Roman" w:cs="Calibri"/>
                <w:b/>
                <w:bCs/>
                <w:color w:val="000000"/>
                <w:lang w:eastAsia="en-GB"/>
              </w:rPr>
              <w:t xml:space="preserve"> WUENIC)</w:t>
            </w:r>
          </w:p>
        </w:tc>
        <w:tc>
          <w:tcPr>
            <w:tcW w:w="2387" w:type="dxa"/>
            <w:tcBorders>
              <w:top w:val="nil"/>
              <w:left w:val="nil"/>
              <w:bottom w:val="single" w:sz="4" w:space="0" w:color="auto"/>
              <w:right w:val="single" w:sz="4" w:space="0" w:color="auto"/>
            </w:tcBorders>
            <w:shd w:val="clear" w:color="000000" w:fill="FFC000"/>
            <w:vAlign w:val="center"/>
            <w:hideMark/>
          </w:tcPr>
          <w:p w:rsidR="00BC6E1F" w:rsidRPr="00572AD9" w:rsidRDefault="00BC6E1F" w:rsidP="00572AD9">
            <w:pPr>
              <w:spacing w:after="0" w:line="240" w:lineRule="auto"/>
              <w:jc w:val="center"/>
              <w:rPr>
                <w:rFonts w:eastAsia="Times New Roman" w:cs="Calibri"/>
                <w:b/>
                <w:bCs/>
                <w:color w:val="000000"/>
                <w:lang w:eastAsia="en-GB"/>
              </w:rPr>
            </w:pPr>
            <w:r w:rsidRPr="00572AD9">
              <w:rPr>
                <w:rFonts w:eastAsia="Times New Roman" w:cs="Calibri"/>
                <w:b/>
                <w:bCs/>
                <w:color w:val="000000"/>
                <w:lang w:eastAsia="en-GB"/>
              </w:rPr>
              <w:t>82%</w:t>
            </w:r>
          </w:p>
        </w:tc>
      </w:tr>
      <w:tr w:rsidR="00BC6E1F" w:rsidRPr="00B13A2F" w:rsidTr="00AB1003">
        <w:trPr>
          <w:trHeight w:val="300"/>
          <w:jc w:val="center"/>
        </w:trPr>
        <w:tc>
          <w:tcPr>
            <w:tcW w:w="3189" w:type="dxa"/>
            <w:vMerge/>
            <w:tcBorders>
              <w:left w:val="single" w:sz="4" w:space="0" w:color="auto"/>
              <w:right w:val="single" w:sz="4" w:space="0" w:color="auto"/>
            </w:tcBorders>
            <w:shd w:val="clear" w:color="000000" w:fill="F2DCDB"/>
            <w:vAlign w:val="center"/>
            <w:hideMark/>
          </w:tcPr>
          <w:p w:rsidR="00BC6E1F" w:rsidRPr="00572AD9" w:rsidRDefault="00BC6E1F" w:rsidP="00572AD9">
            <w:pPr>
              <w:spacing w:after="0" w:line="240" w:lineRule="auto"/>
              <w:rPr>
                <w:rFonts w:eastAsia="Times New Roman" w:cs="Calibri"/>
                <w:b/>
                <w:bCs/>
                <w:color w:val="000000"/>
                <w:lang w:eastAsia="en-GB"/>
              </w:rPr>
            </w:pPr>
          </w:p>
        </w:tc>
        <w:tc>
          <w:tcPr>
            <w:tcW w:w="3673" w:type="dxa"/>
            <w:tcBorders>
              <w:top w:val="nil"/>
              <w:left w:val="nil"/>
              <w:bottom w:val="single" w:sz="4" w:space="0" w:color="auto"/>
              <w:right w:val="single" w:sz="4" w:space="0" w:color="auto"/>
            </w:tcBorders>
            <w:shd w:val="clear" w:color="000000" w:fill="F2DCDB"/>
            <w:vAlign w:val="center"/>
            <w:hideMark/>
          </w:tcPr>
          <w:p w:rsidR="00BC6E1F" w:rsidRPr="00572AD9" w:rsidRDefault="00BC6E1F" w:rsidP="00572AD9">
            <w:pPr>
              <w:spacing w:after="0" w:line="240" w:lineRule="auto"/>
              <w:rPr>
                <w:rFonts w:eastAsia="Times New Roman" w:cs="Calibri"/>
                <w:b/>
                <w:bCs/>
                <w:color w:val="000000"/>
                <w:lang w:eastAsia="en-GB"/>
              </w:rPr>
            </w:pPr>
            <w:r w:rsidRPr="00572AD9">
              <w:rPr>
                <w:rFonts w:eastAsia="Times New Roman" w:cs="Calibri"/>
                <w:b/>
                <w:bCs/>
                <w:color w:val="000000"/>
                <w:lang w:eastAsia="en-GB"/>
              </w:rPr>
              <w:t xml:space="preserve">Coverage MCV2 </w:t>
            </w:r>
          </w:p>
        </w:tc>
        <w:tc>
          <w:tcPr>
            <w:tcW w:w="2387" w:type="dxa"/>
            <w:tcBorders>
              <w:top w:val="nil"/>
              <w:left w:val="nil"/>
              <w:bottom w:val="single" w:sz="4" w:space="0" w:color="auto"/>
              <w:right w:val="single" w:sz="4" w:space="0" w:color="auto"/>
            </w:tcBorders>
            <w:shd w:val="clear" w:color="000000" w:fill="FF0000"/>
            <w:vAlign w:val="center"/>
            <w:hideMark/>
          </w:tcPr>
          <w:p w:rsidR="00BC6E1F" w:rsidRPr="00572AD9" w:rsidRDefault="00BC6E1F" w:rsidP="00AE11AD">
            <w:pPr>
              <w:spacing w:after="0" w:line="240" w:lineRule="auto"/>
              <w:jc w:val="center"/>
              <w:rPr>
                <w:rFonts w:eastAsia="Times New Roman" w:cs="Calibri"/>
                <w:b/>
                <w:bCs/>
                <w:color w:val="000000"/>
                <w:lang w:eastAsia="en-GB"/>
              </w:rPr>
            </w:pPr>
            <w:r w:rsidRPr="00572AD9">
              <w:rPr>
                <w:rFonts w:eastAsia="Times New Roman" w:cs="Calibri"/>
                <w:b/>
                <w:bCs/>
                <w:color w:val="000000"/>
                <w:lang w:eastAsia="en-GB"/>
              </w:rPr>
              <w:t>Not in schedule</w:t>
            </w:r>
            <w:r w:rsidR="00F1695C">
              <w:rPr>
                <w:rFonts w:eastAsia="Times New Roman" w:cs="Calibri"/>
                <w:b/>
                <w:bCs/>
                <w:color w:val="000000"/>
                <w:lang w:eastAsia="en-GB"/>
              </w:rPr>
              <w:t xml:space="preserve"> </w:t>
            </w:r>
          </w:p>
        </w:tc>
      </w:tr>
      <w:tr w:rsidR="00BC6E1F" w:rsidRPr="00B13A2F" w:rsidTr="00AB1003">
        <w:trPr>
          <w:trHeight w:val="600"/>
          <w:jc w:val="center"/>
        </w:trPr>
        <w:tc>
          <w:tcPr>
            <w:tcW w:w="3189" w:type="dxa"/>
            <w:vMerge/>
            <w:tcBorders>
              <w:left w:val="single" w:sz="4" w:space="0" w:color="auto"/>
              <w:right w:val="single" w:sz="4" w:space="0" w:color="auto"/>
            </w:tcBorders>
            <w:shd w:val="clear" w:color="000000" w:fill="F2DCDB"/>
            <w:vAlign w:val="center"/>
            <w:hideMark/>
          </w:tcPr>
          <w:p w:rsidR="00BC6E1F" w:rsidRPr="00572AD9" w:rsidRDefault="00BC6E1F" w:rsidP="00572AD9">
            <w:pPr>
              <w:spacing w:after="0" w:line="240" w:lineRule="auto"/>
              <w:rPr>
                <w:rFonts w:eastAsia="Times New Roman" w:cs="Calibri"/>
                <w:b/>
                <w:bCs/>
                <w:color w:val="000000"/>
                <w:lang w:eastAsia="en-GB"/>
              </w:rPr>
            </w:pPr>
          </w:p>
        </w:tc>
        <w:tc>
          <w:tcPr>
            <w:tcW w:w="3673" w:type="dxa"/>
            <w:tcBorders>
              <w:top w:val="nil"/>
              <w:left w:val="nil"/>
              <w:bottom w:val="single" w:sz="4" w:space="0" w:color="auto"/>
              <w:right w:val="single" w:sz="4" w:space="0" w:color="auto"/>
            </w:tcBorders>
            <w:shd w:val="clear" w:color="000000" w:fill="F2DCDB"/>
            <w:vAlign w:val="center"/>
            <w:hideMark/>
          </w:tcPr>
          <w:p w:rsidR="00BC6E1F" w:rsidRPr="00572AD9" w:rsidRDefault="00BC6E1F" w:rsidP="00BC6E1F">
            <w:pPr>
              <w:spacing w:after="0" w:line="240" w:lineRule="auto"/>
              <w:rPr>
                <w:rFonts w:eastAsia="Times New Roman" w:cs="Calibri"/>
                <w:b/>
                <w:bCs/>
                <w:color w:val="000000"/>
                <w:lang w:eastAsia="en-GB"/>
              </w:rPr>
            </w:pPr>
            <w:r w:rsidRPr="00572AD9">
              <w:rPr>
                <w:rFonts w:eastAsia="Times New Roman" w:cs="Calibri"/>
                <w:b/>
                <w:bCs/>
                <w:color w:val="000000"/>
                <w:lang w:eastAsia="en-GB"/>
              </w:rPr>
              <w:t xml:space="preserve">Percentage of districts with MCV1 coverage </w:t>
            </w:r>
            <w:r>
              <w:rPr>
                <w:rFonts w:eastAsia="Times New Roman" w:cs="Calibri"/>
                <w:b/>
                <w:bCs/>
                <w:color w:val="000000"/>
                <w:lang w:eastAsia="en-GB"/>
              </w:rPr>
              <w:t>≥</w:t>
            </w:r>
            <w:r w:rsidRPr="00572AD9">
              <w:rPr>
                <w:rFonts w:eastAsia="Times New Roman" w:cs="Calibri"/>
                <w:b/>
                <w:bCs/>
                <w:color w:val="000000"/>
                <w:lang w:eastAsia="en-GB"/>
              </w:rPr>
              <w:t>95% (2015 JRF)</w:t>
            </w:r>
          </w:p>
        </w:tc>
        <w:tc>
          <w:tcPr>
            <w:tcW w:w="2387" w:type="dxa"/>
            <w:tcBorders>
              <w:top w:val="nil"/>
              <w:left w:val="nil"/>
              <w:bottom w:val="single" w:sz="4" w:space="0" w:color="auto"/>
              <w:right w:val="single" w:sz="4" w:space="0" w:color="auto"/>
            </w:tcBorders>
            <w:shd w:val="clear" w:color="000000" w:fill="FF0000"/>
            <w:vAlign w:val="center"/>
            <w:hideMark/>
          </w:tcPr>
          <w:p w:rsidR="00BC6E1F" w:rsidRPr="00572AD9" w:rsidRDefault="00BC6E1F" w:rsidP="00572AD9">
            <w:pPr>
              <w:spacing w:after="0" w:line="240" w:lineRule="auto"/>
              <w:jc w:val="center"/>
              <w:rPr>
                <w:rFonts w:eastAsia="Times New Roman" w:cs="Calibri"/>
                <w:b/>
                <w:bCs/>
                <w:color w:val="000000"/>
                <w:lang w:eastAsia="en-GB"/>
              </w:rPr>
            </w:pPr>
            <w:r w:rsidRPr="00572AD9">
              <w:rPr>
                <w:rFonts w:eastAsia="Times New Roman" w:cs="Calibri"/>
                <w:b/>
                <w:bCs/>
                <w:color w:val="000000"/>
                <w:lang w:eastAsia="en-GB"/>
              </w:rPr>
              <w:t>46%</w:t>
            </w:r>
          </w:p>
        </w:tc>
      </w:tr>
      <w:tr w:rsidR="00BC6E1F" w:rsidRPr="00B13A2F" w:rsidTr="00AB1003">
        <w:trPr>
          <w:trHeight w:val="300"/>
          <w:jc w:val="center"/>
        </w:trPr>
        <w:tc>
          <w:tcPr>
            <w:tcW w:w="3189" w:type="dxa"/>
            <w:vMerge/>
            <w:tcBorders>
              <w:left w:val="single" w:sz="4" w:space="0" w:color="auto"/>
              <w:right w:val="single" w:sz="4" w:space="0" w:color="auto"/>
            </w:tcBorders>
            <w:shd w:val="clear" w:color="000000" w:fill="F2DCDB"/>
            <w:vAlign w:val="center"/>
            <w:hideMark/>
          </w:tcPr>
          <w:p w:rsidR="00BC6E1F" w:rsidRPr="00572AD9" w:rsidRDefault="00BC6E1F" w:rsidP="00572AD9">
            <w:pPr>
              <w:spacing w:after="0" w:line="240" w:lineRule="auto"/>
              <w:rPr>
                <w:rFonts w:eastAsia="Times New Roman" w:cs="Calibri"/>
                <w:b/>
                <w:bCs/>
                <w:color w:val="000000"/>
                <w:lang w:eastAsia="en-GB"/>
              </w:rPr>
            </w:pPr>
          </w:p>
        </w:tc>
        <w:tc>
          <w:tcPr>
            <w:tcW w:w="3673" w:type="dxa"/>
            <w:tcBorders>
              <w:top w:val="nil"/>
              <w:left w:val="nil"/>
              <w:bottom w:val="single" w:sz="4" w:space="0" w:color="auto"/>
              <w:right w:val="single" w:sz="4" w:space="0" w:color="auto"/>
            </w:tcBorders>
            <w:shd w:val="clear" w:color="000000" w:fill="F2DCDB"/>
            <w:vAlign w:val="center"/>
            <w:hideMark/>
          </w:tcPr>
          <w:p w:rsidR="00BC6E1F" w:rsidRPr="00572AD9" w:rsidRDefault="00BC6E1F" w:rsidP="00572AD9">
            <w:pPr>
              <w:spacing w:after="0" w:line="240" w:lineRule="auto"/>
              <w:rPr>
                <w:rFonts w:eastAsia="Times New Roman" w:cs="Calibri"/>
                <w:b/>
                <w:bCs/>
                <w:color w:val="000000"/>
                <w:lang w:eastAsia="en-GB"/>
              </w:rPr>
            </w:pPr>
            <w:r w:rsidRPr="00572AD9">
              <w:rPr>
                <w:rFonts w:eastAsia="Times New Roman" w:cs="Calibri"/>
                <w:b/>
                <w:bCs/>
                <w:color w:val="000000"/>
                <w:lang w:eastAsia="en-GB"/>
              </w:rPr>
              <w:t>Last national SIA</w:t>
            </w:r>
          </w:p>
        </w:tc>
        <w:tc>
          <w:tcPr>
            <w:tcW w:w="2387" w:type="dxa"/>
            <w:tcBorders>
              <w:top w:val="nil"/>
              <w:left w:val="nil"/>
              <w:bottom w:val="single" w:sz="4" w:space="0" w:color="auto"/>
              <w:right w:val="single" w:sz="4" w:space="0" w:color="auto"/>
            </w:tcBorders>
            <w:shd w:val="clear" w:color="000000" w:fill="00B050"/>
            <w:vAlign w:val="center"/>
            <w:hideMark/>
          </w:tcPr>
          <w:p w:rsidR="00BC6E1F" w:rsidRPr="00572AD9" w:rsidRDefault="00BC6E1F" w:rsidP="00572AD9">
            <w:pPr>
              <w:spacing w:after="0" w:line="240" w:lineRule="auto"/>
              <w:jc w:val="center"/>
              <w:rPr>
                <w:rFonts w:eastAsia="Times New Roman" w:cs="Calibri"/>
                <w:b/>
                <w:bCs/>
                <w:color w:val="000000"/>
                <w:lang w:eastAsia="en-GB"/>
              </w:rPr>
            </w:pPr>
            <w:r w:rsidRPr="00572AD9">
              <w:rPr>
                <w:rFonts w:eastAsia="Times New Roman" w:cs="Calibri"/>
                <w:b/>
                <w:bCs/>
                <w:color w:val="000000"/>
                <w:lang w:eastAsia="en-GB"/>
              </w:rPr>
              <w:t>2015</w:t>
            </w:r>
          </w:p>
        </w:tc>
      </w:tr>
      <w:tr w:rsidR="00BC6E1F" w:rsidRPr="00B13A2F" w:rsidTr="00AB1003">
        <w:trPr>
          <w:trHeight w:val="300"/>
          <w:jc w:val="center"/>
        </w:trPr>
        <w:tc>
          <w:tcPr>
            <w:tcW w:w="3189" w:type="dxa"/>
            <w:vMerge/>
            <w:tcBorders>
              <w:left w:val="single" w:sz="4" w:space="0" w:color="auto"/>
              <w:bottom w:val="single" w:sz="4" w:space="0" w:color="auto"/>
              <w:right w:val="single" w:sz="4" w:space="0" w:color="auto"/>
            </w:tcBorders>
            <w:shd w:val="clear" w:color="000000" w:fill="F2DCDB"/>
            <w:vAlign w:val="center"/>
            <w:hideMark/>
          </w:tcPr>
          <w:p w:rsidR="00BC6E1F" w:rsidRPr="00572AD9" w:rsidRDefault="00BC6E1F" w:rsidP="00572AD9">
            <w:pPr>
              <w:spacing w:after="0" w:line="240" w:lineRule="auto"/>
              <w:rPr>
                <w:rFonts w:eastAsia="Times New Roman" w:cs="Calibri"/>
                <w:b/>
                <w:bCs/>
                <w:color w:val="000000"/>
                <w:lang w:eastAsia="en-GB"/>
              </w:rPr>
            </w:pPr>
          </w:p>
        </w:tc>
        <w:tc>
          <w:tcPr>
            <w:tcW w:w="3673" w:type="dxa"/>
            <w:tcBorders>
              <w:top w:val="nil"/>
              <w:left w:val="nil"/>
              <w:bottom w:val="single" w:sz="4" w:space="0" w:color="auto"/>
              <w:right w:val="single" w:sz="4" w:space="0" w:color="auto"/>
            </w:tcBorders>
            <w:shd w:val="clear" w:color="000000" w:fill="F2DCDB"/>
            <w:vAlign w:val="center"/>
            <w:hideMark/>
          </w:tcPr>
          <w:p w:rsidR="00BC6E1F" w:rsidRPr="00572AD9" w:rsidRDefault="00BC6E1F" w:rsidP="00572AD9">
            <w:pPr>
              <w:spacing w:after="0" w:line="240" w:lineRule="auto"/>
              <w:rPr>
                <w:rFonts w:eastAsia="Times New Roman" w:cs="Calibri"/>
                <w:b/>
                <w:bCs/>
                <w:color w:val="000000"/>
                <w:lang w:eastAsia="en-GB"/>
              </w:rPr>
            </w:pPr>
            <w:r w:rsidRPr="00572AD9">
              <w:rPr>
                <w:rFonts w:eastAsia="Times New Roman" w:cs="Calibri"/>
                <w:b/>
                <w:bCs/>
                <w:color w:val="000000"/>
                <w:lang w:eastAsia="en-GB"/>
              </w:rPr>
              <w:t>Post SIA coverage survey conducted</w:t>
            </w:r>
          </w:p>
        </w:tc>
        <w:tc>
          <w:tcPr>
            <w:tcW w:w="2387" w:type="dxa"/>
            <w:tcBorders>
              <w:top w:val="nil"/>
              <w:left w:val="nil"/>
              <w:bottom w:val="single" w:sz="4" w:space="0" w:color="auto"/>
              <w:right w:val="single" w:sz="4" w:space="0" w:color="auto"/>
            </w:tcBorders>
            <w:shd w:val="clear" w:color="000000" w:fill="FF0000"/>
            <w:vAlign w:val="center"/>
            <w:hideMark/>
          </w:tcPr>
          <w:p w:rsidR="00BC6E1F" w:rsidRPr="00572AD9" w:rsidRDefault="00BC6E1F" w:rsidP="00572AD9">
            <w:pPr>
              <w:spacing w:after="0" w:line="240" w:lineRule="auto"/>
              <w:jc w:val="center"/>
              <w:rPr>
                <w:rFonts w:eastAsia="Times New Roman" w:cs="Calibri"/>
                <w:b/>
                <w:bCs/>
                <w:color w:val="000000"/>
                <w:lang w:eastAsia="en-GB"/>
              </w:rPr>
            </w:pPr>
            <w:r w:rsidRPr="00572AD9">
              <w:rPr>
                <w:rFonts w:eastAsia="Times New Roman" w:cs="Calibri"/>
                <w:b/>
                <w:bCs/>
                <w:color w:val="000000"/>
                <w:lang w:eastAsia="en-GB"/>
              </w:rPr>
              <w:t>No</w:t>
            </w:r>
          </w:p>
        </w:tc>
      </w:tr>
      <w:tr w:rsidR="00BC6E1F" w:rsidRPr="00B13A2F" w:rsidTr="00AB1003">
        <w:trPr>
          <w:trHeight w:val="350"/>
          <w:jc w:val="center"/>
        </w:trPr>
        <w:tc>
          <w:tcPr>
            <w:tcW w:w="3189" w:type="dxa"/>
            <w:vMerge w:val="restart"/>
            <w:tcBorders>
              <w:top w:val="nil"/>
              <w:left w:val="single" w:sz="4" w:space="0" w:color="auto"/>
              <w:right w:val="single" w:sz="4" w:space="0" w:color="auto"/>
            </w:tcBorders>
            <w:shd w:val="clear" w:color="000000" w:fill="F2DCDB"/>
            <w:hideMark/>
          </w:tcPr>
          <w:p w:rsidR="00BC6E1F" w:rsidRPr="00572AD9" w:rsidRDefault="00BC6E1F" w:rsidP="00BC6E1F">
            <w:pPr>
              <w:spacing w:after="0" w:line="240" w:lineRule="auto"/>
              <w:rPr>
                <w:rFonts w:eastAsia="Times New Roman" w:cs="Calibri"/>
                <w:b/>
                <w:bCs/>
                <w:color w:val="000000"/>
                <w:lang w:eastAsia="en-GB"/>
              </w:rPr>
            </w:pPr>
            <w:r w:rsidRPr="00572AD9">
              <w:rPr>
                <w:rFonts w:eastAsia="Times New Roman" w:cs="Calibri"/>
                <w:b/>
                <w:bCs/>
                <w:color w:val="000000"/>
                <w:lang w:eastAsia="en-GB"/>
              </w:rPr>
              <w:t>4. Rubella/CRS Elimination</w:t>
            </w:r>
          </w:p>
        </w:tc>
        <w:tc>
          <w:tcPr>
            <w:tcW w:w="3673" w:type="dxa"/>
            <w:tcBorders>
              <w:top w:val="nil"/>
              <w:left w:val="nil"/>
              <w:bottom w:val="single" w:sz="4" w:space="0" w:color="auto"/>
              <w:right w:val="single" w:sz="4" w:space="0" w:color="auto"/>
            </w:tcBorders>
            <w:shd w:val="clear" w:color="000000" w:fill="F2DCDB"/>
            <w:vAlign w:val="center"/>
            <w:hideMark/>
          </w:tcPr>
          <w:p w:rsidR="00BC6E1F" w:rsidRPr="00572AD9" w:rsidRDefault="00BC6E1F" w:rsidP="00BC6E1F">
            <w:pPr>
              <w:spacing w:after="0" w:line="240" w:lineRule="auto"/>
              <w:rPr>
                <w:rFonts w:eastAsia="Times New Roman" w:cs="Calibri"/>
                <w:b/>
                <w:bCs/>
                <w:color w:val="000000"/>
                <w:lang w:eastAsia="en-GB"/>
              </w:rPr>
            </w:pPr>
            <w:r>
              <w:rPr>
                <w:rFonts w:eastAsia="Times New Roman" w:cs="Calibri"/>
                <w:b/>
                <w:bCs/>
                <w:color w:val="000000"/>
                <w:lang w:eastAsia="en-GB"/>
              </w:rPr>
              <w:t>Rubella-containing vaccine c</w:t>
            </w:r>
            <w:r w:rsidRPr="00572AD9">
              <w:rPr>
                <w:rFonts w:eastAsia="Times New Roman" w:cs="Calibri"/>
                <w:b/>
                <w:bCs/>
                <w:color w:val="000000"/>
                <w:lang w:eastAsia="en-GB"/>
              </w:rPr>
              <w:t xml:space="preserve">overage </w:t>
            </w:r>
          </w:p>
        </w:tc>
        <w:tc>
          <w:tcPr>
            <w:tcW w:w="2387" w:type="dxa"/>
            <w:tcBorders>
              <w:top w:val="nil"/>
              <w:left w:val="nil"/>
              <w:bottom w:val="single" w:sz="4" w:space="0" w:color="auto"/>
              <w:right w:val="single" w:sz="4" w:space="0" w:color="auto"/>
            </w:tcBorders>
            <w:shd w:val="clear" w:color="000000" w:fill="FF0000"/>
            <w:vAlign w:val="center"/>
            <w:hideMark/>
          </w:tcPr>
          <w:p w:rsidR="00BC6E1F" w:rsidRPr="00572AD9" w:rsidRDefault="00BC6E1F" w:rsidP="00572AD9">
            <w:pPr>
              <w:spacing w:after="0" w:line="240" w:lineRule="auto"/>
              <w:jc w:val="center"/>
              <w:rPr>
                <w:rFonts w:eastAsia="Times New Roman" w:cs="Calibri"/>
                <w:b/>
                <w:bCs/>
                <w:color w:val="000000"/>
                <w:lang w:eastAsia="en-GB"/>
              </w:rPr>
            </w:pPr>
            <w:r w:rsidRPr="00572AD9">
              <w:rPr>
                <w:rFonts w:eastAsia="Times New Roman" w:cs="Calibri"/>
                <w:b/>
                <w:bCs/>
                <w:color w:val="000000"/>
                <w:lang w:eastAsia="en-GB"/>
              </w:rPr>
              <w:t>N</w:t>
            </w:r>
            <w:r>
              <w:rPr>
                <w:rFonts w:eastAsia="Times New Roman" w:cs="Calibri"/>
                <w:b/>
                <w:bCs/>
                <w:color w:val="000000"/>
                <w:lang w:eastAsia="en-GB"/>
              </w:rPr>
              <w:t xml:space="preserve">ot introduced </w:t>
            </w:r>
          </w:p>
        </w:tc>
      </w:tr>
      <w:tr w:rsidR="00BC6E1F" w:rsidRPr="00B13A2F" w:rsidTr="00AB1003">
        <w:trPr>
          <w:trHeight w:val="300"/>
          <w:jc w:val="center"/>
        </w:trPr>
        <w:tc>
          <w:tcPr>
            <w:tcW w:w="3189" w:type="dxa"/>
            <w:vMerge/>
            <w:tcBorders>
              <w:left w:val="single" w:sz="4" w:space="0" w:color="auto"/>
              <w:bottom w:val="single" w:sz="4" w:space="0" w:color="auto"/>
              <w:right w:val="single" w:sz="4" w:space="0" w:color="auto"/>
            </w:tcBorders>
            <w:shd w:val="clear" w:color="000000" w:fill="F2DCDB"/>
            <w:vAlign w:val="center"/>
            <w:hideMark/>
          </w:tcPr>
          <w:p w:rsidR="00BC6E1F" w:rsidRPr="00572AD9" w:rsidRDefault="00BC6E1F" w:rsidP="00572AD9">
            <w:pPr>
              <w:spacing w:after="0" w:line="240" w:lineRule="auto"/>
              <w:rPr>
                <w:rFonts w:eastAsia="Times New Roman" w:cs="Calibri"/>
                <w:b/>
                <w:bCs/>
                <w:color w:val="000000"/>
                <w:lang w:eastAsia="en-GB"/>
              </w:rPr>
            </w:pPr>
          </w:p>
        </w:tc>
        <w:tc>
          <w:tcPr>
            <w:tcW w:w="3673" w:type="dxa"/>
            <w:tcBorders>
              <w:top w:val="nil"/>
              <w:left w:val="nil"/>
              <w:bottom w:val="single" w:sz="4" w:space="0" w:color="auto"/>
              <w:right w:val="single" w:sz="4" w:space="0" w:color="auto"/>
            </w:tcBorders>
            <w:shd w:val="clear" w:color="000000" w:fill="F2DCDB"/>
            <w:vAlign w:val="center"/>
            <w:hideMark/>
          </w:tcPr>
          <w:p w:rsidR="00BC6E1F" w:rsidRPr="00572AD9" w:rsidRDefault="00BC6E1F" w:rsidP="00572AD9">
            <w:pPr>
              <w:spacing w:after="0" w:line="240" w:lineRule="auto"/>
              <w:rPr>
                <w:rFonts w:eastAsia="Times New Roman" w:cs="Calibri"/>
                <w:b/>
                <w:bCs/>
                <w:color w:val="000000"/>
                <w:lang w:eastAsia="en-GB"/>
              </w:rPr>
            </w:pPr>
            <w:r w:rsidRPr="00572AD9">
              <w:rPr>
                <w:rFonts w:eastAsia="Times New Roman" w:cs="Calibri"/>
                <w:b/>
                <w:bCs/>
                <w:color w:val="000000"/>
                <w:lang w:eastAsia="en-GB"/>
              </w:rPr>
              <w:t>SIAs planned?</w:t>
            </w:r>
          </w:p>
        </w:tc>
        <w:tc>
          <w:tcPr>
            <w:tcW w:w="2387" w:type="dxa"/>
            <w:tcBorders>
              <w:top w:val="nil"/>
              <w:left w:val="nil"/>
              <w:bottom w:val="single" w:sz="4" w:space="0" w:color="auto"/>
              <w:right w:val="single" w:sz="4" w:space="0" w:color="auto"/>
            </w:tcBorders>
            <w:shd w:val="clear" w:color="000000" w:fill="FFC000"/>
            <w:vAlign w:val="center"/>
            <w:hideMark/>
          </w:tcPr>
          <w:p w:rsidR="00BC6E1F" w:rsidRPr="00572AD9" w:rsidRDefault="00BC6E1F" w:rsidP="00BC6E1F">
            <w:pPr>
              <w:spacing w:after="0" w:line="240" w:lineRule="auto"/>
              <w:jc w:val="center"/>
              <w:rPr>
                <w:rFonts w:eastAsia="Times New Roman" w:cs="Calibri"/>
                <w:b/>
                <w:bCs/>
                <w:color w:val="000000"/>
                <w:lang w:eastAsia="en-GB"/>
              </w:rPr>
            </w:pPr>
            <w:r>
              <w:rPr>
                <w:rFonts w:eastAsia="Times New Roman" w:cs="Calibri"/>
                <w:b/>
                <w:bCs/>
                <w:color w:val="000000"/>
                <w:lang w:eastAsia="en-GB"/>
              </w:rPr>
              <w:t>P</w:t>
            </w:r>
            <w:r w:rsidRPr="00572AD9">
              <w:rPr>
                <w:rFonts w:eastAsia="Times New Roman" w:cs="Calibri"/>
                <w:b/>
                <w:bCs/>
                <w:color w:val="000000"/>
                <w:lang w:eastAsia="en-GB"/>
              </w:rPr>
              <w:t>lanned</w:t>
            </w:r>
            <w:r>
              <w:rPr>
                <w:rFonts w:eastAsia="Times New Roman" w:cs="Calibri"/>
                <w:b/>
                <w:bCs/>
                <w:color w:val="000000"/>
                <w:lang w:eastAsia="en-GB"/>
              </w:rPr>
              <w:t xml:space="preserve"> for</w:t>
            </w:r>
            <w:r w:rsidRPr="00572AD9">
              <w:rPr>
                <w:rFonts w:eastAsia="Times New Roman" w:cs="Calibri"/>
                <w:b/>
                <w:bCs/>
                <w:color w:val="000000"/>
                <w:lang w:eastAsia="en-GB"/>
              </w:rPr>
              <w:t xml:space="preserve"> 2018</w:t>
            </w:r>
          </w:p>
        </w:tc>
      </w:tr>
      <w:tr w:rsidR="00F1695C" w:rsidRPr="00B13A2F" w:rsidTr="00AB1003">
        <w:trPr>
          <w:trHeight w:val="485"/>
          <w:jc w:val="center"/>
        </w:trPr>
        <w:tc>
          <w:tcPr>
            <w:tcW w:w="3189" w:type="dxa"/>
            <w:vMerge w:val="restart"/>
            <w:tcBorders>
              <w:top w:val="nil"/>
              <w:left w:val="single" w:sz="4" w:space="0" w:color="auto"/>
              <w:right w:val="single" w:sz="4" w:space="0" w:color="auto"/>
            </w:tcBorders>
            <w:shd w:val="clear" w:color="000000" w:fill="EBF1DE"/>
            <w:hideMark/>
          </w:tcPr>
          <w:p w:rsidR="00F1695C" w:rsidRPr="00572AD9" w:rsidRDefault="00F1695C" w:rsidP="00F1695C">
            <w:pPr>
              <w:spacing w:after="0" w:line="240" w:lineRule="auto"/>
              <w:rPr>
                <w:rFonts w:eastAsia="Times New Roman" w:cs="Calibri"/>
                <w:b/>
                <w:bCs/>
                <w:color w:val="000000"/>
                <w:lang w:eastAsia="en-GB"/>
              </w:rPr>
            </w:pPr>
            <w:r w:rsidRPr="00572AD9">
              <w:rPr>
                <w:rFonts w:eastAsia="Times New Roman" w:cs="Calibri"/>
                <w:b/>
                <w:bCs/>
                <w:color w:val="000000"/>
                <w:lang w:eastAsia="en-GB"/>
              </w:rPr>
              <w:t xml:space="preserve">5. Reach 90% national coverage and 80% in every district with </w:t>
            </w:r>
            <w:r>
              <w:rPr>
                <w:rFonts w:eastAsia="Times New Roman" w:cs="Calibri"/>
                <w:b/>
                <w:bCs/>
                <w:color w:val="000000"/>
                <w:lang w:eastAsia="en-GB"/>
              </w:rPr>
              <w:t>3</w:t>
            </w:r>
            <w:r w:rsidRPr="00BC6E1F">
              <w:rPr>
                <w:rFonts w:eastAsia="Times New Roman" w:cs="Calibri"/>
                <w:b/>
                <w:bCs/>
                <w:color w:val="000000"/>
                <w:vertAlign w:val="superscript"/>
                <w:lang w:eastAsia="en-GB"/>
              </w:rPr>
              <w:t>rd</w:t>
            </w:r>
            <w:r>
              <w:rPr>
                <w:rFonts w:eastAsia="Times New Roman" w:cs="Calibri"/>
                <w:b/>
                <w:bCs/>
                <w:color w:val="000000"/>
                <w:lang w:eastAsia="en-GB"/>
              </w:rPr>
              <w:t xml:space="preserve"> dose of </w:t>
            </w:r>
            <w:r w:rsidRPr="00572AD9">
              <w:rPr>
                <w:rFonts w:eastAsia="Times New Roman" w:cs="Calibri"/>
                <w:b/>
                <w:bCs/>
                <w:color w:val="000000"/>
                <w:lang w:eastAsia="en-GB"/>
              </w:rPr>
              <w:t>DTP</w:t>
            </w:r>
            <w:r>
              <w:rPr>
                <w:rFonts w:eastAsia="Times New Roman" w:cs="Calibri"/>
                <w:b/>
                <w:bCs/>
                <w:color w:val="000000"/>
                <w:lang w:eastAsia="en-GB"/>
              </w:rPr>
              <w:t>-containing vaccine</w:t>
            </w:r>
          </w:p>
        </w:tc>
        <w:tc>
          <w:tcPr>
            <w:tcW w:w="3673" w:type="dxa"/>
            <w:tcBorders>
              <w:top w:val="nil"/>
              <w:left w:val="nil"/>
              <w:bottom w:val="single" w:sz="4" w:space="0" w:color="auto"/>
              <w:right w:val="single" w:sz="4" w:space="0" w:color="auto"/>
            </w:tcBorders>
            <w:shd w:val="clear" w:color="000000" w:fill="EBF1DE"/>
            <w:vAlign w:val="center"/>
            <w:hideMark/>
          </w:tcPr>
          <w:p w:rsidR="00F1695C" w:rsidRPr="00572AD9" w:rsidRDefault="00F1695C" w:rsidP="00572AD9">
            <w:pPr>
              <w:spacing w:after="0" w:line="240" w:lineRule="auto"/>
              <w:rPr>
                <w:rFonts w:eastAsia="Times New Roman" w:cs="Calibri"/>
                <w:b/>
                <w:bCs/>
                <w:color w:val="000000"/>
                <w:lang w:eastAsia="en-GB"/>
              </w:rPr>
            </w:pPr>
            <w:r w:rsidRPr="00572AD9">
              <w:rPr>
                <w:rFonts w:eastAsia="Times New Roman" w:cs="Calibri"/>
                <w:b/>
                <w:bCs/>
                <w:color w:val="000000"/>
                <w:lang w:eastAsia="en-GB"/>
              </w:rPr>
              <w:t>National coverage (WUENIC 201</w:t>
            </w:r>
            <w:r w:rsidR="00412E93">
              <w:rPr>
                <w:rFonts w:eastAsia="Times New Roman" w:cs="Calibri"/>
                <w:b/>
                <w:bCs/>
                <w:color w:val="000000"/>
                <w:lang w:eastAsia="en-GB"/>
              </w:rPr>
              <w:t>5</w:t>
            </w:r>
            <w:r w:rsidRPr="00572AD9">
              <w:rPr>
                <w:rFonts w:eastAsia="Times New Roman" w:cs="Calibri"/>
                <w:b/>
                <w:bCs/>
                <w:color w:val="000000"/>
                <w:lang w:eastAsia="en-GB"/>
              </w:rPr>
              <w:t>)</w:t>
            </w:r>
          </w:p>
        </w:tc>
        <w:tc>
          <w:tcPr>
            <w:tcW w:w="2387" w:type="dxa"/>
            <w:tcBorders>
              <w:top w:val="nil"/>
              <w:left w:val="nil"/>
              <w:bottom w:val="single" w:sz="4" w:space="0" w:color="auto"/>
              <w:right w:val="single" w:sz="4" w:space="0" w:color="auto"/>
            </w:tcBorders>
            <w:shd w:val="clear" w:color="000000" w:fill="FF0000"/>
            <w:vAlign w:val="center"/>
            <w:hideMark/>
          </w:tcPr>
          <w:p w:rsidR="00F1695C" w:rsidRPr="00572AD9" w:rsidRDefault="00F1695C" w:rsidP="00572AD9">
            <w:pPr>
              <w:spacing w:after="0" w:line="240" w:lineRule="auto"/>
              <w:jc w:val="center"/>
              <w:rPr>
                <w:rFonts w:eastAsia="Times New Roman" w:cs="Calibri"/>
                <w:b/>
                <w:bCs/>
                <w:color w:val="000000"/>
                <w:lang w:eastAsia="en-GB"/>
              </w:rPr>
            </w:pPr>
            <w:r w:rsidRPr="00572AD9">
              <w:rPr>
                <w:rFonts w:eastAsia="Times New Roman" w:cs="Calibri"/>
                <w:b/>
                <w:bCs/>
                <w:color w:val="000000"/>
                <w:lang w:eastAsia="en-GB"/>
              </w:rPr>
              <w:t>78%</w:t>
            </w:r>
          </w:p>
        </w:tc>
      </w:tr>
      <w:tr w:rsidR="00F1695C" w:rsidRPr="00B13A2F" w:rsidTr="00AB1003">
        <w:trPr>
          <w:trHeight w:val="620"/>
          <w:jc w:val="center"/>
        </w:trPr>
        <w:tc>
          <w:tcPr>
            <w:tcW w:w="3189" w:type="dxa"/>
            <w:vMerge/>
            <w:tcBorders>
              <w:left w:val="single" w:sz="4" w:space="0" w:color="auto"/>
              <w:right w:val="single" w:sz="4" w:space="0" w:color="auto"/>
            </w:tcBorders>
            <w:shd w:val="clear" w:color="000000" w:fill="EBF1DE"/>
            <w:vAlign w:val="center"/>
          </w:tcPr>
          <w:p w:rsidR="00F1695C" w:rsidRPr="00572AD9" w:rsidRDefault="00F1695C" w:rsidP="00572AD9">
            <w:pPr>
              <w:spacing w:after="0" w:line="240" w:lineRule="auto"/>
              <w:rPr>
                <w:rFonts w:eastAsia="Times New Roman" w:cs="Calibri"/>
                <w:b/>
                <w:bCs/>
                <w:color w:val="000000"/>
                <w:lang w:eastAsia="en-GB"/>
              </w:rPr>
            </w:pPr>
          </w:p>
        </w:tc>
        <w:tc>
          <w:tcPr>
            <w:tcW w:w="3673" w:type="dxa"/>
            <w:tcBorders>
              <w:top w:val="nil"/>
              <w:left w:val="nil"/>
              <w:bottom w:val="single" w:sz="4" w:space="0" w:color="auto"/>
              <w:right w:val="single" w:sz="4" w:space="0" w:color="auto"/>
            </w:tcBorders>
            <w:shd w:val="clear" w:color="000000" w:fill="EBF1DE"/>
            <w:vAlign w:val="center"/>
            <w:hideMark/>
          </w:tcPr>
          <w:p w:rsidR="00F1695C" w:rsidRPr="00572AD9" w:rsidRDefault="00F1695C" w:rsidP="00412E93">
            <w:pPr>
              <w:spacing w:after="0" w:line="240" w:lineRule="auto"/>
              <w:rPr>
                <w:rFonts w:eastAsia="Times New Roman" w:cs="Calibri"/>
                <w:b/>
                <w:bCs/>
                <w:color w:val="000000"/>
                <w:lang w:eastAsia="en-GB"/>
              </w:rPr>
            </w:pPr>
            <w:r w:rsidRPr="00572AD9">
              <w:rPr>
                <w:rFonts w:eastAsia="Times New Roman" w:cs="Calibri"/>
                <w:b/>
                <w:bCs/>
                <w:color w:val="000000"/>
                <w:lang w:eastAsia="en-GB"/>
              </w:rPr>
              <w:t xml:space="preserve">Drop-out rate DTP1 </w:t>
            </w:r>
            <w:r>
              <w:rPr>
                <w:rFonts w:eastAsia="Times New Roman" w:cs="Calibri"/>
                <w:b/>
                <w:bCs/>
                <w:color w:val="000000"/>
                <w:lang w:eastAsia="en-GB"/>
              </w:rPr>
              <w:t>to DTP3 (201</w:t>
            </w:r>
            <w:r w:rsidR="00412E93">
              <w:rPr>
                <w:rFonts w:eastAsia="Times New Roman" w:cs="Calibri"/>
                <w:b/>
                <w:bCs/>
                <w:color w:val="000000"/>
                <w:lang w:eastAsia="en-GB"/>
              </w:rPr>
              <w:t>5</w:t>
            </w:r>
            <w:r>
              <w:rPr>
                <w:rFonts w:eastAsia="Times New Roman" w:cs="Calibri"/>
                <w:b/>
                <w:bCs/>
                <w:color w:val="000000"/>
                <w:lang w:eastAsia="en-GB"/>
              </w:rPr>
              <w:t xml:space="preserve"> WUENIC)</w:t>
            </w:r>
          </w:p>
        </w:tc>
        <w:tc>
          <w:tcPr>
            <w:tcW w:w="2387" w:type="dxa"/>
            <w:tcBorders>
              <w:top w:val="nil"/>
              <w:left w:val="nil"/>
              <w:bottom w:val="single" w:sz="4" w:space="0" w:color="auto"/>
              <w:right w:val="single" w:sz="4" w:space="0" w:color="auto"/>
            </w:tcBorders>
            <w:shd w:val="clear" w:color="000000" w:fill="FF0000"/>
            <w:vAlign w:val="center"/>
            <w:hideMark/>
          </w:tcPr>
          <w:p w:rsidR="00F1695C" w:rsidRPr="00572AD9" w:rsidRDefault="00F1695C" w:rsidP="00572AD9">
            <w:pPr>
              <w:spacing w:after="0" w:line="240" w:lineRule="auto"/>
              <w:jc w:val="center"/>
              <w:rPr>
                <w:rFonts w:eastAsia="Times New Roman" w:cs="Calibri"/>
                <w:b/>
                <w:bCs/>
                <w:color w:val="000000"/>
                <w:lang w:eastAsia="en-GB"/>
              </w:rPr>
            </w:pPr>
            <w:r w:rsidRPr="00572AD9">
              <w:rPr>
                <w:rFonts w:eastAsia="Times New Roman" w:cs="Calibri"/>
                <w:b/>
                <w:bCs/>
                <w:color w:val="000000"/>
                <w:lang w:eastAsia="en-GB"/>
              </w:rPr>
              <w:t>12%</w:t>
            </w:r>
          </w:p>
        </w:tc>
      </w:tr>
      <w:tr w:rsidR="00F1695C" w:rsidRPr="00B13A2F" w:rsidTr="00AB1003">
        <w:trPr>
          <w:trHeight w:val="620"/>
          <w:jc w:val="center"/>
        </w:trPr>
        <w:tc>
          <w:tcPr>
            <w:tcW w:w="3189" w:type="dxa"/>
            <w:vMerge/>
            <w:tcBorders>
              <w:left w:val="single" w:sz="4" w:space="0" w:color="auto"/>
              <w:right w:val="single" w:sz="4" w:space="0" w:color="auto"/>
            </w:tcBorders>
            <w:shd w:val="clear" w:color="000000" w:fill="EBF1DE"/>
            <w:vAlign w:val="center"/>
          </w:tcPr>
          <w:p w:rsidR="00F1695C" w:rsidRPr="00572AD9" w:rsidRDefault="00F1695C" w:rsidP="00572AD9">
            <w:pPr>
              <w:spacing w:after="0" w:line="240" w:lineRule="auto"/>
              <w:rPr>
                <w:rFonts w:eastAsia="Times New Roman" w:cs="Calibri"/>
                <w:b/>
                <w:bCs/>
                <w:color w:val="000000"/>
                <w:lang w:eastAsia="en-GB"/>
              </w:rPr>
            </w:pPr>
          </w:p>
        </w:tc>
        <w:tc>
          <w:tcPr>
            <w:tcW w:w="3673" w:type="dxa"/>
            <w:tcBorders>
              <w:top w:val="nil"/>
              <w:left w:val="nil"/>
              <w:bottom w:val="single" w:sz="4" w:space="0" w:color="auto"/>
              <w:right w:val="single" w:sz="4" w:space="0" w:color="auto"/>
            </w:tcBorders>
            <w:shd w:val="clear" w:color="000000" w:fill="EBF1DE"/>
            <w:vAlign w:val="center"/>
            <w:hideMark/>
          </w:tcPr>
          <w:p w:rsidR="00F1695C" w:rsidRPr="00572AD9" w:rsidRDefault="00F1695C" w:rsidP="00572AD9">
            <w:pPr>
              <w:spacing w:after="0" w:line="240" w:lineRule="auto"/>
              <w:rPr>
                <w:rFonts w:eastAsia="Times New Roman" w:cs="Calibri"/>
                <w:b/>
                <w:bCs/>
                <w:color w:val="000000"/>
                <w:lang w:eastAsia="en-GB"/>
              </w:rPr>
            </w:pPr>
            <w:r w:rsidRPr="00572AD9">
              <w:rPr>
                <w:rFonts w:eastAsia="Times New Roman" w:cs="Calibri"/>
                <w:b/>
                <w:bCs/>
                <w:color w:val="000000"/>
                <w:lang w:eastAsia="en-GB"/>
              </w:rPr>
              <w:t>Actual numbers of children that dropped out (2014 WUENIC)</w:t>
            </w:r>
          </w:p>
        </w:tc>
        <w:tc>
          <w:tcPr>
            <w:tcW w:w="2387" w:type="dxa"/>
            <w:tcBorders>
              <w:top w:val="nil"/>
              <w:left w:val="nil"/>
              <w:bottom w:val="single" w:sz="4" w:space="0" w:color="auto"/>
              <w:right w:val="single" w:sz="4" w:space="0" w:color="auto"/>
            </w:tcBorders>
            <w:shd w:val="clear" w:color="000000" w:fill="FF0000"/>
            <w:vAlign w:val="center"/>
            <w:hideMark/>
          </w:tcPr>
          <w:p w:rsidR="00F1695C" w:rsidRPr="00572AD9" w:rsidRDefault="00F1695C" w:rsidP="00572AD9">
            <w:pPr>
              <w:spacing w:after="0" w:line="240" w:lineRule="auto"/>
              <w:jc w:val="center"/>
              <w:rPr>
                <w:rFonts w:eastAsia="Times New Roman" w:cs="Calibri"/>
                <w:b/>
                <w:bCs/>
                <w:color w:val="000000"/>
                <w:lang w:eastAsia="en-GB"/>
              </w:rPr>
            </w:pPr>
            <w:r w:rsidRPr="00572AD9">
              <w:rPr>
                <w:rFonts w:eastAsia="Times New Roman" w:cs="Calibri"/>
                <w:b/>
                <w:bCs/>
                <w:color w:val="000000"/>
                <w:lang w:eastAsia="en-GB"/>
              </w:rPr>
              <w:t>173</w:t>
            </w:r>
            <w:r>
              <w:rPr>
                <w:rFonts w:eastAsia="Times New Roman" w:cs="Calibri"/>
                <w:b/>
                <w:bCs/>
                <w:color w:val="000000"/>
                <w:lang w:eastAsia="en-GB"/>
              </w:rPr>
              <w:t>,</w:t>
            </w:r>
            <w:r w:rsidRPr="00572AD9">
              <w:rPr>
                <w:rFonts w:eastAsia="Times New Roman" w:cs="Calibri"/>
                <w:b/>
                <w:bCs/>
                <w:color w:val="000000"/>
                <w:lang w:eastAsia="en-GB"/>
              </w:rPr>
              <w:t>000</w:t>
            </w:r>
          </w:p>
        </w:tc>
      </w:tr>
      <w:tr w:rsidR="00F1695C" w:rsidRPr="00B13A2F" w:rsidTr="00AB1003">
        <w:trPr>
          <w:trHeight w:val="620"/>
          <w:jc w:val="center"/>
        </w:trPr>
        <w:tc>
          <w:tcPr>
            <w:tcW w:w="3189" w:type="dxa"/>
            <w:vMerge/>
            <w:tcBorders>
              <w:left w:val="single" w:sz="4" w:space="0" w:color="auto"/>
              <w:right w:val="single" w:sz="4" w:space="0" w:color="auto"/>
            </w:tcBorders>
            <w:shd w:val="clear" w:color="000000" w:fill="EBF1DE"/>
            <w:vAlign w:val="center"/>
          </w:tcPr>
          <w:p w:rsidR="00F1695C" w:rsidRPr="00572AD9" w:rsidRDefault="00F1695C" w:rsidP="00572AD9">
            <w:pPr>
              <w:spacing w:after="0" w:line="240" w:lineRule="auto"/>
              <w:rPr>
                <w:rFonts w:eastAsia="Times New Roman" w:cs="Calibri"/>
                <w:b/>
                <w:bCs/>
                <w:color w:val="000000"/>
                <w:lang w:eastAsia="en-GB"/>
              </w:rPr>
            </w:pPr>
          </w:p>
        </w:tc>
        <w:tc>
          <w:tcPr>
            <w:tcW w:w="3673" w:type="dxa"/>
            <w:tcBorders>
              <w:top w:val="nil"/>
              <w:left w:val="nil"/>
              <w:bottom w:val="single" w:sz="4" w:space="0" w:color="auto"/>
              <w:right w:val="single" w:sz="4" w:space="0" w:color="auto"/>
            </w:tcBorders>
            <w:shd w:val="clear" w:color="000000" w:fill="EBF1DE"/>
            <w:vAlign w:val="center"/>
            <w:hideMark/>
          </w:tcPr>
          <w:p w:rsidR="00F1695C" w:rsidRPr="00572AD9" w:rsidRDefault="00F1695C" w:rsidP="00572AD9">
            <w:pPr>
              <w:spacing w:after="0" w:line="240" w:lineRule="auto"/>
              <w:rPr>
                <w:rFonts w:eastAsia="Times New Roman" w:cs="Calibri"/>
                <w:b/>
                <w:bCs/>
                <w:color w:val="000000"/>
                <w:lang w:eastAsia="en-GB"/>
              </w:rPr>
            </w:pPr>
            <w:r w:rsidRPr="00572AD9">
              <w:rPr>
                <w:rFonts w:eastAsia="Times New Roman" w:cs="Calibri"/>
                <w:b/>
                <w:bCs/>
                <w:color w:val="000000"/>
                <w:lang w:eastAsia="en-GB"/>
              </w:rPr>
              <w:t>Difference between poorest and richest quintile DTP3 coverage (2013 data)</w:t>
            </w:r>
          </w:p>
        </w:tc>
        <w:tc>
          <w:tcPr>
            <w:tcW w:w="2387" w:type="dxa"/>
            <w:tcBorders>
              <w:top w:val="nil"/>
              <w:left w:val="nil"/>
              <w:bottom w:val="single" w:sz="4" w:space="0" w:color="auto"/>
              <w:right w:val="single" w:sz="4" w:space="0" w:color="auto"/>
            </w:tcBorders>
            <w:shd w:val="clear" w:color="000000" w:fill="00B050"/>
            <w:vAlign w:val="center"/>
            <w:hideMark/>
          </w:tcPr>
          <w:p w:rsidR="00F1695C" w:rsidRPr="00572AD9" w:rsidRDefault="00600D0F" w:rsidP="00600D0F">
            <w:pPr>
              <w:spacing w:after="0" w:line="240" w:lineRule="auto"/>
              <w:jc w:val="center"/>
              <w:rPr>
                <w:rFonts w:eastAsia="Times New Roman" w:cs="Calibri"/>
                <w:b/>
                <w:bCs/>
                <w:color w:val="000000"/>
                <w:lang w:eastAsia="en-GB"/>
              </w:rPr>
            </w:pPr>
            <w:r>
              <w:rPr>
                <w:rFonts w:eastAsia="Times New Roman" w:cs="Calibri"/>
                <w:b/>
                <w:bCs/>
                <w:color w:val="000000"/>
                <w:lang w:eastAsia="en-GB"/>
              </w:rPr>
              <w:t>0.3%</w:t>
            </w:r>
          </w:p>
        </w:tc>
      </w:tr>
      <w:tr w:rsidR="00F1695C" w:rsidRPr="00B13A2F" w:rsidTr="00AB1003">
        <w:trPr>
          <w:trHeight w:val="620"/>
          <w:jc w:val="center"/>
        </w:trPr>
        <w:tc>
          <w:tcPr>
            <w:tcW w:w="3189" w:type="dxa"/>
            <w:vMerge/>
            <w:tcBorders>
              <w:left w:val="single" w:sz="4" w:space="0" w:color="auto"/>
              <w:bottom w:val="single" w:sz="4" w:space="0" w:color="auto"/>
              <w:right w:val="single" w:sz="4" w:space="0" w:color="auto"/>
            </w:tcBorders>
            <w:shd w:val="clear" w:color="000000" w:fill="EBF1DE"/>
            <w:vAlign w:val="center"/>
          </w:tcPr>
          <w:p w:rsidR="00F1695C" w:rsidRPr="00572AD9" w:rsidRDefault="00F1695C" w:rsidP="00572AD9">
            <w:pPr>
              <w:spacing w:after="0" w:line="240" w:lineRule="auto"/>
              <w:rPr>
                <w:rFonts w:eastAsia="Times New Roman" w:cs="Calibri"/>
                <w:b/>
                <w:bCs/>
                <w:color w:val="000000"/>
                <w:lang w:eastAsia="en-GB"/>
              </w:rPr>
            </w:pPr>
          </w:p>
        </w:tc>
        <w:tc>
          <w:tcPr>
            <w:tcW w:w="3673" w:type="dxa"/>
            <w:tcBorders>
              <w:top w:val="nil"/>
              <w:left w:val="nil"/>
              <w:bottom w:val="single" w:sz="4" w:space="0" w:color="auto"/>
              <w:right w:val="single" w:sz="4" w:space="0" w:color="auto"/>
            </w:tcBorders>
            <w:shd w:val="clear" w:color="000000" w:fill="EBF1DE"/>
            <w:vAlign w:val="center"/>
            <w:hideMark/>
          </w:tcPr>
          <w:p w:rsidR="00F1695C" w:rsidRPr="00572AD9" w:rsidRDefault="00F1695C" w:rsidP="00572AD9">
            <w:pPr>
              <w:spacing w:after="0" w:line="240" w:lineRule="auto"/>
              <w:rPr>
                <w:rFonts w:eastAsia="Times New Roman" w:cs="Calibri"/>
                <w:b/>
                <w:bCs/>
                <w:color w:val="000000"/>
                <w:lang w:eastAsia="en-GB"/>
              </w:rPr>
            </w:pPr>
            <w:r w:rsidRPr="00572AD9">
              <w:rPr>
                <w:rFonts w:eastAsia="Times New Roman" w:cs="Calibri"/>
                <w:b/>
                <w:bCs/>
                <w:color w:val="000000"/>
                <w:lang w:eastAsia="en-GB"/>
              </w:rPr>
              <w:t>% District coverage reaching 80% coverage from 2015 JRF</w:t>
            </w:r>
          </w:p>
        </w:tc>
        <w:tc>
          <w:tcPr>
            <w:tcW w:w="2387" w:type="dxa"/>
            <w:tcBorders>
              <w:top w:val="nil"/>
              <w:left w:val="nil"/>
              <w:bottom w:val="single" w:sz="4" w:space="0" w:color="auto"/>
              <w:right w:val="single" w:sz="4" w:space="0" w:color="auto"/>
            </w:tcBorders>
            <w:shd w:val="clear" w:color="000000" w:fill="FFC000"/>
            <w:vAlign w:val="center"/>
            <w:hideMark/>
          </w:tcPr>
          <w:p w:rsidR="00F1695C" w:rsidRPr="00572AD9" w:rsidRDefault="00F1695C" w:rsidP="00412E93">
            <w:pPr>
              <w:spacing w:after="0" w:line="240" w:lineRule="auto"/>
              <w:jc w:val="center"/>
              <w:rPr>
                <w:rFonts w:eastAsia="Times New Roman" w:cs="Calibri"/>
                <w:b/>
                <w:bCs/>
                <w:color w:val="000000"/>
                <w:lang w:eastAsia="en-GB"/>
              </w:rPr>
            </w:pPr>
            <w:r w:rsidRPr="00572AD9">
              <w:rPr>
                <w:rFonts w:eastAsia="Times New Roman" w:cs="Calibri"/>
                <w:b/>
                <w:bCs/>
                <w:color w:val="000000"/>
                <w:lang w:eastAsia="en-GB"/>
              </w:rPr>
              <w:t>8</w:t>
            </w:r>
            <w:r w:rsidR="00412E93">
              <w:rPr>
                <w:rFonts w:eastAsia="Times New Roman" w:cs="Calibri"/>
                <w:b/>
                <w:bCs/>
                <w:color w:val="000000"/>
                <w:lang w:eastAsia="en-GB"/>
              </w:rPr>
              <w:t>9</w:t>
            </w:r>
            <w:r w:rsidRPr="00572AD9">
              <w:rPr>
                <w:rFonts w:eastAsia="Times New Roman" w:cs="Calibri"/>
                <w:b/>
                <w:bCs/>
                <w:color w:val="000000"/>
                <w:lang w:eastAsia="en-GB"/>
              </w:rPr>
              <w:t>%</w:t>
            </w:r>
          </w:p>
        </w:tc>
      </w:tr>
      <w:tr w:rsidR="00572AD9" w:rsidRPr="00B13A2F" w:rsidTr="00AB1003">
        <w:trPr>
          <w:trHeight w:val="1430"/>
          <w:jc w:val="center"/>
        </w:trPr>
        <w:tc>
          <w:tcPr>
            <w:tcW w:w="3189" w:type="dxa"/>
            <w:tcBorders>
              <w:top w:val="nil"/>
              <w:left w:val="single" w:sz="4" w:space="0" w:color="auto"/>
              <w:bottom w:val="single" w:sz="4" w:space="0" w:color="auto"/>
              <w:right w:val="single" w:sz="4" w:space="0" w:color="auto"/>
            </w:tcBorders>
            <w:shd w:val="clear" w:color="000000" w:fill="EBF1DE"/>
            <w:hideMark/>
          </w:tcPr>
          <w:p w:rsidR="00572AD9" w:rsidRPr="00572AD9" w:rsidRDefault="00572AD9" w:rsidP="00F1695C">
            <w:pPr>
              <w:spacing w:after="0" w:line="240" w:lineRule="auto"/>
              <w:rPr>
                <w:rFonts w:eastAsia="Times New Roman" w:cs="Calibri"/>
                <w:b/>
                <w:bCs/>
                <w:color w:val="000000"/>
                <w:lang w:eastAsia="en-GB"/>
              </w:rPr>
            </w:pPr>
            <w:r w:rsidRPr="00572AD9">
              <w:rPr>
                <w:rFonts w:eastAsia="Times New Roman" w:cs="Calibri"/>
                <w:b/>
                <w:bCs/>
                <w:color w:val="000000"/>
                <w:lang w:eastAsia="en-GB"/>
              </w:rPr>
              <w:t xml:space="preserve">6. Reach 90% </w:t>
            </w:r>
            <w:r w:rsidR="00F1695C">
              <w:rPr>
                <w:rFonts w:eastAsia="Times New Roman" w:cs="Calibri"/>
                <w:b/>
                <w:bCs/>
                <w:color w:val="000000"/>
                <w:lang w:eastAsia="en-GB"/>
              </w:rPr>
              <w:t xml:space="preserve">national coverage </w:t>
            </w:r>
            <w:r w:rsidRPr="00572AD9">
              <w:rPr>
                <w:rFonts w:eastAsia="Times New Roman" w:cs="Calibri"/>
                <w:b/>
                <w:bCs/>
                <w:color w:val="000000"/>
                <w:lang w:eastAsia="en-GB"/>
              </w:rPr>
              <w:t xml:space="preserve">and 80% coverage </w:t>
            </w:r>
            <w:r w:rsidR="00F1695C">
              <w:rPr>
                <w:rFonts w:eastAsia="Times New Roman" w:cs="Calibri"/>
                <w:b/>
                <w:bCs/>
                <w:color w:val="000000"/>
                <w:lang w:eastAsia="en-GB"/>
              </w:rPr>
              <w:t xml:space="preserve">in every district </w:t>
            </w:r>
            <w:r w:rsidRPr="00572AD9">
              <w:rPr>
                <w:rFonts w:eastAsia="Times New Roman" w:cs="Calibri"/>
                <w:b/>
                <w:bCs/>
                <w:color w:val="000000"/>
                <w:lang w:eastAsia="en-GB"/>
              </w:rPr>
              <w:t>with all vaccines in national immunization programme</w:t>
            </w:r>
          </w:p>
        </w:tc>
        <w:tc>
          <w:tcPr>
            <w:tcW w:w="3673" w:type="dxa"/>
            <w:tcBorders>
              <w:top w:val="nil"/>
              <w:left w:val="nil"/>
              <w:bottom w:val="single" w:sz="4" w:space="0" w:color="auto"/>
              <w:right w:val="single" w:sz="4" w:space="0" w:color="auto"/>
            </w:tcBorders>
            <w:shd w:val="clear" w:color="000000" w:fill="EBF1DE"/>
            <w:hideMark/>
          </w:tcPr>
          <w:p w:rsidR="00572AD9" w:rsidRPr="00572AD9" w:rsidRDefault="00AB1003" w:rsidP="007A3008">
            <w:pPr>
              <w:spacing w:after="0" w:line="240" w:lineRule="auto"/>
              <w:rPr>
                <w:rFonts w:eastAsia="Times New Roman" w:cs="Calibri"/>
                <w:b/>
                <w:bCs/>
                <w:color w:val="000000"/>
                <w:lang w:eastAsia="en-GB"/>
              </w:rPr>
            </w:pPr>
            <w:r>
              <w:rPr>
                <w:rFonts w:eastAsia="Times New Roman" w:cs="Calibri"/>
                <w:b/>
                <w:bCs/>
                <w:color w:val="000000"/>
                <w:lang w:eastAsia="en-GB"/>
              </w:rPr>
              <w:t>National c</w:t>
            </w:r>
            <w:r w:rsidR="00572AD9" w:rsidRPr="00572AD9">
              <w:rPr>
                <w:rFonts w:eastAsia="Times New Roman" w:cs="Calibri"/>
                <w:b/>
                <w:bCs/>
                <w:color w:val="000000"/>
                <w:lang w:eastAsia="en-GB"/>
              </w:rPr>
              <w:t>overage   (201</w:t>
            </w:r>
            <w:r w:rsidR="007A3008">
              <w:rPr>
                <w:rFonts w:eastAsia="Times New Roman" w:cs="Calibri"/>
                <w:b/>
                <w:bCs/>
                <w:color w:val="000000"/>
                <w:lang w:eastAsia="en-GB"/>
              </w:rPr>
              <w:t>5</w:t>
            </w:r>
            <w:r w:rsidR="00572AD9" w:rsidRPr="00572AD9">
              <w:rPr>
                <w:rFonts w:eastAsia="Times New Roman" w:cs="Calibri"/>
                <w:b/>
                <w:bCs/>
                <w:color w:val="000000"/>
                <w:lang w:eastAsia="en-GB"/>
              </w:rPr>
              <w:t xml:space="preserve"> WUENIC)</w:t>
            </w:r>
          </w:p>
        </w:tc>
        <w:tc>
          <w:tcPr>
            <w:tcW w:w="2387" w:type="dxa"/>
            <w:tcBorders>
              <w:top w:val="nil"/>
              <w:left w:val="nil"/>
              <w:bottom w:val="single" w:sz="4" w:space="0" w:color="auto"/>
              <w:right w:val="single" w:sz="4" w:space="0" w:color="auto"/>
            </w:tcBorders>
            <w:shd w:val="clear" w:color="000000" w:fill="FF0000"/>
            <w:hideMark/>
          </w:tcPr>
          <w:p w:rsidR="00572AD9" w:rsidRPr="00572AD9" w:rsidRDefault="00572AD9" w:rsidP="007A3008">
            <w:pPr>
              <w:spacing w:after="0" w:line="240" w:lineRule="auto"/>
              <w:jc w:val="center"/>
              <w:rPr>
                <w:rFonts w:eastAsia="Times New Roman" w:cs="Calibri"/>
                <w:b/>
                <w:bCs/>
                <w:color w:val="000000"/>
                <w:lang w:eastAsia="en-GB"/>
              </w:rPr>
            </w:pPr>
            <w:r w:rsidRPr="00572AD9">
              <w:rPr>
                <w:rFonts w:eastAsia="Times New Roman" w:cs="Calibri"/>
                <w:b/>
                <w:bCs/>
                <w:color w:val="000000"/>
                <w:lang w:eastAsia="en-GB"/>
              </w:rPr>
              <w:t>BCG</w:t>
            </w:r>
            <w:r w:rsidR="00F1695C">
              <w:rPr>
                <w:rFonts w:eastAsia="Times New Roman" w:cs="Calibri"/>
                <w:b/>
                <w:bCs/>
                <w:color w:val="000000"/>
                <w:lang w:eastAsia="en-GB"/>
              </w:rPr>
              <w:t>:</w:t>
            </w:r>
            <w:r w:rsidRPr="00572AD9">
              <w:rPr>
                <w:rFonts w:eastAsia="Times New Roman" w:cs="Calibri"/>
                <w:b/>
                <w:bCs/>
                <w:color w:val="000000"/>
                <w:lang w:eastAsia="en-GB"/>
              </w:rPr>
              <w:t xml:space="preserve"> 93</w:t>
            </w:r>
            <w:r w:rsidRPr="00572AD9">
              <w:rPr>
                <w:rFonts w:eastAsia="Times New Roman" w:cs="Calibri"/>
                <w:b/>
                <w:bCs/>
                <w:color w:val="000000"/>
                <w:lang w:eastAsia="en-GB"/>
              </w:rPr>
              <w:br/>
              <w:t>DTP3-HepB3-Hib3</w:t>
            </w:r>
            <w:r w:rsidR="00F1695C">
              <w:rPr>
                <w:rFonts w:eastAsia="Times New Roman" w:cs="Calibri"/>
                <w:b/>
                <w:bCs/>
                <w:color w:val="000000"/>
                <w:lang w:eastAsia="en-GB"/>
              </w:rPr>
              <w:t>:</w:t>
            </w:r>
            <w:r w:rsidRPr="00572AD9">
              <w:rPr>
                <w:rFonts w:eastAsia="Times New Roman" w:cs="Calibri"/>
                <w:b/>
                <w:bCs/>
                <w:color w:val="000000"/>
                <w:lang w:eastAsia="en-GB"/>
              </w:rPr>
              <w:t xml:space="preserve"> 78</w:t>
            </w:r>
            <w:r w:rsidRPr="00572AD9">
              <w:rPr>
                <w:rFonts w:eastAsia="Times New Roman" w:cs="Calibri"/>
                <w:b/>
                <w:bCs/>
                <w:color w:val="000000"/>
                <w:lang w:eastAsia="en-GB"/>
              </w:rPr>
              <w:br/>
              <w:t>MCV1</w:t>
            </w:r>
            <w:r w:rsidR="00F1695C">
              <w:rPr>
                <w:rFonts w:eastAsia="Times New Roman" w:cs="Calibri"/>
                <w:b/>
                <w:bCs/>
                <w:color w:val="000000"/>
                <w:lang w:eastAsia="en-GB"/>
              </w:rPr>
              <w:t>:</w:t>
            </w:r>
            <w:r w:rsidRPr="00572AD9">
              <w:rPr>
                <w:rFonts w:eastAsia="Times New Roman" w:cs="Calibri"/>
                <w:b/>
                <w:bCs/>
                <w:color w:val="000000"/>
                <w:lang w:eastAsia="en-GB"/>
              </w:rPr>
              <w:t xml:space="preserve"> 82</w:t>
            </w:r>
            <w:r w:rsidRPr="00572AD9">
              <w:rPr>
                <w:rFonts w:eastAsia="Times New Roman" w:cs="Calibri"/>
                <w:b/>
                <w:bCs/>
                <w:color w:val="000000"/>
                <w:lang w:eastAsia="en-GB"/>
              </w:rPr>
              <w:br/>
              <w:t>PCV3</w:t>
            </w:r>
            <w:r w:rsidR="00F1695C">
              <w:rPr>
                <w:rFonts w:eastAsia="Times New Roman" w:cs="Calibri"/>
                <w:b/>
                <w:bCs/>
                <w:color w:val="000000"/>
                <w:lang w:eastAsia="en-GB"/>
              </w:rPr>
              <w:t>:</w:t>
            </w:r>
            <w:r w:rsidRPr="00572AD9">
              <w:rPr>
                <w:rFonts w:eastAsia="Times New Roman" w:cs="Calibri"/>
                <w:b/>
                <w:bCs/>
                <w:color w:val="000000"/>
                <w:lang w:eastAsia="en-GB"/>
              </w:rPr>
              <w:t xml:space="preserve"> </w:t>
            </w:r>
            <w:r w:rsidR="007A3008">
              <w:rPr>
                <w:rFonts w:eastAsia="Times New Roman" w:cs="Calibri"/>
                <w:b/>
                <w:bCs/>
                <w:color w:val="000000"/>
                <w:lang w:eastAsia="en-GB"/>
              </w:rPr>
              <w:t>66</w:t>
            </w:r>
            <w:r w:rsidRPr="00572AD9">
              <w:rPr>
                <w:rFonts w:eastAsia="Times New Roman" w:cs="Calibri"/>
                <w:b/>
                <w:bCs/>
                <w:color w:val="000000"/>
                <w:lang w:eastAsia="en-GB"/>
              </w:rPr>
              <w:br/>
              <w:t>Pol</w:t>
            </w:r>
            <w:r w:rsidR="00F1695C">
              <w:rPr>
                <w:rFonts w:eastAsia="Times New Roman" w:cs="Calibri"/>
                <w:b/>
                <w:bCs/>
                <w:color w:val="000000"/>
                <w:lang w:eastAsia="en-GB"/>
              </w:rPr>
              <w:t>io</w:t>
            </w:r>
            <w:r w:rsidRPr="00572AD9">
              <w:rPr>
                <w:rFonts w:eastAsia="Times New Roman" w:cs="Calibri"/>
                <w:b/>
                <w:bCs/>
                <w:color w:val="000000"/>
                <w:lang w:eastAsia="en-GB"/>
              </w:rPr>
              <w:t>3</w:t>
            </w:r>
            <w:r w:rsidR="00F1695C">
              <w:rPr>
                <w:rFonts w:eastAsia="Times New Roman" w:cs="Calibri"/>
                <w:b/>
                <w:bCs/>
                <w:color w:val="000000"/>
                <w:lang w:eastAsia="en-GB"/>
              </w:rPr>
              <w:t>:</w:t>
            </w:r>
            <w:r w:rsidRPr="00572AD9">
              <w:rPr>
                <w:rFonts w:eastAsia="Times New Roman" w:cs="Calibri"/>
                <w:b/>
                <w:bCs/>
                <w:color w:val="000000"/>
                <w:lang w:eastAsia="en-GB"/>
              </w:rPr>
              <w:t xml:space="preserve"> 82</w:t>
            </w:r>
          </w:p>
        </w:tc>
      </w:tr>
      <w:tr w:rsidR="00572AD9" w:rsidRPr="00B13A2F" w:rsidTr="00AB1003">
        <w:trPr>
          <w:trHeight w:val="900"/>
          <w:jc w:val="center"/>
        </w:trPr>
        <w:tc>
          <w:tcPr>
            <w:tcW w:w="3189" w:type="dxa"/>
            <w:tcBorders>
              <w:top w:val="nil"/>
              <w:left w:val="single" w:sz="4" w:space="0" w:color="auto"/>
              <w:bottom w:val="single" w:sz="4" w:space="0" w:color="auto"/>
              <w:right w:val="single" w:sz="4" w:space="0" w:color="auto"/>
            </w:tcBorders>
            <w:shd w:val="clear" w:color="000000" w:fill="E4DFEC"/>
            <w:hideMark/>
          </w:tcPr>
          <w:p w:rsidR="00572AD9" w:rsidRPr="00572AD9" w:rsidRDefault="00572AD9" w:rsidP="00F1695C">
            <w:pPr>
              <w:spacing w:after="0" w:line="240" w:lineRule="auto"/>
              <w:rPr>
                <w:rFonts w:eastAsia="Times New Roman" w:cs="Calibri"/>
                <w:b/>
                <w:bCs/>
                <w:color w:val="000000"/>
                <w:lang w:eastAsia="en-GB"/>
              </w:rPr>
            </w:pPr>
            <w:r w:rsidRPr="00572AD9">
              <w:rPr>
                <w:rFonts w:eastAsia="Times New Roman" w:cs="Calibri"/>
                <w:b/>
                <w:bCs/>
                <w:color w:val="000000"/>
                <w:lang w:eastAsia="en-GB"/>
              </w:rPr>
              <w:t>7. Introduction of new vaccines</w:t>
            </w:r>
          </w:p>
        </w:tc>
        <w:tc>
          <w:tcPr>
            <w:tcW w:w="3673" w:type="dxa"/>
            <w:tcBorders>
              <w:top w:val="nil"/>
              <w:left w:val="nil"/>
              <w:bottom w:val="single" w:sz="4" w:space="0" w:color="auto"/>
              <w:right w:val="single" w:sz="4" w:space="0" w:color="auto"/>
            </w:tcBorders>
            <w:shd w:val="clear" w:color="000000" w:fill="E4DFEC"/>
            <w:hideMark/>
          </w:tcPr>
          <w:p w:rsidR="00572AD9" w:rsidRPr="00572AD9" w:rsidRDefault="00F1695C" w:rsidP="00F1695C">
            <w:pPr>
              <w:spacing w:after="0" w:line="240" w:lineRule="auto"/>
              <w:rPr>
                <w:rFonts w:eastAsia="Times New Roman" w:cs="Calibri"/>
                <w:b/>
                <w:bCs/>
                <w:color w:val="000000"/>
                <w:lang w:eastAsia="en-GB"/>
              </w:rPr>
            </w:pPr>
            <w:r>
              <w:rPr>
                <w:rFonts w:eastAsia="Times New Roman" w:cs="Calibri"/>
                <w:b/>
                <w:bCs/>
                <w:color w:val="000000"/>
                <w:lang w:eastAsia="en-GB"/>
              </w:rPr>
              <w:t>New v</w:t>
            </w:r>
            <w:r w:rsidR="00572AD9" w:rsidRPr="00572AD9">
              <w:rPr>
                <w:rFonts w:eastAsia="Times New Roman" w:cs="Calibri"/>
                <w:b/>
                <w:bCs/>
                <w:color w:val="000000"/>
                <w:lang w:eastAsia="en-GB"/>
              </w:rPr>
              <w:t>accines introduced</w:t>
            </w:r>
          </w:p>
        </w:tc>
        <w:tc>
          <w:tcPr>
            <w:tcW w:w="2387" w:type="dxa"/>
            <w:tcBorders>
              <w:top w:val="nil"/>
              <w:left w:val="nil"/>
              <w:bottom w:val="single" w:sz="4" w:space="0" w:color="auto"/>
              <w:right w:val="single" w:sz="4" w:space="0" w:color="auto"/>
            </w:tcBorders>
            <w:shd w:val="clear" w:color="000000" w:fill="00B050"/>
            <w:vAlign w:val="center"/>
            <w:hideMark/>
          </w:tcPr>
          <w:p w:rsidR="00572AD9" w:rsidRPr="00572AD9" w:rsidRDefault="00572AD9" w:rsidP="00AB1003">
            <w:pPr>
              <w:spacing w:after="0" w:line="240" w:lineRule="auto"/>
              <w:jc w:val="center"/>
              <w:rPr>
                <w:rFonts w:eastAsia="Times New Roman" w:cs="Calibri"/>
                <w:b/>
                <w:bCs/>
                <w:color w:val="000000"/>
                <w:lang w:eastAsia="en-GB"/>
              </w:rPr>
            </w:pPr>
            <w:r w:rsidRPr="00572AD9">
              <w:rPr>
                <w:rFonts w:eastAsia="Times New Roman" w:cs="Calibri"/>
                <w:b/>
                <w:bCs/>
                <w:color w:val="000000"/>
                <w:lang w:eastAsia="en-GB"/>
              </w:rPr>
              <w:t>PCV</w:t>
            </w:r>
            <w:r w:rsidR="00D05442">
              <w:rPr>
                <w:rFonts w:eastAsia="Times New Roman" w:cs="Calibri"/>
                <w:b/>
                <w:bCs/>
                <w:color w:val="000000"/>
                <w:lang w:eastAsia="en-GB"/>
              </w:rPr>
              <w:t>10</w:t>
            </w:r>
            <w:r w:rsidRPr="00572AD9">
              <w:rPr>
                <w:rFonts w:eastAsia="Times New Roman" w:cs="Calibri"/>
                <w:b/>
                <w:bCs/>
                <w:color w:val="000000"/>
                <w:lang w:eastAsia="en-GB"/>
              </w:rPr>
              <w:t xml:space="preserve"> in 2013; HPV in 2015</w:t>
            </w:r>
            <w:r w:rsidR="00F1695C">
              <w:rPr>
                <w:rFonts w:eastAsia="Times New Roman" w:cs="Calibri"/>
                <w:b/>
                <w:bCs/>
                <w:color w:val="000000"/>
                <w:lang w:eastAsia="en-GB"/>
              </w:rPr>
              <w:t xml:space="preserve">; IPV in </w:t>
            </w:r>
            <w:r w:rsidR="00D05442">
              <w:rPr>
                <w:rFonts w:eastAsia="Times New Roman" w:cs="Calibri"/>
                <w:b/>
                <w:bCs/>
                <w:color w:val="000000"/>
                <w:lang w:eastAsia="en-GB"/>
              </w:rPr>
              <w:t xml:space="preserve">April </w:t>
            </w:r>
            <w:r w:rsidR="00F1695C">
              <w:rPr>
                <w:rFonts w:eastAsia="Times New Roman" w:cs="Calibri"/>
                <w:b/>
                <w:bCs/>
                <w:color w:val="000000"/>
                <w:lang w:eastAsia="en-GB"/>
              </w:rPr>
              <w:t>2016</w:t>
            </w:r>
            <w:r w:rsidR="00AB1003">
              <w:rPr>
                <w:rFonts w:eastAsia="Times New Roman" w:cs="Calibri"/>
                <w:b/>
                <w:bCs/>
                <w:color w:val="000000"/>
                <w:lang w:eastAsia="en-GB"/>
              </w:rPr>
              <w:t>.</w:t>
            </w:r>
            <w:r w:rsidRPr="00572AD9">
              <w:rPr>
                <w:rFonts w:eastAsia="Times New Roman" w:cs="Calibri"/>
                <w:b/>
                <w:bCs/>
                <w:color w:val="000000"/>
                <w:lang w:eastAsia="en-GB"/>
              </w:rPr>
              <w:t xml:space="preserve"> </w:t>
            </w:r>
            <w:r w:rsidR="00AB1003">
              <w:rPr>
                <w:rFonts w:eastAsia="Times New Roman" w:cs="Calibri"/>
                <w:b/>
                <w:bCs/>
                <w:color w:val="000000"/>
                <w:lang w:eastAsia="en-GB"/>
              </w:rPr>
              <w:t xml:space="preserve">Meningitis A campaign approved by GAVI. </w:t>
            </w:r>
            <w:r w:rsidRPr="00572AD9">
              <w:rPr>
                <w:rFonts w:eastAsia="Times New Roman" w:cs="Calibri"/>
                <w:b/>
                <w:bCs/>
                <w:color w:val="000000"/>
                <w:lang w:eastAsia="en-GB"/>
              </w:rPr>
              <w:t>Rota</w:t>
            </w:r>
            <w:r w:rsidR="00AB1003">
              <w:rPr>
                <w:rFonts w:eastAsia="Times New Roman" w:cs="Calibri"/>
                <w:b/>
                <w:bCs/>
                <w:color w:val="000000"/>
                <w:lang w:eastAsia="en-GB"/>
              </w:rPr>
              <w:t>virus</w:t>
            </w:r>
            <w:r w:rsidR="00F1695C">
              <w:rPr>
                <w:rFonts w:eastAsia="Times New Roman" w:cs="Calibri"/>
                <w:b/>
                <w:bCs/>
                <w:color w:val="000000"/>
                <w:lang w:eastAsia="en-GB"/>
              </w:rPr>
              <w:t xml:space="preserve"> </w:t>
            </w:r>
            <w:r w:rsidR="00D05442">
              <w:rPr>
                <w:rFonts w:eastAsia="Times New Roman" w:cs="Calibri"/>
                <w:b/>
                <w:bCs/>
                <w:color w:val="000000"/>
                <w:lang w:eastAsia="en-GB"/>
              </w:rPr>
              <w:t xml:space="preserve">introduction </w:t>
            </w:r>
            <w:r w:rsidR="00AB1003">
              <w:rPr>
                <w:rFonts w:eastAsia="Times New Roman" w:cs="Calibri"/>
                <w:b/>
                <w:bCs/>
                <w:color w:val="000000"/>
                <w:lang w:eastAsia="en-GB"/>
              </w:rPr>
              <w:t>also</w:t>
            </w:r>
            <w:r w:rsidR="00F1695C">
              <w:rPr>
                <w:rFonts w:eastAsia="Times New Roman" w:cs="Calibri"/>
                <w:b/>
                <w:bCs/>
                <w:color w:val="000000"/>
                <w:lang w:eastAsia="en-GB"/>
              </w:rPr>
              <w:t xml:space="preserve"> approved by GAVI but currently on hold</w:t>
            </w:r>
            <w:r w:rsidR="00AB1003">
              <w:rPr>
                <w:rFonts w:eastAsia="Times New Roman" w:cs="Calibri"/>
                <w:b/>
                <w:bCs/>
                <w:color w:val="000000"/>
                <w:lang w:eastAsia="en-GB"/>
              </w:rPr>
              <w:t xml:space="preserve"> by  Government</w:t>
            </w:r>
          </w:p>
        </w:tc>
      </w:tr>
      <w:tr w:rsidR="00572AD9" w:rsidRPr="00B13A2F" w:rsidTr="00AB1003">
        <w:trPr>
          <w:trHeight w:val="800"/>
          <w:jc w:val="center"/>
        </w:trPr>
        <w:tc>
          <w:tcPr>
            <w:tcW w:w="3189" w:type="dxa"/>
            <w:tcBorders>
              <w:top w:val="nil"/>
              <w:left w:val="single" w:sz="4" w:space="0" w:color="auto"/>
              <w:bottom w:val="single" w:sz="4" w:space="0" w:color="auto"/>
              <w:right w:val="single" w:sz="4" w:space="0" w:color="auto"/>
            </w:tcBorders>
            <w:shd w:val="clear" w:color="000000" w:fill="DAEEF3"/>
            <w:hideMark/>
          </w:tcPr>
          <w:p w:rsidR="00572AD9" w:rsidRPr="00572AD9" w:rsidRDefault="00572AD9" w:rsidP="00F1695C">
            <w:pPr>
              <w:spacing w:after="0" w:line="240" w:lineRule="auto"/>
              <w:rPr>
                <w:rFonts w:eastAsia="Times New Roman" w:cs="Calibri"/>
                <w:b/>
                <w:bCs/>
                <w:color w:val="000000"/>
                <w:lang w:eastAsia="en-GB"/>
              </w:rPr>
            </w:pPr>
            <w:r w:rsidRPr="00572AD9">
              <w:rPr>
                <w:rFonts w:eastAsia="Times New Roman" w:cs="Calibri"/>
                <w:b/>
                <w:bCs/>
                <w:color w:val="000000"/>
                <w:lang w:eastAsia="en-GB"/>
              </w:rPr>
              <w:lastRenderedPageBreak/>
              <w:t>8. Reduction in under 5 mortality rate</w:t>
            </w:r>
          </w:p>
        </w:tc>
        <w:tc>
          <w:tcPr>
            <w:tcW w:w="3673" w:type="dxa"/>
            <w:tcBorders>
              <w:top w:val="nil"/>
              <w:left w:val="nil"/>
              <w:bottom w:val="single" w:sz="4" w:space="0" w:color="auto"/>
              <w:right w:val="single" w:sz="4" w:space="0" w:color="auto"/>
            </w:tcBorders>
            <w:shd w:val="clear" w:color="000000" w:fill="DAEEF3"/>
            <w:hideMark/>
          </w:tcPr>
          <w:p w:rsidR="00572AD9" w:rsidRPr="00572AD9" w:rsidRDefault="00F1695C" w:rsidP="00F1695C">
            <w:pPr>
              <w:spacing w:after="0" w:line="240" w:lineRule="auto"/>
              <w:rPr>
                <w:rFonts w:eastAsia="Times New Roman" w:cs="Calibri"/>
                <w:b/>
                <w:bCs/>
                <w:color w:val="000000"/>
                <w:lang w:eastAsia="en-GB"/>
              </w:rPr>
            </w:pPr>
            <w:r>
              <w:rPr>
                <w:rFonts w:eastAsia="Times New Roman" w:cs="Calibri"/>
                <w:b/>
                <w:bCs/>
                <w:color w:val="000000"/>
                <w:lang w:eastAsia="en-GB"/>
              </w:rPr>
              <w:t>Percent</w:t>
            </w:r>
            <w:r w:rsidR="00572AD9" w:rsidRPr="00572AD9">
              <w:rPr>
                <w:rFonts w:eastAsia="Times New Roman" w:cs="Calibri"/>
                <w:b/>
                <w:bCs/>
                <w:color w:val="000000"/>
                <w:lang w:eastAsia="en-GB"/>
              </w:rPr>
              <w:t xml:space="preserve"> </w:t>
            </w:r>
            <w:r>
              <w:rPr>
                <w:rFonts w:eastAsia="Times New Roman" w:cs="Calibri"/>
                <w:b/>
                <w:bCs/>
                <w:color w:val="000000"/>
                <w:lang w:eastAsia="en-GB"/>
              </w:rPr>
              <w:t>reduction</w:t>
            </w:r>
            <w:r w:rsidR="00572AD9" w:rsidRPr="00572AD9">
              <w:rPr>
                <w:rFonts w:eastAsia="Times New Roman" w:cs="Calibri"/>
                <w:b/>
                <w:bCs/>
                <w:color w:val="000000"/>
                <w:lang w:eastAsia="en-GB"/>
              </w:rPr>
              <w:t xml:space="preserve"> </w:t>
            </w:r>
            <w:r>
              <w:rPr>
                <w:rFonts w:eastAsia="Times New Roman" w:cs="Calibri"/>
                <w:b/>
                <w:bCs/>
                <w:color w:val="000000"/>
                <w:lang w:eastAsia="en-GB"/>
              </w:rPr>
              <w:t>from</w:t>
            </w:r>
            <w:r w:rsidR="00572AD9" w:rsidRPr="00572AD9">
              <w:rPr>
                <w:rFonts w:eastAsia="Times New Roman" w:cs="Calibri"/>
                <w:b/>
                <w:bCs/>
                <w:color w:val="000000"/>
                <w:lang w:eastAsia="en-GB"/>
              </w:rPr>
              <w:t xml:space="preserve"> 2010 </w:t>
            </w:r>
            <w:r>
              <w:rPr>
                <w:rFonts w:eastAsia="Times New Roman" w:cs="Calibri"/>
                <w:b/>
                <w:bCs/>
                <w:color w:val="000000"/>
                <w:lang w:eastAsia="en-GB"/>
              </w:rPr>
              <w:t>to</w:t>
            </w:r>
            <w:r w:rsidR="00572AD9" w:rsidRPr="00572AD9">
              <w:rPr>
                <w:rFonts w:eastAsia="Times New Roman" w:cs="Calibri"/>
                <w:b/>
                <w:bCs/>
                <w:color w:val="000000"/>
                <w:lang w:eastAsia="en-GB"/>
              </w:rPr>
              <w:t xml:space="preserve"> 2015 </w:t>
            </w:r>
          </w:p>
        </w:tc>
        <w:tc>
          <w:tcPr>
            <w:tcW w:w="2387" w:type="dxa"/>
            <w:tcBorders>
              <w:top w:val="nil"/>
              <w:left w:val="nil"/>
              <w:bottom w:val="single" w:sz="4" w:space="0" w:color="auto"/>
              <w:right w:val="single" w:sz="4" w:space="0" w:color="auto"/>
            </w:tcBorders>
            <w:shd w:val="clear" w:color="000000" w:fill="FF0000"/>
            <w:hideMark/>
          </w:tcPr>
          <w:p w:rsidR="00572AD9" w:rsidRPr="00572AD9" w:rsidRDefault="00572AD9" w:rsidP="00572AD9">
            <w:pPr>
              <w:spacing w:after="0" w:line="240" w:lineRule="auto"/>
              <w:jc w:val="center"/>
              <w:rPr>
                <w:rFonts w:eastAsia="Times New Roman" w:cs="Calibri"/>
                <w:b/>
                <w:bCs/>
                <w:color w:val="000000"/>
                <w:lang w:eastAsia="en-GB"/>
              </w:rPr>
            </w:pPr>
            <w:r w:rsidRPr="00572AD9">
              <w:rPr>
                <w:rFonts w:eastAsia="Times New Roman" w:cs="Calibri"/>
                <w:b/>
                <w:bCs/>
                <w:color w:val="000000"/>
                <w:lang w:eastAsia="en-GB"/>
              </w:rPr>
              <w:t>2010: 75.2</w:t>
            </w:r>
            <w:r w:rsidRPr="00572AD9">
              <w:rPr>
                <w:rFonts w:eastAsia="Times New Roman" w:cs="Calibri"/>
                <w:b/>
                <w:bCs/>
                <w:color w:val="000000"/>
                <w:lang w:eastAsia="en-GB"/>
              </w:rPr>
              <w:br/>
              <w:t>2015: 54.6</w:t>
            </w:r>
            <w:r w:rsidRPr="00572AD9">
              <w:rPr>
                <w:rFonts w:eastAsia="Times New Roman" w:cs="Calibri"/>
                <w:b/>
                <w:bCs/>
                <w:color w:val="000000"/>
                <w:lang w:eastAsia="en-GB"/>
              </w:rPr>
              <w:br/>
              <w:t>(27.4%)</w:t>
            </w:r>
          </w:p>
        </w:tc>
      </w:tr>
      <w:tr w:rsidR="00572AD9" w:rsidRPr="00B13A2F" w:rsidTr="00AB1003">
        <w:trPr>
          <w:trHeight w:val="332"/>
          <w:jc w:val="center"/>
        </w:trPr>
        <w:tc>
          <w:tcPr>
            <w:tcW w:w="3189" w:type="dxa"/>
            <w:tcBorders>
              <w:top w:val="nil"/>
              <w:left w:val="single" w:sz="4" w:space="0" w:color="auto"/>
              <w:bottom w:val="single" w:sz="4" w:space="0" w:color="auto"/>
              <w:right w:val="single" w:sz="4" w:space="0" w:color="auto"/>
            </w:tcBorders>
            <w:shd w:val="clear" w:color="000000" w:fill="FDE9D9"/>
            <w:hideMark/>
          </w:tcPr>
          <w:p w:rsidR="00572AD9" w:rsidRPr="00572AD9" w:rsidRDefault="00572AD9" w:rsidP="00F1695C">
            <w:pPr>
              <w:spacing w:after="0" w:line="240" w:lineRule="auto"/>
              <w:rPr>
                <w:rFonts w:eastAsia="Times New Roman" w:cs="Calibri"/>
                <w:b/>
                <w:bCs/>
                <w:color w:val="000000"/>
                <w:lang w:eastAsia="en-GB"/>
              </w:rPr>
            </w:pPr>
            <w:r w:rsidRPr="00572AD9">
              <w:rPr>
                <w:rFonts w:eastAsia="Times New Roman" w:cs="Calibri"/>
                <w:b/>
                <w:bCs/>
                <w:color w:val="000000"/>
                <w:lang w:eastAsia="en-GB"/>
              </w:rPr>
              <w:t>9. NITAG</w:t>
            </w:r>
          </w:p>
        </w:tc>
        <w:tc>
          <w:tcPr>
            <w:tcW w:w="3673" w:type="dxa"/>
            <w:tcBorders>
              <w:top w:val="nil"/>
              <w:left w:val="nil"/>
              <w:bottom w:val="single" w:sz="4" w:space="0" w:color="auto"/>
              <w:right w:val="single" w:sz="4" w:space="0" w:color="auto"/>
            </w:tcBorders>
            <w:shd w:val="clear" w:color="000000" w:fill="FDE9D9"/>
            <w:hideMark/>
          </w:tcPr>
          <w:p w:rsidR="00572AD9" w:rsidRPr="00572AD9" w:rsidRDefault="00572AD9" w:rsidP="00F1695C">
            <w:pPr>
              <w:spacing w:after="0" w:line="240" w:lineRule="auto"/>
              <w:rPr>
                <w:rFonts w:eastAsia="Times New Roman" w:cs="Calibri"/>
                <w:b/>
                <w:bCs/>
                <w:color w:val="000000"/>
                <w:lang w:eastAsia="en-GB"/>
              </w:rPr>
            </w:pPr>
            <w:r w:rsidRPr="00572AD9">
              <w:rPr>
                <w:rFonts w:eastAsia="Times New Roman" w:cs="Calibri"/>
                <w:b/>
                <w:bCs/>
                <w:color w:val="000000"/>
                <w:lang w:eastAsia="en-GB"/>
              </w:rPr>
              <w:t>NITAG established?</w:t>
            </w:r>
          </w:p>
        </w:tc>
        <w:tc>
          <w:tcPr>
            <w:tcW w:w="2387" w:type="dxa"/>
            <w:tcBorders>
              <w:top w:val="nil"/>
              <w:left w:val="nil"/>
              <w:bottom w:val="single" w:sz="4" w:space="0" w:color="auto"/>
              <w:right w:val="single" w:sz="4" w:space="0" w:color="auto"/>
            </w:tcBorders>
            <w:shd w:val="clear" w:color="000000" w:fill="00B050"/>
            <w:hideMark/>
          </w:tcPr>
          <w:p w:rsidR="00572AD9" w:rsidRPr="00572AD9" w:rsidRDefault="00572AD9" w:rsidP="00D05442">
            <w:pPr>
              <w:spacing w:after="0" w:line="240" w:lineRule="auto"/>
              <w:jc w:val="center"/>
              <w:rPr>
                <w:rFonts w:eastAsia="Times New Roman" w:cs="Calibri"/>
                <w:b/>
                <w:bCs/>
                <w:color w:val="000000"/>
                <w:lang w:eastAsia="en-GB"/>
              </w:rPr>
            </w:pPr>
            <w:r w:rsidRPr="00572AD9">
              <w:rPr>
                <w:rFonts w:eastAsia="Times New Roman" w:cs="Calibri"/>
                <w:b/>
                <w:bCs/>
                <w:color w:val="000000"/>
                <w:lang w:eastAsia="en-GB"/>
              </w:rPr>
              <w:t>Yes (</w:t>
            </w:r>
            <w:r w:rsidR="00D05442">
              <w:rPr>
                <w:rFonts w:eastAsia="Times New Roman" w:cs="Calibri"/>
                <w:b/>
                <w:bCs/>
                <w:color w:val="000000"/>
                <w:lang w:eastAsia="en-GB"/>
              </w:rPr>
              <w:t>November 2014</w:t>
            </w:r>
            <w:r w:rsidR="00F1695C">
              <w:rPr>
                <w:rFonts w:eastAsia="Times New Roman" w:cs="Calibri"/>
                <w:b/>
                <w:bCs/>
                <w:color w:val="000000"/>
                <w:lang w:eastAsia="en-GB"/>
              </w:rPr>
              <w:t>)</w:t>
            </w:r>
          </w:p>
        </w:tc>
      </w:tr>
      <w:tr w:rsidR="00572AD9" w:rsidRPr="00B13A2F" w:rsidTr="00AB1003">
        <w:trPr>
          <w:trHeight w:val="900"/>
          <w:jc w:val="center"/>
        </w:trPr>
        <w:tc>
          <w:tcPr>
            <w:tcW w:w="3189" w:type="dxa"/>
            <w:tcBorders>
              <w:top w:val="nil"/>
              <w:left w:val="single" w:sz="4" w:space="0" w:color="auto"/>
              <w:bottom w:val="single" w:sz="4" w:space="0" w:color="auto"/>
              <w:right w:val="single" w:sz="4" w:space="0" w:color="auto"/>
            </w:tcBorders>
            <w:shd w:val="clear" w:color="000000" w:fill="FDE9D9"/>
            <w:hideMark/>
          </w:tcPr>
          <w:p w:rsidR="00572AD9" w:rsidRPr="00572AD9" w:rsidRDefault="00572AD9" w:rsidP="00AB1003">
            <w:pPr>
              <w:spacing w:after="0" w:line="240" w:lineRule="auto"/>
              <w:rPr>
                <w:rFonts w:eastAsia="Times New Roman" w:cs="Calibri"/>
                <w:b/>
                <w:bCs/>
                <w:color w:val="000000"/>
                <w:lang w:eastAsia="en-GB"/>
              </w:rPr>
            </w:pPr>
            <w:r w:rsidRPr="00572AD9">
              <w:rPr>
                <w:rFonts w:eastAsia="Times New Roman" w:cs="Calibri"/>
                <w:b/>
                <w:bCs/>
                <w:color w:val="000000"/>
                <w:lang w:eastAsia="en-GB"/>
              </w:rPr>
              <w:t xml:space="preserve">10. Government expenditure on routine immunization per live birth </w:t>
            </w:r>
            <w:r w:rsidR="00AB1003">
              <w:rPr>
                <w:rFonts w:eastAsia="Times New Roman" w:cs="Calibri"/>
                <w:b/>
                <w:bCs/>
                <w:color w:val="000000"/>
                <w:lang w:eastAsia="en-GB"/>
              </w:rPr>
              <w:t>(</w:t>
            </w:r>
            <w:r w:rsidRPr="00572AD9">
              <w:rPr>
                <w:rFonts w:eastAsia="Times New Roman" w:cs="Calibri"/>
                <w:b/>
                <w:bCs/>
                <w:color w:val="000000"/>
                <w:lang w:eastAsia="en-GB"/>
              </w:rPr>
              <w:t>US</w:t>
            </w:r>
            <w:r w:rsidR="00AB1003">
              <w:rPr>
                <w:rFonts w:eastAsia="Times New Roman" w:cs="Calibri"/>
                <w:b/>
                <w:bCs/>
                <w:color w:val="000000"/>
                <w:lang w:eastAsia="en-GB"/>
              </w:rPr>
              <w:t>$)</w:t>
            </w:r>
          </w:p>
        </w:tc>
        <w:tc>
          <w:tcPr>
            <w:tcW w:w="3673" w:type="dxa"/>
            <w:tcBorders>
              <w:top w:val="nil"/>
              <w:left w:val="nil"/>
              <w:bottom w:val="single" w:sz="4" w:space="0" w:color="auto"/>
              <w:right w:val="single" w:sz="4" w:space="0" w:color="auto"/>
            </w:tcBorders>
            <w:shd w:val="clear" w:color="000000" w:fill="FDE9D9"/>
            <w:hideMark/>
          </w:tcPr>
          <w:p w:rsidR="00572AD9" w:rsidRPr="00572AD9" w:rsidRDefault="00F1695C" w:rsidP="00F1695C">
            <w:pPr>
              <w:spacing w:after="0" w:line="240" w:lineRule="auto"/>
              <w:rPr>
                <w:rFonts w:eastAsia="Times New Roman" w:cs="Calibri"/>
                <w:b/>
                <w:bCs/>
                <w:color w:val="000000"/>
                <w:lang w:eastAsia="en-GB"/>
              </w:rPr>
            </w:pPr>
            <w:r>
              <w:rPr>
                <w:rFonts w:eastAsia="Times New Roman" w:cs="Calibri"/>
                <w:b/>
                <w:bCs/>
                <w:color w:val="000000"/>
                <w:lang w:eastAsia="en-GB"/>
              </w:rPr>
              <w:t>A</w:t>
            </w:r>
            <w:r w:rsidR="00572AD9" w:rsidRPr="00572AD9">
              <w:rPr>
                <w:rFonts w:eastAsia="Times New Roman" w:cs="Calibri"/>
                <w:b/>
                <w:bCs/>
                <w:color w:val="000000"/>
                <w:lang w:eastAsia="en-GB"/>
              </w:rPr>
              <w:t>verage for 2013-2015 (% change</w:t>
            </w:r>
            <w:r w:rsidR="00BB5F62">
              <w:rPr>
                <w:rFonts w:eastAsia="Times New Roman" w:cs="Calibri"/>
                <w:b/>
                <w:bCs/>
                <w:color w:val="000000"/>
                <w:lang w:eastAsia="en-GB"/>
              </w:rPr>
              <w:t xml:space="preserve"> from 2010/2011</w:t>
            </w:r>
            <w:r w:rsidR="00572AD9" w:rsidRPr="00572AD9">
              <w:rPr>
                <w:rFonts w:eastAsia="Times New Roman" w:cs="Calibri"/>
                <w:b/>
                <w:bCs/>
                <w:color w:val="000000"/>
                <w:lang w:eastAsia="en-GB"/>
              </w:rPr>
              <w:t>)</w:t>
            </w:r>
          </w:p>
        </w:tc>
        <w:tc>
          <w:tcPr>
            <w:tcW w:w="2387" w:type="dxa"/>
            <w:tcBorders>
              <w:top w:val="nil"/>
              <w:left w:val="nil"/>
              <w:bottom w:val="single" w:sz="4" w:space="0" w:color="auto"/>
              <w:right w:val="single" w:sz="4" w:space="0" w:color="auto"/>
            </w:tcBorders>
            <w:shd w:val="clear" w:color="000000" w:fill="00B050"/>
            <w:hideMark/>
          </w:tcPr>
          <w:p w:rsidR="00572AD9" w:rsidRPr="00572AD9" w:rsidRDefault="00572AD9" w:rsidP="00F1695C">
            <w:pPr>
              <w:spacing w:after="0" w:line="240" w:lineRule="auto"/>
              <w:jc w:val="center"/>
              <w:rPr>
                <w:rFonts w:eastAsia="Times New Roman" w:cs="Calibri"/>
                <w:b/>
                <w:bCs/>
                <w:color w:val="000000"/>
                <w:lang w:eastAsia="en-GB"/>
              </w:rPr>
            </w:pPr>
            <w:r w:rsidRPr="00572AD9">
              <w:rPr>
                <w:rFonts w:eastAsia="Times New Roman" w:cs="Calibri"/>
                <w:b/>
                <w:bCs/>
                <w:color w:val="000000"/>
                <w:lang w:eastAsia="en-GB"/>
              </w:rPr>
              <w:t>2.1 to 7.0 (+232%)</w:t>
            </w:r>
          </w:p>
        </w:tc>
      </w:tr>
    </w:tbl>
    <w:p w:rsidR="00641572" w:rsidRDefault="00641572">
      <w:pPr>
        <w:rPr>
          <w:rFonts w:ascii="Arial" w:hAnsi="Arial"/>
        </w:rPr>
      </w:pPr>
    </w:p>
    <w:p w:rsidR="00572AD9" w:rsidRDefault="00572AD9">
      <w:pPr>
        <w:rPr>
          <w:rFonts w:ascii="Arial" w:hAnsi="Arial"/>
        </w:rPr>
        <w:sectPr w:rsidR="00572AD9" w:rsidSect="00734BA0">
          <w:footerReference w:type="default" r:id="rId9"/>
          <w:type w:val="continuous"/>
          <w:pgSz w:w="11906" w:h="16838"/>
          <w:pgMar w:top="1440" w:right="1440" w:bottom="1440" w:left="1440" w:header="709" w:footer="709" w:gutter="0"/>
          <w:cols w:space="708"/>
          <w:docGrid w:linePitch="360"/>
        </w:sectPr>
      </w:pPr>
    </w:p>
    <w:p w:rsidR="00734BA0" w:rsidRPr="00DB46DE" w:rsidRDefault="00734BA0" w:rsidP="00DB46DE">
      <w:pPr>
        <w:pStyle w:val="ListParagraph"/>
        <w:numPr>
          <w:ilvl w:val="0"/>
          <w:numId w:val="1"/>
        </w:numPr>
        <w:contextualSpacing w:val="0"/>
        <w:rPr>
          <w:rFonts w:ascii="Arial" w:hAnsi="Arial"/>
          <w:b/>
          <w:sz w:val="24"/>
          <w:szCs w:val="24"/>
        </w:rPr>
      </w:pPr>
      <w:r w:rsidRPr="00BB5F62">
        <w:rPr>
          <w:rFonts w:ascii="Arial" w:hAnsi="Arial"/>
          <w:b/>
          <w:sz w:val="24"/>
          <w:szCs w:val="24"/>
        </w:rPr>
        <w:lastRenderedPageBreak/>
        <w:t>Country ownership of the immunization programme</w:t>
      </w:r>
    </w:p>
    <w:p w:rsidR="00734BA0" w:rsidRDefault="00734BA0" w:rsidP="00DB46DE">
      <w:pPr>
        <w:pStyle w:val="ListParagraph"/>
        <w:numPr>
          <w:ilvl w:val="1"/>
          <w:numId w:val="38"/>
        </w:numPr>
        <w:contextualSpacing w:val="0"/>
        <w:rPr>
          <w:rFonts w:ascii="Arial" w:hAnsi="Arial"/>
          <w:b/>
        </w:rPr>
      </w:pPr>
      <w:r>
        <w:rPr>
          <w:rFonts w:ascii="Arial" w:hAnsi="Arial"/>
          <w:b/>
        </w:rPr>
        <w:t>Immunization policy decision-making capacity</w:t>
      </w:r>
    </w:p>
    <w:p w:rsidR="00734BA0" w:rsidRDefault="00BB5F62" w:rsidP="00BB5F62">
      <w:pPr>
        <w:rPr>
          <w:rFonts w:ascii="Arial" w:hAnsi="Arial"/>
        </w:rPr>
      </w:pPr>
      <w:r>
        <w:rPr>
          <w:rFonts w:ascii="Arial" w:hAnsi="Arial"/>
        </w:rPr>
        <w:t xml:space="preserve">In </w:t>
      </w:r>
      <w:r w:rsidR="00D05442">
        <w:rPr>
          <w:rFonts w:ascii="Arial" w:hAnsi="Arial"/>
        </w:rPr>
        <w:t>November 2014</w:t>
      </w:r>
      <w:r>
        <w:rPr>
          <w:rFonts w:ascii="Arial" w:hAnsi="Arial"/>
        </w:rPr>
        <w:t>, Uganda transitioned its Advisory Committee on Immunization (ACVI) into a national independent immunization technical advisory group (NITAG), with technical assistance and training from WHO and the Gates Foundation-funded SIVAC project. Core members come from academia, research institutes and other organizations, with representatives of the MOH, WHO and UNICEF serving as ex-officio members.</w:t>
      </w:r>
      <w:r w:rsidR="001F695A">
        <w:rPr>
          <w:rFonts w:ascii="Arial" w:hAnsi="Arial"/>
        </w:rPr>
        <w:t xml:space="preserve"> It currently meets </w:t>
      </w:r>
      <w:r w:rsidR="00B4470F">
        <w:rPr>
          <w:rFonts w:ascii="Arial" w:hAnsi="Arial"/>
        </w:rPr>
        <w:t xml:space="preserve">all of the </w:t>
      </w:r>
      <w:r w:rsidR="001F695A">
        <w:rPr>
          <w:rFonts w:ascii="Arial" w:hAnsi="Arial"/>
        </w:rPr>
        <w:t>six criteria that WHO has established for a functioning NITAG.</w:t>
      </w:r>
    </w:p>
    <w:p w:rsidR="005F74EB" w:rsidRDefault="00DB7347" w:rsidP="00BB5F62">
      <w:pPr>
        <w:rPr>
          <w:rFonts w:ascii="Arial" w:hAnsi="Arial"/>
        </w:rPr>
      </w:pPr>
      <w:r>
        <w:rPr>
          <w:rFonts w:ascii="Arial" w:hAnsi="Arial"/>
        </w:rPr>
        <w:t>UNITAG has already had an important decision-making role in its short history. First, it raised concerns about the impending introduction of rotavirus and the government’s ability to meet its co-financing obligations and</w:t>
      </w:r>
      <w:r w:rsidR="00AB1003">
        <w:rPr>
          <w:rFonts w:ascii="Arial" w:hAnsi="Arial"/>
        </w:rPr>
        <w:t xml:space="preserve"> cover operational costs for rotavirus and</w:t>
      </w:r>
      <w:r>
        <w:rPr>
          <w:rFonts w:ascii="Arial" w:hAnsi="Arial"/>
        </w:rPr>
        <w:t xml:space="preserve"> the other vaccines in the immunization schedule. As a result, the introduction of </w:t>
      </w:r>
      <w:r w:rsidR="00AB1003">
        <w:rPr>
          <w:rFonts w:ascii="Arial" w:hAnsi="Arial"/>
        </w:rPr>
        <w:t>rotavirus</w:t>
      </w:r>
      <w:r>
        <w:rPr>
          <w:rFonts w:ascii="Arial" w:hAnsi="Arial"/>
        </w:rPr>
        <w:t xml:space="preserve"> and all other new vaccines </w:t>
      </w:r>
      <w:r w:rsidR="00AB1003">
        <w:rPr>
          <w:rFonts w:ascii="Arial" w:hAnsi="Arial"/>
        </w:rPr>
        <w:t>is</w:t>
      </w:r>
      <w:r>
        <w:rPr>
          <w:rFonts w:ascii="Arial" w:hAnsi="Arial"/>
        </w:rPr>
        <w:t xml:space="preserve"> currently on hold until a cost analysis of the immunization program and financial sustainability plan are developed (currently underway with WHO support). Second, UNITAG helped to convince the Parliament to </w:t>
      </w:r>
      <w:r w:rsidR="0057783D">
        <w:rPr>
          <w:rFonts w:ascii="Arial" w:hAnsi="Arial"/>
        </w:rPr>
        <w:t xml:space="preserve">add a provision </w:t>
      </w:r>
      <w:r w:rsidR="005F74EB">
        <w:rPr>
          <w:rFonts w:ascii="Arial" w:hAnsi="Arial"/>
        </w:rPr>
        <w:t xml:space="preserve">for an Immunization Fund </w:t>
      </w:r>
      <w:r w:rsidR="0057783D">
        <w:rPr>
          <w:rFonts w:ascii="Arial" w:hAnsi="Arial"/>
        </w:rPr>
        <w:t xml:space="preserve">to the 2016 Immunization </w:t>
      </w:r>
      <w:r w:rsidR="005F74EB">
        <w:rPr>
          <w:rFonts w:ascii="Arial" w:hAnsi="Arial"/>
        </w:rPr>
        <w:t>Act</w:t>
      </w:r>
      <w:r w:rsidR="0057783D">
        <w:rPr>
          <w:rFonts w:ascii="Arial" w:hAnsi="Arial"/>
        </w:rPr>
        <w:t xml:space="preserve"> that mandates vaccination of children and women (with TT)</w:t>
      </w:r>
      <w:r w:rsidR="005F74EB">
        <w:rPr>
          <w:rFonts w:ascii="Arial" w:hAnsi="Arial"/>
        </w:rPr>
        <w:t>. The purpose of the Fund, described below, is to better protect funding for immunization and mobilize additional resources from different sources.</w:t>
      </w:r>
    </w:p>
    <w:p w:rsidR="00BB5F62" w:rsidRPr="00BB5F62" w:rsidRDefault="005F74EB" w:rsidP="00BB5F62">
      <w:pPr>
        <w:rPr>
          <w:rFonts w:ascii="Arial" w:hAnsi="Arial"/>
        </w:rPr>
      </w:pPr>
      <w:r>
        <w:rPr>
          <w:rFonts w:ascii="Arial" w:hAnsi="Arial"/>
        </w:rPr>
        <w:t>Immunization also enjoys high-level support as a result of the establishment of a Parliamentary Forum on Immunization. The Chairperson of this group was able to block the Parliament’s approval of the entire budget in 2012/13 until additional funds were added to the budget to increase the number of health workers and health worker salaries. The Forum also played a key role in the development and government approval of the Immunization</w:t>
      </w:r>
      <w:r w:rsidR="0057783D">
        <w:rPr>
          <w:rFonts w:ascii="Arial" w:hAnsi="Arial"/>
        </w:rPr>
        <w:t xml:space="preserve"> </w:t>
      </w:r>
      <w:r>
        <w:rPr>
          <w:rFonts w:ascii="Arial" w:hAnsi="Arial"/>
        </w:rPr>
        <w:t>Act</w:t>
      </w:r>
      <w:r w:rsidR="00782C2A">
        <w:rPr>
          <w:rFonts w:ascii="Arial" w:hAnsi="Arial"/>
        </w:rPr>
        <w:t xml:space="preserve"> (described below)</w:t>
      </w:r>
      <w:r w:rsidR="005002BB">
        <w:rPr>
          <w:rFonts w:ascii="Arial" w:hAnsi="Arial"/>
        </w:rPr>
        <w:t>.</w:t>
      </w:r>
    </w:p>
    <w:p w:rsidR="00734BA0" w:rsidRDefault="00734BA0" w:rsidP="00DB46DE">
      <w:pPr>
        <w:pStyle w:val="ListParagraph"/>
        <w:numPr>
          <w:ilvl w:val="1"/>
          <w:numId w:val="38"/>
        </w:numPr>
        <w:contextualSpacing w:val="0"/>
        <w:rPr>
          <w:rFonts w:ascii="Arial" w:hAnsi="Arial"/>
          <w:b/>
        </w:rPr>
      </w:pPr>
      <w:r>
        <w:rPr>
          <w:rFonts w:ascii="Arial" w:hAnsi="Arial"/>
          <w:b/>
        </w:rPr>
        <w:t>Govern</w:t>
      </w:r>
      <w:r w:rsidR="00DB46DE">
        <w:rPr>
          <w:rFonts w:ascii="Arial" w:hAnsi="Arial"/>
          <w:b/>
        </w:rPr>
        <w:t>ment financing of i</w:t>
      </w:r>
      <w:r w:rsidRPr="00825812">
        <w:rPr>
          <w:rFonts w:ascii="Arial" w:hAnsi="Arial"/>
          <w:b/>
        </w:rPr>
        <w:t>mmunization</w:t>
      </w:r>
    </w:p>
    <w:p w:rsidR="00734BA0" w:rsidRDefault="005002BB" w:rsidP="00734BA0">
      <w:pPr>
        <w:pStyle w:val="ListParagraph"/>
        <w:ind w:left="0"/>
        <w:contextualSpacing w:val="0"/>
        <w:rPr>
          <w:rFonts w:ascii="Arial" w:hAnsi="Arial"/>
        </w:rPr>
      </w:pPr>
      <w:r>
        <w:rPr>
          <w:rFonts w:ascii="Arial" w:hAnsi="Arial"/>
        </w:rPr>
        <w:t xml:space="preserve">The Government is meeting its financial commitments in that it is paying for 100% of the procurement costs of all traditional vaccines (BCG, TT, OPV and measles). It was estimated in FY2013/14 that the Government paid 49% of the total immunization budget, </w:t>
      </w:r>
      <w:r w:rsidR="00AF3E7B">
        <w:rPr>
          <w:rFonts w:ascii="Arial" w:hAnsi="Arial"/>
        </w:rPr>
        <w:t>with the majority going towards</w:t>
      </w:r>
      <w:r>
        <w:rPr>
          <w:rFonts w:ascii="Arial" w:hAnsi="Arial"/>
        </w:rPr>
        <w:t xml:space="preserve"> health worker salaries, </w:t>
      </w:r>
      <w:r w:rsidR="00AF3E7B">
        <w:rPr>
          <w:rFonts w:ascii="Arial" w:hAnsi="Arial"/>
        </w:rPr>
        <w:t xml:space="preserve">procurement of traditional vaccines and co-financing of new vaccines (pentavalent, PCV, HPV), vaccine storage and distribution, </w:t>
      </w:r>
      <w:r>
        <w:rPr>
          <w:rFonts w:ascii="Arial" w:hAnsi="Arial"/>
        </w:rPr>
        <w:t xml:space="preserve">the staff and operations of the Uganda National EPI (UNEPI), </w:t>
      </w:r>
      <w:r w:rsidR="00677182">
        <w:rPr>
          <w:rFonts w:ascii="Arial" w:hAnsi="Arial"/>
        </w:rPr>
        <w:t xml:space="preserve">operational costs for polio and </w:t>
      </w:r>
      <w:r w:rsidR="00677182">
        <w:rPr>
          <w:rFonts w:ascii="Arial" w:hAnsi="Arial"/>
        </w:rPr>
        <w:lastRenderedPageBreak/>
        <w:t xml:space="preserve">measles campaigns, </w:t>
      </w:r>
      <w:r>
        <w:rPr>
          <w:rFonts w:ascii="Arial" w:hAnsi="Arial"/>
        </w:rPr>
        <w:t xml:space="preserve">and block grants to the districts </w:t>
      </w:r>
      <w:r w:rsidR="00AF3E7B">
        <w:rPr>
          <w:rFonts w:ascii="Arial" w:hAnsi="Arial"/>
        </w:rPr>
        <w:t>to cover the costs of providing</w:t>
      </w:r>
      <w:r>
        <w:rPr>
          <w:rFonts w:ascii="Arial" w:hAnsi="Arial"/>
        </w:rPr>
        <w:t xml:space="preserve"> primary health care services </w:t>
      </w:r>
      <w:r w:rsidR="006321C4">
        <w:rPr>
          <w:rFonts w:ascii="Arial" w:hAnsi="Arial"/>
        </w:rPr>
        <w:t>(</w:t>
      </w:r>
      <w:r>
        <w:rPr>
          <w:rFonts w:ascii="Arial" w:hAnsi="Arial"/>
        </w:rPr>
        <w:t>called PHC grants</w:t>
      </w:r>
      <w:r w:rsidR="006321C4">
        <w:rPr>
          <w:rFonts w:ascii="Arial" w:hAnsi="Arial"/>
        </w:rPr>
        <w:t>)</w:t>
      </w:r>
      <w:r w:rsidR="00AF3E7B">
        <w:rPr>
          <w:rFonts w:ascii="Arial" w:hAnsi="Arial"/>
        </w:rPr>
        <w:t xml:space="preserve">. </w:t>
      </w:r>
    </w:p>
    <w:p w:rsidR="00C82C17" w:rsidRDefault="00AF3E7B" w:rsidP="00734BA0">
      <w:pPr>
        <w:pStyle w:val="ListParagraph"/>
        <w:ind w:left="0"/>
        <w:contextualSpacing w:val="0"/>
        <w:rPr>
          <w:rFonts w:ascii="Arial" w:hAnsi="Arial"/>
        </w:rPr>
      </w:pPr>
      <w:r>
        <w:rPr>
          <w:rFonts w:ascii="Arial" w:hAnsi="Arial"/>
        </w:rPr>
        <w:t xml:space="preserve">The Government’s contribution in absolute terms has been increasing </w:t>
      </w:r>
      <w:r w:rsidR="00677182">
        <w:rPr>
          <w:rFonts w:ascii="Arial" w:hAnsi="Arial"/>
        </w:rPr>
        <w:t>–</w:t>
      </w:r>
      <w:r>
        <w:rPr>
          <w:rFonts w:ascii="Arial" w:hAnsi="Arial"/>
        </w:rPr>
        <w:t xml:space="preserve"> </w:t>
      </w:r>
      <w:r w:rsidR="008062DF">
        <w:rPr>
          <w:rFonts w:ascii="Arial" w:hAnsi="Arial"/>
        </w:rPr>
        <w:t xml:space="preserve">41% from 2009/10 to 2013/14 – </w:t>
      </w:r>
      <w:r>
        <w:rPr>
          <w:rFonts w:ascii="Arial" w:hAnsi="Arial"/>
        </w:rPr>
        <w:t>mainly as a result of co-financing of newly introduced vaccines, which has increased six-fold from 2013 to 2016, as first PCV and then HPV were added to the immunization schedule</w:t>
      </w:r>
      <w:r w:rsidR="00677182">
        <w:rPr>
          <w:rFonts w:ascii="Arial" w:hAnsi="Arial"/>
        </w:rPr>
        <w:t xml:space="preserve"> (Figure 1)</w:t>
      </w:r>
      <w:r>
        <w:rPr>
          <w:rFonts w:ascii="Arial" w:hAnsi="Arial"/>
        </w:rPr>
        <w:t xml:space="preserve">. </w:t>
      </w:r>
      <w:r w:rsidR="00677182">
        <w:rPr>
          <w:rFonts w:ascii="Arial" w:hAnsi="Arial"/>
        </w:rPr>
        <w:t>The country’s c</w:t>
      </w:r>
      <w:r>
        <w:rPr>
          <w:rFonts w:ascii="Arial" w:hAnsi="Arial"/>
        </w:rPr>
        <w:t>o-financing</w:t>
      </w:r>
      <w:r w:rsidR="00677182">
        <w:rPr>
          <w:rFonts w:ascii="Arial" w:hAnsi="Arial"/>
        </w:rPr>
        <w:t xml:space="preserve"> obligation now stands at $2.5 million per year. The Government’s contribution actually declined from 2011 to 2014, </w:t>
      </w:r>
      <w:r w:rsidR="002716CC">
        <w:rPr>
          <w:rFonts w:ascii="Arial" w:hAnsi="Arial"/>
        </w:rPr>
        <w:t xml:space="preserve">due in part to delays in making its co-financing obligations. Uganda has, in fact, been in default in co-financing </w:t>
      </w:r>
      <w:r w:rsidR="006321C4">
        <w:rPr>
          <w:rFonts w:ascii="Arial" w:hAnsi="Arial"/>
        </w:rPr>
        <w:t xml:space="preserve">for GAVI-supported vaccines </w:t>
      </w:r>
      <w:r w:rsidR="002716CC">
        <w:rPr>
          <w:rFonts w:ascii="Arial" w:hAnsi="Arial"/>
        </w:rPr>
        <w:t xml:space="preserve">each year since 2014. This is due to the fact that funds for co-financing are not “ring-fenced” and have been diverted to cover emergencies, such as pension arrears for health staff and </w:t>
      </w:r>
      <w:r w:rsidR="00347756">
        <w:rPr>
          <w:rFonts w:ascii="Arial" w:hAnsi="Arial"/>
        </w:rPr>
        <w:t>salary increases</w:t>
      </w:r>
      <w:r w:rsidR="002716CC">
        <w:rPr>
          <w:rFonts w:ascii="Arial" w:hAnsi="Arial"/>
        </w:rPr>
        <w:t xml:space="preserve"> for intern doctors who went on strike. The mismatch between the Government’s quarterly budgetary procedures and GAVI’s fiscal year cycles, as well as devaluation of the Uganda shilling have also contributed to delays in co-financing. These defaults have delayed the introduction of additional vaccines</w:t>
      </w:r>
      <w:r w:rsidR="0006192C">
        <w:rPr>
          <w:rFonts w:ascii="Arial" w:hAnsi="Arial"/>
        </w:rPr>
        <w:t xml:space="preserve"> into the routine immunization program</w:t>
      </w:r>
      <w:r w:rsidR="002716CC">
        <w:rPr>
          <w:rFonts w:ascii="Arial" w:hAnsi="Arial"/>
        </w:rPr>
        <w:t>, including rotavirus</w:t>
      </w:r>
      <w:r w:rsidR="00E72094">
        <w:rPr>
          <w:rFonts w:ascii="Arial" w:hAnsi="Arial"/>
        </w:rPr>
        <w:t xml:space="preserve"> </w:t>
      </w:r>
      <w:r w:rsidR="006321C4">
        <w:rPr>
          <w:rFonts w:ascii="Arial" w:hAnsi="Arial"/>
        </w:rPr>
        <w:t>vaccine</w:t>
      </w:r>
      <w:r w:rsidR="002716CC">
        <w:rPr>
          <w:rFonts w:ascii="Arial" w:hAnsi="Arial"/>
        </w:rPr>
        <w:t>.</w:t>
      </w:r>
    </w:p>
    <w:p w:rsidR="00EF28C5" w:rsidRDefault="006321C4" w:rsidP="006321C4">
      <w:pPr>
        <w:pStyle w:val="ListParagraph"/>
        <w:ind w:left="0"/>
        <w:contextualSpacing w:val="0"/>
        <w:rPr>
          <w:rFonts w:ascii="Arial" w:hAnsi="Arial"/>
        </w:rPr>
      </w:pPr>
      <w:r>
        <w:rPr>
          <w:rFonts w:ascii="Arial" w:hAnsi="Arial"/>
        </w:rPr>
        <w:t>Apart from the issue of co-financing of new vaccines, the government budget for immunization is considered insufficient, and as a result, more costly activities, such as polio and measles campaigns, can mean less funding for routine immunization activities. As mentioned in one report,</w:t>
      </w:r>
      <w:r>
        <w:rPr>
          <w:rStyle w:val="FootnoteReference"/>
          <w:rFonts w:ascii="Arial" w:hAnsi="Arial"/>
        </w:rPr>
        <w:footnoteReference w:id="1"/>
      </w:r>
      <w:r>
        <w:rPr>
          <w:rFonts w:ascii="Arial" w:hAnsi="Arial"/>
        </w:rPr>
        <w:t xml:space="preserve"> one national measles campaign can cost the equivalent of two years of recurrent costs for the routine immunization program. Because the Ugandan government could not raise its share of the operational costs for the 2015 measles campaign, the campaign was combined with the introduction of HPV vaccine and Child Health Days, to save costs and to allow funding from the GAVI vaccine introduction grant (VIG) to be used in part for the measles campaign. This resulted in a reduction in the planned activities for the HPV introduction (see below).</w:t>
      </w:r>
    </w:p>
    <w:p w:rsidR="00F41E81" w:rsidRPr="00EF28C5" w:rsidRDefault="00EF28C5" w:rsidP="00EF28C5">
      <w:pPr>
        <w:rPr>
          <w:rFonts w:ascii="Arial" w:hAnsi="Arial"/>
          <w:b/>
        </w:rPr>
      </w:pPr>
      <w:r>
        <w:br w:type="page"/>
      </w:r>
      <w:r w:rsidRPr="00EF28C5">
        <w:lastRenderedPageBreak/>
        <w:t xml:space="preserve">Figure </w:t>
      </w:r>
      <w:r w:rsidRPr="00EF28C5">
        <w:fldChar w:fldCharType="begin"/>
      </w:r>
      <w:r w:rsidRPr="00EF28C5">
        <w:instrText xml:space="preserve"> SEQ Figure \* ARABIC </w:instrText>
      </w:r>
      <w:r w:rsidRPr="00EF28C5">
        <w:fldChar w:fldCharType="separate"/>
      </w:r>
      <w:r w:rsidR="007D3409">
        <w:rPr>
          <w:noProof/>
        </w:rPr>
        <w:t>1</w:t>
      </w:r>
      <w:r w:rsidRPr="00EF28C5">
        <w:fldChar w:fldCharType="end"/>
      </w:r>
      <w:r w:rsidRPr="00EF28C5">
        <w:t xml:space="preserve">: </w:t>
      </w:r>
      <w:r w:rsidR="006321C4" w:rsidRPr="00EF28C5">
        <w:rPr>
          <w:rFonts w:ascii="Arial" w:hAnsi="Arial"/>
          <w:b/>
        </w:rPr>
        <w:t>Trends in Ugandan Government financing for immunization</w:t>
      </w:r>
    </w:p>
    <w:p w:rsidR="00F41E81" w:rsidRDefault="001B1E58" w:rsidP="00734BA0">
      <w:pPr>
        <w:pStyle w:val="ListParagraph"/>
        <w:ind w:left="0"/>
        <w:contextualSpacing w:val="0"/>
        <w:rPr>
          <w:rFonts w:ascii="Arial" w:hAnsi="Arial"/>
        </w:rPr>
      </w:pPr>
      <w:r>
        <w:rPr>
          <w:rFonts w:ascii="Arial" w:hAnsi="Arial"/>
          <w:noProof/>
          <w:lang w:eastAsia="en-GB"/>
        </w:rPr>
        <mc:AlternateContent>
          <mc:Choice Requires="wps">
            <w:drawing>
              <wp:anchor distT="0" distB="0" distL="114300" distR="114300" simplePos="0" relativeHeight="251658240" behindDoc="0" locked="0" layoutInCell="1" allowOverlap="1">
                <wp:simplePos x="0" y="0"/>
                <wp:positionH relativeFrom="column">
                  <wp:posOffset>600710</wp:posOffset>
                </wp:positionH>
                <wp:positionV relativeFrom="paragraph">
                  <wp:posOffset>-15875</wp:posOffset>
                </wp:positionV>
                <wp:extent cx="4442460" cy="3009265"/>
                <wp:effectExtent l="10160" t="12700" r="14605" b="6985"/>
                <wp:wrapNone/>
                <wp:docPr id="13"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42460" cy="3009265"/>
                        </a:xfrm>
                        <a:prstGeom prst="rect">
                          <a:avLst/>
                        </a:prstGeom>
                        <a:solidFill>
                          <a:srgbClr val="FFFFFF"/>
                        </a:solidFill>
                        <a:ln w="12700" algn="ctr">
                          <a:solidFill>
                            <a:srgbClr val="000000"/>
                          </a:solidFill>
                          <a:miter lim="800000"/>
                          <a:headEnd/>
                          <a:tailEnd/>
                        </a:ln>
                      </wps:spPr>
                      <wps:txbx>
                        <w:txbxContent>
                          <w:p w:rsidR="00EF28C5" w:rsidRPr="00B13A2F" w:rsidRDefault="001B1E58" w:rsidP="00EF28C5">
                            <w:pPr>
                              <w:jc w:val="center"/>
                              <w:rPr>
                                <w:color w:val="000000"/>
                              </w:rPr>
                            </w:pPr>
                            <w:r>
                              <w:rPr>
                                <w:noProof/>
                                <w:sz w:val="32"/>
                                <w:szCs w:val="32"/>
                                <w:lang w:eastAsia="en-GB"/>
                              </w:rPr>
                              <w:drawing>
                                <wp:inline distT="0" distB="0" distL="0" distR="0">
                                  <wp:extent cx="4244340" cy="2752090"/>
                                  <wp:effectExtent l="0" t="0" r="381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44340" cy="275209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margin">
                  <wp14:pctWidth>0</wp14:pctWidth>
                </wp14:sizeRelH>
                <wp14:sizeRelV relativeFrom="page">
                  <wp14:pctHeight>0</wp14:pctHeight>
                </wp14:sizeRelV>
              </wp:anchor>
            </w:drawing>
          </mc:Choice>
          <mc:Fallback>
            <w:pict>
              <v:rect id="Rectangle 11" o:spid="_x0000_s1026" style="position:absolute;margin-left:47.3pt;margin-top:-1.25pt;width:349.8pt;height:236.95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" strokeweight="1pt">
                <v:textbox style="mso-fit-shape-to-text:t">
                  <w:txbxContent>
                    <w:p w:rsidR="00EF28C5" w:rsidRPr="00B13A2F" w:rsidRDefault="001B1E58" w:rsidP="00EF28C5">
                      <w:pPr>
                        <w:jc w:val="center"/>
                        <w:rPr>
                          <w:color w:val="000000"/>
                        </w:rPr>
                      </w:pPr>
                      <w:r>
                        <w:rPr>
                          <w:noProof/>
                          <w:sz w:val="32"/>
                          <w:szCs w:val="32"/>
                          <w:lang w:eastAsia="en-GB"/>
                        </w:rPr>
                        <w:drawing>
                          <wp:inline distT="0" distB="0" distL="0" distR="0">
                            <wp:extent cx="4244340" cy="2752090"/>
                            <wp:effectExtent l="0" t="0" r="381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44340" cy="2752090"/>
                                    </a:xfrm>
                                    <a:prstGeom prst="rect">
                                      <a:avLst/>
                                    </a:prstGeom>
                                    <a:noFill/>
                                    <a:ln>
                                      <a:noFill/>
                                    </a:ln>
                                  </pic:spPr>
                                </pic:pic>
                              </a:graphicData>
                            </a:graphic>
                          </wp:inline>
                        </w:drawing>
                      </w:r>
                    </w:p>
                  </w:txbxContent>
                </v:textbox>
              </v:rect>
            </w:pict>
          </mc:Fallback>
        </mc:AlternateContent>
      </w:r>
    </w:p>
    <w:p w:rsidR="00F41E81" w:rsidRDefault="00F41E81" w:rsidP="00734BA0">
      <w:pPr>
        <w:pStyle w:val="ListParagraph"/>
        <w:ind w:left="0"/>
        <w:contextualSpacing w:val="0"/>
        <w:rPr>
          <w:rFonts w:ascii="Arial" w:hAnsi="Arial"/>
        </w:rPr>
      </w:pPr>
    </w:p>
    <w:p w:rsidR="00F41E81" w:rsidRDefault="00F41E81" w:rsidP="00734BA0">
      <w:pPr>
        <w:pStyle w:val="ListParagraph"/>
        <w:ind w:left="0"/>
        <w:contextualSpacing w:val="0"/>
        <w:rPr>
          <w:rFonts w:ascii="Arial" w:hAnsi="Arial"/>
        </w:rPr>
      </w:pPr>
    </w:p>
    <w:p w:rsidR="00F41E81" w:rsidRDefault="00F41E81" w:rsidP="00734BA0">
      <w:pPr>
        <w:pStyle w:val="ListParagraph"/>
        <w:ind w:left="0"/>
        <w:contextualSpacing w:val="0"/>
        <w:rPr>
          <w:rFonts w:ascii="Arial" w:hAnsi="Arial"/>
        </w:rPr>
      </w:pPr>
    </w:p>
    <w:p w:rsidR="00F41E81" w:rsidRDefault="00F41E81" w:rsidP="00734BA0">
      <w:pPr>
        <w:pStyle w:val="ListParagraph"/>
        <w:ind w:left="0"/>
        <w:contextualSpacing w:val="0"/>
        <w:rPr>
          <w:rFonts w:ascii="Arial" w:hAnsi="Arial"/>
        </w:rPr>
      </w:pPr>
    </w:p>
    <w:p w:rsidR="00F41E81" w:rsidRDefault="00F41E81" w:rsidP="00734BA0">
      <w:pPr>
        <w:pStyle w:val="ListParagraph"/>
        <w:ind w:left="0"/>
        <w:contextualSpacing w:val="0"/>
        <w:rPr>
          <w:rFonts w:ascii="Arial" w:hAnsi="Arial"/>
        </w:rPr>
      </w:pPr>
    </w:p>
    <w:p w:rsidR="00F41E81" w:rsidRDefault="00F41E81" w:rsidP="00734BA0">
      <w:pPr>
        <w:pStyle w:val="ListParagraph"/>
        <w:ind w:left="0"/>
        <w:contextualSpacing w:val="0"/>
        <w:rPr>
          <w:rFonts w:ascii="Arial" w:hAnsi="Arial"/>
        </w:rPr>
      </w:pPr>
    </w:p>
    <w:p w:rsidR="0002156C" w:rsidRDefault="0002156C" w:rsidP="00734BA0">
      <w:pPr>
        <w:pStyle w:val="ListParagraph"/>
        <w:ind w:left="0"/>
        <w:rPr>
          <w:rFonts w:ascii="Arial" w:hAnsi="Arial"/>
        </w:rPr>
      </w:pPr>
    </w:p>
    <w:p w:rsidR="0002156C" w:rsidRDefault="0002156C" w:rsidP="00734BA0">
      <w:pPr>
        <w:pStyle w:val="ListParagraph"/>
        <w:ind w:left="0"/>
        <w:rPr>
          <w:rFonts w:ascii="Arial" w:hAnsi="Arial"/>
        </w:rPr>
      </w:pPr>
    </w:p>
    <w:p w:rsidR="00EF28C5" w:rsidRDefault="00EF28C5" w:rsidP="00734BA0">
      <w:pPr>
        <w:pStyle w:val="ListParagraph"/>
        <w:ind w:left="0"/>
        <w:rPr>
          <w:rFonts w:ascii="Arial" w:hAnsi="Arial"/>
          <w:sz w:val="18"/>
          <w:szCs w:val="18"/>
        </w:rPr>
      </w:pPr>
    </w:p>
    <w:p w:rsidR="00EF28C5" w:rsidRDefault="001B1E58" w:rsidP="00734BA0">
      <w:pPr>
        <w:pStyle w:val="ListParagraph"/>
        <w:ind w:left="0"/>
        <w:rPr>
          <w:rFonts w:ascii="Arial" w:hAnsi="Arial"/>
          <w:sz w:val="18"/>
          <w:szCs w:val="18"/>
        </w:rPr>
      </w:pPr>
      <w:r>
        <w:rPr>
          <w:noProof/>
          <w:lang w:eastAsia="en-GB"/>
        </w:rPr>
        <mc:AlternateContent>
          <mc:Choice Requires="wps">
            <w:drawing>
              <wp:anchor distT="0" distB="0" distL="114300" distR="114300" simplePos="0" relativeHeight="251657216" behindDoc="0" locked="0" layoutInCell="1" allowOverlap="1">
                <wp:simplePos x="0" y="0"/>
                <wp:positionH relativeFrom="column">
                  <wp:posOffset>600710</wp:posOffset>
                </wp:positionH>
                <wp:positionV relativeFrom="paragraph">
                  <wp:posOffset>6985</wp:posOffset>
                </wp:positionV>
                <wp:extent cx="4442460" cy="3407410"/>
                <wp:effectExtent l="0" t="0" r="15240" b="2159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42460" cy="3407410"/>
                        </a:xfrm>
                        <a:prstGeom prst="rect">
                          <a:avLst/>
                        </a:prstGeom>
                        <a:solidFill>
                          <a:sysClr val="window" lastClr="FFFFFF"/>
                        </a:solidFill>
                        <a:ln w="12700" cap="flat" cmpd="sng" algn="ctr">
                          <a:solidFill>
                            <a:sysClr val="windowText" lastClr="000000"/>
                          </a:solidFill>
                          <a:prstDash val="solid"/>
                        </a:ln>
                        <a:effectLst/>
                      </wps:spPr>
                      <wps:txbx>
                        <w:txbxContent>
                          <w:p w:rsidR="00E6488A" w:rsidRPr="00B13A2F" w:rsidRDefault="00E6488A" w:rsidP="001C3946">
                            <w:pPr>
                              <w:jc w:val="center"/>
                              <w:rPr>
                                <w:color w:val="000000"/>
                              </w:rPr>
                            </w:pPr>
                            <w:r w:rsidRPr="00B13A2F">
                              <w:rPr>
                                <w:color w:val="000000"/>
                              </w:rPr>
                              <w:t>Annual co-financing obligation to GAVI in Uganda</w:t>
                            </w:r>
                            <w:r w:rsidRPr="00347756">
                              <w:rPr>
                                <w:noProof/>
                                <w:lang w:val="en-US"/>
                              </w:rPr>
                              <w:t xml:space="preserve"> </w:t>
                            </w:r>
                            <w:r w:rsidR="001B1E58">
                              <w:rPr>
                                <w:noProof/>
                                <w:lang w:eastAsia="en-GB"/>
                              </w:rPr>
                              <w:drawing>
                                <wp:inline distT="0" distB="0" distL="0" distR="0">
                                  <wp:extent cx="3942080" cy="2846705"/>
                                  <wp:effectExtent l="0" t="0" r="1270"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42080" cy="284670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12" o:spid="_x0000_s1027" style="position:absolute;margin-left:47.3pt;margin-top:.55pt;width:349.8pt;height:268.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" fillcolor="window" strokecolor="windowText" strokeweight="1pt">
                <v:path arrowok="t"/>
                <v:textbox>
                  <w:txbxContent>
                    <w:p w:rsidR="00E6488A" w:rsidRPr="00B13A2F" w:rsidRDefault="00E6488A" w:rsidP="001C3946">
                      <w:pPr>
                        <w:jc w:val="center"/>
                        <w:rPr>
                          <w:color w:val="000000"/>
                        </w:rPr>
                      </w:pPr>
                      <w:r w:rsidRPr="00B13A2F">
                        <w:rPr>
                          <w:color w:val="000000"/>
                        </w:rPr>
                        <w:t>Annual co-financing obligation to GAVI in Uganda</w:t>
                      </w:r>
                      <w:r w:rsidRPr="00347756">
                        <w:rPr>
                          <w:noProof/>
                          <w:lang w:val="en-US"/>
                        </w:rPr>
                        <w:t xml:space="preserve"> </w:t>
                      </w:r>
                      <w:r w:rsidR="001B1E58">
                        <w:rPr>
                          <w:noProof/>
                          <w:lang w:eastAsia="en-GB"/>
                        </w:rPr>
                        <w:drawing>
                          <wp:inline distT="0" distB="0" distL="0" distR="0">
                            <wp:extent cx="3942080" cy="2846705"/>
                            <wp:effectExtent l="0" t="0" r="1270"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42080" cy="2846705"/>
                                    </a:xfrm>
                                    <a:prstGeom prst="rect">
                                      <a:avLst/>
                                    </a:prstGeom>
                                    <a:noFill/>
                                    <a:ln>
                                      <a:noFill/>
                                    </a:ln>
                                  </pic:spPr>
                                </pic:pic>
                              </a:graphicData>
                            </a:graphic>
                          </wp:inline>
                        </w:drawing>
                      </w:r>
                    </w:p>
                  </w:txbxContent>
                </v:textbox>
              </v:rect>
            </w:pict>
          </mc:Fallback>
        </mc:AlternateContent>
      </w:r>
    </w:p>
    <w:p w:rsidR="00EF28C5" w:rsidRDefault="00EF28C5" w:rsidP="00734BA0">
      <w:pPr>
        <w:pStyle w:val="ListParagraph"/>
        <w:ind w:left="0"/>
        <w:rPr>
          <w:rFonts w:ascii="Arial" w:hAnsi="Arial"/>
          <w:sz w:val="18"/>
          <w:szCs w:val="18"/>
        </w:rPr>
      </w:pPr>
    </w:p>
    <w:p w:rsidR="00EF28C5" w:rsidRDefault="00EF28C5" w:rsidP="00734BA0">
      <w:pPr>
        <w:pStyle w:val="ListParagraph"/>
        <w:ind w:left="0"/>
        <w:rPr>
          <w:rFonts w:ascii="Arial" w:hAnsi="Arial"/>
          <w:sz w:val="18"/>
          <w:szCs w:val="18"/>
        </w:rPr>
      </w:pPr>
    </w:p>
    <w:p w:rsidR="00EF28C5" w:rsidRDefault="00EF28C5" w:rsidP="00734BA0">
      <w:pPr>
        <w:pStyle w:val="ListParagraph"/>
        <w:ind w:left="0"/>
        <w:rPr>
          <w:rFonts w:ascii="Arial" w:hAnsi="Arial"/>
          <w:sz w:val="18"/>
          <w:szCs w:val="18"/>
        </w:rPr>
      </w:pPr>
    </w:p>
    <w:p w:rsidR="00EF28C5" w:rsidRDefault="00EF28C5" w:rsidP="00734BA0">
      <w:pPr>
        <w:pStyle w:val="ListParagraph"/>
        <w:ind w:left="0"/>
        <w:rPr>
          <w:rFonts w:ascii="Arial" w:hAnsi="Arial"/>
          <w:sz w:val="18"/>
          <w:szCs w:val="18"/>
        </w:rPr>
      </w:pPr>
    </w:p>
    <w:p w:rsidR="00EF28C5" w:rsidRDefault="00EF28C5" w:rsidP="00734BA0">
      <w:pPr>
        <w:pStyle w:val="ListParagraph"/>
        <w:ind w:left="0"/>
        <w:rPr>
          <w:rFonts w:ascii="Arial" w:hAnsi="Arial"/>
          <w:sz w:val="18"/>
          <w:szCs w:val="18"/>
        </w:rPr>
      </w:pPr>
    </w:p>
    <w:p w:rsidR="00EF28C5" w:rsidRDefault="00EF28C5" w:rsidP="00734BA0">
      <w:pPr>
        <w:pStyle w:val="ListParagraph"/>
        <w:ind w:left="0"/>
        <w:rPr>
          <w:rFonts w:ascii="Arial" w:hAnsi="Arial"/>
          <w:sz w:val="18"/>
          <w:szCs w:val="18"/>
        </w:rPr>
      </w:pPr>
    </w:p>
    <w:p w:rsidR="00EF28C5" w:rsidRDefault="00EF28C5" w:rsidP="00734BA0">
      <w:pPr>
        <w:pStyle w:val="ListParagraph"/>
        <w:ind w:left="0"/>
        <w:rPr>
          <w:rFonts w:ascii="Arial" w:hAnsi="Arial"/>
          <w:sz w:val="18"/>
          <w:szCs w:val="18"/>
        </w:rPr>
      </w:pPr>
    </w:p>
    <w:p w:rsidR="00EF28C5" w:rsidRDefault="00EF28C5" w:rsidP="00734BA0">
      <w:pPr>
        <w:pStyle w:val="ListParagraph"/>
        <w:ind w:left="0"/>
        <w:rPr>
          <w:rFonts w:ascii="Arial" w:hAnsi="Arial"/>
          <w:sz w:val="18"/>
          <w:szCs w:val="18"/>
        </w:rPr>
      </w:pPr>
    </w:p>
    <w:p w:rsidR="00EF28C5" w:rsidRDefault="00EF28C5" w:rsidP="00734BA0">
      <w:pPr>
        <w:pStyle w:val="ListParagraph"/>
        <w:ind w:left="0"/>
        <w:rPr>
          <w:rFonts w:ascii="Arial" w:hAnsi="Arial"/>
          <w:sz w:val="18"/>
          <w:szCs w:val="18"/>
        </w:rPr>
      </w:pPr>
    </w:p>
    <w:p w:rsidR="00EF28C5" w:rsidRDefault="00EF28C5" w:rsidP="00734BA0">
      <w:pPr>
        <w:pStyle w:val="ListParagraph"/>
        <w:ind w:left="0"/>
        <w:rPr>
          <w:rFonts w:ascii="Arial" w:hAnsi="Arial"/>
          <w:sz w:val="18"/>
          <w:szCs w:val="18"/>
        </w:rPr>
      </w:pPr>
    </w:p>
    <w:p w:rsidR="00EF28C5" w:rsidRDefault="00EF28C5" w:rsidP="00734BA0">
      <w:pPr>
        <w:pStyle w:val="ListParagraph"/>
        <w:ind w:left="0"/>
        <w:rPr>
          <w:rFonts w:ascii="Arial" w:hAnsi="Arial"/>
          <w:sz w:val="18"/>
          <w:szCs w:val="18"/>
        </w:rPr>
      </w:pPr>
    </w:p>
    <w:p w:rsidR="00EF28C5" w:rsidRDefault="00EF28C5" w:rsidP="00734BA0">
      <w:pPr>
        <w:pStyle w:val="ListParagraph"/>
        <w:ind w:left="0"/>
        <w:rPr>
          <w:rFonts w:ascii="Arial" w:hAnsi="Arial"/>
          <w:sz w:val="18"/>
          <w:szCs w:val="18"/>
        </w:rPr>
      </w:pPr>
    </w:p>
    <w:p w:rsidR="00EF28C5" w:rsidRDefault="00EF28C5" w:rsidP="00734BA0">
      <w:pPr>
        <w:pStyle w:val="ListParagraph"/>
        <w:ind w:left="0"/>
        <w:rPr>
          <w:rFonts w:ascii="Arial" w:hAnsi="Arial"/>
          <w:sz w:val="18"/>
          <w:szCs w:val="18"/>
        </w:rPr>
      </w:pPr>
    </w:p>
    <w:p w:rsidR="00EF28C5" w:rsidRDefault="00EF28C5" w:rsidP="00734BA0">
      <w:pPr>
        <w:pStyle w:val="ListParagraph"/>
        <w:ind w:left="0"/>
        <w:rPr>
          <w:rFonts w:ascii="Arial" w:hAnsi="Arial"/>
          <w:sz w:val="18"/>
          <w:szCs w:val="18"/>
        </w:rPr>
      </w:pPr>
    </w:p>
    <w:p w:rsidR="00EF28C5" w:rsidRDefault="00EF28C5" w:rsidP="00734BA0">
      <w:pPr>
        <w:pStyle w:val="ListParagraph"/>
        <w:ind w:left="0"/>
        <w:rPr>
          <w:rFonts w:ascii="Arial" w:hAnsi="Arial"/>
          <w:sz w:val="18"/>
          <w:szCs w:val="18"/>
        </w:rPr>
      </w:pPr>
    </w:p>
    <w:p w:rsidR="00EF28C5" w:rsidRDefault="00EF28C5" w:rsidP="00734BA0">
      <w:pPr>
        <w:pStyle w:val="ListParagraph"/>
        <w:ind w:left="0"/>
        <w:rPr>
          <w:rFonts w:ascii="Arial" w:hAnsi="Arial"/>
          <w:sz w:val="18"/>
          <w:szCs w:val="18"/>
        </w:rPr>
      </w:pPr>
    </w:p>
    <w:p w:rsidR="00EF28C5" w:rsidRDefault="00EF28C5" w:rsidP="00734BA0">
      <w:pPr>
        <w:pStyle w:val="ListParagraph"/>
        <w:ind w:left="0"/>
        <w:rPr>
          <w:rFonts w:ascii="Arial" w:hAnsi="Arial"/>
          <w:sz w:val="18"/>
          <w:szCs w:val="18"/>
        </w:rPr>
      </w:pPr>
    </w:p>
    <w:p w:rsidR="00EF28C5" w:rsidRDefault="00EF28C5" w:rsidP="00734BA0">
      <w:pPr>
        <w:pStyle w:val="ListParagraph"/>
        <w:ind w:left="0"/>
        <w:rPr>
          <w:rFonts w:ascii="Arial" w:hAnsi="Arial"/>
          <w:sz w:val="18"/>
          <w:szCs w:val="18"/>
        </w:rPr>
      </w:pPr>
    </w:p>
    <w:p w:rsidR="00EF28C5" w:rsidRDefault="00EF28C5" w:rsidP="00734BA0">
      <w:pPr>
        <w:pStyle w:val="ListParagraph"/>
        <w:ind w:left="0"/>
        <w:rPr>
          <w:rFonts w:ascii="Arial" w:hAnsi="Arial"/>
          <w:sz w:val="18"/>
          <w:szCs w:val="18"/>
        </w:rPr>
      </w:pPr>
    </w:p>
    <w:p w:rsidR="00EF28C5" w:rsidRDefault="00EF28C5" w:rsidP="00734BA0">
      <w:pPr>
        <w:pStyle w:val="ListParagraph"/>
        <w:ind w:left="0"/>
        <w:rPr>
          <w:rFonts w:ascii="Arial" w:hAnsi="Arial"/>
          <w:sz w:val="18"/>
          <w:szCs w:val="18"/>
        </w:rPr>
      </w:pPr>
    </w:p>
    <w:p w:rsidR="00EF28C5" w:rsidRDefault="00EF28C5" w:rsidP="00734BA0">
      <w:pPr>
        <w:pStyle w:val="ListParagraph"/>
        <w:ind w:left="0"/>
        <w:rPr>
          <w:rFonts w:ascii="Arial" w:hAnsi="Arial"/>
          <w:sz w:val="18"/>
          <w:szCs w:val="18"/>
        </w:rPr>
      </w:pPr>
    </w:p>
    <w:p w:rsidR="00EF28C5" w:rsidRDefault="00EF28C5" w:rsidP="00734BA0">
      <w:pPr>
        <w:pStyle w:val="ListParagraph"/>
        <w:ind w:left="0"/>
        <w:rPr>
          <w:rFonts w:ascii="Arial" w:hAnsi="Arial"/>
          <w:sz w:val="18"/>
          <w:szCs w:val="18"/>
        </w:rPr>
      </w:pPr>
    </w:p>
    <w:p w:rsidR="00EF28C5" w:rsidRDefault="00EF28C5" w:rsidP="00734BA0">
      <w:pPr>
        <w:pStyle w:val="ListParagraph"/>
        <w:ind w:left="0"/>
        <w:rPr>
          <w:rFonts w:ascii="Arial" w:hAnsi="Arial"/>
          <w:sz w:val="18"/>
          <w:szCs w:val="18"/>
        </w:rPr>
      </w:pPr>
    </w:p>
    <w:p w:rsidR="0002156C" w:rsidRDefault="006321C4" w:rsidP="00734BA0">
      <w:pPr>
        <w:pStyle w:val="ListParagraph"/>
        <w:ind w:left="0"/>
        <w:rPr>
          <w:rFonts w:ascii="Arial" w:hAnsi="Arial"/>
          <w:sz w:val="18"/>
          <w:szCs w:val="18"/>
        </w:rPr>
      </w:pPr>
      <w:r>
        <w:rPr>
          <w:rFonts w:ascii="Arial" w:hAnsi="Arial"/>
          <w:sz w:val="18"/>
          <w:szCs w:val="18"/>
        </w:rPr>
        <w:t xml:space="preserve">In the </w:t>
      </w:r>
      <w:r w:rsidR="00EF28C5">
        <w:rPr>
          <w:rFonts w:ascii="Arial" w:hAnsi="Arial"/>
          <w:sz w:val="18"/>
          <w:szCs w:val="18"/>
        </w:rPr>
        <w:t>top</w:t>
      </w:r>
      <w:r>
        <w:rPr>
          <w:rFonts w:ascii="Arial" w:hAnsi="Arial"/>
          <w:sz w:val="18"/>
          <w:szCs w:val="18"/>
        </w:rPr>
        <w:t xml:space="preserve"> chart, the p</w:t>
      </w:r>
      <w:r w:rsidR="00347756" w:rsidRPr="00347756">
        <w:rPr>
          <w:rFonts w:ascii="Arial" w:hAnsi="Arial"/>
          <w:sz w:val="18"/>
          <w:szCs w:val="18"/>
        </w:rPr>
        <w:t>urple bar (GOU) is Uganda government contribution</w:t>
      </w:r>
      <w:r w:rsidR="003E3AFC">
        <w:rPr>
          <w:rFonts w:ascii="Arial" w:hAnsi="Arial"/>
          <w:sz w:val="18"/>
          <w:szCs w:val="18"/>
        </w:rPr>
        <w:t>, including shared costs for health worker salaries and the proportion of PHC grant funding going to immunization</w:t>
      </w:r>
      <w:r w:rsidR="003D0373">
        <w:rPr>
          <w:rFonts w:ascii="Arial" w:hAnsi="Arial"/>
          <w:sz w:val="18"/>
          <w:szCs w:val="18"/>
        </w:rPr>
        <w:t>.</w:t>
      </w:r>
      <w:r w:rsidR="001C3946">
        <w:rPr>
          <w:rStyle w:val="FootnoteReference"/>
          <w:rFonts w:ascii="Arial" w:hAnsi="Arial"/>
          <w:sz w:val="18"/>
          <w:szCs w:val="18"/>
        </w:rPr>
        <w:footnoteReference w:id="2"/>
      </w:r>
    </w:p>
    <w:p w:rsidR="00347756" w:rsidRPr="00066111" w:rsidRDefault="003D0373" w:rsidP="00734BA0">
      <w:pPr>
        <w:pStyle w:val="ListParagraph"/>
        <w:ind w:left="0"/>
        <w:rPr>
          <w:rFonts w:ascii="Arial" w:hAnsi="Arial"/>
          <w:sz w:val="18"/>
          <w:szCs w:val="18"/>
        </w:rPr>
      </w:pPr>
      <w:r>
        <w:rPr>
          <w:rFonts w:ascii="Arial" w:hAnsi="Arial"/>
          <w:sz w:val="18"/>
          <w:szCs w:val="18"/>
        </w:rPr>
        <w:t xml:space="preserve"> </w:t>
      </w:r>
    </w:p>
    <w:p w:rsidR="00AF3E7B" w:rsidRDefault="00C82C17" w:rsidP="00734BA0">
      <w:pPr>
        <w:pStyle w:val="ListParagraph"/>
        <w:ind w:left="0"/>
        <w:contextualSpacing w:val="0"/>
        <w:rPr>
          <w:rFonts w:ascii="Arial" w:hAnsi="Arial"/>
        </w:rPr>
      </w:pPr>
      <w:r>
        <w:rPr>
          <w:rFonts w:ascii="Arial" w:hAnsi="Arial"/>
        </w:rPr>
        <w:t>Funding for immunization at the local level comes from PHC grants from the central government, which must pay for all of the oper</w:t>
      </w:r>
      <w:r w:rsidR="00AF7C4D">
        <w:rPr>
          <w:rFonts w:ascii="Arial" w:hAnsi="Arial"/>
        </w:rPr>
        <w:t>ational costs of providing the National M</w:t>
      </w:r>
      <w:r>
        <w:rPr>
          <w:rFonts w:ascii="Arial" w:hAnsi="Arial"/>
        </w:rPr>
        <w:t xml:space="preserve">inimum </w:t>
      </w:r>
      <w:r w:rsidR="00AF7C4D">
        <w:rPr>
          <w:rFonts w:ascii="Arial" w:hAnsi="Arial"/>
        </w:rPr>
        <w:t>Health Care P</w:t>
      </w:r>
      <w:r>
        <w:rPr>
          <w:rFonts w:ascii="Arial" w:hAnsi="Arial"/>
        </w:rPr>
        <w:t xml:space="preserve">ackage, of which immunization is one component. </w:t>
      </w:r>
      <w:r w:rsidR="00E578A3">
        <w:rPr>
          <w:rFonts w:ascii="Arial" w:hAnsi="Arial"/>
        </w:rPr>
        <w:t xml:space="preserve">The grants </w:t>
      </w:r>
      <w:r w:rsidR="00BD72BB">
        <w:rPr>
          <w:rFonts w:ascii="Arial" w:hAnsi="Arial"/>
        </w:rPr>
        <w:t xml:space="preserve">are distributed to each district, but </w:t>
      </w:r>
      <w:r w:rsidR="00E578A3">
        <w:rPr>
          <w:rFonts w:ascii="Arial" w:hAnsi="Arial"/>
        </w:rPr>
        <w:t xml:space="preserve">do not have a fixed percentage allocated to immunization. </w:t>
      </w:r>
      <w:r w:rsidR="008062DF">
        <w:rPr>
          <w:rFonts w:ascii="Arial" w:hAnsi="Arial"/>
        </w:rPr>
        <w:t xml:space="preserve">PHC funding is considered inadequate and as a result, health facilities often lack funding for fuel to operate refrigerators and means of transport and fuel to pick up vaccines from district medical stores or to conduct outreach immunization activities. A lack of funding at the district </w:t>
      </w:r>
      <w:r w:rsidR="008062DF">
        <w:rPr>
          <w:rFonts w:ascii="Arial" w:hAnsi="Arial"/>
        </w:rPr>
        <w:lastRenderedPageBreak/>
        <w:t xml:space="preserve">level makes it difficult for EPI coordinators to conduct supervisory and monitoring visits, assist with RED/REC activities and the like. All of this can negatively affect immunization coverage and overall program performance. </w:t>
      </w:r>
    </w:p>
    <w:p w:rsidR="008062DF" w:rsidRDefault="008062DF" w:rsidP="00734BA0">
      <w:pPr>
        <w:pStyle w:val="ListParagraph"/>
        <w:ind w:left="0"/>
        <w:contextualSpacing w:val="0"/>
        <w:rPr>
          <w:rFonts w:ascii="Arial" w:hAnsi="Arial"/>
        </w:rPr>
      </w:pPr>
      <w:r>
        <w:rPr>
          <w:rFonts w:ascii="Arial" w:hAnsi="Arial"/>
        </w:rPr>
        <w:t>In the aim of mobilizing additional resources</w:t>
      </w:r>
      <w:r w:rsidR="00E578A3">
        <w:rPr>
          <w:rFonts w:ascii="Arial" w:hAnsi="Arial"/>
        </w:rPr>
        <w:t xml:space="preserve"> for immunization and to meet the Government’s growing co-financing obligations, an Immunization Fund is being established as part of the 2016 Immunization Act.  The Fund, currently being designed, will pool funds from the Government, donations and “voluntary contributions” to pay for “vaccines and related supplies, cold chain expenses and immunization outreach activities.” Its reported purpose will be to better protect immunization funding (including co-financing) through “ring-fencing” to prevent its diversion, and to mobilize new resources for immunization, including from private industries, such as telecommunications and pharmaceutical companies.</w:t>
      </w:r>
    </w:p>
    <w:p w:rsidR="00734BA0" w:rsidRDefault="00DB46DE" w:rsidP="00DB46DE">
      <w:pPr>
        <w:pStyle w:val="ListParagraph"/>
        <w:ind w:left="0"/>
        <w:contextualSpacing w:val="0"/>
        <w:rPr>
          <w:rFonts w:ascii="Arial" w:hAnsi="Arial"/>
          <w:b/>
        </w:rPr>
      </w:pPr>
      <w:r>
        <w:rPr>
          <w:rFonts w:ascii="Arial" w:hAnsi="Arial"/>
          <w:b/>
        </w:rPr>
        <w:t xml:space="preserve">2.3 </w:t>
      </w:r>
      <w:r w:rsidR="00734BA0">
        <w:rPr>
          <w:rFonts w:ascii="Arial" w:hAnsi="Arial"/>
          <w:b/>
        </w:rPr>
        <w:t>Human resource situation</w:t>
      </w:r>
    </w:p>
    <w:p w:rsidR="00734BA0" w:rsidRPr="001C1193" w:rsidRDefault="00774C59" w:rsidP="00DB46DE">
      <w:pPr>
        <w:pStyle w:val="ListParagraph"/>
        <w:ind w:left="0"/>
        <w:contextualSpacing w:val="0"/>
        <w:rPr>
          <w:rFonts w:ascii="Arial" w:hAnsi="Arial"/>
        </w:rPr>
      </w:pPr>
      <w:r>
        <w:rPr>
          <w:rFonts w:ascii="Arial" w:hAnsi="Arial"/>
        </w:rPr>
        <w:t>Nurses and nursing assistants make up the bulk of health workers who provide immunization services</w:t>
      </w:r>
      <w:r w:rsidR="00DB46DE">
        <w:rPr>
          <w:rFonts w:ascii="Arial" w:hAnsi="Arial"/>
        </w:rPr>
        <w:t xml:space="preserve"> in Uganda</w:t>
      </w:r>
      <w:r>
        <w:rPr>
          <w:rFonts w:ascii="Arial" w:hAnsi="Arial"/>
        </w:rPr>
        <w:t>. There is a wide range of staffing levels of health professionals by region and district, with the numbers especially inadequate in hard-to-reach and under-served areas, where retention rates are particularly low. Low salaries and a lack of housing in remote areas are key factors making it difficult to recruit and retain qualified health workers. More than 50% of the facilities visited for the Resource Tracking study</w:t>
      </w:r>
      <w:r w:rsidR="00DB46DE">
        <w:rPr>
          <w:rStyle w:val="FootnoteReference"/>
          <w:rFonts w:ascii="Arial" w:hAnsi="Arial"/>
        </w:rPr>
        <w:footnoteReference w:id="3"/>
      </w:r>
      <w:r>
        <w:rPr>
          <w:rFonts w:ascii="Arial" w:hAnsi="Arial"/>
        </w:rPr>
        <w:t xml:space="preserve"> </w:t>
      </w:r>
      <w:r w:rsidR="003D0BC3">
        <w:rPr>
          <w:rFonts w:ascii="Arial" w:hAnsi="Arial"/>
        </w:rPr>
        <w:t>reported a health worker shortage, while the 2016-2020 Comprehensive EPI Multi</w:t>
      </w:r>
      <w:r w:rsidR="00DB46DE">
        <w:rPr>
          <w:rFonts w:ascii="Arial" w:hAnsi="Arial"/>
        </w:rPr>
        <w:t>-</w:t>
      </w:r>
      <w:r w:rsidR="003D0BC3">
        <w:rPr>
          <w:rFonts w:ascii="Arial" w:hAnsi="Arial"/>
        </w:rPr>
        <w:t>Year Plan (c</w:t>
      </w:r>
      <w:r w:rsidR="00DB46DE">
        <w:rPr>
          <w:rFonts w:ascii="Arial" w:hAnsi="Arial"/>
        </w:rPr>
        <w:t>MYP</w:t>
      </w:r>
      <w:r w:rsidR="003D0BC3">
        <w:rPr>
          <w:rFonts w:ascii="Arial" w:hAnsi="Arial"/>
        </w:rPr>
        <w:t>) reported that 39% of districts reported a health worker vacancy rate of more than 35%.</w:t>
      </w:r>
      <w:r w:rsidR="00DB46DE">
        <w:rPr>
          <w:rStyle w:val="FootnoteReference"/>
          <w:rFonts w:ascii="Arial" w:hAnsi="Arial"/>
        </w:rPr>
        <w:footnoteReference w:id="4"/>
      </w:r>
      <w:r w:rsidR="003D0BC3">
        <w:rPr>
          <w:rFonts w:ascii="Arial" w:hAnsi="Arial"/>
        </w:rPr>
        <w:t xml:space="preserve"> Staff shortages at the health facility level affect morale, as well as the ability of facilities to deliver adequate immunization and other services in the minimum package, including outreach activities. </w:t>
      </w:r>
    </w:p>
    <w:p w:rsidR="00835BBC" w:rsidRDefault="003D0BC3" w:rsidP="00734BA0">
      <w:pPr>
        <w:rPr>
          <w:rFonts w:ascii="Arial" w:hAnsi="Arial"/>
        </w:rPr>
      </w:pPr>
      <w:r>
        <w:rPr>
          <w:rFonts w:ascii="Arial" w:hAnsi="Arial"/>
        </w:rPr>
        <w:t xml:space="preserve">Concerning immunization-specific staff at the sub-national level, all districts </w:t>
      </w:r>
      <w:r w:rsidR="00DB46DE">
        <w:rPr>
          <w:rFonts w:ascii="Arial" w:hAnsi="Arial"/>
        </w:rPr>
        <w:t>have an</w:t>
      </w:r>
      <w:r>
        <w:rPr>
          <w:rFonts w:ascii="Arial" w:hAnsi="Arial"/>
        </w:rPr>
        <w:t xml:space="preserve"> EPI focal point</w:t>
      </w:r>
      <w:r w:rsidR="005D52E5">
        <w:rPr>
          <w:rFonts w:ascii="Arial" w:hAnsi="Arial"/>
        </w:rPr>
        <w:t>, as do</w:t>
      </w:r>
      <w:r>
        <w:rPr>
          <w:rFonts w:ascii="Arial" w:hAnsi="Arial"/>
        </w:rPr>
        <w:t xml:space="preserve"> 66% of health facilities</w:t>
      </w:r>
      <w:r w:rsidR="00DB46DE">
        <w:rPr>
          <w:rFonts w:ascii="Arial" w:hAnsi="Arial"/>
        </w:rPr>
        <w:t>. Due</w:t>
      </w:r>
      <w:r w:rsidR="005D52E5">
        <w:rPr>
          <w:rFonts w:ascii="Arial" w:hAnsi="Arial"/>
        </w:rPr>
        <w:t xml:space="preserve"> to staff shortages, this person is often a nursing assistant</w:t>
      </w:r>
      <w:r w:rsidR="00DB46DE">
        <w:rPr>
          <w:rFonts w:ascii="Arial" w:hAnsi="Arial"/>
        </w:rPr>
        <w:t>.</w:t>
      </w:r>
      <w:r w:rsidR="00DB46DE">
        <w:rPr>
          <w:rStyle w:val="FootnoteReference"/>
          <w:rFonts w:ascii="Arial" w:hAnsi="Arial"/>
        </w:rPr>
        <w:footnoteReference w:id="5"/>
      </w:r>
      <w:r w:rsidR="005D52E5">
        <w:rPr>
          <w:rFonts w:ascii="Arial" w:hAnsi="Arial"/>
        </w:rPr>
        <w:t xml:space="preserve"> Sixty-one percent of districts had no cold chain technician in 2014. </w:t>
      </w:r>
      <w:r w:rsidR="00E5103C">
        <w:rPr>
          <w:rFonts w:ascii="Arial" w:hAnsi="Arial"/>
        </w:rPr>
        <w:t xml:space="preserve">Each district also assigns a health officer to serve as the surveillance focal points, who has other responsibilities as well. In addition, there are around 12 surveillance medical officers (SMOs) working at </w:t>
      </w:r>
      <w:r w:rsidR="00A75FEA">
        <w:rPr>
          <w:rFonts w:ascii="Arial" w:hAnsi="Arial"/>
        </w:rPr>
        <w:t xml:space="preserve">the country’s nine </w:t>
      </w:r>
      <w:r w:rsidR="00E5103C">
        <w:rPr>
          <w:rFonts w:ascii="Arial" w:hAnsi="Arial"/>
        </w:rPr>
        <w:t>IDSR sub-national hubs and in districts</w:t>
      </w:r>
      <w:r w:rsidR="00A75FEA">
        <w:rPr>
          <w:rFonts w:ascii="Arial" w:hAnsi="Arial"/>
        </w:rPr>
        <w:t>. These are g</w:t>
      </w:r>
      <w:r w:rsidR="00E5103C">
        <w:rPr>
          <w:rFonts w:ascii="Arial" w:hAnsi="Arial"/>
        </w:rPr>
        <w:t xml:space="preserve">overnment employees </w:t>
      </w:r>
      <w:r w:rsidR="00A75FEA">
        <w:rPr>
          <w:rFonts w:ascii="Arial" w:hAnsi="Arial"/>
        </w:rPr>
        <w:t>who</w:t>
      </w:r>
      <w:r w:rsidR="00E5103C">
        <w:rPr>
          <w:rFonts w:ascii="Arial" w:hAnsi="Arial"/>
        </w:rPr>
        <w:t xml:space="preserve"> receive additional funding from WHO to enable them to focus on surveillance and supportive supervision for immunization. WHO also </w:t>
      </w:r>
      <w:r w:rsidR="00835BBC">
        <w:rPr>
          <w:rFonts w:ascii="Arial" w:hAnsi="Arial"/>
        </w:rPr>
        <w:t xml:space="preserve">supports most </w:t>
      </w:r>
      <w:r w:rsidR="00B17114">
        <w:rPr>
          <w:rFonts w:ascii="Arial" w:hAnsi="Arial"/>
        </w:rPr>
        <w:t xml:space="preserve">technical </w:t>
      </w:r>
      <w:r w:rsidR="00835BBC">
        <w:rPr>
          <w:rFonts w:ascii="Arial" w:hAnsi="Arial"/>
        </w:rPr>
        <w:t>staff of the national reference laboratory (Ugandan Viral Research Institute or UVRI)</w:t>
      </w:r>
      <w:r w:rsidR="00F76419">
        <w:rPr>
          <w:rFonts w:ascii="Arial" w:hAnsi="Arial"/>
        </w:rPr>
        <w:t>.</w:t>
      </w:r>
    </w:p>
    <w:p w:rsidR="00734BA0" w:rsidRDefault="00B17114" w:rsidP="00734BA0">
      <w:pPr>
        <w:rPr>
          <w:rFonts w:ascii="Arial" w:hAnsi="Arial"/>
        </w:rPr>
      </w:pPr>
      <w:r>
        <w:rPr>
          <w:rFonts w:ascii="Arial" w:hAnsi="Arial"/>
        </w:rPr>
        <w:t xml:space="preserve">To link communities to local health facilities, Uganda has a system of Village Health Teams (VHTs), made up of </w:t>
      </w:r>
      <w:r w:rsidR="00BD25D9">
        <w:rPr>
          <w:rFonts w:ascii="Arial" w:hAnsi="Arial"/>
        </w:rPr>
        <w:t xml:space="preserve">several </w:t>
      </w:r>
      <w:r>
        <w:rPr>
          <w:rFonts w:ascii="Arial" w:hAnsi="Arial"/>
        </w:rPr>
        <w:t xml:space="preserve">community-based volunteers </w:t>
      </w:r>
      <w:r w:rsidR="00BD25D9">
        <w:rPr>
          <w:rFonts w:ascii="Arial" w:hAnsi="Arial"/>
        </w:rPr>
        <w:t xml:space="preserve">in each community </w:t>
      </w:r>
      <w:r>
        <w:rPr>
          <w:rFonts w:ascii="Arial" w:hAnsi="Arial"/>
        </w:rPr>
        <w:t xml:space="preserve">who assist with disease surveillance, social mobilization, sanitation activities, registering births, distributing anti-malarial drugs and </w:t>
      </w:r>
      <w:r w:rsidR="003B4E55">
        <w:rPr>
          <w:rFonts w:ascii="Arial" w:hAnsi="Arial"/>
        </w:rPr>
        <w:t>the like</w:t>
      </w:r>
      <w:r>
        <w:rPr>
          <w:rFonts w:ascii="Arial" w:hAnsi="Arial"/>
        </w:rPr>
        <w:t>. In the area of immunization, these volunteers</w:t>
      </w:r>
      <w:r w:rsidR="003B4E55">
        <w:rPr>
          <w:rFonts w:ascii="Arial" w:hAnsi="Arial"/>
        </w:rPr>
        <w:t xml:space="preserve"> participate in social mobilization, especially for vaccination campaigns and new vaccine introductions; community-based surveillance</w:t>
      </w:r>
      <w:r w:rsidR="00E5103C">
        <w:rPr>
          <w:rFonts w:ascii="Arial" w:hAnsi="Arial"/>
        </w:rPr>
        <w:t>;</w:t>
      </w:r>
      <w:r w:rsidR="003B4E55">
        <w:rPr>
          <w:rFonts w:ascii="Arial" w:hAnsi="Arial"/>
        </w:rPr>
        <w:t xml:space="preserve"> and default tracking. The recent EPI review found that 89% </w:t>
      </w:r>
      <w:r w:rsidR="003B4E55">
        <w:rPr>
          <w:rFonts w:ascii="Arial" w:hAnsi="Arial"/>
        </w:rPr>
        <w:lastRenderedPageBreak/>
        <w:t>of health facilities visited had established links with VHTs and that these volunteers are the communities’ primary source of information concerning immunization.</w:t>
      </w:r>
      <w:r w:rsidR="00E5103C">
        <w:rPr>
          <w:rStyle w:val="FootnoteReference"/>
          <w:rFonts w:ascii="Arial" w:hAnsi="Arial"/>
        </w:rPr>
        <w:footnoteReference w:id="6"/>
      </w:r>
      <w:r w:rsidR="003D0BC3">
        <w:rPr>
          <w:rFonts w:ascii="Arial" w:hAnsi="Arial"/>
        </w:rPr>
        <w:t xml:space="preserve"> </w:t>
      </w:r>
    </w:p>
    <w:p w:rsidR="003B4E55" w:rsidRPr="003D0BC3" w:rsidRDefault="00BD25D9" w:rsidP="00734BA0">
      <w:pPr>
        <w:rPr>
          <w:rFonts w:ascii="Arial" w:hAnsi="Arial"/>
        </w:rPr>
      </w:pPr>
      <w:r>
        <w:rPr>
          <w:rFonts w:ascii="Arial" w:hAnsi="Arial"/>
        </w:rPr>
        <w:t>However, the volunteers receive no salary and only a stipend or allowance, as possible, and they must also juggle immunization activities with other health priorities and programs. As a result, the activism and impact of VHTs varies considerably by area. To improve this situation, the Government has approved plans to create</w:t>
      </w:r>
      <w:r w:rsidR="00C679C0">
        <w:rPr>
          <w:rFonts w:ascii="Arial" w:hAnsi="Arial"/>
        </w:rPr>
        <w:t xml:space="preserve"> a new position of Community Health Extension Worker (CHEW), who will receive a government salary, have higher minimal qualifications that VHTs, and who will gradually replace the VHTs. To make the program more financially sustainable, one CHEW will cover several (e.g., three) villages. </w:t>
      </w:r>
      <w:r>
        <w:rPr>
          <w:rFonts w:ascii="Arial" w:hAnsi="Arial"/>
        </w:rPr>
        <w:t xml:space="preserve"> </w:t>
      </w:r>
    </w:p>
    <w:p w:rsidR="00734BA0" w:rsidRPr="00C679C0" w:rsidRDefault="00734BA0" w:rsidP="00DB46DE">
      <w:pPr>
        <w:pStyle w:val="ListParagraph"/>
        <w:numPr>
          <w:ilvl w:val="0"/>
          <w:numId w:val="38"/>
        </w:numPr>
        <w:contextualSpacing w:val="0"/>
        <w:rPr>
          <w:rFonts w:ascii="Arial" w:hAnsi="Arial"/>
          <w:b/>
          <w:sz w:val="24"/>
          <w:szCs w:val="24"/>
        </w:rPr>
      </w:pPr>
      <w:r w:rsidRPr="00C679C0">
        <w:rPr>
          <w:rFonts w:ascii="Arial" w:hAnsi="Arial"/>
          <w:b/>
          <w:sz w:val="24"/>
          <w:szCs w:val="24"/>
        </w:rPr>
        <w:t>Progress towards specific GVAP goals (issues/challenges/successes)</w:t>
      </w:r>
    </w:p>
    <w:p w:rsidR="003B4E55" w:rsidRPr="007709E9" w:rsidRDefault="007709E9" w:rsidP="007709E9">
      <w:pPr>
        <w:pStyle w:val="ListParagraph"/>
        <w:numPr>
          <w:ilvl w:val="1"/>
          <w:numId w:val="33"/>
        </w:numPr>
        <w:rPr>
          <w:rFonts w:ascii="Arial" w:hAnsi="Arial"/>
          <w:b/>
        </w:rPr>
      </w:pPr>
      <w:r>
        <w:rPr>
          <w:rFonts w:ascii="Arial" w:hAnsi="Arial"/>
          <w:b/>
        </w:rPr>
        <w:t xml:space="preserve">  </w:t>
      </w:r>
      <w:r w:rsidR="003B4E55" w:rsidRPr="007709E9">
        <w:rPr>
          <w:rFonts w:ascii="Arial" w:hAnsi="Arial"/>
          <w:b/>
        </w:rPr>
        <w:t>Goal 1:</w:t>
      </w:r>
      <w:r w:rsidR="00C679C0" w:rsidRPr="007709E9">
        <w:rPr>
          <w:rFonts w:ascii="Arial" w:hAnsi="Arial"/>
          <w:b/>
        </w:rPr>
        <w:t xml:space="preserve"> Achieve a world free of p</w:t>
      </w:r>
      <w:r w:rsidR="003B4E55" w:rsidRPr="007709E9">
        <w:rPr>
          <w:rFonts w:ascii="Arial" w:hAnsi="Arial"/>
          <w:b/>
        </w:rPr>
        <w:t xml:space="preserve">oliomyelitis </w:t>
      </w:r>
    </w:p>
    <w:p w:rsidR="00C679C0" w:rsidRDefault="00C679C0" w:rsidP="00C679C0">
      <w:pPr>
        <w:rPr>
          <w:rFonts w:ascii="Arial" w:hAnsi="Arial"/>
        </w:rPr>
      </w:pPr>
      <w:r>
        <w:rPr>
          <w:rFonts w:ascii="Arial" w:hAnsi="Arial"/>
        </w:rPr>
        <w:t xml:space="preserve">Uganda was certified polio-free in </w:t>
      </w:r>
      <w:r w:rsidR="006F2132">
        <w:rPr>
          <w:rFonts w:ascii="Arial" w:hAnsi="Arial"/>
        </w:rPr>
        <w:t xml:space="preserve">October </w:t>
      </w:r>
      <w:r>
        <w:rPr>
          <w:rFonts w:ascii="Arial" w:hAnsi="Arial"/>
        </w:rPr>
        <w:t xml:space="preserve">2006, but has experienced outbreaks of </w:t>
      </w:r>
      <w:r w:rsidR="00BD72BB">
        <w:rPr>
          <w:rFonts w:ascii="Arial" w:hAnsi="Arial"/>
        </w:rPr>
        <w:t xml:space="preserve">imported </w:t>
      </w:r>
      <w:r>
        <w:rPr>
          <w:rFonts w:ascii="Arial" w:hAnsi="Arial"/>
        </w:rPr>
        <w:t xml:space="preserve">wild polio virus </w:t>
      </w:r>
      <w:r w:rsidR="0027368A">
        <w:rPr>
          <w:rFonts w:ascii="Arial" w:hAnsi="Arial"/>
        </w:rPr>
        <w:t xml:space="preserve">(WPV) </w:t>
      </w:r>
      <w:r>
        <w:rPr>
          <w:rFonts w:ascii="Arial" w:hAnsi="Arial"/>
        </w:rPr>
        <w:t>in 2009 and in 2010/2011. The country has a robust AFP and polio surveillance system, as indicated by the polio target indicators on page 1. This has been the result of various partner-supported efforts and innovations, including:</w:t>
      </w:r>
    </w:p>
    <w:p w:rsidR="00C679C0" w:rsidRDefault="001067B7" w:rsidP="001067B7">
      <w:pPr>
        <w:pStyle w:val="ListParagraph"/>
        <w:numPr>
          <w:ilvl w:val="0"/>
          <w:numId w:val="24"/>
        </w:numPr>
        <w:contextualSpacing w:val="0"/>
        <w:rPr>
          <w:rFonts w:ascii="Arial" w:hAnsi="Arial"/>
        </w:rPr>
      </w:pPr>
      <w:r>
        <w:rPr>
          <w:rFonts w:ascii="Arial" w:hAnsi="Arial"/>
        </w:rPr>
        <w:t>A national roll-out of an integrated disease surveillance and reporting (IDSR) system, operating from nine sub-national hubs. By the end of July 2016, district health staff in 108 out of the country’s 112 districts have received IDSR training.</w:t>
      </w:r>
    </w:p>
    <w:p w:rsidR="001067B7" w:rsidRDefault="001067B7" w:rsidP="001067B7">
      <w:pPr>
        <w:pStyle w:val="ListParagraph"/>
        <w:numPr>
          <w:ilvl w:val="0"/>
          <w:numId w:val="24"/>
        </w:numPr>
        <w:contextualSpacing w:val="0"/>
        <w:rPr>
          <w:rFonts w:ascii="Arial" w:hAnsi="Arial"/>
        </w:rPr>
      </w:pPr>
      <w:r>
        <w:rPr>
          <w:rFonts w:ascii="Arial" w:hAnsi="Arial"/>
        </w:rPr>
        <w:t>Both international and national STOP teams that provide on-the-ground short-term assistance to “silent” or poor-performing districts to improve their ability to detect AFP/polio cases as well as other outbreak-prone diseases (e.g., measles, yellow fever)</w:t>
      </w:r>
      <w:r w:rsidR="00641AEE">
        <w:rPr>
          <w:rFonts w:ascii="Arial" w:hAnsi="Arial"/>
        </w:rPr>
        <w:t xml:space="preserve"> and to improve routine immunization services</w:t>
      </w:r>
      <w:r>
        <w:rPr>
          <w:rFonts w:ascii="Arial" w:hAnsi="Arial"/>
        </w:rPr>
        <w:t xml:space="preserve">. The international teams – supported by the U.S. CDC and </w:t>
      </w:r>
      <w:r w:rsidR="00A75FEA">
        <w:rPr>
          <w:rFonts w:ascii="Arial" w:hAnsi="Arial"/>
        </w:rPr>
        <w:t>WHO/</w:t>
      </w:r>
      <w:r>
        <w:rPr>
          <w:rFonts w:ascii="Arial" w:hAnsi="Arial"/>
        </w:rPr>
        <w:t xml:space="preserve">AFRO – stay in a region for </w:t>
      </w:r>
      <w:r w:rsidR="00A75FEA">
        <w:rPr>
          <w:rFonts w:ascii="Arial" w:hAnsi="Arial"/>
        </w:rPr>
        <w:t>about</w:t>
      </w:r>
      <w:r>
        <w:rPr>
          <w:rFonts w:ascii="Arial" w:hAnsi="Arial"/>
        </w:rPr>
        <w:t xml:space="preserve"> </w:t>
      </w:r>
      <w:r w:rsidR="00A75FEA">
        <w:rPr>
          <w:rFonts w:ascii="Arial" w:hAnsi="Arial"/>
        </w:rPr>
        <w:t>a</w:t>
      </w:r>
      <w:r>
        <w:rPr>
          <w:rFonts w:ascii="Arial" w:hAnsi="Arial"/>
        </w:rPr>
        <w:t xml:space="preserve"> month, while the national STOP team (NSTOP) consists of public health students who spend a week in an area visiting all health facilities to train staff in surveillance and outbreak investigations. The NSTOP program is partner-supported, but funding is considered in</w:t>
      </w:r>
      <w:r w:rsidR="00A75FEA">
        <w:rPr>
          <w:rFonts w:ascii="Arial" w:hAnsi="Arial"/>
        </w:rPr>
        <w:t>sufficient</w:t>
      </w:r>
      <w:r>
        <w:rPr>
          <w:rFonts w:ascii="Arial" w:hAnsi="Arial"/>
        </w:rPr>
        <w:t>.</w:t>
      </w:r>
    </w:p>
    <w:p w:rsidR="001067B7" w:rsidRDefault="001067B7" w:rsidP="001067B7">
      <w:pPr>
        <w:pStyle w:val="ListParagraph"/>
        <w:numPr>
          <w:ilvl w:val="0"/>
          <w:numId w:val="24"/>
        </w:numPr>
        <w:contextualSpacing w:val="0"/>
        <w:rPr>
          <w:rFonts w:ascii="Arial" w:hAnsi="Arial"/>
        </w:rPr>
      </w:pPr>
      <w:r>
        <w:rPr>
          <w:rFonts w:ascii="Arial" w:hAnsi="Arial"/>
        </w:rPr>
        <w:t xml:space="preserve">An innovative specimen transport system </w:t>
      </w:r>
      <w:r w:rsidR="00A75FEA">
        <w:rPr>
          <w:rFonts w:ascii="Arial" w:hAnsi="Arial"/>
        </w:rPr>
        <w:t xml:space="preserve">established by the MOH with support from partners that delivers specimens on filter paper to the </w:t>
      </w:r>
      <w:r>
        <w:rPr>
          <w:rFonts w:ascii="Arial" w:hAnsi="Arial"/>
        </w:rPr>
        <w:t>UVRI laboratory within 24 hours.</w:t>
      </w:r>
    </w:p>
    <w:p w:rsidR="001067B7" w:rsidRPr="00C679C0" w:rsidRDefault="001067B7" w:rsidP="001067B7">
      <w:pPr>
        <w:pStyle w:val="ListParagraph"/>
        <w:numPr>
          <w:ilvl w:val="0"/>
          <w:numId w:val="24"/>
        </w:numPr>
        <w:contextualSpacing w:val="0"/>
        <w:rPr>
          <w:rFonts w:ascii="Arial" w:hAnsi="Arial"/>
        </w:rPr>
      </w:pPr>
      <w:r>
        <w:rPr>
          <w:rFonts w:ascii="Arial" w:hAnsi="Arial"/>
        </w:rPr>
        <w:t>An electronic (mTRAC) system</w:t>
      </w:r>
      <w:r w:rsidR="00A75FEA">
        <w:rPr>
          <w:rFonts w:ascii="Arial" w:hAnsi="Arial"/>
        </w:rPr>
        <w:t xml:space="preserve">, established in 2012 </w:t>
      </w:r>
      <w:r w:rsidR="00641AEE">
        <w:rPr>
          <w:rFonts w:ascii="Arial" w:hAnsi="Arial"/>
        </w:rPr>
        <w:t>with WHO and UNICEF support,</w:t>
      </w:r>
      <w:r>
        <w:rPr>
          <w:rFonts w:ascii="Arial" w:hAnsi="Arial"/>
        </w:rPr>
        <w:t xml:space="preserve"> in which health facility staff submit IDSR data </w:t>
      </w:r>
      <w:r w:rsidR="00641AEE">
        <w:rPr>
          <w:rFonts w:ascii="Arial" w:hAnsi="Arial"/>
        </w:rPr>
        <w:t xml:space="preserve">for key diseases </w:t>
      </w:r>
      <w:r>
        <w:rPr>
          <w:rFonts w:ascii="Arial" w:hAnsi="Arial"/>
        </w:rPr>
        <w:t>to districts via mobile phones using a simple interface</w:t>
      </w:r>
      <w:r w:rsidR="006F2132">
        <w:rPr>
          <w:rFonts w:ascii="Arial" w:hAnsi="Arial"/>
        </w:rPr>
        <w:t xml:space="preserve"> on a weekly basis</w:t>
      </w:r>
      <w:r w:rsidR="00641AEE">
        <w:rPr>
          <w:rFonts w:ascii="Arial" w:hAnsi="Arial"/>
        </w:rPr>
        <w:t>. The data are then transferred up the chain. While it has been implemented nation-wide, there are issues with the availability of cell phones and reliability of network connections.</w:t>
      </w:r>
      <w:r>
        <w:rPr>
          <w:rFonts w:ascii="Arial" w:hAnsi="Arial"/>
        </w:rPr>
        <w:t xml:space="preserve"> </w:t>
      </w:r>
    </w:p>
    <w:p w:rsidR="00C2602F" w:rsidRDefault="00C2602F" w:rsidP="00C679C0">
      <w:pPr>
        <w:rPr>
          <w:rFonts w:ascii="Arial" w:hAnsi="Arial"/>
        </w:rPr>
      </w:pPr>
      <w:r>
        <w:rPr>
          <w:rFonts w:ascii="Arial" w:hAnsi="Arial"/>
        </w:rPr>
        <w:t xml:space="preserve">In addition, the country has organized </w:t>
      </w:r>
      <w:r w:rsidR="006F2132">
        <w:rPr>
          <w:rFonts w:ascii="Arial" w:hAnsi="Arial"/>
        </w:rPr>
        <w:t xml:space="preserve">polio </w:t>
      </w:r>
      <w:r>
        <w:rPr>
          <w:rFonts w:ascii="Arial" w:hAnsi="Arial"/>
        </w:rPr>
        <w:t xml:space="preserve">national immunization days (NIDs) every year for several years, as well as sub-national immunization days (SNIDs) in high-risk and outbreak districts for children under five. </w:t>
      </w:r>
      <w:r w:rsidR="00F76419">
        <w:rPr>
          <w:rFonts w:ascii="Arial" w:hAnsi="Arial"/>
        </w:rPr>
        <w:t>A</w:t>
      </w:r>
      <w:r w:rsidR="006F2132">
        <w:rPr>
          <w:rFonts w:ascii="Arial" w:hAnsi="Arial"/>
        </w:rPr>
        <w:t>dditional doses of OPV</w:t>
      </w:r>
      <w:r>
        <w:rPr>
          <w:rFonts w:ascii="Arial" w:hAnsi="Arial"/>
        </w:rPr>
        <w:t xml:space="preserve"> are </w:t>
      </w:r>
      <w:r w:rsidR="00F76419">
        <w:rPr>
          <w:rFonts w:ascii="Arial" w:hAnsi="Arial"/>
        </w:rPr>
        <w:t>also provided during</w:t>
      </w:r>
      <w:r>
        <w:rPr>
          <w:rFonts w:ascii="Arial" w:hAnsi="Arial"/>
        </w:rPr>
        <w:t xml:space="preserve"> the country’s annual Child Health Days. UNEPI introduced IPV into the immunization schedule in April 2016.</w:t>
      </w:r>
    </w:p>
    <w:p w:rsidR="00641AEE" w:rsidRDefault="00641AEE" w:rsidP="00C679C0">
      <w:pPr>
        <w:rPr>
          <w:rFonts w:ascii="Arial" w:hAnsi="Arial"/>
        </w:rPr>
      </w:pPr>
      <w:r>
        <w:rPr>
          <w:rFonts w:ascii="Arial" w:hAnsi="Arial"/>
        </w:rPr>
        <w:lastRenderedPageBreak/>
        <w:t xml:space="preserve">There are, however, a number of challenges to sustaining the country’s polio-free status: </w:t>
      </w:r>
    </w:p>
    <w:p w:rsidR="003B4E55" w:rsidRDefault="00641AEE" w:rsidP="007C2400">
      <w:pPr>
        <w:pStyle w:val="ListParagraph"/>
        <w:numPr>
          <w:ilvl w:val="0"/>
          <w:numId w:val="25"/>
        </w:numPr>
        <w:contextualSpacing w:val="0"/>
        <w:rPr>
          <w:rFonts w:ascii="Arial" w:hAnsi="Arial"/>
        </w:rPr>
      </w:pPr>
      <w:r>
        <w:rPr>
          <w:rFonts w:ascii="Arial" w:hAnsi="Arial"/>
        </w:rPr>
        <w:t>While the national AFP detection and stool adequacy rates meet the targets, not all districts achieve the minimum rates.</w:t>
      </w:r>
      <w:r w:rsidR="00F76419">
        <w:rPr>
          <w:rStyle w:val="FootnoteReference"/>
          <w:rFonts w:ascii="Arial" w:hAnsi="Arial"/>
        </w:rPr>
        <w:footnoteReference w:id="7"/>
      </w:r>
      <w:r>
        <w:rPr>
          <w:rFonts w:ascii="Arial" w:hAnsi="Arial"/>
        </w:rPr>
        <w:t xml:space="preserve"> The</w:t>
      </w:r>
      <w:r w:rsidR="006F2132">
        <w:rPr>
          <w:rFonts w:ascii="Arial" w:hAnsi="Arial"/>
        </w:rPr>
        <w:t xml:space="preserve"> surveillance system is </w:t>
      </w:r>
      <w:r w:rsidR="00F76419">
        <w:rPr>
          <w:rFonts w:ascii="Arial" w:hAnsi="Arial"/>
        </w:rPr>
        <w:t xml:space="preserve">also </w:t>
      </w:r>
      <w:r w:rsidR="006F2132">
        <w:rPr>
          <w:rFonts w:ascii="Arial" w:hAnsi="Arial"/>
        </w:rPr>
        <w:t xml:space="preserve">not sensitive enough to detect </w:t>
      </w:r>
      <w:r w:rsidR="00F76419">
        <w:rPr>
          <w:rFonts w:ascii="Arial" w:hAnsi="Arial"/>
        </w:rPr>
        <w:t>every</w:t>
      </w:r>
      <w:r w:rsidR="006F2132">
        <w:rPr>
          <w:rFonts w:ascii="Arial" w:hAnsi="Arial"/>
        </w:rPr>
        <w:t xml:space="preserve"> possible </w:t>
      </w:r>
      <w:r w:rsidR="00F76419">
        <w:rPr>
          <w:rFonts w:ascii="Arial" w:hAnsi="Arial"/>
        </w:rPr>
        <w:t xml:space="preserve">case of wild polio virus or vaccine-derived </w:t>
      </w:r>
      <w:r w:rsidR="0027368A">
        <w:rPr>
          <w:rFonts w:ascii="Arial" w:hAnsi="Arial"/>
        </w:rPr>
        <w:t>virus</w:t>
      </w:r>
      <w:r w:rsidR="00F76419">
        <w:rPr>
          <w:rFonts w:ascii="Arial" w:hAnsi="Arial"/>
        </w:rPr>
        <w:t xml:space="preserve"> in a timely fashion</w:t>
      </w:r>
      <w:r w:rsidR="0027368A">
        <w:rPr>
          <w:rFonts w:ascii="Arial" w:hAnsi="Arial"/>
        </w:rPr>
        <w:t>. In addition</w:t>
      </w:r>
      <w:r w:rsidR="00F76419">
        <w:rPr>
          <w:rFonts w:ascii="Arial" w:hAnsi="Arial"/>
        </w:rPr>
        <w:t>, active surveillance</w:t>
      </w:r>
      <w:r w:rsidR="00F76419" w:rsidRPr="00F76419">
        <w:rPr>
          <w:rFonts w:ascii="Arial" w:hAnsi="Arial"/>
        </w:rPr>
        <w:t xml:space="preserve"> </w:t>
      </w:r>
      <w:r w:rsidR="00F76419">
        <w:rPr>
          <w:rFonts w:ascii="Arial" w:hAnsi="Arial"/>
        </w:rPr>
        <w:t>of vaccine-preventable diseases is not conducted systematically in some areas, due to delays in the disbursement of funds</w:t>
      </w:r>
      <w:r w:rsidR="0027368A">
        <w:rPr>
          <w:rFonts w:ascii="Arial" w:hAnsi="Arial"/>
        </w:rPr>
        <w:t xml:space="preserve"> from higher levels, affecting the timely investigation and notification of cases. </w:t>
      </w:r>
      <w:r w:rsidR="009E5202">
        <w:rPr>
          <w:rFonts w:ascii="Arial" w:hAnsi="Arial"/>
        </w:rPr>
        <w:t xml:space="preserve">Reportedly, inadequate surveillance led to under-detection of WPV </w:t>
      </w:r>
      <w:r w:rsidR="0027368A">
        <w:rPr>
          <w:rFonts w:ascii="Arial" w:hAnsi="Arial"/>
        </w:rPr>
        <w:t xml:space="preserve">circulating </w:t>
      </w:r>
      <w:r w:rsidR="009E5202">
        <w:rPr>
          <w:rFonts w:ascii="Arial" w:hAnsi="Arial"/>
        </w:rPr>
        <w:t>along the border with Kenya, which caused the last outbreak in 2011.</w:t>
      </w:r>
    </w:p>
    <w:p w:rsidR="009E5202" w:rsidRDefault="009E5202" w:rsidP="007C2400">
      <w:pPr>
        <w:pStyle w:val="ListParagraph"/>
        <w:numPr>
          <w:ilvl w:val="0"/>
          <w:numId w:val="25"/>
        </w:numPr>
        <w:contextualSpacing w:val="0"/>
        <w:rPr>
          <w:rFonts w:ascii="Arial" w:hAnsi="Arial"/>
        </w:rPr>
      </w:pPr>
      <w:r>
        <w:rPr>
          <w:rFonts w:ascii="Arial" w:hAnsi="Arial"/>
        </w:rPr>
        <w:t>There is cross-border transmission of polio from areas and populations with low immunization rates, such as across the borders with Kenya and S. Sudan. Synchronized NIDS with bordering countries have been discussed, but have yet to take place.</w:t>
      </w:r>
    </w:p>
    <w:p w:rsidR="009E5202" w:rsidRDefault="009E5202" w:rsidP="007C2400">
      <w:pPr>
        <w:pStyle w:val="ListParagraph"/>
        <w:numPr>
          <w:ilvl w:val="0"/>
          <w:numId w:val="25"/>
        </w:numPr>
        <w:contextualSpacing w:val="0"/>
        <w:rPr>
          <w:rFonts w:ascii="Arial" w:hAnsi="Arial"/>
        </w:rPr>
      </w:pPr>
      <w:r>
        <w:rPr>
          <w:rFonts w:ascii="Arial" w:hAnsi="Arial"/>
        </w:rPr>
        <w:t>There also exist pockets of low polio immunization coverage within the country, including in communities bordering S. Sudan and some fishing communities.</w:t>
      </w:r>
    </w:p>
    <w:p w:rsidR="003B4E55" w:rsidRPr="007C2400" w:rsidRDefault="007C2400" w:rsidP="007C2400">
      <w:pPr>
        <w:pStyle w:val="ListParagraph"/>
        <w:numPr>
          <w:ilvl w:val="0"/>
          <w:numId w:val="25"/>
        </w:numPr>
        <w:contextualSpacing w:val="0"/>
        <w:rPr>
          <w:rFonts w:ascii="Arial" w:hAnsi="Arial"/>
        </w:rPr>
      </w:pPr>
      <w:r>
        <w:rPr>
          <w:rFonts w:ascii="Arial" w:hAnsi="Arial"/>
        </w:rPr>
        <w:t>The frequent turnover of health staff at the district and health facility levels mean that many people trained in IDSR have left. Thus, frequent trainings are needed to train new staff, which is costly.</w:t>
      </w:r>
    </w:p>
    <w:p w:rsidR="003B4E55" w:rsidRDefault="003B4E55" w:rsidP="003B4E55">
      <w:pPr>
        <w:pStyle w:val="ListParagraph"/>
        <w:numPr>
          <w:ilvl w:val="1"/>
          <w:numId w:val="18"/>
        </w:numPr>
        <w:rPr>
          <w:rFonts w:ascii="Arial" w:hAnsi="Arial"/>
          <w:b/>
        </w:rPr>
      </w:pPr>
      <w:r>
        <w:rPr>
          <w:rFonts w:ascii="Arial" w:hAnsi="Arial"/>
          <w:b/>
        </w:rPr>
        <w:t xml:space="preserve">  </w:t>
      </w:r>
      <w:r w:rsidRPr="009318B8">
        <w:rPr>
          <w:rFonts w:ascii="Arial" w:hAnsi="Arial"/>
          <w:b/>
        </w:rPr>
        <w:t xml:space="preserve">Goal 2 : </w:t>
      </w:r>
      <w:r>
        <w:rPr>
          <w:rFonts w:ascii="Arial" w:hAnsi="Arial"/>
          <w:b/>
        </w:rPr>
        <w:t>Meet global and regional elimination targets</w:t>
      </w:r>
    </w:p>
    <w:p w:rsidR="003B4E55" w:rsidRPr="00805389" w:rsidRDefault="0027368A" w:rsidP="00805389">
      <w:pPr>
        <w:rPr>
          <w:rFonts w:ascii="Arial" w:hAnsi="Arial"/>
          <w:b/>
        </w:rPr>
      </w:pPr>
      <w:r>
        <w:rPr>
          <w:rFonts w:ascii="Arial" w:hAnsi="Arial"/>
          <w:b/>
        </w:rPr>
        <w:t xml:space="preserve">3.2.1 </w:t>
      </w:r>
      <w:r w:rsidR="003B4E55" w:rsidRPr="00805389">
        <w:rPr>
          <w:rFonts w:ascii="Arial" w:hAnsi="Arial"/>
          <w:b/>
        </w:rPr>
        <w:t xml:space="preserve">Achieve maternal and neonatal tetanus elimination </w:t>
      </w:r>
    </w:p>
    <w:p w:rsidR="007C2400" w:rsidRDefault="00FD74AA" w:rsidP="007C2400">
      <w:pPr>
        <w:rPr>
          <w:rFonts w:ascii="Arial" w:hAnsi="Arial"/>
        </w:rPr>
      </w:pPr>
      <w:r>
        <w:rPr>
          <w:rFonts w:ascii="Arial" w:hAnsi="Arial"/>
        </w:rPr>
        <w:t>Uganda received validation for having eliminated MNT in 201</w:t>
      </w:r>
      <w:r w:rsidR="00AF31C8">
        <w:rPr>
          <w:rFonts w:ascii="Arial" w:hAnsi="Arial"/>
        </w:rPr>
        <w:t>1</w:t>
      </w:r>
      <w:r>
        <w:rPr>
          <w:rFonts w:ascii="Arial" w:hAnsi="Arial"/>
        </w:rPr>
        <w:t>. The main strategies the country is employing to sustain elimination consist of:</w:t>
      </w:r>
    </w:p>
    <w:p w:rsidR="00FD74AA" w:rsidRDefault="00FD74AA" w:rsidP="00B61247">
      <w:pPr>
        <w:pStyle w:val="ListParagraph"/>
        <w:numPr>
          <w:ilvl w:val="0"/>
          <w:numId w:val="26"/>
        </w:numPr>
        <w:contextualSpacing w:val="0"/>
        <w:rPr>
          <w:rFonts w:ascii="Arial" w:hAnsi="Arial"/>
        </w:rPr>
      </w:pPr>
      <w:r>
        <w:rPr>
          <w:rFonts w:ascii="Arial" w:hAnsi="Arial"/>
        </w:rPr>
        <w:t>TT immunization of high school girls (15-17 year olds) through annual school-based vaccination campaigns;</w:t>
      </w:r>
    </w:p>
    <w:p w:rsidR="00FD74AA" w:rsidRDefault="00FD74AA" w:rsidP="00B61247">
      <w:pPr>
        <w:pStyle w:val="ListParagraph"/>
        <w:numPr>
          <w:ilvl w:val="0"/>
          <w:numId w:val="26"/>
        </w:numPr>
        <w:contextualSpacing w:val="0"/>
        <w:rPr>
          <w:rFonts w:ascii="Arial" w:hAnsi="Arial"/>
        </w:rPr>
      </w:pPr>
      <w:r>
        <w:rPr>
          <w:rFonts w:ascii="Arial" w:hAnsi="Arial"/>
        </w:rPr>
        <w:t>A strong culture of vaccinating all women who come for antenatal care services (the rates of which have been increasing) with at least two doses of TT</w:t>
      </w:r>
      <w:r w:rsidR="00005239">
        <w:rPr>
          <w:rFonts w:ascii="Arial" w:hAnsi="Arial"/>
        </w:rPr>
        <w:t xml:space="preserve">. </w:t>
      </w:r>
    </w:p>
    <w:p w:rsidR="00005239" w:rsidRPr="00FD74AA" w:rsidRDefault="00005239" w:rsidP="00B61247">
      <w:pPr>
        <w:pStyle w:val="ListParagraph"/>
        <w:numPr>
          <w:ilvl w:val="0"/>
          <w:numId w:val="26"/>
        </w:numPr>
        <w:contextualSpacing w:val="0"/>
        <w:rPr>
          <w:rFonts w:ascii="Arial" w:hAnsi="Arial"/>
        </w:rPr>
      </w:pPr>
      <w:r>
        <w:rPr>
          <w:rFonts w:ascii="Arial" w:hAnsi="Arial"/>
        </w:rPr>
        <w:t>Mandating of TT vaccination for all women 18-49 years of age, as well as for all 15-17 year old girls through the new Immunization Act. Parents and schools are held responsible for ensuring vaccination of girls and can receive fines or imprisonment if they are not (the same holds true for 18-49 year old women).</w:t>
      </w:r>
    </w:p>
    <w:p w:rsidR="007C2400" w:rsidRDefault="00005239" w:rsidP="00005239">
      <w:pPr>
        <w:rPr>
          <w:rFonts w:ascii="Arial" w:hAnsi="Arial"/>
        </w:rPr>
      </w:pPr>
      <w:r>
        <w:rPr>
          <w:rFonts w:ascii="Arial" w:hAnsi="Arial"/>
        </w:rPr>
        <w:t>The current TT coverage rate</w:t>
      </w:r>
      <w:r w:rsidR="00782C2A">
        <w:rPr>
          <w:rFonts w:ascii="Arial" w:hAnsi="Arial"/>
        </w:rPr>
        <w:t xml:space="preserve"> for two or more doses</w:t>
      </w:r>
      <w:r w:rsidRPr="00B61247">
        <w:rPr>
          <w:rFonts w:ascii="Arial" w:hAnsi="Arial"/>
          <w:color w:val="FF0000"/>
        </w:rPr>
        <w:t xml:space="preserve"> </w:t>
      </w:r>
      <w:r>
        <w:rPr>
          <w:rFonts w:ascii="Arial" w:hAnsi="Arial"/>
        </w:rPr>
        <w:t xml:space="preserve">is 58% among </w:t>
      </w:r>
      <w:r w:rsidR="00AF31C8">
        <w:rPr>
          <w:rFonts w:ascii="Arial" w:hAnsi="Arial"/>
        </w:rPr>
        <w:t>pregnant women</w:t>
      </w:r>
      <w:r>
        <w:rPr>
          <w:rFonts w:ascii="Arial" w:hAnsi="Arial"/>
        </w:rPr>
        <w:t>, while the protection at birth (PAB) rate among infants is 85%.</w:t>
      </w:r>
      <w:r w:rsidR="00C95CCD">
        <w:rPr>
          <w:rFonts w:ascii="Arial" w:hAnsi="Arial"/>
        </w:rPr>
        <w:t xml:space="preserve"> The low TT coverage rate is reportedly due to recording problems rather than to women not being vaccinated, as women who have received the full time doses or only need one more dose when they are pregnant are not often not included in the TT2 coverage reports.</w:t>
      </w:r>
    </w:p>
    <w:p w:rsidR="00B61247" w:rsidRDefault="00B61247" w:rsidP="00005239">
      <w:pPr>
        <w:rPr>
          <w:rFonts w:ascii="Arial" w:hAnsi="Arial"/>
        </w:rPr>
      </w:pPr>
      <w:r>
        <w:rPr>
          <w:rFonts w:ascii="Arial" w:hAnsi="Arial"/>
        </w:rPr>
        <w:t xml:space="preserve">There remains some risk of not sustaining the elimination in some areas of the country, however, </w:t>
      </w:r>
      <w:r w:rsidR="0027368A">
        <w:rPr>
          <w:rFonts w:ascii="Arial" w:hAnsi="Arial"/>
        </w:rPr>
        <w:t>due to weak implementation of case-based NNT surveillance in some districts to confirm whether reported cases are truly NNT. A</w:t>
      </w:r>
      <w:r>
        <w:rPr>
          <w:rFonts w:ascii="Arial" w:hAnsi="Arial"/>
        </w:rPr>
        <w:t xml:space="preserve">t least one district in the 2011 </w:t>
      </w:r>
      <w:r w:rsidR="00BC039B">
        <w:rPr>
          <w:rFonts w:ascii="Arial" w:hAnsi="Arial"/>
        </w:rPr>
        <w:t xml:space="preserve">MNT </w:t>
      </w:r>
      <w:r>
        <w:rPr>
          <w:rFonts w:ascii="Arial" w:hAnsi="Arial"/>
        </w:rPr>
        <w:t xml:space="preserve">risk </w:t>
      </w:r>
      <w:r>
        <w:rPr>
          <w:rFonts w:ascii="Arial" w:hAnsi="Arial"/>
        </w:rPr>
        <w:lastRenderedPageBreak/>
        <w:t>assessment report had a rate above 1/1,000 live births.</w:t>
      </w:r>
      <w:r w:rsidR="00BC039B">
        <w:rPr>
          <w:rStyle w:val="FootnoteReference"/>
          <w:rFonts w:ascii="Arial" w:hAnsi="Arial"/>
        </w:rPr>
        <w:footnoteReference w:id="8"/>
      </w:r>
      <w:r>
        <w:rPr>
          <w:rFonts w:ascii="Arial" w:hAnsi="Arial"/>
        </w:rPr>
        <w:t xml:space="preserve"> In addition, the stated policy of ring vaccination around a confirmed case is probably not taking place, according to two informants. A further constraint to high TT coverage rates is that target-age girls not enrolled in school are missed through the school-based program. In addition, health personnel have difficulty calculating PAB rates and require training in this.</w:t>
      </w:r>
    </w:p>
    <w:p w:rsidR="00805389" w:rsidRDefault="00805389" w:rsidP="00005239">
      <w:pPr>
        <w:rPr>
          <w:rFonts w:ascii="Arial" w:hAnsi="Arial"/>
        </w:rPr>
      </w:pPr>
      <w:r>
        <w:rPr>
          <w:rFonts w:ascii="Arial" w:hAnsi="Arial"/>
        </w:rPr>
        <w:t>The following steps can help ensure sustainability of MNT elimination:</w:t>
      </w:r>
    </w:p>
    <w:p w:rsidR="00805389" w:rsidRDefault="00805389" w:rsidP="00805389">
      <w:pPr>
        <w:pStyle w:val="ListParagraph"/>
        <w:numPr>
          <w:ilvl w:val="0"/>
          <w:numId w:val="27"/>
        </w:numPr>
        <w:contextualSpacing w:val="0"/>
        <w:rPr>
          <w:rFonts w:ascii="Arial" w:hAnsi="Arial"/>
        </w:rPr>
      </w:pPr>
      <w:r>
        <w:rPr>
          <w:rFonts w:ascii="Arial" w:hAnsi="Arial"/>
        </w:rPr>
        <w:t>Improve NMT surveillance, including investigating and testing all suspected cases;</w:t>
      </w:r>
    </w:p>
    <w:p w:rsidR="00805389" w:rsidRDefault="00805389" w:rsidP="00805389">
      <w:pPr>
        <w:pStyle w:val="ListParagraph"/>
        <w:numPr>
          <w:ilvl w:val="0"/>
          <w:numId w:val="27"/>
        </w:numPr>
        <w:contextualSpacing w:val="0"/>
        <w:rPr>
          <w:rFonts w:ascii="Arial" w:hAnsi="Arial"/>
        </w:rPr>
      </w:pPr>
      <w:r>
        <w:rPr>
          <w:rFonts w:ascii="Arial" w:hAnsi="Arial"/>
        </w:rPr>
        <w:t>Strengthening and sustaining the school-based TT vaccination program for girls, and extend it to 15-17 year old girls not in school;</w:t>
      </w:r>
    </w:p>
    <w:p w:rsidR="00805389" w:rsidRDefault="00805389" w:rsidP="00805389">
      <w:pPr>
        <w:pStyle w:val="ListParagraph"/>
        <w:numPr>
          <w:ilvl w:val="0"/>
          <w:numId w:val="27"/>
        </w:numPr>
        <w:contextualSpacing w:val="0"/>
        <w:rPr>
          <w:rFonts w:ascii="Arial" w:hAnsi="Arial"/>
        </w:rPr>
      </w:pPr>
      <w:r>
        <w:rPr>
          <w:rFonts w:ascii="Arial" w:hAnsi="Arial"/>
        </w:rPr>
        <w:t xml:space="preserve">Provide additional booster doses (of TT or Td) during childhood and include boys, since there have been </w:t>
      </w:r>
      <w:r w:rsidR="00BC039B">
        <w:rPr>
          <w:rFonts w:ascii="Arial" w:hAnsi="Arial"/>
        </w:rPr>
        <w:t xml:space="preserve">a few </w:t>
      </w:r>
      <w:r>
        <w:rPr>
          <w:rFonts w:ascii="Arial" w:hAnsi="Arial"/>
        </w:rPr>
        <w:t xml:space="preserve">cases in </w:t>
      </w:r>
      <w:r w:rsidR="00BC039B">
        <w:rPr>
          <w:rFonts w:ascii="Arial" w:hAnsi="Arial"/>
        </w:rPr>
        <w:t>young men</w:t>
      </w:r>
      <w:r>
        <w:rPr>
          <w:rFonts w:ascii="Arial" w:hAnsi="Arial"/>
        </w:rPr>
        <w:t xml:space="preserve"> following circumcision. This proposal is currently under discussion within the government.</w:t>
      </w:r>
    </w:p>
    <w:p w:rsidR="003B4E55" w:rsidRPr="00805389" w:rsidRDefault="003B4E55" w:rsidP="00C95CCD">
      <w:pPr>
        <w:pStyle w:val="ListParagraph"/>
        <w:numPr>
          <w:ilvl w:val="2"/>
          <w:numId w:val="39"/>
        </w:numPr>
        <w:rPr>
          <w:rFonts w:ascii="Arial" w:hAnsi="Arial"/>
          <w:b/>
        </w:rPr>
      </w:pPr>
      <w:r w:rsidRPr="00805389">
        <w:rPr>
          <w:rFonts w:ascii="Arial" w:hAnsi="Arial"/>
          <w:b/>
        </w:rPr>
        <w:t xml:space="preserve">Achieve measles elimination and rubella &amp; CRS elimination </w:t>
      </w:r>
    </w:p>
    <w:p w:rsidR="008A7BEC" w:rsidRPr="00C95CCD" w:rsidRDefault="008A7BEC" w:rsidP="003B4E55">
      <w:pPr>
        <w:rPr>
          <w:rFonts w:ascii="Arial" w:hAnsi="Arial"/>
          <w:u w:val="single"/>
        </w:rPr>
      </w:pPr>
      <w:r w:rsidRPr="00C95CCD">
        <w:rPr>
          <w:rFonts w:ascii="Arial" w:hAnsi="Arial"/>
          <w:u w:val="single"/>
        </w:rPr>
        <w:t>Measles</w:t>
      </w:r>
    </w:p>
    <w:p w:rsidR="008A7BEC" w:rsidRDefault="008A7BEC" w:rsidP="003B4E55">
      <w:pPr>
        <w:rPr>
          <w:rFonts w:ascii="Arial" w:hAnsi="Arial"/>
        </w:rPr>
      </w:pPr>
      <w:r>
        <w:rPr>
          <w:rFonts w:ascii="Arial" w:hAnsi="Arial"/>
        </w:rPr>
        <w:t xml:space="preserve">An estimated 46% of districts achieved coverage with a single dose of measles vaccine of ≥95% in 2015, against the GVAP target of </w:t>
      </w:r>
      <w:r w:rsidR="00AF31C8" w:rsidRPr="00F31093">
        <w:rPr>
          <w:rFonts w:ascii="Arial" w:hAnsi="Arial"/>
          <w:color w:val="000000"/>
        </w:rPr>
        <w:t>100</w:t>
      </w:r>
      <w:r w:rsidRPr="00F31093">
        <w:rPr>
          <w:rFonts w:ascii="Arial" w:hAnsi="Arial"/>
          <w:color w:val="000000"/>
        </w:rPr>
        <w:t>%</w:t>
      </w:r>
      <w:r>
        <w:rPr>
          <w:rFonts w:ascii="Arial" w:hAnsi="Arial"/>
        </w:rPr>
        <w:t xml:space="preserve"> of districts</w:t>
      </w:r>
      <w:r w:rsidR="00B37105">
        <w:rPr>
          <w:rFonts w:ascii="Arial" w:hAnsi="Arial"/>
        </w:rPr>
        <w:t>, according to the Joint Reporting Form</w:t>
      </w:r>
      <w:r>
        <w:rPr>
          <w:rFonts w:ascii="Arial" w:hAnsi="Arial"/>
        </w:rPr>
        <w:t>. National measles vaccination coverage is estimated by WHO and UNICEF at 82% in 2015.</w:t>
      </w:r>
      <w:r w:rsidR="00354BF5">
        <w:rPr>
          <w:rFonts w:ascii="Arial" w:hAnsi="Arial"/>
        </w:rPr>
        <w:t xml:space="preserve"> The country has experienced measles outbreaks each year of different magnitude, in areas with low vaccination coverage. </w:t>
      </w:r>
      <w:r w:rsidR="00BC039B">
        <w:rPr>
          <w:rFonts w:ascii="Arial" w:hAnsi="Arial"/>
        </w:rPr>
        <w:t>Uganda</w:t>
      </w:r>
      <w:r w:rsidR="00354BF5">
        <w:rPr>
          <w:rFonts w:ascii="Arial" w:hAnsi="Arial"/>
        </w:rPr>
        <w:t xml:space="preserve"> is therefore not currently on track to eliminate the disease by 2020</w:t>
      </w:r>
      <w:r w:rsidR="00354BF5">
        <w:rPr>
          <w:rFonts w:ascii="Arial" w:hAnsi="Arial"/>
          <w:color w:val="FF0000"/>
        </w:rPr>
        <w:t>.</w:t>
      </w:r>
      <w:r w:rsidR="00354BF5">
        <w:rPr>
          <w:rFonts w:ascii="Arial" w:hAnsi="Arial"/>
        </w:rPr>
        <w:t xml:space="preserve"> </w:t>
      </w:r>
    </w:p>
    <w:p w:rsidR="008A70DC" w:rsidRDefault="00354BF5" w:rsidP="003B4E55">
      <w:pPr>
        <w:rPr>
          <w:rFonts w:ascii="Arial" w:hAnsi="Arial"/>
        </w:rPr>
      </w:pPr>
      <w:r>
        <w:rPr>
          <w:rFonts w:ascii="Arial" w:hAnsi="Arial"/>
        </w:rPr>
        <w:t xml:space="preserve">A key factor </w:t>
      </w:r>
      <w:r w:rsidR="00BC039B">
        <w:rPr>
          <w:rFonts w:ascii="Arial" w:hAnsi="Arial"/>
        </w:rPr>
        <w:t>contributing to</w:t>
      </w:r>
      <w:r>
        <w:rPr>
          <w:rFonts w:ascii="Arial" w:hAnsi="Arial"/>
        </w:rPr>
        <w:t xml:space="preserve"> </w:t>
      </w:r>
      <w:r w:rsidR="000A4394">
        <w:rPr>
          <w:rFonts w:ascii="Arial" w:hAnsi="Arial"/>
        </w:rPr>
        <w:t>the continuing outbreaks is that, due in part to a global shortage of measles vaccine, actual measles vaccination coverage in 2012 was only around 30%, according to the c</w:t>
      </w:r>
      <w:r w:rsidR="00C95CCD">
        <w:rPr>
          <w:rFonts w:ascii="Arial" w:hAnsi="Arial"/>
        </w:rPr>
        <w:t>MYP</w:t>
      </w:r>
      <w:r w:rsidR="000A4394">
        <w:rPr>
          <w:rFonts w:ascii="Arial" w:hAnsi="Arial"/>
        </w:rPr>
        <w:t xml:space="preserve"> (in contrast to the considerably highe</w:t>
      </w:r>
      <w:r w:rsidR="00C95CCD">
        <w:rPr>
          <w:rFonts w:ascii="Arial" w:hAnsi="Arial"/>
        </w:rPr>
        <w:t>r WUENIC estimate)</w:t>
      </w:r>
      <w:r w:rsidR="000A4394">
        <w:rPr>
          <w:rFonts w:ascii="Arial" w:hAnsi="Arial"/>
        </w:rPr>
        <w:t xml:space="preserve">. Because of this </w:t>
      </w:r>
      <w:r w:rsidR="008A70DC">
        <w:rPr>
          <w:rFonts w:ascii="Arial" w:hAnsi="Arial"/>
        </w:rPr>
        <w:t xml:space="preserve">as well as </w:t>
      </w:r>
      <w:r w:rsidR="000A4394">
        <w:rPr>
          <w:rFonts w:ascii="Arial" w:hAnsi="Arial"/>
        </w:rPr>
        <w:t>continued low coverage</w:t>
      </w:r>
      <w:r w:rsidR="008A70DC">
        <w:rPr>
          <w:rFonts w:ascii="Arial" w:hAnsi="Arial"/>
        </w:rPr>
        <w:t xml:space="preserve"> in some areas of the country</w:t>
      </w:r>
      <w:r w:rsidR="000A4394">
        <w:rPr>
          <w:rFonts w:ascii="Arial" w:hAnsi="Arial"/>
        </w:rPr>
        <w:t>, there were an estimated 1.56 million children not immunized against measles by 2013.</w:t>
      </w:r>
      <w:r w:rsidR="00C95CCD">
        <w:rPr>
          <w:rStyle w:val="FootnoteReference"/>
          <w:rFonts w:ascii="Arial" w:hAnsi="Arial"/>
        </w:rPr>
        <w:footnoteReference w:id="9"/>
      </w:r>
      <w:r w:rsidR="000A4394">
        <w:rPr>
          <w:rFonts w:ascii="Arial" w:hAnsi="Arial"/>
        </w:rPr>
        <w:t xml:space="preserve"> This has created a </w:t>
      </w:r>
      <w:r w:rsidR="008A70DC">
        <w:rPr>
          <w:rFonts w:ascii="Arial" w:hAnsi="Arial"/>
        </w:rPr>
        <w:t>large</w:t>
      </w:r>
      <w:r w:rsidR="000A4394">
        <w:rPr>
          <w:rFonts w:ascii="Arial" w:hAnsi="Arial"/>
        </w:rPr>
        <w:t xml:space="preserve"> </w:t>
      </w:r>
      <w:r w:rsidR="008A70DC">
        <w:rPr>
          <w:rFonts w:ascii="Arial" w:hAnsi="Arial"/>
        </w:rPr>
        <w:t>susceptible population</w:t>
      </w:r>
      <w:r w:rsidR="000A4394">
        <w:rPr>
          <w:rFonts w:ascii="Arial" w:hAnsi="Arial"/>
        </w:rPr>
        <w:t xml:space="preserve"> of unimmunized older children</w:t>
      </w:r>
      <w:r w:rsidR="008A70DC">
        <w:rPr>
          <w:rFonts w:ascii="Arial" w:hAnsi="Arial"/>
        </w:rPr>
        <w:t xml:space="preserve"> and a consequent shift in the age of cases to older children and adults, who have the potential of causing outbreaks.</w:t>
      </w:r>
    </w:p>
    <w:p w:rsidR="008A70DC" w:rsidRDefault="008A70DC" w:rsidP="003B4E55">
      <w:pPr>
        <w:rPr>
          <w:rFonts w:ascii="Arial" w:hAnsi="Arial"/>
        </w:rPr>
      </w:pPr>
      <w:r>
        <w:rPr>
          <w:rFonts w:ascii="Arial" w:hAnsi="Arial"/>
        </w:rPr>
        <w:t>Key challenges and issues affecting Uganda’s ability to meet the measles elimination target include:</w:t>
      </w:r>
    </w:p>
    <w:p w:rsidR="003B4E55" w:rsidRDefault="008A70DC" w:rsidP="004C353D">
      <w:pPr>
        <w:pStyle w:val="ListParagraph"/>
        <w:numPr>
          <w:ilvl w:val="0"/>
          <w:numId w:val="40"/>
        </w:numPr>
        <w:contextualSpacing w:val="0"/>
        <w:rPr>
          <w:rFonts w:ascii="Arial" w:hAnsi="Arial"/>
        </w:rPr>
      </w:pPr>
      <w:r>
        <w:rPr>
          <w:rFonts w:ascii="Arial" w:hAnsi="Arial"/>
        </w:rPr>
        <w:t>The fact that case-based measles surveillance is still weak and only an estimated 35% of cases are investigated, according to one informant.</w:t>
      </w:r>
      <w:r w:rsidR="008B3034">
        <w:rPr>
          <w:rFonts w:ascii="Arial" w:hAnsi="Arial"/>
        </w:rPr>
        <w:t xml:space="preserve"> There continues to be some “silent districts” and delays in reporting</w:t>
      </w:r>
      <w:r w:rsidR="00C000F1">
        <w:rPr>
          <w:rFonts w:ascii="Arial" w:hAnsi="Arial"/>
        </w:rPr>
        <w:t xml:space="preserve"> cases to higher levels of the system</w:t>
      </w:r>
      <w:r w:rsidR="008B3034">
        <w:rPr>
          <w:rFonts w:ascii="Arial" w:hAnsi="Arial"/>
        </w:rPr>
        <w:t>. The reasons are many of the same mentioned above, including a shortage of health workers, means of transport and fuel to investigate cases in the field and to collect and transport specimens to the reference lab. Polio funds are often used for case investigation</w:t>
      </w:r>
      <w:r w:rsidR="00C95CCD">
        <w:rPr>
          <w:rFonts w:ascii="Arial" w:hAnsi="Arial"/>
        </w:rPr>
        <w:t>s</w:t>
      </w:r>
      <w:r w:rsidR="008B3034">
        <w:rPr>
          <w:rFonts w:ascii="Arial" w:hAnsi="Arial"/>
        </w:rPr>
        <w:t>, specimen transport and testing.</w:t>
      </w:r>
    </w:p>
    <w:p w:rsidR="008B3034" w:rsidRDefault="00C000F1" w:rsidP="004C353D">
      <w:pPr>
        <w:pStyle w:val="ListParagraph"/>
        <w:numPr>
          <w:ilvl w:val="0"/>
          <w:numId w:val="40"/>
        </w:numPr>
        <w:contextualSpacing w:val="0"/>
        <w:rPr>
          <w:rFonts w:ascii="Arial" w:hAnsi="Arial"/>
        </w:rPr>
      </w:pPr>
      <w:r>
        <w:rPr>
          <w:rFonts w:ascii="Arial" w:hAnsi="Arial"/>
        </w:rPr>
        <w:lastRenderedPageBreak/>
        <w:t xml:space="preserve">While national measles SIAs </w:t>
      </w:r>
      <w:r w:rsidR="00C95CCD">
        <w:rPr>
          <w:rFonts w:ascii="Arial" w:hAnsi="Arial"/>
        </w:rPr>
        <w:t>take place</w:t>
      </w:r>
      <w:r>
        <w:rPr>
          <w:rFonts w:ascii="Arial" w:hAnsi="Arial"/>
        </w:rPr>
        <w:t xml:space="preserve"> every three years, along with localized campaigns in outbreak areas, actual coverage rates of these campaigns is unknown, due to data quality issues (reported coverage rates are often 100% or higher).</w:t>
      </w:r>
      <w:r w:rsidR="00A77C6F">
        <w:rPr>
          <w:rFonts w:ascii="Arial" w:hAnsi="Arial"/>
        </w:rPr>
        <w:t xml:space="preserve"> The frequency of the SIAs is, however, considered adequate.</w:t>
      </w:r>
    </w:p>
    <w:p w:rsidR="00A77C6F" w:rsidRDefault="00522DB6" w:rsidP="004C353D">
      <w:pPr>
        <w:pStyle w:val="ListParagraph"/>
        <w:numPr>
          <w:ilvl w:val="0"/>
          <w:numId w:val="40"/>
        </w:numPr>
        <w:contextualSpacing w:val="0"/>
        <w:rPr>
          <w:rFonts w:ascii="Arial" w:hAnsi="Arial"/>
        </w:rPr>
      </w:pPr>
      <w:r>
        <w:rPr>
          <w:rFonts w:ascii="Arial" w:hAnsi="Arial"/>
        </w:rPr>
        <w:t>Rapidly reducing the population of susceptibles</w:t>
      </w:r>
      <w:r w:rsidRPr="00522DB6">
        <w:rPr>
          <w:rFonts w:ascii="Arial" w:hAnsi="Arial"/>
        </w:rPr>
        <w:t xml:space="preserve"> </w:t>
      </w:r>
      <w:r w:rsidR="004C353D">
        <w:rPr>
          <w:rFonts w:ascii="Arial" w:hAnsi="Arial"/>
        </w:rPr>
        <w:t xml:space="preserve">who were </w:t>
      </w:r>
      <w:r>
        <w:rPr>
          <w:rFonts w:ascii="Arial" w:hAnsi="Arial"/>
        </w:rPr>
        <w:t xml:space="preserve">missed due to poor vaccination coverage </w:t>
      </w:r>
      <w:r w:rsidR="004C353D">
        <w:rPr>
          <w:rFonts w:ascii="Arial" w:hAnsi="Arial"/>
        </w:rPr>
        <w:t xml:space="preserve">in the past </w:t>
      </w:r>
      <w:r>
        <w:rPr>
          <w:rFonts w:ascii="Arial" w:hAnsi="Arial"/>
        </w:rPr>
        <w:t xml:space="preserve">would require conducting SIAs </w:t>
      </w:r>
      <w:r w:rsidR="004C353D">
        <w:rPr>
          <w:rFonts w:ascii="Arial" w:hAnsi="Arial"/>
        </w:rPr>
        <w:t>(e.g., using MR vaccine) for</w:t>
      </w:r>
      <w:r>
        <w:rPr>
          <w:rFonts w:ascii="Arial" w:hAnsi="Arial"/>
        </w:rPr>
        <w:t xml:space="preserve"> a wide-age cohort, such as 9 month to 15 year olds. However, the Government lacks the funding to conduct these and GAVI </w:t>
      </w:r>
      <w:r w:rsidR="004C353D">
        <w:rPr>
          <w:rFonts w:ascii="Arial" w:hAnsi="Arial"/>
        </w:rPr>
        <w:t>provides</w:t>
      </w:r>
      <w:r>
        <w:rPr>
          <w:rFonts w:ascii="Arial" w:hAnsi="Arial"/>
        </w:rPr>
        <w:t xml:space="preserve"> supports </w:t>
      </w:r>
      <w:r w:rsidR="004C353D">
        <w:rPr>
          <w:rFonts w:ascii="Arial" w:hAnsi="Arial"/>
        </w:rPr>
        <w:t xml:space="preserve">only for </w:t>
      </w:r>
      <w:r>
        <w:rPr>
          <w:rFonts w:ascii="Arial" w:hAnsi="Arial"/>
        </w:rPr>
        <w:t xml:space="preserve">SIAs </w:t>
      </w:r>
      <w:r w:rsidR="004C353D">
        <w:rPr>
          <w:rFonts w:ascii="Arial" w:hAnsi="Arial"/>
        </w:rPr>
        <w:t>targeting</w:t>
      </w:r>
      <w:r>
        <w:rPr>
          <w:rFonts w:ascii="Arial" w:hAnsi="Arial"/>
        </w:rPr>
        <w:t xml:space="preserve"> children under five. However, UNEPI plans to conduct SIAs with measles-rubella vaccine in 2018, with GAVI support, which will target children up to 14 years of age.</w:t>
      </w:r>
    </w:p>
    <w:p w:rsidR="00782C2A" w:rsidRPr="004C353D" w:rsidRDefault="004C353D" w:rsidP="00522DB6">
      <w:pPr>
        <w:rPr>
          <w:rFonts w:ascii="Arial" w:hAnsi="Arial"/>
        </w:rPr>
      </w:pPr>
      <w:r w:rsidRPr="004C353D">
        <w:rPr>
          <w:rFonts w:ascii="Arial" w:hAnsi="Arial"/>
        </w:rPr>
        <w:t xml:space="preserve">It should be noted that the Government plans </w:t>
      </w:r>
      <w:r w:rsidR="007C10B9">
        <w:rPr>
          <w:rFonts w:ascii="Arial" w:hAnsi="Arial"/>
        </w:rPr>
        <w:t>to introduce a second measles vaccine dose into the routine schedule (using MR vaccine). T</w:t>
      </w:r>
      <w:r w:rsidR="007C10B9" w:rsidRPr="00A77C6F">
        <w:rPr>
          <w:rFonts w:ascii="Arial" w:hAnsi="Arial"/>
        </w:rPr>
        <w:t xml:space="preserve">he year of introduction will depend on the results of the cost assessment and financial sustainability plan currently in progress and subsequent decisions about </w:t>
      </w:r>
      <w:r w:rsidR="007C10B9">
        <w:rPr>
          <w:rFonts w:ascii="Arial" w:hAnsi="Arial"/>
        </w:rPr>
        <w:t xml:space="preserve">other </w:t>
      </w:r>
      <w:r w:rsidR="007C10B9" w:rsidRPr="00A77C6F">
        <w:rPr>
          <w:rFonts w:ascii="Arial" w:hAnsi="Arial"/>
        </w:rPr>
        <w:t>new vaccine introductions</w:t>
      </w:r>
      <w:r w:rsidR="007C10B9">
        <w:rPr>
          <w:rFonts w:ascii="Arial" w:hAnsi="Arial"/>
        </w:rPr>
        <w:t>.</w:t>
      </w:r>
    </w:p>
    <w:p w:rsidR="00522DB6" w:rsidRPr="004C353D" w:rsidRDefault="00522DB6" w:rsidP="00522DB6">
      <w:pPr>
        <w:rPr>
          <w:rFonts w:ascii="Arial" w:hAnsi="Arial"/>
          <w:u w:val="single"/>
        </w:rPr>
      </w:pPr>
      <w:r w:rsidRPr="004C353D">
        <w:rPr>
          <w:rFonts w:ascii="Arial" w:hAnsi="Arial"/>
          <w:u w:val="single"/>
        </w:rPr>
        <w:t>Rubella</w:t>
      </w:r>
    </w:p>
    <w:p w:rsidR="00522DB6" w:rsidRDefault="00522DB6" w:rsidP="00522DB6">
      <w:pPr>
        <w:rPr>
          <w:rFonts w:ascii="Arial" w:hAnsi="Arial"/>
        </w:rPr>
      </w:pPr>
      <w:r>
        <w:rPr>
          <w:rFonts w:ascii="Arial" w:hAnsi="Arial"/>
        </w:rPr>
        <w:t xml:space="preserve">According to informants, rubella outbreaks have been occurring, and </w:t>
      </w:r>
      <w:r w:rsidR="00D00342">
        <w:rPr>
          <w:rFonts w:ascii="Arial" w:hAnsi="Arial"/>
        </w:rPr>
        <w:t xml:space="preserve">many suspected cases of measles that are not lab-confirmed are believed to be rubella. </w:t>
      </w:r>
      <w:r w:rsidR="004C353D">
        <w:rPr>
          <w:rFonts w:ascii="Arial" w:hAnsi="Arial"/>
        </w:rPr>
        <w:t xml:space="preserve">For instance, while the routine disease surveillance system reported more than 60,000 cases of measles in 2015, many of these are believed to have been rubella. </w:t>
      </w:r>
      <w:r w:rsidR="007C10B9">
        <w:rPr>
          <w:rFonts w:ascii="Arial" w:hAnsi="Arial"/>
        </w:rPr>
        <w:t xml:space="preserve">To quickly reduce rubella transmission in the population, UNEPI is planning </w:t>
      </w:r>
      <w:r w:rsidR="00D00342">
        <w:rPr>
          <w:rFonts w:ascii="Arial" w:hAnsi="Arial"/>
        </w:rPr>
        <w:t xml:space="preserve">MR </w:t>
      </w:r>
      <w:r w:rsidR="007C10B9">
        <w:rPr>
          <w:rFonts w:ascii="Arial" w:hAnsi="Arial"/>
        </w:rPr>
        <w:t xml:space="preserve">catch-up </w:t>
      </w:r>
      <w:r w:rsidR="00D00342">
        <w:rPr>
          <w:rFonts w:ascii="Arial" w:hAnsi="Arial"/>
        </w:rPr>
        <w:t xml:space="preserve">campaigns </w:t>
      </w:r>
      <w:r w:rsidR="007C10B9">
        <w:rPr>
          <w:rFonts w:ascii="Arial" w:hAnsi="Arial"/>
        </w:rPr>
        <w:t>in</w:t>
      </w:r>
      <w:r w:rsidR="00D00342">
        <w:rPr>
          <w:rFonts w:ascii="Arial" w:hAnsi="Arial"/>
        </w:rPr>
        <w:t xml:space="preserve"> 2018</w:t>
      </w:r>
      <w:r w:rsidR="007C10B9">
        <w:rPr>
          <w:rFonts w:ascii="Arial" w:hAnsi="Arial"/>
        </w:rPr>
        <w:t>, with GAVI support</w:t>
      </w:r>
      <w:r w:rsidR="00D00342">
        <w:rPr>
          <w:rFonts w:ascii="Arial" w:hAnsi="Arial"/>
        </w:rPr>
        <w:t>.</w:t>
      </w:r>
    </w:p>
    <w:p w:rsidR="00734BA0" w:rsidRPr="00373BA5" w:rsidRDefault="00734BA0" w:rsidP="003B4E55">
      <w:pPr>
        <w:rPr>
          <w:rFonts w:ascii="Arial" w:hAnsi="Arial"/>
          <w:b/>
        </w:rPr>
      </w:pPr>
      <w:r>
        <w:rPr>
          <w:rFonts w:ascii="Arial" w:hAnsi="Arial"/>
          <w:b/>
        </w:rPr>
        <w:t>3.</w:t>
      </w:r>
      <w:r w:rsidR="00D00342">
        <w:rPr>
          <w:rFonts w:ascii="Arial" w:hAnsi="Arial"/>
          <w:b/>
        </w:rPr>
        <w:t>3</w:t>
      </w:r>
      <w:r>
        <w:rPr>
          <w:rFonts w:ascii="Arial" w:hAnsi="Arial"/>
          <w:b/>
        </w:rPr>
        <w:t xml:space="preserve"> </w:t>
      </w:r>
      <w:r w:rsidR="007709E9">
        <w:rPr>
          <w:rFonts w:ascii="Arial" w:hAnsi="Arial"/>
          <w:b/>
        </w:rPr>
        <w:t xml:space="preserve">  </w:t>
      </w:r>
      <w:r>
        <w:rPr>
          <w:rFonts w:ascii="Arial" w:hAnsi="Arial"/>
          <w:b/>
        </w:rPr>
        <w:t>Goal 3: M</w:t>
      </w:r>
      <w:r w:rsidRPr="00373BA5">
        <w:rPr>
          <w:rFonts w:ascii="Arial" w:hAnsi="Arial"/>
          <w:b/>
        </w:rPr>
        <w:t>eet vaccination coverage targets</w:t>
      </w:r>
    </w:p>
    <w:p w:rsidR="00734BA0" w:rsidRDefault="00D00342" w:rsidP="00D00342">
      <w:pPr>
        <w:pStyle w:val="ListParagraph"/>
        <w:numPr>
          <w:ilvl w:val="1"/>
          <w:numId w:val="28"/>
        </w:numPr>
        <w:ind w:left="360"/>
        <w:contextualSpacing w:val="0"/>
        <w:rPr>
          <w:rFonts w:ascii="Arial" w:hAnsi="Arial"/>
          <w:b/>
        </w:rPr>
      </w:pPr>
      <w:r>
        <w:rPr>
          <w:rFonts w:ascii="Arial" w:hAnsi="Arial"/>
          <w:b/>
        </w:rPr>
        <w:t>Achieve 90% n</w:t>
      </w:r>
      <w:r w:rsidR="00734BA0" w:rsidRPr="00825812">
        <w:rPr>
          <w:rFonts w:ascii="Arial" w:hAnsi="Arial"/>
          <w:b/>
        </w:rPr>
        <w:t>ational coverage and 80%</w:t>
      </w:r>
      <w:r>
        <w:rPr>
          <w:rFonts w:ascii="Arial" w:hAnsi="Arial"/>
          <w:b/>
        </w:rPr>
        <w:t xml:space="preserve"> coverage</w:t>
      </w:r>
      <w:r w:rsidR="00734BA0" w:rsidRPr="00825812">
        <w:rPr>
          <w:rFonts w:ascii="Arial" w:hAnsi="Arial"/>
          <w:b/>
        </w:rPr>
        <w:t xml:space="preserve"> in every district with 3 doses of </w:t>
      </w:r>
      <w:r w:rsidRPr="00825812">
        <w:rPr>
          <w:rFonts w:ascii="Arial" w:hAnsi="Arial"/>
          <w:b/>
        </w:rPr>
        <w:t>diphtheria</w:t>
      </w:r>
      <w:r w:rsidR="00734BA0" w:rsidRPr="00825812">
        <w:rPr>
          <w:rFonts w:ascii="Arial" w:hAnsi="Arial"/>
          <w:b/>
        </w:rPr>
        <w:t>-tetanus-pertussis containing vaccine</w:t>
      </w:r>
    </w:p>
    <w:p w:rsidR="00734BA0" w:rsidRPr="00825812" w:rsidRDefault="00D00342" w:rsidP="00D00342">
      <w:pPr>
        <w:pStyle w:val="ListParagraph"/>
        <w:numPr>
          <w:ilvl w:val="1"/>
          <w:numId w:val="28"/>
        </w:numPr>
        <w:ind w:left="360"/>
        <w:contextualSpacing w:val="0"/>
        <w:rPr>
          <w:rFonts w:ascii="Arial" w:hAnsi="Arial"/>
          <w:b/>
        </w:rPr>
      </w:pPr>
      <w:r>
        <w:rPr>
          <w:rFonts w:ascii="Arial" w:hAnsi="Arial"/>
          <w:b/>
        </w:rPr>
        <w:t>Achieve 90% n</w:t>
      </w:r>
      <w:r w:rsidR="00734BA0" w:rsidRPr="00825812">
        <w:rPr>
          <w:rFonts w:ascii="Arial" w:hAnsi="Arial"/>
          <w:b/>
        </w:rPr>
        <w:t>ational coverage and 80%</w:t>
      </w:r>
      <w:r>
        <w:rPr>
          <w:rFonts w:ascii="Arial" w:hAnsi="Arial"/>
          <w:b/>
        </w:rPr>
        <w:t xml:space="preserve"> coverage</w:t>
      </w:r>
      <w:r w:rsidR="00734BA0" w:rsidRPr="00825812">
        <w:rPr>
          <w:rFonts w:ascii="Arial" w:hAnsi="Arial"/>
          <w:b/>
        </w:rPr>
        <w:t xml:space="preserve"> in every district with all vaccines included in the national schedule</w:t>
      </w:r>
    </w:p>
    <w:p w:rsidR="00B37105" w:rsidRDefault="009E5E09" w:rsidP="00734BA0">
      <w:pPr>
        <w:rPr>
          <w:rFonts w:ascii="Arial" w:hAnsi="Arial"/>
        </w:rPr>
      </w:pPr>
      <w:r>
        <w:rPr>
          <w:rFonts w:ascii="Arial" w:hAnsi="Arial"/>
        </w:rPr>
        <w:t>These targets have largely not been met. The WUENIC estimates for the third dose of pentavalent (DPT-HepB-Hib) vaccine have been 78% national for the past three years (2012 to 2014), and slightly down from 82% in 2011, with an estimated drop-out rate between the first and third doses of 12% nationally. However, according to data from the Joint Report Format, the country is close to meeting the district target, with 86% of districts having achieved 80% or greater coverage for three pentavalent doses.</w:t>
      </w:r>
      <w:r w:rsidR="00B37105">
        <w:rPr>
          <w:rFonts w:ascii="Arial" w:hAnsi="Arial"/>
        </w:rPr>
        <w:t xml:space="preserve"> There are no district-specific WUENIC estimates, however, and the JRF data are based largely on administrative data, so caution should be taken in reading these statistics. A coverage survey is currently underway, which should provide a more accurate picture of both national and district-level </w:t>
      </w:r>
      <w:r w:rsidR="00ED0BD7">
        <w:rPr>
          <w:rFonts w:ascii="Arial" w:hAnsi="Arial"/>
        </w:rPr>
        <w:t xml:space="preserve">immunization </w:t>
      </w:r>
      <w:r w:rsidR="00B37105">
        <w:rPr>
          <w:rFonts w:ascii="Arial" w:hAnsi="Arial"/>
        </w:rPr>
        <w:t>coverage.</w:t>
      </w:r>
    </w:p>
    <w:p w:rsidR="00B37105" w:rsidRPr="00B13A2F" w:rsidRDefault="00B37105" w:rsidP="00734BA0">
      <w:pPr>
        <w:rPr>
          <w:rFonts w:ascii="Arial" w:hAnsi="Arial"/>
          <w:color w:val="000000"/>
        </w:rPr>
      </w:pPr>
      <w:r w:rsidRPr="00B13A2F">
        <w:rPr>
          <w:rFonts w:ascii="Arial" w:hAnsi="Arial"/>
          <w:color w:val="000000"/>
        </w:rPr>
        <w:t>According to the 201</w:t>
      </w:r>
      <w:r w:rsidR="007A3008" w:rsidRPr="00B13A2F">
        <w:rPr>
          <w:rFonts w:ascii="Arial" w:hAnsi="Arial"/>
          <w:color w:val="000000"/>
        </w:rPr>
        <w:t>5</w:t>
      </w:r>
      <w:r w:rsidRPr="00B13A2F">
        <w:rPr>
          <w:rFonts w:ascii="Arial" w:hAnsi="Arial"/>
          <w:color w:val="000000"/>
        </w:rPr>
        <w:t xml:space="preserve"> WUENIC estimates, the 90% national coverage goal has been achieved for BCG (93%), but was 82% for three polio doses, 82% for measles, and </w:t>
      </w:r>
      <w:r w:rsidR="007A3008" w:rsidRPr="00B13A2F">
        <w:rPr>
          <w:rFonts w:ascii="Arial" w:hAnsi="Arial"/>
          <w:color w:val="000000"/>
        </w:rPr>
        <w:t>66</w:t>
      </w:r>
      <w:r w:rsidRPr="00B13A2F">
        <w:rPr>
          <w:rFonts w:ascii="Arial" w:hAnsi="Arial"/>
          <w:color w:val="000000"/>
        </w:rPr>
        <w:t xml:space="preserve">% for PCV3, which was introduced over </w:t>
      </w:r>
      <w:r w:rsidR="007C10B9">
        <w:rPr>
          <w:rFonts w:ascii="Arial" w:hAnsi="Arial"/>
          <w:color w:val="000000"/>
        </w:rPr>
        <w:t xml:space="preserve">a period of </w:t>
      </w:r>
      <w:r w:rsidRPr="00B13A2F">
        <w:rPr>
          <w:rFonts w:ascii="Arial" w:hAnsi="Arial"/>
          <w:color w:val="000000"/>
        </w:rPr>
        <w:t xml:space="preserve">a year in 2013 and 2014. </w:t>
      </w:r>
      <w:r w:rsidR="007A3008" w:rsidRPr="00B13A2F">
        <w:rPr>
          <w:rFonts w:ascii="Arial" w:hAnsi="Arial"/>
          <w:color w:val="000000"/>
        </w:rPr>
        <w:t>D</w:t>
      </w:r>
      <w:r w:rsidRPr="00B13A2F">
        <w:rPr>
          <w:rFonts w:ascii="Arial" w:hAnsi="Arial"/>
          <w:color w:val="000000"/>
        </w:rPr>
        <w:t xml:space="preserve">istrict-level </w:t>
      </w:r>
      <w:r w:rsidR="007A3008" w:rsidRPr="00B13A2F">
        <w:rPr>
          <w:rFonts w:ascii="Arial" w:hAnsi="Arial"/>
          <w:color w:val="000000"/>
        </w:rPr>
        <w:t>WUENIC estimates</w:t>
      </w:r>
      <w:r w:rsidRPr="00B13A2F">
        <w:rPr>
          <w:rFonts w:ascii="Arial" w:hAnsi="Arial"/>
          <w:color w:val="000000"/>
        </w:rPr>
        <w:t xml:space="preserve"> for these vaccines</w:t>
      </w:r>
      <w:r w:rsidR="007A3008" w:rsidRPr="00B13A2F">
        <w:rPr>
          <w:rFonts w:ascii="Arial" w:hAnsi="Arial"/>
          <w:color w:val="000000"/>
        </w:rPr>
        <w:t xml:space="preserve"> (to determine the percent of districts reaching 80% coverage) are not available.</w:t>
      </w:r>
      <w:r w:rsidRPr="00B13A2F">
        <w:rPr>
          <w:rFonts w:ascii="Arial" w:hAnsi="Arial"/>
          <w:color w:val="000000"/>
        </w:rPr>
        <w:t xml:space="preserve"> </w:t>
      </w:r>
    </w:p>
    <w:p w:rsidR="00B37105" w:rsidRDefault="00B37105" w:rsidP="00734BA0">
      <w:pPr>
        <w:rPr>
          <w:rFonts w:ascii="Arial" w:hAnsi="Arial"/>
        </w:rPr>
      </w:pPr>
      <w:r>
        <w:rPr>
          <w:rFonts w:ascii="Arial" w:hAnsi="Arial"/>
        </w:rPr>
        <w:lastRenderedPageBreak/>
        <w:t>An assessment of equity of immunization coverage by geographic areas, income level and other variable is currently taking place.</w:t>
      </w:r>
    </w:p>
    <w:p w:rsidR="004013B6" w:rsidRDefault="004013B6" w:rsidP="00734BA0">
      <w:pPr>
        <w:rPr>
          <w:rFonts w:ascii="Arial" w:hAnsi="Arial"/>
        </w:rPr>
      </w:pPr>
      <w:r>
        <w:rPr>
          <w:rFonts w:ascii="Arial" w:hAnsi="Arial"/>
        </w:rPr>
        <w:t>Key factors affecting UNEPI’s ability to reach its coverage targets include:</w:t>
      </w:r>
    </w:p>
    <w:p w:rsidR="00894DF4" w:rsidRDefault="004013B6" w:rsidP="004B1E23">
      <w:pPr>
        <w:pStyle w:val="ListParagraph"/>
        <w:numPr>
          <w:ilvl w:val="0"/>
          <w:numId w:val="41"/>
        </w:numPr>
        <w:contextualSpacing w:val="0"/>
        <w:rPr>
          <w:rFonts w:ascii="Arial" w:hAnsi="Arial"/>
        </w:rPr>
      </w:pPr>
      <w:r w:rsidRPr="00894DF4">
        <w:rPr>
          <w:rFonts w:ascii="Arial" w:hAnsi="Arial"/>
          <w:b/>
        </w:rPr>
        <w:t>Insufficient availability of static immunization services</w:t>
      </w:r>
      <w:r>
        <w:rPr>
          <w:rFonts w:ascii="Arial" w:hAnsi="Arial"/>
        </w:rPr>
        <w:t xml:space="preserve">: While national policy requires that all health facilities with refrigerators offer immunization services on a daily basis, the 2015 </w:t>
      </w:r>
      <w:r w:rsidR="004B1E23">
        <w:rPr>
          <w:rFonts w:ascii="Arial" w:hAnsi="Arial"/>
        </w:rPr>
        <w:t xml:space="preserve">Comprehensive </w:t>
      </w:r>
      <w:r>
        <w:rPr>
          <w:rFonts w:ascii="Arial" w:hAnsi="Arial"/>
        </w:rPr>
        <w:t>EPI</w:t>
      </w:r>
      <w:r w:rsidR="004B1E23">
        <w:rPr>
          <w:rFonts w:ascii="Arial" w:hAnsi="Arial"/>
        </w:rPr>
        <w:t>, surveillance and immunization financing</w:t>
      </w:r>
      <w:r>
        <w:rPr>
          <w:rFonts w:ascii="Arial" w:hAnsi="Arial"/>
        </w:rPr>
        <w:t xml:space="preserve"> review </w:t>
      </w:r>
      <w:r w:rsidR="004B1E23">
        <w:rPr>
          <w:rFonts w:ascii="Arial" w:hAnsi="Arial"/>
        </w:rPr>
        <w:t xml:space="preserve">(referred to as the “EPI review” in this document) </w:t>
      </w:r>
      <w:r>
        <w:rPr>
          <w:rFonts w:ascii="Arial" w:hAnsi="Arial"/>
        </w:rPr>
        <w:t>found that only 40% of the 55 health facilities visited provided EPI daily, 18% had sessions 2-3 times a week, and 58% provided only one session per week</w:t>
      </w:r>
      <w:r w:rsidR="004B1E23">
        <w:rPr>
          <w:rFonts w:ascii="Arial" w:hAnsi="Arial"/>
        </w:rPr>
        <w:t>. This is despite the fact that</w:t>
      </w:r>
      <w:r>
        <w:rPr>
          <w:rFonts w:ascii="Arial" w:hAnsi="Arial"/>
        </w:rPr>
        <w:t xml:space="preserve"> most facilities</w:t>
      </w:r>
      <w:r w:rsidR="004B1E23">
        <w:rPr>
          <w:rFonts w:ascii="Arial" w:hAnsi="Arial"/>
        </w:rPr>
        <w:t xml:space="preserve"> (88%), including hospitals and health centers levels II-IV, </w:t>
      </w:r>
      <w:r>
        <w:rPr>
          <w:rFonts w:ascii="Arial" w:hAnsi="Arial"/>
        </w:rPr>
        <w:t>had working refrigerators.</w:t>
      </w:r>
      <w:r w:rsidR="00894DF4">
        <w:rPr>
          <w:rFonts w:ascii="Arial" w:hAnsi="Arial"/>
        </w:rPr>
        <w:t xml:space="preserve"> A key factor is staff shortages, making it difficult for health clinics to provide daily immunization </w:t>
      </w:r>
      <w:r w:rsidR="004B1E23">
        <w:rPr>
          <w:rFonts w:ascii="Arial" w:hAnsi="Arial"/>
        </w:rPr>
        <w:t>along with</w:t>
      </w:r>
      <w:r w:rsidR="00894DF4">
        <w:rPr>
          <w:rFonts w:ascii="Arial" w:hAnsi="Arial"/>
        </w:rPr>
        <w:t xml:space="preserve"> all of the other services in the minimum health services package. One informant fears that adding more vaccines to the immunization schedule will make it even more difficult for health facilities to provide all vaccines on schedule. Another factor is spotty social mobilization, especially for routine immunization, affecting demand, especially for subsequent vaccine doses. </w:t>
      </w:r>
    </w:p>
    <w:p w:rsidR="002C65B5" w:rsidRDefault="00894DF4" w:rsidP="004B1E23">
      <w:pPr>
        <w:pStyle w:val="ListParagraph"/>
        <w:numPr>
          <w:ilvl w:val="0"/>
          <w:numId w:val="41"/>
        </w:numPr>
        <w:contextualSpacing w:val="0"/>
        <w:rPr>
          <w:rFonts w:ascii="Arial" w:hAnsi="Arial"/>
        </w:rPr>
      </w:pPr>
      <w:r w:rsidRPr="00894DF4">
        <w:rPr>
          <w:rFonts w:ascii="Arial" w:hAnsi="Arial"/>
          <w:b/>
        </w:rPr>
        <w:t>Insufficient outreach activities in many areas and inadequate implementation of Reach Every Community (REC) strategies</w:t>
      </w:r>
      <w:r>
        <w:rPr>
          <w:rFonts w:ascii="Arial" w:hAnsi="Arial"/>
        </w:rPr>
        <w:t xml:space="preserve">: Outreach activities were found to be irregular and insufficient in many </w:t>
      </w:r>
      <w:r w:rsidR="00A233ED">
        <w:rPr>
          <w:rFonts w:ascii="Arial" w:hAnsi="Arial"/>
        </w:rPr>
        <w:t>sites included in the EPI Review. The shortage of health workers is a key reason; many facilities have only two or so qualified personnel and thus conducting outreach activities (which usually require at least two staff</w:t>
      </w:r>
      <w:r w:rsidR="00ED0BD7">
        <w:rPr>
          <w:rFonts w:ascii="Arial" w:hAnsi="Arial"/>
        </w:rPr>
        <w:t xml:space="preserve"> members</w:t>
      </w:r>
      <w:r w:rsidR="00A233ED">
        <w:rPr>
          <w:rFonts w:ascii="Arial" w:hAnsi="Arial"/>
        </w:rPr>
        <w:t>) means closing down the clinic. The lack of transport and fuel due to insufficient PHC grant funds is anoth</w:t>
      </w:r>
      <w:r w:rsidR="004B1E23">
        <w:rPr>
          <w:rFonts w:ascii="Arial" w:hAnsi="Arial"/>
        </w:rPr>
        <w:t>er key factor. The 2015 GAVI Full Country E</w:t>
      </w:r>
      <w:r w:rsidR="00A233ED">
        <w:rPr>
          <w:rFonts w:ascii="Arial" w:hAnsi="Arial"/>
        </w:rPr>
        <w:t>valuation for Uganda found that only around 10% of Health Centres II had access to any vehicle for vaccination, while the rate was around 45% and 60% for Health Centres II and IV, respectively</w:t>
      </w:r>
      <w:r w:rsidR="004B1E23">
        <w:rPr>
          <w:rFonts w:ascii="Arial" w:hAnsi="Arial"/>
        </w:rPr>
        <w:t>.</w:t>
      </w:r>
      <w:r w:rsidR="004B1E23">
        <w:rPr>
          <w:rStyle w:val="FootnoteReference"/>
          <w:rFonts w:ascii="Arial" w:hAnsi="Arial"/>
        </w:rPr>
        <w:footnoteReference w:id="10"/>
      </w:r>
      <w:r w:rsidR="00A233ED">
        <w:rPr>
          <w:rFonts w:ascii="Arial" w:hAnsi="Arial"/>
        </w:rPr>
        <w:t xml:space="preserve"> The EPI Review found that only 20% of health facilities had REC microplans, as did only 8 out of 112 districts. Poor implementation of REC/RED is </w:t>
      </w:r>
      <w:r w:rsidR="002C65B5">
        <w:rPr>
          <w:rFonts w:ascii="Arial" w:hAnsi="Arial"/>
        </w:rPr>
        <w:t xml:space="preserve">reportedly </w:t>
      </w:r>
      <w:r w:rsidR="00A233ED">
        <w:rPr>
          <w:rFonts w:ascii="Arial" w:hAnsi="Arial"/>
        </w:rPr>
        <w:t xml:space="preserve">due to </w:t>
      </w:r>
      <w:r w:rsidR="002C65B5">
        <w:rPr>
          <w:rFonts w:ascii="Arial" w:hAnsi="Arial"/>
        </w:rPr>
        <w:t>insufficient training of health workers in microplanning, high health worker attrition rate</w:t>
      </w:r>
      <w:r w:rsidR="002654C3">
        <w:rPr>
          <w:rFonts w:ascii="Arial" w:hAnsi="Arial"/>
        </w:rPr>
        <w:t>s</w:t>
      </w:r>
      <w:r w:rsidR="002C65B5">
        <w:rPr>
          <w:rFonts w:ascii="Arial" w:hAnsi="Arial"/>
        </w:rPr>
        <w:t>, resulting in many workers not knowledgeable in microplanning, and a l</w:t>
      </w:r>
      <w:r w:rsidR="00A233ED">
        <w:rPr>
          <w:rFonts w:ascii="Arial" w:hAnsi="Arial"/>
        </w:rPr>
        <w:t>ack of funding</w:t>
      </w:r>
      <w:r w:rsidR="002C65B5">
        <w:rPr>
          <w:rFonts w:ascii="Arial" w:hAnsi="Arial"/>
        </w:rPr>
        <w:t xml:space="preserve"> to carry out microplanning activities.</w:t>
      </w:r>
    </w:p>
    <w:p w:rsidR="00CA7D81" w:rsidRDefault="002C65B5" w:rsidP="004B1E23">
      <w:pPr>
        <w:pStyle w:val="ListParagraph"/>
        <w:numPr>
          <w:ilvl w:val="0"/>
          <w:numId w:val="41"/>
        </w:numPr>
        <w:contextualSpacing w:val="0"/>
        <w:rPr>
          <w:rFonts w:ascii="Arial" w:hAnsi="Arial"/>
        </w:rPr>
      </w:pPr>
      <w:r w:rsidRPr="002C65B5">
        <w:rPr>
          <w:rFonts w:ascii="Arial" w:hAnsi="Arial"/>
          <w:b/>
        </w:rPr>
        <w:t>Vaccine shortages or stock</w:t>
      </w:r>
      <w:r w:rsidR="001F695A">
        <w:rPr>
          <w:rFonts w:ascii="Arial" w:hAnsi="Arial"/>
          <w:b/>
        </w:rPr>
        <w:t xml:space="preserve"> </w:t>
      </w:r>
      <w:r w:rsidRPr="002C65B5">
        <w:rPr>
          <w:rFonts w:ascii="Arial" w:hAnsi="Arial"/>
          <w:b/>
        </w:rPr>
        <w:t>outs at the local level</w:t>
      </w:r>
      <w:r>
        <w:rPr>
          <w:rFonts w:ascii="Arial" w:hAnsi="Arial"/>
        </w:rPr>
        <w:t xml:space="preserve">: </w:t>
      </w:r>
      <w:r w:rsidR="0018360B">
        <w:rPr>
          <w:rFonts w:ascii="Arial" w:hAnsi="Arial"/>
        </w:rPr>
        <w:t>The transition of responsibility for the storage and distribution of vaccines from UNEPI to the National Medical Stores (NMS)</w:t>
      </w:r>
      <w:r w:rsidR="00894DF4">
        <w:rPr>
          <w:rFonts w:ascii="Arial" w:hAnsi="Arial"/>
        </w:rPr>
        <w:t xml:space="preserve"> </w:t>
      </w:r>
      <w:r w:rsidR="0018360B">
        <w:rPr>
          <w:rFonts w:ascii="Arial" w:hAnsi="Arial"/>
        </w:rPr>
        <w:t>in 2012/13 has been completed, and after initial problems, the system was deemed “robust” since April 2014</w:t>
      </w:r>
      <w:r w:rsidR="002654C3">
        <w:rPr>
          <w:rStyle w:val="FootnoteReference"/>
          <w:rFonts w:ascii="Arial" w:hAnsi="Arial"/>
        </w:rPr>
        <w:footnoteReference w:id="11"/>
      </w:r>
      <w:r w:rsidR="0018360B">
        <w:rPr>
          <w:rFonts w:ascii="Arial" w:hAnsi="Arial"/>
        </w:rPr>
        <w:t xml:space="preserve"> and the time it takes for vaccines to reach all districts from the central level has been cut in half (to two weeks)</w:t>
      </w:r>
      <w:r w:rsidR="002654C3">
        <w:rPr>
          <w:rFonts w:ascii="Arial" w:hAnsi="Arial"/>
        </w:rPr>
        <w:t xml:space="preserve">. </w:t>
      </w:r>
      <w:r w:rsidR="0018360B">
        <w:rPr>
          <w:rFonts w:ascii="Arial" w:hAnsi="Arial"/>
        </w:rPr>
        <w:t xml:space="preserve">Nonetheless, 71% of health facilities and 96% of districts in the </w:t>
      </w:r>
      <w:r w:rsidR="002654C3">
        <w:rPr>
          <w:rFonts w:ascii="Arial" w:hAnsi="Arial"/>
        </w:rPr>
        <w:t xml:space="preserve">2015 </w:t>
      </w:r>
      <w:r w:rsidR="0018360B">
        <w:rPr>
          <w:rFonts w:ascii="Arial" w:hAnsi="Arial"/>
        </w:rPr>
        <w:t>EPI review reported at least one vaccine stock</w:t>
      </w:r>
      <w:r w:rsidR="001F695A">
        <w:rPr>
          <w:rFonts w:ascii="Arial" w:hAnsi="Arial"/>
        </w:rPr>
        <w:t xml:space="preserve"> </w:t>
      </w:r>
      <w:r w:rsidR="0018360B">
        <w:rPr>
          <w:rFonts w:ascii="Arial" w:hAnsi="Arial"/>
        </w:rPr>
        <w:t xml:space="preserve">out in the previous three months, especially PCV and BCG. While a global shortage of </w:t>
      </w:r>
      <w:r w:rsidR="004A203B">
        <w:rPr>
          <w:rFonts w:ascii="Arial" w:hAnsi="Arial"/>
        </w:rPr>
        <w:t xml:space="preserve">BCG </w:t>
      </w:r>
      <w:r w:rsidR="0018360B">
        <w:rPr>
          <w:rFonts w:ascii="Arial" w:hAnsi="Arial"/>
        </w:rPr>
        <w:t>contributed to the stock</w:t>
      </w:r>
      <w:r w:rsidR="001F695A">
        <w:rPr>
          <w:rFonts w:ascii="Arial" w:hAnsi="Arial"/>
        </w:rPr>
        <w:t xml:space="preserve"> </w:t>
      </w:r>
      <w:r w:rsidR="0018360B">
        <w:rPr>
          <w:rFonts w:ascii="Arial" w:hAnsi="Arial"/>
        </w:rPr>
        <w:t>outs of this vaccine, other contributing factors for local vaccine stock</w:t>
      </w:r>
      <w:r w:rsidR="001F695A">
        <w:rPr>
          <w:rFonts w:ascii="Arial" w:hAnsi="Arial"/>
        </w:rPr>
        <w:t xml:space="preserve"> </w:t>
      </w:r>
      <w:r w:rsidR="0018360B">
        <w:rPr>
          <w:rFonts w:ascii="Arial" w:hAnsi="Arial"/>
        </w:rPr>
        <w:t>outs are poor vaccine forecasting (especially denominator issues), lack of adequate cold storage space in some district stores, and</w:t>
      </w:r>
      <w:r w:rsidR="00CA7D81">
        <w:rPr>
          <w:rFonts w:ascii="Arial" w:hAnsi="Arial"/>
        </w:rPr>
        <w:t xml:space="preserve"> perhaps</w:t>
      </w:r>
      <w:r w:rsidR="0018360B">
        <w:rPr>
          <w:rFonts w:ascii="Arial" w:hAnsi="Arial"/>
        </w:rPr>
        <w:t xml:space="preserve"> most importantly</w:t>
      </w:r>
      <w:r w:rsidR="00CA7D81">
        <w:rPr>
          <w:rFonts w:ascii="Arial" w:hAnsi="Arial"/>
        </w:rPr>
        <w:t xml:space="preserve">, the continuing need for health facilities to collect vaccine from the district stores and their </w:t>
      </w:r>
      <w:r w:rsidR="00CA7D81">
        <w:rPr>
          <w:rFonts w:ascii="Arial" w:hAnsi="Arial"/>
        </w:rPr>
        <w:lastRenderedPageBreak/>
        <w:t xml:space="preserve">difficulty in doing so due to the lack of </w:t>
      </w:r>
      <w:r w:rsidR="00ED0BD7">
        <w:rPr>
          <w:rFonts w:ascii="Arial" w:hAnsi="Arial"/>
        </w:rPr>
        <w:t>vehicles</w:t>
      </w:r>
      <w:r w:rsidR="00CA7D81">
        <w:rPr>
          <w:rFonts w:ascii="Arial" w:hAnsi="Arial"/>
        </w:rPr>
        <w:t xml:space="preserve"> and fuel discussed above. “Last mile” vaccine delivery will </w:t>
      </w:r>
      <w:r w:rsidR="00ED0BD7">
        <w:rPr>
          <w:rFonts w:ascii="Arial" w:hAnsi="Arial"/>
        </w:rPr>
        <w:t xml:space="preserve">therefore </w:t>
      </w:r>
      <w:r w:rsidR="00CA7D81">
        <w:rPr>
          <w:rFonts w:ascii="Arial" w:hAnsi="Arial"/>
        </w:rPr>
        <w:t>require additional funding.</w:t>
      </w:r>
    </w:p>
    <w:p w:rsidR="00734BA0" w:rsidRDefault="00CA7D81" w:rsidP="004B1E23">
      <w:pPr>
        <w:pStyle w:val="ListParagraph"/>
        <w:numPr>
          <w:ilvl w:val="0"/>
          <w:numId w:val="41"/>
        </w:numPr>
        <w:contextualSpacing w:val="0"/>
        <w:rPr>
          <w:rFonts w:ascii="Arial" w:hAnsi="Arial"/>
        </w:rPr>
      </w:pPr>
      <w:r>
        <w:rPr>
          <w:rFonts w:ascii="Arial" w:hAnsi="Arial"/>
          <w:b/>
        </w:rPr>
        <w:t>Insufficient monitoring and supportive supervision</w:t>
      </w:r>
      <w:r w:rsidRPr="00CA7D81">
        <w:rPr>
          <w:rFonts w:ascii="Arial" w:hAnsi="Arial"/>
        </w:rPr>
        <w:t>:</w:t>
      </w:r>
      <w:r>
        <w:rPr>
          <w:rFonts w:ascii="Arial" w:hAnsi="Arial"/>
        </w:rPr>
        <w:t xml:space="preserve"> A supervision infrastructure is in place, with EPI Coordinators in each district and some sub-districts. However, regular supervision is lacking in many areas, due to insufficient funds and transportation to make supervisory visits. In addition, </w:t>
      </w:r>
      <w:r w:rsidR="0006192C">
        <w:rPr>
          <w:rFonts w:ascii="Arial" w:hAnsi="Arial"/>
        </w:rPr>
        <w:t xml:space="preserve">the EPI review found that </w:t>
      </w:r>
      <w:r>
        <w:rPr>
          <w:rFonts w:ascii="Arial" w:hAnsi="Arial"/>
        </w:rPr>
        <w:t xml:space="preserve">defaulting tracking was </w:t>
      </w:r>
      <w:r w:rsidR="0006192C">
        <w:rPr>
          <w:rFonts w:ascii="Arial" w:hAnsi="Arial"/>
        </w:rPr>
        <w:t>occurring regularly</w:t>
      </w:r>
      <w:r>
        <w:rPr>
          <w:rFonts w:ascii="Arial" w:hAnsi="Arial"/>
        </w:rPr>
        <w:t xml:space="preserve"> in </w:t>
      </w:r>
      <w:r w:rsidR="0006192C">
        <w:rPr>
          <w:rFonts w:ascii="Arial" w:hAnsi="Arial"/>
        </w:rPr>
        <w:t xml:space="preserve">only </w:t>
      </w:r>
      <w:r>
        <w:rPr>
          <w:rFonts w:ascii="Arial" w:hAnsi="Arial"/>
        </w:rPr>
        <w:t>38% of health facilities. However, the situation is improving with the establishment of Regional Supportive Supervision Teams</w:t>
      </w:r>
      <w:r w:rsidR="00ED0BD7">
        <w:rPr>
          <w:rFonts w:ascii="Arial" w:hAnsi="Arial"/>
        </w:rPr>
        <w:t xml:space="preserve">, starting in 2015. The teams, described in the last section of this report, are already operating in 11 of the country’s 14 regions, with funding from the polio program (and </w:t>
      </w:r>
      <w:r w:rsidR="00267F0A">
        <w:rPr>
          <w:rFonts w:ascii="Arial" w:hAnsi="Arial"/>
        </w:rPr>
        <w:t xml:space="preserve">the </w:t>
      </w:r>
      <w:r w:rsidR="00ED0BD7">
        <w:rPr>
          <w:rFonts w:ascii="Arial" w:hAnsi="Arial"/>
        </w:rPr>
        <w:t xml:space="preserve">HSS </w:t>
      </w:r>
      <w:r w:rsidR="00267F0A">
        <w:rPr>
          <w:rFonts w:ascii="Arial" w:hAnsi="Arial"/>
        </w:rPr>
        <w:t xml:space="preserve">grant </w:t>
      </w:r>
      <w:r w:rsidR="00ED0BD7">
        <w:rPr>
          <w:rFonts w:ascii="Arial" w:hAnsi="Arial"/>
        </w:rPr>
        <w:t>in the future).</w:t>
      </w:r>
    </w:p>
    <w:p w:rsidR="00734BA0" w:rsidRDefault="00ED0BD7" w:rsidP="00F96B80">
      <w:pPr>
        <w:rPr>
          <w:rFonts w:ascii="Arial" w:hAnsi="Arial"/>
        </w:rPr>
      </w:pPr>
      <w:r>
        <w:rPr>
          <w:rFonts w:ascii="Arial" w:hAnsi="Arial"/>
        </w:rPr>
        <w:t>The EPI Revitalization Plan</w:t>
      </w:r>
      <w:r w:rsidR="00F96B80">
        <w:rPr>
          <w:rFonts w:ascii="Arial" w:hAnsi="Arial"/>
        </w:rPr>
        <w:t>,</w:t>
      </w:r>
      <w:r>
        <w:rPr>
          <w:rFonts w:ascii="Arial" w:hAnsi="Arial"/>
        </w:rPr>
        <w:t xml:space="preserve"> enacted by the Government from 2012 to 2014 </w:t>
      </w:r>
      <w:r w:rsidR="00F96B80" w:rsidRPr="00F96B80">
        <w:rPr>
          <w:rFonts w:ascii="Arial" w:hAnsi="Arial"/>
        </w:rPr>
        <w:t>in response to declining or plateauing coverage rates and disease outbreaks</w:t>
      </w:r>
      <w:r w:rsidR="00F96B80">
        <w:rPr>
          <w:rFonts w:ascii="Arial" w:hAnsi="Arial"/>
        </w:rPr>
        <w:t xml:space="preserve">, </w:t>
      </w:r>
      <w:r>
        <w:rPr>
          <w:rFonts w:ascii="Arial" w:hAnsi="Arial"/>
        </w:rPr>
        <w:t>has demonstrated that many of these issues and bottlenecks can be resolved with an infusion of funds and attention</w:t>
      </w:r>
      <w:r w:rsidR="00F96B80">
        <w:rPr>
          <w:rFonts w:ascii="Arial" w:hAnsi="Arial"/>
        </w:rPr>
        <w:t xml:space="preserve">. With funding from many partners, the plan focused on improving coverage in poor-performing districts by providing the means with which to strengthen social mobilization, outreach activities, vaccine collection from district stores, supervision and the like (see description in the last section). </w:t>
      </w:r>
      <w:r w:rsidR="00E72094">
        <w:rPr>
          <w:rFonts w:ascii="Arial" w:hAnsi="Arial"/>
        </w:rPr>
        <w:t xml:space="preserve">Administrative coverage data show an increase in coverage between 2010 and 2015, which many attribute in large measure to the plan </w:t>
      </w:r>
      <w:r w:rsidR="00F96B80">
        <w:rPr>
          <w:rFonts w:ascii="Arial" w:hAnsi="Arial"/>
        </w:rPr>
        <w:t xml:space="preserve">(see </w:t>
      </w:r>
      <w:r w:rsidR="00634879">
        <w:rPr>
          <w:rFonts w:ascii="Arial" w:hAnsi="Arial"/>
        </w:rPr>
        <w:t xml:space="preserve">maps in </w:t>
      </w:r>
      <w:r w:rsidR="00F96B80">
        <w:rPr>
          <w:rFonts w:ascii="Arial" w:hAnsi="Arial"/>
        </w:rPr>
        <w:t>annex).</w:t>
      </w:r>
      <w:r w:rsidR="00E72094">
        <w:rPr>
          <w:rStyle w:val="FootnoteReference"/>
          <w:rFonts w:ascii="Arial" w:hAnsi="Arial"/>
        </w:rPr>
        <w:footnoteReference w:id="12"/>
      </w:r>
    </w:p>
    <w:p w:rsidR="00734BA0" w:rsidRPr="00371B50" w:rsidRDefault="00734BA0" w:rsidP="00734BA0">
      <w:pPr>
        <w:rPr>
          <w:rFonts w:ascii="Arial" w:hAnsi="Arial"/>
          <w:b/>
        </w:rPr>
      </w:pPr>
      <w:r w:rsidRPr="00371B50">
        <w:rPr>
          <w:rFonts w:ascii="Arial" w:hAnsi="Arial"/>
          <w:b/>
        </w:rPr>
        <w:t>3.4</w:t>
      </w:r>
      <w:r w:rsidR="007709E9">
        <w:rPr>
          <w:rFonts w:ascii="Arial" w:hAnsi="Arial"/>
          <w:b/>
        </w:rPr>
        <w:t xml:space="preserve">  Goal 4: </w:t>
      </w:r>
      <w:r w:rsidRPr="00371B50">
        <w:rPr>
          <w:rFonts w:ascii="Arial" w:hAnsi="Arial"/>
          <w:b/>
        </w:rPr>
        <w:t>Introduce new and improved vaccines and technologies</w:t>
      </w:r>
    </w:p>
    <w:p w:rsidR="00734BA0" w:rsidRDefault="008C64BB" w:rsidP="008C64BB">
      <w:pPr>
        <w:rPr>
          <w:rFonts w:ascii="Arial" w:hAnsi="Arial"/>
        </w:rPr>
      </w:pPr>
      <w:r w:rsidRPr="008C64BB">
        <w:rPr>
          <w:rFonts w:ascii="Arial" w:hAnsi="Arial"/>
        </w:rPr>
        <w:t>In recent</w:t>
      </w:r>
      <w:r w:rsidR="007B7B71">
        <w:rPr>
          <w:rFonts w:ascii="Arial" w:hAnsi="Arial"/>
        </w:rPr>
        <w:t xml:space="preserve"> years, UNEPI has introduced PCV (in 2013-14), HPV (in 2015) and IPV (in </w:t>
      </w:r>
      <w:r w:rsidR="004A203B">
        <w:rPr>
          <w:rFonts w:ascii="Arial" w:hAnsi="Arial"/>
        </w:rPr>
        <w:t xml:space="preserve">April </w:t>
      </w:r>
      <w:r w:rsidR="007B7B71">
        <w:rPr>
          <w:rFonts w:ascii="Arial" w:hAnsi="Arial"/>
        </w:rPr>
        <w:t>2016. Below is a summary of the PCV and HPV introductions:</w:t>
      </w:r>
    </w:p>
    <w:p w:rsidR="007B7B71" w:rsidRDefault="007B7B71" w:rsidP="003E3AFC">
      <w:pPr>
        <w:pStyle w:val="ListParagraph"/>
        <w:numPr>
          <w:ilvl w:val="0"/>
          <w:numId w:val="31"/>
        </w:numPr>
        <w:contextualSpacing w:val="0"/>
        <w:rPr>
          <w:rFonts w:ascii="Arial" w:hAnsi="Arial"/>
        </w:rPr>
      </w:pPr>
      <w:r w:rsidRPr="007B7B71">
        <w:rPr>
          <w:rFonts w:ascii="Arial" w:hAnsi="Arial"/>
          <w:b/>
        </w:rPr>
        <w:t>PCV</w:t>
      </w:r>
      <w:r>
        <w:rPr>
          <w:rFonts w:ascii="Arial" w:hAnsi="Arial"/>
        </w:rPr>
        <w:t>: The vaccine was launched in one district in April 2013, but not in the rest of the country until 2014, when introduction was phased in from January to June in three phases. Nation-wide introduction was stretched out over more than a year for a number of reasons, including delays in the release of government funds to the districts for training, due to the establishment of a new financial ma</w:t>
      </w:r>
      <w:r w:rsidR="00E72094">
        <w:rPr>
          <w:rFonts w:ascii="Arial" w:hAnsi="Arial"/>
        </w:rPr>
        <w:t>nagement system</w:t>
      </w:r>
      <w:r>
        <w:rPr>
          <w:rFonts w:ascii="Arial" w:hAnsi="Arial"/>
        </w:rPr>
        <w:t xml:space="preserve">. The training at the local level was comprehensive (lasting three days, including refresher EPI training) and the PCV </w:t>
      </w:r>
      <w:r w:rsidR="00E72094">
        <w:rPr>
          <w:rFonts w:ascii="Arial" w:hAnsi="Arial"/>
        </w:rPr>
        <w:t>post-introduction evaluation (</w:t>
      </w:r>
      <w:r>
        <w:rPr>
          <w:rFonts w:ascii="Arial" w:hAnsi="Arial"/>
        </w:rPr>
        <w:t>PIE</w:t>
      </w:r>
      <w:r w:rsidR="00E72094">
        <w:rPr>
          <w:rFonts w:ascii="Arial" w:hAnsi="Arial"/>
        </w:rPr>
        <w:t>)</w:t>
      </w:r>
      <w:r>
        <w:rPr>
          <w:rFonts w:ascii="Arial" w:hAnsi="Arial"/>
        </w:rPr>
        <w:t xml:space="preserve"> indicates good knowledge about the vaccine among health workers.</w:t>
      </w:r>
      <w:r w:rsidR="00E72094">
        <w:rPr>
          <w:rStyle w:val="FootnoteReference"/>
          <w:rFonts w:ascii="Arial" w:hAnsi="Arial"/>
        </w:rPr>
        <w:footnoteReference w:id="13"/>
      </w:r>
      <w:r>
        <w:rPr>
          <w:rFonts w:ascii="Arial" w:hAnsi="Arial"/>
        </w:rPr>
        <w:t xml:space="preserve"> However, it also found that not all staff administering PCV had received formal (vs. on-the-job) training in 35% of facilities. PCV coverage has been low (50% in 2014), due to the phased in roll-out, global shortages of PCV, which required </w:t>
      </w:r>
      <w:r w:rsidR="00413925">
        <w:rPr>
          <w:rFonts w:ascii="Arial" w:hAnsi="Arial"/>
        </w:rPr>
        <w:t xml:space="preserve">the national medical stores (NMS) </w:t>
      </w:r>
      <w:r>
        <w:rPr>
          <w:rFonts w:ascii="Arial" w:hAnsi="Arial"/>
        </w:rPr>
        <w:t xml:space="preserve">to ration the vaccine; and forecasting issues, including under-estimating the demand for the vaccine. The PIE conducted in February 2015 found “suboptimal routinization of PCV”, but it </w:t>
      </w:r>
      <w:r w:rsidR="003E3AFC">
        <w:rPr>
          <w:rFonts w:ascii="Arial" w:hAnsi="Arial"/>
        </w:rPr>
        <w:t>has become a regular part of the immunization schedule since then.</w:t>
      </w:r>
      <w:r w:rsidR="00E72094">
        <w:rPr>
          <w:rFonts w:ascii="Arial" w:hAnsi="Arial"/>
        </w:rPr>
        <w:t xml:space="preserve"> </w:t>
      </w:r>
    </w:p>
    <w:p w:rsidR="003E3AFC" w:rsidRDefault="003E3AFC" w:rsidP="003E3AFC">
      <w:pPr>
        <w:pStyle w:val="ListParagraph"/>
        <w:numPr>
          <w:ilvl w:val="0"/>
          <w:numId w:val="31"/>
        </w:numPr>
        <w:contextualSpacing w:val="0"/>
        <w:rPr>
          <w:rFonts w:ascii="Arial" w:hAnsi="Arial"/>
        </w:rPr>
      </w:pPr>
      <w:r>
        <w:rPr>
          <w:rFonts w:ascii="Arial" w:hAnsi="Arial"/>
          <w:b/>
        </w:rPr>
        <w:t>HPV</w:t>
      </w:r>
      <w:r w:rsidRPr="003E3AFC">
        <w:rPr>
          <w:rFonts w:ascii="Arial" w:hAnsi="Arial"/>
        </w:rPr>
        <w:t>:</w:t>
      </w:r>
      <w:r>
        <w:rPr>
          <w:rFonts w:ascii="Arial" w:hAnsi="Arial"/>
        </w:rPr>
        <w:t xml:space="preserve"> UNEPI’s strategy is to vaccinate all 10 year old girls through fixed facilities, combined with outreach at schools and other community settings. The introduction, originally planned for April 2015, was delayed until November, due to a shortage of cold storage space at the central level and of </w:t>
      </w:r>
      <w:r w:rsidR="00413925">
        <w:rPr>
          <w:rFonts w:ascii="Arial" w:hAnsi="Arial"/>
        </w:rPr>
        <w:t>refrigerators</w:t>
      </w:r>
      <w:r>
        <w:rPr>
          <w:rFonts w:ascii="Arial" w:hAnsi="Arial"/>
        </w:rPr>
        <w:t xml:space="preserve"> as lower levels. This was in turn </w:t>
      </w:r>
      <w:r>
        <w:rPr>
          <w:rFonts w:ascii="Arial" w:hAnsi="Arial"/>
        </w:rPr>
        <w:lastRenderedPageBreak/>
        <w:t xml:space="preserve">due to procurement problems that have prevented the expansion of the cold chain system, including central cold storage facilities at NMS, with HSS funding. To enable </w:t>
      </w:r>
      <w:r w:rsidR="00413925">
        <w:rPr>
          <w:rFonts w:ascii="Arial" w:hAnsi="Arial"/>
        </w:rPr>
        <w:t xml:space="preserve">the </w:t>
      </w:r>
      <w:r>
        <w:rPr>
          <w:rFonts w:ascii="Arial" w:hAnsi="Arial"/>
        </w:rPr>
        <w:t>introduction of HPV, UNICEF renovated existing NMS facilities for temporary storage of the vaccine</w:t>
      </w:r>
      <w:r w:rsidR="004A203B">
        <w:rPr>
          <w:rFonts w:ascii="Arial" w:hAnsi="Arial"/>
        </w:rPr>
        <w:t xml:space="preserve"> using GAVI HSS funds</w:t>
      </w:r>
      <w:r>
        <w:rPr>
          <w:rFonts w:ascii="Arial" w:hAnsi="Arial"/>
        </w:rPr>
        <w:t xml:space="preserve">. The introduction was combined with measles SIAs and Child Health Days to save costs, since the Government was unable to raise </w:t>
      </w:r>
      <w:r w:rsidR="002D3C3D">
        <w:rPr>
          <w:rFonts w:ascii="Arial" w:hAnsi="Arial"/>
        </w:rPr>
        <w:t>its</w:t>
      </w:r>
      <w:r>
        <w:rPr>
          <w:rFonts w:ascii="Arial" w:hAnsi="Arial"/>
        </w:rPr>
        <w:t xml:space="preserve"> 50% </w:t>
      </w:r>
      <w:r w:rsidR="002D3C3D">
        <w:rPr>
          <w:rFonts w:ascii="Arial" w:hAnsi="Arial"/>
        </w:rPr>
        <w:t xml:space="preserve">share of </w:t>
      </w:r>
      <w:r>
        <w:rPr>
          <w:rFonts w:ascii="Arial" w:hAnsi="Arial"/>
        </w:rPr>
        <w:t xml:space="preserve">operational </w:t>
      </w:r>
      <w:r w:rsidR="002D3C3D">
        <w:rPr>
          <w:rFonts w:ascii="Arial" w:hAnsi="Arial"/>
        </w:rPr>
        <w:t xml:space="preserve">costs for the measles campaign. Consequently, </w:t>
      </w:r>
      <w:r w:rsidR="00413925">
        <w:rPr>
          <w:rFonts w:ascii="Arial" w:hAnsi="Arial"/>
        </w:rPr>
        <w:t xml:space="preserve">GAVI </w:t>
      </w:r>
      <w:r w:rsidR="002D3C3D">
        <w:rPr>
          <w:rFonts w:ascii="Arial" w:hAnsi="Arial"/>
        </w:rPr>
        <w:t>vaccine introduction grant funds for HPV were used for the training and other operational costs for the combined campaigns/HPV introduction. This resulted in short changing the HPV introduction, as training was reduced from three to one day and little social mobilization for HPV took place. Nonetheless, population acceptance has reportedly been good. Coverage data are not yet available</w:t>
      </w:r>
      <w:r w:rsidR="00A56EBF">
        <w:rPr>
          <w:rFonts w:ascii="Arial" w:hAnsi="Arial"/>
        </w:rPr>
        <w:t>,</w:t>
      </w:r>
      <w:r w:rsidR="002D3C3D">
        <w:rPr>
          <w:rFonts w:ascii="Arial" w:hAnsi="Arial"/>
        </w:rPr>
        <w:t xml:space="preserve"> though reportedly the outreach activities, such as to schools, are insufficient, due to a lack of funding.</w:t>
      </w:r>
    </w:p>
    <w:p w:rsidR="002D3C3D" w:rsidRDefault="00716827" w:rsidP="002D3C3D">
      <w:pPr>
        <w:rPr>
          <w:rFonts w:ascii="Arial" w:hAnsi="Arial"/>
        </w:rPr>
      </w:pPr>
      <w:r>
        <w:rPr>
          <w:rFonts w:ascii="Arial" w:hAnsi="Arial"/>
        </w:rPr>
        <w:t>The introduction of r</w:t>
      </w:r>
      <w:r w:rsidR="002D3C3D">
        <w:rPr>
          <w:rFonts w:ascii="Arial" w:hAnsi="Arial"/>
        </w:rPr>
        <w:t>ota</w:t>
      </w:r>
      <w:r w:rsidR="00634879">
        <w:rPr>
          <w:rFonts w:ascii="Arial" w:hAnsi="Arial"/>
        </w:rPr>
        <w:t>virus</w:t>
      </w:r>
      <w:r w:rsidR="002D3C3D">
        <w:rPr>
          <w:rFonts w:ascii="Arial" w:hAnsi="Arial"/>
        </w:rPr>
        <w:t xml:space="preserve"> </w:t>
      </w:r>
      <w:r>
        <w:rPr>
          <w:rFonts w:ascii="Arial" w:hAnsi="Arial"/>
        </w:rPr>
        <w:t>vaccine was scheduled for</w:t>
      </w:r>
      <w:r w:rsidR="00634879">
        <w:rPr>
          <w:rFonts w:ascii="Arial" w:hAnsi="Arial"/>
        </w:rPr>
        <w:t xml:space="preserve"> 2016, but due to problems with the Government meeting its co-financing obligations and concerns voiced by UNITAG about the financial sustainability of additional vaccines, </w:t>
      </w:r>
      <w:r>
        <w:rPr>
          <w:rFonts w:ascii="Arial" w:hAnsi="Arial"/>
        </w:rPr>
        <w:t>this</w:t>
      </w:r>
      <w:r w:rsidR="00634879">
        <w:rPr>
          <w:rFonts w:ascii="Arial" w:hAnsi="Arial"/>
        </w:rPr>
        <w:t xml:space="preserve"> </w:t>
      </w:r>
      <w:r w:rsidR="005737AD">
        <w:rPr>
          <w:rFonts w:ascii="Arial" w:hAnsi="Arial"/>
        </w:rPr>
        <w:t>activity</w:t>
      </w:r>
      <w:r w:rsidR="00634879">
        <w:rPr>
          <w:rFonts w:ascii="Arial" w:hAnsi="Arial"/>
        </w:rPr>
        <w:t xml:space="preserve"> is </w:t>
      </w:r>
      <w:r w:rsidR="005737AD">
        <w:rPr>
          <w:rFonts w:ascii="Arial" w:hAnsi="Arial"/>
        </w:rPr>
        <w:t xml:space="preserve">currently </w:t>
      </w:r>
      <w:r w:rsidR="00634879">
        <w:rPr>
          <w:rFonts w:ascii="Arial" w:hAnsi="Arial"/>
        </w:rPr>
        <w:t>on hold</w:t>
      </w:r>
      <w:r w:rsidR="005737AD">
        <w:rPr>
          <w:rFonts w:ascii="Arial" w:hAnsi="Arial"/>
        </w:rPr>
        <w:t>. UNEPI plans to apply to GAVI for support for</w:t>
      </w:r>
      <w:r w:rsidR="005737AD" w:rsidRPr="005737AD">
        <w:rPr>
          <w:rFonts w:ascii="Arial" w:hAnsi="Arial"/>
        </w:rPr>
        <w:t xml:space="preserve"> </w:t>
      </w:r>
      <w:r w:rsidR="005737AD">
        <w:rPr>
          <w:rFonts w:ascii="Arial" w:hAnsi="Arial"/>
        </w:rPr>
        <w:t>rotavirus vaccine introduction once</w:t>
      </w:r>
      <w:r w:rsidR="00634879">
        <w:rPr>
          <w:rFonts w:ascii="Arial" w:hAnsi="Arial"/>
        </w:rPr>
        <w:t xml:space="preserve"> the </w:t>
      </w:r>
      <w:r>
        <w:rPr>
          <w:rFonts w:ascii="Arial" w:hAnsi="Arial"/>
        </w:rPr>
        <w:t xml:space="preserve">financial </w:t>
      </w:r>
      <w:r w:rsidR="00634879">
        <w:rPr>
          <w:rFonts w:ascii="Arial" w:hAnsi="Arial"/>
        </w:rPr>
        <w:t>sustainability plan has been completed</w:t>
      </w:r>
      <w:r w:rsidR="004A203B">
        <w:rPr>
          <w:rFonts w:ascii="Arial" w:hAnsi="Arial"/>
        </w:rPr>
        <w:t xml:space="preserve">, </w:t>
      </w:r>
      <w:r>
        <w:rPr>
          <w:rFonts w:ascii="Arial" w:hAnsi="Arial"/>
        </w:rPr>
        <w:t xml:space="preserve">UNITAG has provided </w:t>
      </w:r>
      <w:r w:rsidR="004A203B">
        <w:rPr>
          <w:rFonts w:ascii="Arial" w:hAnsi="Arial"/>
        </w:rPr>
        <w:t>guidance</w:t>
      </w:r>
      <w:r>
        <w:rPr>
          <w:rFonts w:ascii="Arial" w:hAnsi="Arial"/>
        </w:rPr>
        <w:t xml:space="preserve">, </w:t>
      </w:r>
      <w:r w:rsidR="005737AD">
        <w:rPr>
          <w:rFonts w:ascii="Arial" w:hAnsi="Arial"/>
        </w:rPr>
        <w:t xml:space="preserve">and </w:t>
      </w:r>
      <w:r w:rsidR="00634879">
        <w:rPr>
          <w:rFonts w:ascii="Arial" w:hAnsi="Arial"/>
        </w:rPr>
        <w:t xml:space="preserve">the country </w:t>
      </w:r>
      <w:r w:rsidR="005737AD">
        <w:rPr>
          <w:rFonts w:ascii="Arial" w:hAnsi="Arial"/>
        </w:rPr>
        <w:t>has paid</w:t>
      </w:r>
      <w:r w:rsidR="00634879">
        <w:rPr>
          <w:rFonts w:ascii="Arial" w:hAnsi="Arial"/>
        </w:rPr>
        <w:t xml:space="preserve"> its co-financing arrears</w:t>
      </w:r>
      <w:r w:rsidR="005737AD">
        <w:rPr>
          <w:rFonts w:ascii="Arial" w:hAnsi="Arial"/>
        </w:rPr>
        <w:t>, as well as responded to the recommendations of the GAVI program capacity assessment conducted in 2015</w:t>
      </w:r>
      <w:r w:rsidR="00634879">
        <w:rPr>
          <w:rFonts w:ascii="Arial" w:hAnsi="Arial"/>
        </w:rPr>
        <w:t>.</w:t>
      </w:r>
    </w:p>
    <w:p w:rsidR="00734BA0" w:rsidRDefault="00734BA0" w:rsidP="00734BA0">
      <w:pPr>
        <w:pStyle w:val="ListParagraph"/>
        <w:numPr>
          <w:ilvl w:val="0"/>
          <w:numId w:val="3"/>
        </w:numPr>
        <w:rPr>
          <w:rFonts w:ascii="Arial" w:hAnsi="Arial"/>
          <w:b/>
          <w:sz w:val="26"/>
          <w:szCs w:val="26"/>
        </w:rPr>
      </w:pPr>
      <w:r w:rsidRPr="00634879">
        <w:rPr>
          <w:rFonts w:ascii="Arial" w:hAnsi="Arial"/>
          <w:b/>
          <w:sz w:val="26"/>
          <w:szCs w:val="26"/>
        </w:rPr>
        <w:t>Partner support to address remaining challenges to meet the GVAP goals and targets</w:t>
      </w:r>
    </w:p>
    <w:p w:rsidR="00634879" w:rsidRDefault="00634879" w:rsidP="00634879">
      <w:pPr>
        <w:rPr>
          <w:rFonts w:ascii="Arial" w:hAnsi="Arial"/>
        </w:rPr>
      </w:pPr>
      <w:r>
        <w:rPr>
          <w:rFonts w:ascii="Arial" w:hAnsi="Arial"/>
        </w:rPr>
        <w:t>Partner s</w:t>
      </w:r>
      <w:r w:rsidRPr="00634879">
        <w:rPr>
          <w:rFonts w:ascii="Arial" w:hAnsi="Arial"/>
        </w:rPr>
        <w:t>upport</w:t>
      </w:r>
      <w:r>
        <w:rPr>
          <w:rFonts w:ascii="Arial" w:hAnsi="Arial"/>
        </w:rPr>
        <w:t xml:space="preserve"> for immunization activities is similar to that in many other GAVI-supported countries, with major partners providing financial support and technical assistance for polio and measles immunization campaigns, new vaccine introductions, surveillance, training, social mobilization, cold chain improvements and so forth (see Table 1). </w:t>
      </w:r>
      <w:r w:rsidR="00CF23E9">
        <w:rPr>
          <w:rFonts w:ascii="Arial" w:hAnsi="Arial"/>
        </w:rPr>
        <w:t>It should be noted that m</w:t>
      </w:r>
      <w:r>
        <w:rPr>
          <w:rFonts w:ascii="Arial" w:hAnsi="Arial"/>
        </w:rPr>
        <w:t xml:space="preserve">uch of the </w:t>
      </w:r>
      <w:r w:rsidR="006D0B40">
        <w:rPr>
          <w:rFonts w:ascii="Arial" w:hAnsi="Arial"/>
        </w:rPr>
        <w:t xml:space="preserve">GAVI </w:t>
      </w:r>
      <w:r>
        <w:rPr>
          <w:rFonts w:ascii="Arial" w:hAnsi="Arial"/>
        </w:rPr>
        <w:t>HSS funding ha</w:t>
      </w:r>
      <w:r w:rsidR="00C03FFE">
        <w:rPr>
          <w:rFonts w:ascii="Arial" w:hAnsi="Arial"/>
        </w:rPr>
        <w:t>d</w:t>
      </w:r>
      <w:r>
        <w:rPr>
          <w:rFonts w:ascii="Arial" w:hAnsi="Arial"/>
        </w:rPr>
        <w:t xml:space="preserve"> been on hold for several years due to procurement issues </w:t>
      </w:r>
      <w:r w:rsidR="00CF23E9">
        <w:rPr>
          <w:rFonts w:ascii="Arial" w:hAnsi="Arial"/>
        </w:rPr>
        <w:t xml:space="preserve">related to </w:t>
      </w:r>
      <w:r>
        <w:rPr>
          <w:rFonts w:ascii="Arial" w:hAnsi="Arial"/>
        </w:rPr>
        <w:t xml:space="preserve">the </w:t>
      </w:r>
      <w:r w:rsidR="00CF23E9">
        <w:rPr>
          <w:rFonts w:ascii="Arial" w:hAnsi="Arial"/>
        </w:rPr>
        <w:t>expansion of the cold chain system (including cold room expansion at the national</w:t>
      </w:r>
      <w:r>
        <w:rPr>
          <w:rFonts w:ascii="Arial" w:hAnsi="Arial"/>
        </w:rPr>
        <w:t xml:space="preserve"> </w:t>
      </w:r>
      <w:r w:rsidR="00CF23E9">
        <w:rPr>
          <w:rFonts w:ascii="Arial" w:hAnsi="Arial"/>
        </w:rPr>
        <w:t xml:space="preserve">level, construction of district-level cold rooms, and procurement of cold chain equipment), as well as the construction of health worker housing. </w:t>
      </w:r>
      <w:r w:rsidR="00C03FFE">
        <w:rPr>
          <w:rFonts w:ascii="Arial" w:hAnsi="Arial"/>
        </w:rPr>
        <w:t>These issues have recently been resolved and GAVI has approved a second HSS grant (HSS II)</w:t>
      </w:r>
      <w:r w:rsidR="007D2844">
        <w:rPr>
          <w:rFonts w:ascii="Arial" w:hAnsi="Arial"/>
        </w:rPr>
        <w:t>, with implementation expected to begin in 2017.</w:t>
      </w:r>
    </w:p>
    <w:p w:rsidR="00CF23E9" w:rsidRPr="00CF23E9" w:rsidRDefault="00EF28C5" w:rsidP="00EF28C5">
      <w:pPr>
        <w:pStyle w:val="Caption"/>
        <w:rPr>
          <w:rFonts w:ascii="Arial" w:hAnsi="Arial"/>
          <w:b w:val="0"/>
        </w:rPr>
      </w:pPr>
      <w:r w:rsidRPr="00EF28C5">
        <w:rPr>
          <w:sz w:val="22"/>
        </w:rPr>
        <w:t xml:space="preserve">Table </w:t>
      </w:r>
      <w:r w:rsidRPr="00EF28C5">
        <w:rPr>
          <w:sz w:val="22"/>
        </w:rPr>
        <w:fldChar w:fldCharType="begin"/>
      </w:r>
      <w:r w:rsidRPr="00EF28C5">
        <w:rPr>
          <w:sz w:val="22"/>
        </w:rPr>
        <w:instrText xml:space="preserve"> SEQ Table \* ARABIC </w:instrText>
      </w:r>
      <w:r w:rsidRPr="00EF28C5">
        <w:rPr>
          <w:sz w:val="22"/>
        </w:rPr>
        <w:fldChar w:fldCharType="separate"/>
      </w:r>
      <w:r w:rsidRPr="00EF28C5">
        <w:rPr>
          <w:noProof/>
          <w:sz w:val="22"/>
        </w:rPr>
        <w:t>1</w:t>
      </w:r>
      <w:r w:rsidRPr="00EF28C5">
        <w:rPr>
          <w:sz w:val="22"/>
        </w:rPr>
        <w:fldChar w:fldCharType="end"/>
      </w:r>
      <w:r w:rsidRPr="00EF28C5">
        <w:rPr>
          <w:sz w:val="22"/>
        </w:rPr>
        <w:t xml:space="preserve">: </w:t>
      </w:r>
      <w:r w:rsidR="00CF23E9" w:rsidRPr="00EF28C5">
        <w:rPr>
          <w:rFonts w:ascii="Arial" w:hAnsi="Arial"/>
          <w:sz w:val="22"/>
        </w:rPr>
        <w:t>Major partners supporting Uganda’s immunization program and their main activities</w:t>
      </w:r>
      <w:r w:rsidR="00724435">
        <w:rPr>
          <w:rStyle w:val="FootnoteReference"/>
          <w:rFonts w:ascii="Arial" w:hAnsi="Arial"/>
          <w:b w:val="0"/>
        </w:rPr>
        <w:footnoteReference w:id="14"/>
      </w:r>
      <w:r w:rsidR="00CA4529">
        <w:rPr>
          <w:rFonts w:ascii="Arial" w:hAnsi="Arial"/>
          <w:b w:val="0"/>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8"/>
        <w:gridCol w:w="5220"/>
        <w:gridCol w:w="2204"/>
      </w:tblGrid>
      <w:tr w:rsidR="00F31093" w:rsidRPr="00F31093" w:rsidTr="00B13A2F">
        <w:trPr>
          <w:tblHeader/>
          <w:jc w:val="center"/>
        </w:trPr>
        <w:tc>
          <w:tcPr>
            <w:tcW w:w="1818" w:type="dxa"/>
            <w:shd w:val="clear" w:color="auto" w:fill="auto"/>
          </w:tcPr>
          <w:p w:rsidR="00CF23E9" w:rsidRPr="00F31093" w:rsidRDefault="00CF23E9" w:rsidP="00B13A2F">
            <w:pPr>
              <w:spacing w:after="80" w:line="240" w:lineRule="auto"/>
              <w:jc w:val="center"/>
              <w:rPr>
                <w:rFonts w:ascii="Arial" w:eastAsia="SimSun" w:hAnsi="Arial"/>
                <w:b/>
                <w:color w:val="000000"/>
                <w:sz w:val="20"/>
                <w:szCs w:val="20"/>
                <w:lang w:eastAsia="zh-CN"/>
              </w:rPr>
            </w:pPr>
            <w:r w:rsidRPr="00F31093">
              <w:rPr>
                <w:rFonts w:ascii="Arial" w:eastAsia="SimSun" w:hAnsi="Arial"/>
                <w:b/>
                <w:color w:val="000000"/>
                <w:sz w:val="20"/>
                <w:szCs w:val="20"/>
                <w:lang w:eastAsia="zh-CN"/>
              </w:rPr>
              <w:t>Donor/partner</w:t>
            </w:r>
          </w:p>
        </w:tc>
        <w:tc>
          <w:tcPr>
            <w:tcW w:w="5220" w:type="dxa"/>
            <w:shd w:val="clear" w:color="auto" w:fill="auto"/>
          </w:tcPr>
          <w:p w:rsidR="00CF23E9" w:rsidRPr="00F31093" w:rsidRDefault="00F215A2" w:rsidP="00B13A2F">
            <w:pPr>
              <w:spacing w:after="80" w:line="240" w:lineRule="auto"/>
              <w:jc w:val="center"/>
              <w:rPr>
                <w:rFonts w:ascii="Arial" w:eastAsia="SimSun" w:hAnsi="Arial"/>
                <w:b/>
                <w:color w:val="000000"/>
                <w:sz w:val="20"/>
                <w:szCs w:val="20"/>
                <w:lang w:eastAsia="zh-CN"/>
              </w:rPr>
            </w:pPr>
            <w:r w:rsidRPr="00F31093">
              <w:rPr>
                <w:rFonts w:ascii="Arial" w:eastAsia="SimSun" w:hAnsi="Arial"/>
                <w:b/>
                <w:color w:val="000000"/>
                <w:sz w:val="20"/>
                <w:szCs w:val="20"/>
                <w:lang w:eastAsia="zh-CN"/>
              </w:rPr>
              <w:t>Recent k</w:t>
            </w:r>
            <w:r w:rsidR="00CF23E9" w:rsidRPr="00F31093">
              <w:rPr>
                <w:rFonts w:ascii="Arial" w:eastAsia="SimSun" w:hAnsi="Arial"/>
                <w:b/>
                <w:color w:val="000000"/>
                <w:sz w:val="20"/>
                <w:szCs w:val="20"/>
                <w:lang w:eastAsia="zh-CN"/>
              </w:rPr>
              <w:t>ey activities</w:t>
            </w:r>
            <w:r w:rsidR="00CA4529" w:rsidRPr="00F31093">
              <w:rPr>
                <w:rFonts w:ascii="Arial" w:eastAsia="SimSun" w:hAnsi="Arial"/>
                <w:b/>
                <w:color w:val="000000"/>
                <w:sz w:val="20"/>
                <w:szCs w:val="20"/>
                <w:lang w:eastAsia="zh-CN"/>
              </w:rPr>
              <w:t xml:space="preserve"> funded</w:t>
            </w:r>
          </w:p>
        </w:tc>
        <w:tc>
          <w:tcPr>
            <w:tcW w:w="2204" w:type="dxa"/>
            <w:shd w:val="clear" w:color="auto" w:fill="auto"/>
          </w:tcPr>
          <w:p w:rsidR="00CF23E9" w:rsidRPr="00F31093" w:rsidRDefault="00CA4529" w:rsidP="00B13A2F">
            <w:pPr>
              <w:spacing w:after="80" w:line="240" w:lineRule="auto"/>
              <w:jc w:val="center"/>
              <w:rPr>
                <w:rFonts w:ascii="Arial" w:eastAsia="SimSun" w:hAnsi="Arial"/>
                <w:b/>
                <w:color w:val="000000"/>
                <w:sz w:val="20"/>
                <w:szCs w:val="20"/>
                <w:lang w:eastAsia="zh-CN"/>
              </w:rPr>
            </w:pPr>
            <w:r w:rsidRPr="00F31093">
              <w:rPr>
                <w:rFonts w:ascii="Arial" w:eastAsia="SimSun" w:hAnsi="Arial"/>
                <w:b/>
                <w:color w:val="000000"/>
                <w:sz w:val="20"/>
                <w:szCs w:val="20"/>
                <w:lang w:eastAsia="zh-CN"/>
              </w:rPr>
              <w:t xml:space="preserve">Financial contribution to EPI (as a percent of </w:t>
            </w:r>
            <w:r w:rsidR="00CF23E9" w:rsidRPr="00F31093">
              <w:rPr>
                <w:rFonts w:ascii="Arial" w:eastAsia="SimSun" w:hAnsi="Arial"/>
                <w:b/>
                <w:color w:val="000000"/>
                <w:sz w:val="20"/>
                <w:szCs w:val="20"/>
                <w:lang w:eastAsia="zh-CN"/>
              </w:rPr>
              <w:t xml:space="preserve">total </w:t>
            </w:r>
            <w:r w:rsidRPr="00F31093">
              <w:rPr>
                <w:rFonts w:ascii="Arial" w:eastAsia="SimSun" w:hAnsi="Arial"/>
                <w:b/>
                <w:color w:val="000000"/>
                <w:sz w:val="20"/>
                <w:szCs w:val="20"/>
                <w:lang w:eastAsia="zh-CN"/>
              </w:rPr>
              <w:t>spending in 2013/14</w:t>
            </w:r>
            <w:r w:rsidR="00724435" w:rsidRPr="00F31093">
              <w:rPr>
                <w:rFonts w:ascii="Arial" w:eastAsia="SimSun" w:hAnsi="Arial"/>
                <w:b/>
                <w:color w:val="000000"/>
                <w:sz w:val="20"/>
                <w:szCs w:val="20"/>
                <w:lang w:eastAsia="zh-CN"/>
              </w:rPr>
              <w:t>)</w:t>
            </w:r>
          </w:p>
        </w:tc>
      </w:tr>
      <w:tr w:rsidR="00F31093" w:rsidRPr="00F31093" w:rsidTr="00B13A2F">
        <w:trPr>
          <w:jc w:val="center"/>
        </w:trPr>
        <w:tc>
          <w:tcPr>
            <w:tcW w:w="1818" w:type="dxa"/>
            <w:shd w:val="clear" w:color="auto" w:fill="auto"/>
          </w:tcPr>
          <w:p w:rsidR="00CA4529" w:rsidRPr="00F31093" w:rsidRDefault="00CA4529" w:rsidP="00B13A2F">
            <w:pPr>
              <w:spacing w:after="80" w:line="240" w:lineRule="auto"/>
              <w:rPr>
                <w:rFonts w:ascii="Arial" w:eastAsia="SimSun" w:hAnsi="Arial"/>
                <w:color w:val="000000"/>
                <w:sz w:val="20"/>
                <w:szCs w:val="20"/>
                <w:lang w:eastAsia="zh-CN"/>
              </w:rPr>
            </w:pPr>
            <w:r w:rsidRPr="00F31093">
              <w:rPr>
                <w:rFonts w:ascii="Arial" w:eastAsia="SimSun" w:hAnsi="Arial"/>
                <w:color w:val="000000"/>
                <w:sz w:val="20"/>
                <w:szCs w:val="20"/>
                <w:lang w:eastAsia="zh-CN"/>
              </w:rPr>
              <w:t>GAVI</w:t>
            </w:r>
          </w:p>
        </w:tc>
        <w:tc>
          <w:tcPr>
            <w:tcW w:w="5220" w:type="dxa"/>
            <w:shd w:val="clear" w:color="auto" w:fill="auto"/>
          </w:tcPr>
          <w:p w:rsidR="00CA4529" w:rsidRPr="00F31093" w:rsidRDefault="00CA4529" w:rsidP="00B13A2F">
            <w:pPr>
              <w:spacing w:after="80" w:line="240" w:lineRule="auto"/>
              <w:rPr>
                <w:rFonts w:ascii="Arial" w:eastAsia="SimSun" w:hAnsi="Arial"/>
                <w:color w:val="000000"/>
                <w:sz w:val="20"/>
                <w:szCs w:val="20"/>
                <w:lang w:eastAsia="zh-CN"/>
              </w:rPr>
            </w:pPr>
            <w:r w:rsidRPr="00F31093">
              <w:rPr>
                <w:rFonts w:ascii="Arial" w:eastAsia="SimSun" w:hAnsi="Arial"/>
                <w:color w:val="000000"/>
                <w:sz w:val="20"/>
                <w:szCs w:val="20"/>
                <w:lang w:eastAsia="zh-CN"/>
              </w:rPr>
              <w:t>New vaccine introductions</w:t>
            </w:r>
          </w:p>
          <w:p w:rsidR="00CA4529" w:rsidRPr="00F31093" w:rsidRDefault="00F215A2" w:rsidP="00B13A2F">
            <w:pPr>
              <w:spacing w:after="80" w:line="240" w:lineRule="auto"/>
              <w:rPr>
                <w:rFonts w:ascii="Arial" w:eastAsia="SimSun" w:hAnsi="Arial"/>
                <w:color w:val="000000"/>
                <w:sz w:val="20"/>
                <w:szCs w:val="20"/>
                <w:lang w:eastAsia="zh-CN"/>
              </w:rPr>
            </w:pPr>
            <w:r w:rsidRPr="00F31093">
              <w:rPr>
                <w:rFonts w:ascii="Arial" w:eastAsia="SimSun" w:hAnsi="Arial"/>
                <w:color w:val="000000"/>
                <w:sz w:val="20"/>
                <w:szCs w:val="20"/>
                <w:lang w:eastAsia="zh-CN"/>
              </w:rPr>
              <w:t xml:space="preserve">Measles/polio SIAs </w:t>
            </w:r>
          </w:p>
          <w:p w:rsidR="00CA4529" w:rsidRPr="00F31093" w:rsidRDefault="00CA4529" w:rsidP="00B13A2F">
            <w:pPr>
              <w:spacing w:after="80" w:line="240" w:lineRule="auto"/>
              <w:rPr>
                <w:rFonts w:ascii="Arial" w:eastAsia="SimSun" w:hAnsi="Arial"/>
                <w:color w:val="000000"/>
                <w:sz w:val="20"/>
                <w:szCs w:val="20"/>
                <w:lang w:eastAsia="zh-CN"/>
              </w:rPr>
            </w:pPr>
            <w:r w:rsidRPr="00F31093">
              <w:rPr>
                <w:rFonts w:ascii="Arial" w:eastAsia="SimSun" w:hAnsi="Arial"/>
                <w:color w:val="000000"/>
                <w:sz w:val="20"/>
                <w:szCs w:val="20"/>
                <w:lang w:eastAsia="zh-CN"/>
              </w:rPr>
              <w:t>EPI training</w:t>
            </w:r>
          </w:p>
          <w:p w:rsidR="00CA4529" w:rsidRPr="00F31093" w:rsidRDefault="00CA4529" w:rsidP="00B13A2F">
            <w:pPr>
              <w:spacing w:after="80" w:line="240" w:lineRule="auto"/>
              <w:rPr>
                <w:rFonts w:ascii="Arial" w:eastAsia="SimSun" w:hAnsi="Arial"/>
                <w:color w:val="000000"/>
                <w:sz w:val="20"/>
                <w:szCs w:val="20"/>
                <w:lang w:eastAsia="zh-CN"/>
              </w:rPr>
            </w:pPr>
            <w:r w:rsidRPr="00F31093">
              <w:rPr>
                <w:rFonts w:ascii="Arial" w:eastAsia="SimSun" w:hAnsi="Arial"/>
                <w:color w:val="000000"/>
                <w:sz w:val="20"/>
                <w:szCs w:val="20"/>
                <w:lang w:eastAsia="zh-CN"/>
              </w:rPr>
              <w:t>EPI outreach activities</w:t>
            </w:r>
          </w:p>
          <w:p w:rsidR="00CA4529" w:rsidRPr="00F31093" w:rsidRDefault="00CA4529" w:rsidP="00B13A2F">
            <w:pPr>
              <w:spacing w:after="80" w:line="240" w:lineRule="auto"/>
              <w:rPr>
                <w:rFonts w:ascii="Arial" w:eastAsia="SimSun" w:hAnsi="Arial"/>
                <w:color w:val="000000"/>
                <w:sz w:val="20"/>
                <w:szCs w:val="20"/>
                <w:lang w:eastAsia="zh-CN"/>
              </w:rPr>
            </w:pPr>
            <w:r w:rsidRPr="00F31093">
              <w:rPr>
                <w:rFonts w:ascii="Arial" w:eastAsia="SimSun" w:hAnsi="Arial"/>
                <w:color w:val="000000"/>
                <w:sz w:val="20"/>
                <w:szCs w:val="20"/>
                <w:lang w:eastAsia="zh-CN"/>
              </w:rPr>
              <w:lastRenderedPageBreak/>
              <w:t>Supportive supervision</w:t>
            </w:r>
          </w:p>
          <w:p w:rsidR="00CA4529" w:rsidRPr="00F31093" w:rsidRDefault="00CA4529" w:rsidP="00B13A2F">
            <w:pPr>
              <w:spacing w:after="80" w:line="240" w:lineRule="auto"/>
              <w:rPr>
                <w:rFonts w:ascii="Arial" w:eastAsia="SimSun" w:hAnsi="Arial"/>
                <w:color w:val="000000"/>
                <w:sz w:val="20"/>
                <w:szCs w:val="20"/>
                <w:lang w:eastAsia="zh-CN"/>
              </w:rPr>
            </w:pPr>
            <w:r w:rsidRPr="00F31093">
              <w:rPr>
                <w:rFonts w:ascii="Arial" w:eastAsia="SimSun" w:hAnsi="Arial"/>
                <w:color w:val="000000"/>
                <w:sz w:val="20"/>
                <w:szCs w:val="20"/>
                <w:lang w:eastAsia="zh-CN"/>
              </w:rPr>
              <w:t>Social mobilization</w:t>
            </w:r>
          </w:p>
          <w:p w:rsidR="00F215A2" w:rsidRPr="00F31093" w:rsidRDefault="00F215A2" w:rsidP="00B13A2F">
            <w:pPr>
              <w:spacing w:after="80" w:line="240" w:lineRule="auto"/>
              <w:rPr>
                <w:rFonts w:ascii="Arial" w:eastAsia="SimSun" w:hAnsi="Arial"/>
                <w:color w:val="000000"/>
                <w:sz w:val="20"/>
                <w:szCs w:val="20"/>
                <w:lang w:eastAsia="zh-CN"/>
              </w:rPr>
            </w:pPr>
            <w:r w:rsidRPr="00F31093">
              <w:rPr>
                <w:rFonts w:ascii="Arial" w:eastAsia="SimSun" w:hAnsi="Arial"/>
                <w:color w:val="000000"/>
                <w:sz w:val="20"/>
                <w:szCs w:val="20"/>
                <w:lang w:eastAsia="zh-CN"/>
              </w:rPr>
              <w:t xml:space="preserve">HSS (partially implemented): funding for cold chain system expansion, construction of health worker housing, provide private sector health facilities with cold chain equipment and training </w:t>
            </w:r>
          </w:p>
        </w:tc>
        <w:tc>
          <w:tcPr>
            <w:tcW w:w="2204" w:type="dxa"/>
            <w:shd w:val="clear" w:color="auto" w:fill="auto"/>
          </w:tcPr>
          <w:p w:rsidR="00CA4529" w:rsidRPr="00F31093" w:rsidRDefault="00F215A2" w:rsidP="00B13A2F">
            <w:pPr>
              <w:spacing w:after="80" w:line="240" w:lineRule="auto"/>
              <w:jc w:val="center"/>
              <w:rPr>
                <w:rFonts w:ascii="Arial" w:eastAsia="SimSun" w:hAnsi="Arial"/>
                <w:color w:val="000000"/>
                <w:sz w:val="20"/>
                <w:szCs w:val="20"/>
                <w:lang w:eastAsia="zh-CN"/>
              </w:rPr>
            </w:pPr>
            <w:r w:rsidRPr="00F31093">
              <w:rPr>
                <w:rFonts w:ascii="Arial" w:eastAsia="SimSun" w:hAnsi="Arial"/>
                <w:color w:val="000000"/>
                <w:sz w:val="20"/>
                <w:szCs w:val="20"/>
                <w:lang w:eastAsia="zh-CN"/>
              </w:rPr>
              <w:lastRenderedPageBreak/>
              <w:t>27%</w:t>
            </w:r>
          </w:p>
        </w:tc>
      </w:tr>
      <w:tr w:rsidR="00F31093" w:rsidRPr="00F31093" w:rsidTr="00B13A2F">
        <w:trPr>
          <w:jc w:val="center"/>
        </w:trPr>
        <w:tc>
          <w:tcPr>
            <w:tcW w:w="1818" w:type="dxa"/>
            <w:shd w:val="clear" w:color="auto" w:fill="auto"/>
          </w:tcPr>
          <w:p w:rsidR="00CF23E9" w:rsidRPr="00F31093" w:rsidRDefault="00CA4529" w:rsidP="00B13A2F">
            <w:pPr>
              <w:spacing w:after="80" w:line="240" w:lineRule="auto"/>
              <w:rPr>
                <w:rFonts w:ascii="Arial" w:eastAsia="SimSun" w:hAnsi="Arial"/>
                <w:color w:val="000000"/>
                <w:sz w:val="20"/>
                <w:szCs w:val="20"/>
                <w:lang w:eastAsia="zh-CN"/>
              </w:rPr>
            </w:pPr>
            <w:r w:rsidRPr="00F31093">
              <w:rPr>
                <w:rFonts w:ascii="Arial" w:eastAsia="SimSun" w:hAnsi="Arial"/>
                <w:color w:val="000000"/>
                <w:sz w:val="20"/>
                <w:szCs w:val="20"/>
                <w:lang w:eastAsia="zh-CN"/>
              </w:rPr>
              <w:lastRenderedPageBreak/>
              <w:t>UNICEF</w:t>
            </w:r>
          </w:p>
        </w:tc>
        <w:tc>
          <w:tcPr>
            <w:tcW w:w="5220" w:type="dxa"/>
            <w:shd w:val="clear" w:color="auto" w:fill="auto"/>
          </w:tcPr>
          <w:p w:rsidR="00CF23E9" w:rsidRPr="00F31093" w:rsidRDefault="00F215A2" w:rsidP="00B13A2F">
            <w:pPr>
              <w:spacing w:after="80" w:line="240" w:lineRule="auto"/>
              <w:rPr>
                <w:rFonts w:ascii="Arial" w:eastAsia="SimSun" w:hAnsi="Arial"/>
                <w:color w:val="000000"/>
                <w:sz w:val="20"/>
                <w:szCs w:val="20"/>
                <w:lang w:eastAsia="zh-CN"/>
              </w:rPr>
            </w:pPr>
            <w:r w:rsidRPr="00F31093">
              <w:rPr>
                <w:rFonts w:ascii="Arial" w:eastAsia="SimSun" w:hAnsi="Arial"/>
                <w:color w:val="000000"/>
                <w:sz w:val="20"/>
                <w:szCs w:val="20"/>
                <w:lang w:eastAsia="zh-CN"/>
              </w:rPr>
              <w:t>Social mobilization (e.g., at community level)</w:t>
            </w:r>
          </w:p>
          <w:p w:rsidR="00F215A2" w:rsidRPr="00F31093" w:rsidRDefault="00F215A2" w:rsidP="00B13A2F">
            <w:pPr>
              <w:spacing w:after="80" w:line="240" w:lineRule="auto"/>
              <w:rPr>
                <w:rFonts w:ascii="Arial" w:eastAsia="SimSun" w:hAnsi="Arial"/>
                <w:color w:val="000000"/>
                <w:sz w:val="20"/>
                <w:szCs w:val="20"/>
                <w:lang w:eastAsia="zh-CN"/>
              </w:rPr>
            </w:pPr>
            <w:r w:rsidRPr="00F31093">
              <w:rPr>
                <w:rFonts w:ascii="Arial" w:eastAsia="SimSun" w:hAnsi="Arial"/>
                <w:color w:val="000000"/>
                <w:sz w:val="20"/>
                <w:szCs w:val="20"/>
                <w:lang w:eastAsia="zh-CN"/>
              </w:rPr>
              <w:t>Immunization campaigns/SIAs</w:t>
            </w:r>
          </w:p>
          <w:p w:rsidR="00F215A2" w:rsidRPr="00F31093" w:rsidRDefault="00F215A2" w:rsidP="00B13A2F">
            <w:pPr>
              <w:spacing w:after="80" w:line="240" w:lineRule="auto"/>
              <w:rPr>
                <w:rFonts w:ascii="Arial" w:eastAsia="SimSun" w:hAnsi="Arial"/>
                <w:color w:val="000000"/>
                <w:sz w:val="20"/>
                <w:szCs w:val="20"/>
                <w:lang w:eastAsia="zh-CN"/>
              </w:rPr>
            </w:pPr>
            <w:r w:rsidRPr="00F31093">
              <w:rPr>
                <w:rFonts w:ascii="Arial" w:eastAsia="SimSun" w:hAnsi="Arial"/>
                <w:color w:val="000000"/>
                <w:sz w:val="20"/>
                <w:szCs w:val="20"/>
                <w:lang w:eastAsia="zh-CN"/>
              </w:rPr>
              <w:t>Family Health Days</w:t>
            </w:r>
          </w:p>
          <w:p w:rsidR="00F215A2" w:rsidRPr="00F31093" w:rsidRDefault="00F215A2" w:rsidP="00B13A2F">
            <w:pPr>
              <w:spacing w:after="80" w:line="240" w:lineRule="auto"/>
              <w:rPr>
                <w:rFonts w:ascii="Arial" w:eastAsia="SimSun" w:hAnsi="Arial"/>
                <w:color w:val="000000"/>
                <w:sz w:val="20"/>
                <w:szCs w:val="20"/>
                <w:lang w:eastAsia="zh-CN"/>
              </w:rPr>
            </w:pPr>
            <w:r w:rsidRPr="00F31093">
              <w:rPr>
                <w:rFonts w:ascii="Arial" w:eastAsia="SimSun" w:hAnsi="Arial"/>
                <w:color w:val="000000"/>
                <w:sz w:val="20"/>
                <w:szCs w:val="20"/>
                <w:lang w:eastAsia="zh-CN"/>
              </w:rPr>
              <w:t>Microplanning/RED/REC implementation</w:t>
            </w:r>
          </w:p>
          <w:p w:rsidR="00F215A2" w:rsidRPr="00F31093" w:rsidRDefault="00F215A2" w:rsidP="00B13A2F">
            <w:pPr>
              <w:spacing w:after="80" w:line="240" w:lineRule="auto"/>
              <w:rPr>
                <w:rFonts w:ascii="Arial" w:eastAsia="SimSun" w:hAnsi="Arial"/>
                <w:color w:val="000000"/>
                <w:sz w:val="20"/>
                <w:szCs w:val="20"/>
                <w:lang w:eastAsia="zh-CN"/>
              </w:rPr>
            </w:pPr>
            <w:r w:rsidRPr="00F31093">
              <w:rPr>
                <w:rFonts w:ascii="Arial" w:eastAsia="SimSun" w:hAnsi="Arial"/>
                <w:color w:val="000000"/>
                <w:sz w:val="20"/>
                <w:szCs w:val="20"/>
                <w:lang w:eastAsia="zh-CN"/>
              </w:rPr>
              <w:t>Cold chain improvements (e.g., remote temperature monitoring system development)</w:t>
            </w:r>
          </w:p>
          <w:p w:rsidR="00F215A2" w:rsidRPr="00F31093" w:rsidRDefault="00F215A2" w:rsidP="00B13A2F">
            <w:pPr>
              <w:spacing w:after="80" w:line="240" w:lineRule="auto"/>
              <w:rPr>
                <w:rFonts w:ascii="Arial" w:eastAsia="SimSun" w:hAnsi="Arial"/>
                <w:color w:val="000000"/>
                <w:sz w:val="20"/>
                <w:szCs w:val="20"/>
                <w:lang w:eastAsia="zh-CN"/>
              </w:rPr>
            </w:pPr>
            <w:r w:rsidRPr="00F31093">
              <w:rPr>
                <w:rFonts w:ascii="Arial" w:eastAsia="SimSun" w:hAnsi="Arial"/>
                <w:color w:val="000000"/>
                <w:sz w:val="20"/>
                <w:szCs w:val="20"/>
                <w:lang w:eastAsia="zh-CN"/>
              </w:rPr>
              <w:t>Equity assessment</w:t>
            </w:r>
          </w:p>
        </w:tc>
        <w:tc>
          <w:tcPr>
            <w:tcW w:w="2204" w:type="dxa"/>
            <w:shd w:val="clear" w:color="auto" w:fill="auto"/>
          </w:tcPr>
          <w:p w:rsidR="00CF23E9" w:rsidRPr="00F31093" w:rsidRDefault="00CA4529" w:rsidP="00B13A2F">
            <w:pPr>
              <w:spacing w:after="80" w:line="240" w:lineRule="auto"/>
              <w:jc w:val="center"/>
              <w:rPr>
                <w:rFonts w:ascii="Arial" w:eastAsia="SimSun" w:hAnsi="Arial"/>
                <w:color w:val="000000"/>
                <w:sz w:val="20"/>
                <w:szCs w:val="20"/>
                <w:lang w:eastAsia="zh-CN"/>
              </w:rPr>
            </w:pPr>
            <w:r w:rsidRPr="00F31093">
              <w:rPr>
                <w:rFonts w:ascii="Arial" w:eastAsia="SimSun" w:hAnsi="Arial"/>
                <w:color w:val="000000"/>
                <w:sz w:val="20"/>
                <w:szCs w:val="20"/>
                <w:lang w:eastAsia="zh-CN"/>
              </w:rPr>
              <w:t>11.5%</w:t>
            </w:r>
          </w:p>
        </w:tc>
      </w:tr>
      <w:tr w:rsidR="00F31093" w:rsidRPr="00F31093" w:rsidTr="00B13A2F">
        <w:trPr>
          <w:jc w:val="center"/>
        </w:trPr>
        <w:tc>
          <w:tcPr>
            <w:tcW w:w="1818" w:type="dxa"/>
            <w:shd w:val="clear" w:color="auto" w:fill="auto"/>
          </w:tcPr>
          <w:p w:rsidR="00CF23E9" w:rsidRPr="00F31093" w:rsidRDefault="00F215A2" w:rsidP="00B13A2F">
            <w:pPr>
              <w:spacing w:after="80" w:line="240" w:lineRule="auto"/>
              <w:rPr>
                <w:rFonts w:ascii="Arial" w:eastAsia="SimSun" w:hAnsi="Arial"/>
                <w:color w:val="000000"/>
                <w:sz w:val="20"/>
                <w:szCs w:val="20"/>
                <w:lang w:eastAsia="zh-CN"/>
              </w:rPr>
            </w:pPr>
            <w:r w:rsidRPr="00F31093">
              <w:rPr>
                <w:rFonts w:ascii="Arial" w:eastAsia="SimSun" w:hAnsi="Arial"/>
                <w:color w:val="000000"/>
                <w:sz w:val="20"/>
                <w:szCs w:val="20"/>
                <w:lang w:eastAsia="zh-CN"/>
              </w:rPr>
              <w:t>WHO</w:t>
            </w:r>
          </w:p>
        </w:tc>
        <w:tc>
          <w:tcPr>
            <w:tcW w:w="5220" w:type="dxa"/>
            <w:shd w:val="clear" w:color="auto" w:fill="auto"/>
          </w:tcPr>
          <w:p w:rsidR="00CF23E9" w:rsidRPr="00F31093" w:rsidRDefault="00F215A2" w:rsidP="00B13A2F">
            <w:pPr>
              <w:spacing w:after="80" w:line="240" w:lineRule="auto"/>
              <w:rPr>
                <w:rFonts w:ascii="Arial" w:eastAsia="SimSun" w:hAnsi="Arial"/>
                <w:color w:val="000000"/>
                <w:sz w:val="20"/>
                <w:szCs w:val="20"/>
                <w:lang w:eastAsia="zh-CN"/>
              </w:rPr>
            </w:pPr>
            <w:r w:rsidRPr="00F31093">
              <w:rPr>
                <w:rFonts w:ascii="Arial" w:eastAsia="SimSun" w:hAnsi="Arial"/>
                <w:color w:val="000000"/>
                <w:sz w:val="20"/>
                <w:szCs w:val="20"/>
                <w:lang w:eastAsia="zh-CN"/>
              </w:rPr>
              <w:t>Disease surveillance</w:t>
            </w:r>
          </w:p>
          <w:p w:rsidR="00F215A2" w:rsidRPr="00F31093" w:rsidRDefault="00F215A2" w:rsidP="00B13A2F">
            <w:pPr>
              <w:spacing w:after="80" w:line="240" w:lineRule="auto"/>
              <w:rPr>
                <w:rFonts w:ascii="Arial" w:eastAsia="SimSun" w:hAnsi="Arial"/>
                <w:color w:val="000000"/>
                <w:sz w:val="20"/>
                <w:szCs w:val="20"/>
                <w:lang w:eastAsia="zh-CN"/>
              </w:rPr>
            </w:pPr>
            <w:r w:rsidRPr="00F31093">
              <w:rPr>
                <w:rFonts w:ascii="Arial" w:eastAsia="SimSun" w:hAnsi="Arial"/>
                <w:color w:val="000000"/>
                <w:sz w:val="20"/>
                <w:szCs w:val="20"/>
                <w:lang w:eastAsia="zh-CN"/>
              </w:rPr>
              <w:t>Immunization campaigns/SIAs</w:t>
            </w:r>
          </w:p>
          <w:p w:rsidR="00F215A2" w:rsidRPr="00F31093" w:rsidRDefault="00F215A2" w:rsidP="00B13A2F">
            <w:pPr>
              <w:spacing w:after="80" w:line="240" w:lineRule="auto"/>
              <w:rPr>
                <w:rFonts w:ascii="Arial" w:eastAsia="SimSun" w:hAnsi="Arial"/>
                <w:color w:val="000000"/>
                <w:sz w:val="20"/>
                <w:szCs w:val="20"/>
                <w:lang w:eastAsia="zh-CN"/>
              </w:rPr>
            </w:pPr>
            <w:r w:rsidRPr="00F31093">
              <w:rPr>
                <w:rFonts w:ascii="Arial" w:eastAsia="SimSun" w:hAnsi="Arial"/>
                <w:color w:val="000000"/>
                <w:sz w:val="20"/>
                <w:szCs w:val="20"/>
                <w:lang w:eastAsia="zh-CN"/>
              </w:rPr>
              <w:t>New vaccine introductions</w:t>
            </w:r>
          </w:p>
          <w:p w:rsidR="00F215A2" w:rsidRPr="00F31093" w:rsidRDefault="00F215A2" w:rsidP="00B13A2F">
            <w:pPr>
              <w:spacing w:after="80" w:line="240" w:lineRule="auto"/>
              <w:rPr>
                <w:rFonts w:ascii="Arial" w:eastAsia="SimSun" w:hAnsi="Arial"/>
                <w:color w:val="000000"/>
                <w:sz w:val="20"/>
                <w:szCs w:val="20"/>
                <w:lang w:eastAsia="zh-CN"/>
              </w:rPr>
            </w:pPr>
            <w:r w:rsidRPr="00F31093">
              <w:rPr>
                <w:rFonts w:ascii="Arial" w:eastAsia="SimSun" w:hAnsi="Arial"/>
                <w:color w:val="000000"/>
                <w:sz w:val="20"/>
                <w:szCs w:val="20"/>
                <w:lang w:eastAsia="zh-CN"/>
              </w:rPr>
              <w:t>Policy and leadership (development of NITAG, financial sustainability plan)</w:t>
            </w:r>
          </w:p>
          <w:p w:rsidR="00F215A2" w:rsidRPr="00F31093" w:rsidRDefault="00F215A2" w:rsidP="00B13A2F">
            <w:pPr>
              <w:spacing w:after="80" w:line="240" w:lineRule="auto"/>
              <w:rPr>
                <w:rFonts w:ascii="Arial" w:eastAsia="SimSun" w:hAnsi="Arial"/>
                <w:color w:val="000000"/>
                <w:sz w:val="20"/>
                <w:szCs w:val="20"/>
                <w:lang w:eastAsia="zh-CN"/>
              </w:rPr>
            </w:pPr>
            <w:r w:rsidRPr="00F31093">
              <w:rPr>
                <w:rFonts w:ascii="Arial" w:eastAsia="SimSun" w:hAnsi="Arial"/>
                <w:color w:val="000000"/>
                <w:sz w:val="20"/>
                <w:szCs w:val="20"/>
                <w:lang w:eastAsia="zh-CN"/>
              </w:rPr>
              <w:t>Cold chain improvements (EVM implementation)</w:t>
            </w:r>
          </w:p>
        </w:tc>
        <w:tc>
          <w:tcPr>
            <w:tcW w:w="2204" w:type="dxa"/>
            <w:shd w:val="clear" w:color="auto" w:fill="auto"/>
          </w:tcPr>
          <w:p w:rsidR="00CF23E9" w:rsidRPr="00F31093" w:rsidRDefault="00F215A2" w:rsidP="00B13A2F">
            <w:pPr>
              <w:spacing w:after="80" w:line="240" w:lineRule="auto"/>
              <w:jc w:val="center"/>
              <w:rPr>
                <w:rFonts w:ascii="Arial" w:eastAsia="SimSun" w:hAnsi="Arial"/>
                <w:color w:val="000000"/>
                <w:sz w:val="20"/>
                <w:szCs w:val="20"/>
                <w:lang w:eastAsia="zh-CN"/>
              </w:rPr>
            </w:pPr>
            <w:r w:rsidRPr="00F31093">
              <w:rPr>
                <w:rFonts w:ascii="Arial" w:eastAsia="SimSun" w:hAnsi="Arial"/>
                <w:color w:val="000000"/>
                <w:sz w:val="20"/>
                <w:szCs w:val="20"/>
                <w:lang w:eastAsia="zh-CN"/>
              </w:rPr>
              <w:t>8%</w:t>
            </w:r>
          </w:p>
        </w:tc>
      </w:tr>
      <w:tr w:rsidR="00F31093" w:rsidRPr="00F31093" w:rsidTr="00B13A2F">
        <w:trPr>
          <w:jc w:val="center"/>
        </w:trPr>
        <w:tc>
          <w:tcPr>
            <w:tcW w:w="1818" w:type="dxa"/>
            <w:shd w:val="clear" w:color="auto" w:fill="auto"/>
          </w:tcPr>
          <w:p w:rsidR="00CF23E9" w:rsidRPr="00F31093" w:rsidRDefault="00F215A2" w:rsidP="00B13A2F">
            <w:pPr>
              <w:spacing w:after="80" w:line="240" w:lineRule="auto"/>
              <w:rPr>
                <w:rFonts w:ascii="Arial" w:eastAsia="SimSun" w:hAnsi="Arial"/>
                <w:color w:val="000000"/>
                <w:sz w:val="20"/>
                <w:szCs w:val="20"/>
                <w:lang w:eastAsia="zh-CN"/>
              </w:rPr>
            </w:pPr>
            <w:r w:rsidRPr="00F31093">
              <w:rPr>
                <w:rFonts w:ascii="Arial" w:eastAsia="SimSun" w:hAnsi="Arial"/>
                <w:color w:val="000000"/>
                <w:sz w:val="20"/>
                <w:szCs w:val="20"/>
                <w:lang w:eastAsia="zh-CN"/>
              </w:rPr>
              <w:t>USAID/MCSP (in 5 districts)</w:t>
            </w:r>
          </w:p>
        </w:tc>
        <w:tc>
          <w:tcPr>
            <w:tcW w:w="5220" w:type="dxa"/>
            <w:shd w:val="clear" w:color="auto" w:fill="auto"/>
          </w:tcPr>
          <w:p w:rsidR="00CF23E9" w:rsidRPr="00F31093" w:rsidRDefault="00F215A2" w:rsidP="00B13A2F">
            <w:pPr>
              <w:spacing w:after="80" w:line="240" w:lineRule="auto"/>
              <w:rPr>
                <w:rFonts w:ascii="Arial" w:eastAsia="SimSun" w:hAnsi="Arial"/>
                <w:color w:val="000000"/>
                <w:sz w:val="20"/>
                <w:szCs w:val="20"/>
                <w:lang w:eastAsia="zh-CN"/>
              </w:rPr>
            </w:pPr>
            <w:r w:rsidRPr="00F31093">
              <w:rPr>
                <w:rFonts w:ascii="Arial" w:eastAsia="SimSun" w:hAnsi="Arial"/>
                <w:color w:val="000000"/>
                <w:sz w:val="20"/>
                <w:szCs w:val="20"/>
                <w:lang w:eastAsia="zh-CN"/>
              </w:rPr>
              <w:t>Support RED strategy and local-level micro-planning</w:t>
            </w:r>
          </w:p>
          <w:p w:rsidR="00F215A2" w:rsidRPr="00F31093" w:rsidRDefault="00724435" w:rsidP="00B13A2F">
            <w:pPr>
              <w:spacing w:after="80" w:line="240" w:lineRule="auto"/>
              <w:rPr>
                <w:rFonts w:ascii="Arial" w:eastAsia="SimSun" w:hAnsi="Arial"/>
                <w:color w:val="000000"/>
                <w:sz w:val="20"/>
                <w:szCs w:val="20"/>
                <w:lang w:eastAsia="zh-CN"/>
              </w:rPr>
            </w:pPr>
            <w:r w:rsidRPr="00F31093">
              <w:rPr>
                <w:rFonts w:ascii="Arial" w:eastAsia="SimSun" w:hAnsi="Arial"/>
                <w:color w:val="000000"/>
                <w:sz w:val="20"/>
                <w:szCs w:val="20"/>
                <w:lang w:eastAsia="zh-CN"/>
              </w:rPr>
              <w:t>Supportive supervision</w:t>
            </w:r>
          </w:p>
        </w:tc>
        <w:tc>
          <w:tcPr>
            <w:tcW w:w="2204" w:type="dxa"/>
            <w:shd w:val="clear" w:color="auto" w:fill="auto"/>
          </w:tcPr>
          <w:p w:rsidR="00CF23E9" w:rsidRPr="00F31093" w:rsidRDefault="00724435" w:rsidP="00B13A2F">
            <w:pPr>
              <w:spacing w:after="80" w:line="240" w:lineRule="auto"/>
              <w:jc w:val="center"/>
              <w:rPr>
                <w:rFonts w:ascii="Arial" w:eastAsia="SimSun" w:hAnsi="Arial"/>
                <w:color w:val="000000"/>
                <w:sz w:val="20"/>
                <w:szCs w:val="20"/>
                <w:lang w:eastAsia="zh-CN"/>
              </w:rPr>
            </w:pPr>
            <w:r w:rsidRPr="00F31093">
              <w:rPr>
                <w:rFonts w:ascii="Arial" w:eastAsia="SimSun" w:hAnsi="Arial"/>
                <w:color w:val="000000"/>
                <w:sz w:val="20"/>
                <w:szCs w:val="20"/>
                <w:lang w:eastAsia="zh-CN"/>
              </w:rPr>
              <w:t>≈3%</w:t>
            </w:r>
          </w:p>
        </w:tc>
      </w:tr>
      <w:tr w:rsidR="00F31093" w:rsidRPr="00F31093" w:rsidTr="00B13A2F">
        <w:trPr>
          <w:jc w:val="center"/>
        </w:trPr>
        <w:tc>
          <w:tcPr>
            <w:tcW w:w="1818" w:type="dxa"/>
            <w:shd w:val="clear" w:color="auto" w:fill="auto"/>
          </w:tcPr>
          <w:p w:rsidR="00CF23E9" w:rsidRPr="00F31093" w:rsidRDefault="00724435" w:rsidP="00B13A2F">
            <w:pPr>
              <w:spacing w:after="80" w:line="240" w:lineRule="auto"/>
              <w:rPr>
                <w:rFonts w:ascii="Arial" w:eastAsia="SimSun" w:hAnsi="Arial"/>
                <w:color w:val="000000"/>
                <w:sz w:val="20"/>
                <w:szCs w:val="20"/>
                <w:lang w:eastAsia="zh-CN"/>
              </w:rPr>
            </w:pPr>
            <w:r w:rsidRPr="00F31093">
              <w:rPr>
                <w:rFonts w:ascii="Arial" w:eastAsia="SimSun" w:hAnsi="Arial"/>
                <w:color w:val="000000"/>
                <w:sz w:val="20"/>
                <w:szCs w:val="20"/>
                <w:lang w:eastAsia="zh-CN"/>
              </w:rPr>
              <w:t>U.S. CDC</w:t>
            </w:r>
          </w:p>
        </w:tc>
        <w:tc>
          <w:tcPr>
            <w:tcW w:w="5220" w:type="dxa"/>
            <w:shd w:val="clear" w:color="auto" w:fill="auto"/>
          </w:tcPr>
          <w:p w:rsidR="00CF23E9" w:rsidRPr="00F31093" w:rsidRDefault="00724435" w:rsidP="00B13A2F">
            <w:pPr>
              <w:spacing w:after="80" w:line="240" w:lineRule="auto"/>
              <w:rPr>
                <w:rFonts w:ascii="Arial" w:eastAsia="SimSun" w:hAnsi="Arial"/>
                <w:color w:val="000000"/>
                <w:sz w:val="20"/>
                <w:szCs w:val="20"/>
                <w:lang w:eastAsia="zh-CN"/>
              </w:rPr>
            </w:pPr>
            <w:r w:rsidRPr="00F31093">
              <w:rPr>
                <w:rFonts w:ascii="Arial" w:eastAsia="SimSun" w:hAnsi="Arial"/>
                <w:color w:val="000000"/>
                <w:sz w:val="20"/>
                <w:szCs w:val="20"/>
                <w:lang w:eastAsia="zh-CN"/>
              </w:rPr>
              <w:t>Data quality improvements (DITs)</w:t>
            </w:r>
          </w:p>
          <w:p w:rsidR="00724435" w:rsidRPr="00F31093" w:rsidRDefault="00D0293C" w:rsidP="007D2844">
            <w:pPr>
              <w:spacing w:after="80" w:line="240" w:lineRule="auto"/>
              <w:rPr>
                <w:rFonts w:ascii="Arial" w:eastAsia="SimSun" w:hAnsi="Arial"/>
                <w:color w:val="000000"/>
                <w:sz w:val="20"/>
                <w:szCs w:val="20"/>
                <w:lang w:eastAsia="zh-CN"/>
              </w:rPr>
            </w:pPr>
            <w:r w:rsidRPr="00F31093">
              <w:rPr>
                <w:rFonts w:ascii="Arial" w:eastAsia="SimSun" w:hAnsi="Arial"/>
                <w:color w:val="000000"/>
                <w:sz w:val="20"/>
                <w:szCs w:val="20"/>
                <w:lang w:eastAsia="zh-CN"/>
              </w:rPr>
              <w:t xml:space="preserve">NSTOP activities to strengthen </w:t>
            </w:r>
            <w:r w:rsidR="007D2844" w:rsidRPr="00F31093">
              <w:rPr>
                <w:rFonts w:ascii="Arial" w:eastAsia="SimSun" w:hAnsi="Arial"/>
                <w:color w:val="000000"/>
                <w:sz w:val="20"/>
                <w:szCs w:val="20"/>
                <w:lang w:eastAsia="zh-CN"/>
              </w:rPr>
              <w:t>s</w:t>
            </w:r>
            <w:r w:rsidR="00724435" w:rsidRPr="00F31093">
              <w:rPr>
                <w:rFonts w:ascii="Arial" w:eastAsia="SimSun" w:hAnsi="Arial"/>
                <w:color w:val="000000"/>
                <w:sz w:val="20"/>
                <w:szCs w:val="20"/>
                <w:lang w:eastAsia="zh-CN"/>
              </w:rPr>
              <w:t>urveillance</w:t>
            </w:r>
          </w:p>
        </w:tc>
        <w:tc>
          <w:tcPr>
            <w:tcW w:w="2204" w:type="dxa"/>
            <w:shd w:val="clear" w:color="auto" w:fill="auto"/>
          </w:tcPr>
          <w:p w:rsidR="00CF23E9" w:rsidRPr="00F31093" w:rsidRDefault="007D2844" w:rsidP="00B13A2F">
            <w:pPr>
              <w:spacing w:after="80" w:line="240" w:lineRule="auto"/>
              <w:jc w:val="center"/>
              <w:rPr>
                <w:rFonts w:ascii="Arial" w:eastAsia="SimSun" w:hAnsi="Arial"/>
                <w:color w:val="000000"/>
                <w:sz w:val="20"/>
                <w:szCs w:val="20"/>
                <w:lang w:eastAsia="zh-CN"/>
              </w:rPr>
            </w:pPr>
            <w:r w:rsidRPr="00F31093">
              <w:rPr>
                <w:rFonts w:ascii="Arial" w:eastAsia="SimSun" w:hAnsi="Arial"/>
                <w:color w:val="000000"/>
                <w:sz w:val="20"/>
                <w:szCs w:val="20"/>
                <w:lang w:eastAsia="zh-CN"/>
              </w:rPr>
              <w:t>NA</w:t>
            </w:r>
          </w:p>
        </w:tc>
      </w:tr>
      <w:tr w:rsidR="00F31093" w:rsidRPr="00F31093" w:rsidTr="00B13A2F">
        <w:trPr>
          <w:jc w:val="center"/>
        </w:trPr>
        <w:tc>
          <w:tcPr>
            <w:tcW w:w="1818" w:type="dxa"/>
            <w:shd w:val="clear" w:color="auto" w:fill="auto"/>
          </w:tcPr>
          <w:p w:rsidR="00724435" w:rsidRPr="00F31093" w:rsidRDefault="00724435" w:rsidP="00B13A2F">
            <w:pPr>
              <w:spacing w:after="80" w:line="240" w:lineRule="auto"/>
              <w:rPr>
                <w:rFonts w:ascii="Arial" w:eastAsia="SimSun" w:hAnsi="Arial"/>
                <w:color w:val="000000"/>
                <w:sz w:val="20"/>
                <w:szCs w:val="20"/>
                <w:lang w:eastAsia="zh-CN"/>
              </w:rPr>
            </w:pPr>
            <w:r w:rsidRPr="00F31093">
              <w:rPr>
                <w:rFonts w:ascii="Arial" w:eastAsia="SimSun" w:hAnsi="Arial"/>
                <w:color w:val="000000"/>
                <w:sz w:val="20"/>
                <w:szCs w:val="20"/>
                <w:lang w:eastAsia="zh-CN"/>
              </w:rPr>
              <w:t>CHAI</w:t>
            </w:r>
          </w:p>
        </w:tc>
        <w:tc>
          <w:tcPr>
            <w:tcW w:w="5220" w:type="dxa"/>
            <w:shd w:val="clear" w:color="auto" w:fill="auto"/>
          </w:tcPr>
          <w:p w:rsidR="00267F0A" w:rsidRPr="00F31093" w:rsidRDefault="00267F0A" w:rsidP="00B13A2F">
            <w:pPr>
              <w:spacing w:after="80" w:line="240" w:lineRule="auto"/>
              <w:rPr>
                <w:rFonts w:ascii="Arial" w:eastAsia="SimSun" w:hAnsi="Arial"/>
                <w:color w:val="000000"/>
                <w:sz w:val="20"/>
                <w:szCs w:val="20"/>
                <w:lang w:eastAsia="zh-CN"/>
              </w:rPr>
            </w:pPr>
            <w:r w:rsidRPr="00F31093">
              <w:rPr>
                <w:rFonts w:ascii="Arial" w:eastAsia="SimSun" w:hAnsi="Arial"/>
                <w:color w:val="000000"/>
                <w:sz w:val="20"/>
                <w:szCs w:val="20"/>
                <w:lang w:eastAsia="zh-CN"/>
              </w:rPr>
              <w:t>Supportive supervision</w:t>
            </w:r>
          </w:p>
          <w:p w:rsidR="00724435" w:rsidRPr="00F31093" w:rsidRDefault="00D0293C" w:rsidP="007D2844">
            <w:pPr>
              <w:spacing w:after="80" w:line="240" w:lineRule="auto"/>
              <w:rPr>
                <w:rFonts w:ascii="Arial" w:eastAsia="SimSun" w:hAnsi="Arial"/>
                <w:color w:val="000000"/>
                <w:sz w:val="20"/>
                <w:szCs w:val="20"/>
                <w:lang w:eastAsia="zh-CN"/>
              </w:rPr>
            </w:pPr>
            <w:r w:rsidRPr="00F31093">
              <w:rPr>
                <w:rFonts w:ascii="Arial" w:eastAsia="SimSun" w:hAnsi="Arial"/>
                <w:color w:val="000000"/>
                <w:sz w:val="20"/>
                <w:szCs w:val="20"/>
                <w:lang w:eastAsia="zh-CN"/>
              </w:rPr>
              <w:t xml:space="preserve">Logistics management </w:t>
            </w:r>
          </w:p>
        </w:tc>
        <w:tc>
          <w:tcPr>
            <w:tcW w:w="2204" w:type="dxa"/>
            <w:shd w:val="clear" w:color="auto" w:fill="auto"/>
          </w:tcPr>
          <w:p w:rsidR="00724435" w:rsidRPr="00F31093" w:rsidRDefault="007D2844" w:rsidP="00B13A2F">
            <w:pPr>
              <w:spacing w:after="80" w:line="240" w:lineRule="auto"/>
              <w:jc w:val="center"/>
              <w:rPr>
                <w:rFonts w:ascii="Arial" w:eastAsia="SimSun" w:hAnsi="Arial"/>
                <w:color w:val="000000"/>
                <w:sz w:val="20"/>
                <w:szCs w:val="20"/>
                <w:lang w:eastAsia="zh-CN"/>
              </w:rPr>
            </w:pPr>
            <w:r w:rsidRPr="00F31093">
              <w:rPr>
                <w:rFonts w:ascii="Arial" w:eastAsia="SimSun" w:hAnsi="Arial"/>
                <w:color w:val="000000"/>
                <w:sz w:val="20"/>
                <w:szCs w:val="20"/>
                <w:lang w:eastAsia="zh-CN"/>
              </w:rPr>
              <w:t>NA</w:t>
            </w:r>
          </w:p>
        </w:tc>
      </w:tr>
    </w:tbl>
    <w:p w:rsidR="007D2844" w:rsidRDefault="007D2844" w:rsidP="007D2844">
      <w:pPr>
        <w:spacing w:after="0"/>
        <w:rPr>
          <w:rFonts w:ascii="Arial" w:hAnsi="Arial"/>
        </w:rPr>
      </w:pPr>
    </w:p>
    <w:p w:rsidR="00634879" w:rsidRDefault="00724435" w:rsidP="006F219F">
      <w:pPr>
        <w:rPr>
          <w:rFonts w:ascii="Arial" w:hAnsi="Arial"/>
        </w:rPr>
      </w:pPr>
      <w:r>
        <w:rPr>
          <w:rFonts w:ascii="Arial" w:hAnsi="Arial"/>
        </w:rPr>
        <w:t>At the local level, partner support is especially critical to fill in the gaps in funding for both routine immunization and campaigns, given the inadequacy of PHC grant funds from the government and lack of earmarking of these funds for EPI. The GAVI Resource Tracking Evaluation (2013/14)</w:t>
      </w:r>
      <w:r w:rsidR="00365AB4">
        <w:rPr>
          <w:rFonts w:ascii="Arial" w:hAnsi="Arial"/>
        </w:rPr>
        <w:t xml:space="preserve"> showed that in the seven districts included in the study, i</w:t>
      </w:r>
      <w:r>
        <w:rPr>
          <w:rFonts w:ascii="Arial" w:hAnsi="Arial"/>
        </w:rPr>
        <w:t xml:space="preserve">f one excludes health worker salaries and the costs of purchasing, storing and distributing vaccines, </w:t>
      </w:r>
      <w:r w:rsidR="00365AB4">
        <w:rPr>
          <w:rFonts w:ascii="Arial" w:hAnsi="Arial"/>
        </w:rPr>
        <w:t>partners paid for nearly all (97%) of district-level immunization-specific activities – largely SIAs and training – with UNICEF covering 57%, WHO 21%, and GAVI 19%. PHC funding covered only 3% of these expenditures.</w:t>
      </w:r>
      <w:r w:rsidR="00365AB4">
        <w:rPr>
          <w:rStyle w:val="FootnoteReference"/>
          <w:rFonts w:ascii="Arial" w:hAnsi="Arial"/>
        </w:rPr>
        <w:footnoteReference w:id="15"/>
      </w:r>
    </w:p>
    <w:p w:rsidR="00DC3E5F" w:rsidRDefault="00365AB4" w:rsidP="006F219F">
      <w:pPr>
        <w:rPr>
          <w:rFonts w:ascii="Arial" w:hAnsi="Arial"/>
        </w:rPr>
      </w:pPr>
      <w:r>
        <w:rPr>
          <w:rFonts w:ascii="Arial" w:hAnsi="Arial"/>
        </w:rPr>
        <w:t xml:space="preserve">Below we describe </w:t>
      </w:r>
      <w:r w:rsidR="00960450">
        <w:rPr>
          <w:rFonts w:ascii="Arial" w:hAnsi="Arial"/>
        </w:rPr>
        <w:t xml:space="preserve">by objective </w:t>
      </w:r>
      <w:r>
        <w:rPr>
          <w:rFonts w:ascii="Arial" w:hAnsi="Arial"/>
        </w:rPr>
        <w:t xml:space="preserve">several partner-supported projects or initiatives that address specific weaknesses in Uganda’s immunization program and have made or have the potential </w:t>
      </w:r>
      <w:r w:rsidR="007D2844">
        <w:rPr>
          <w:rFonts w:ascii="Arial" w:hAnsi="Arial"/>
        </w:rPr>
        <w:t>to</w:t>
      </w:r>
      <w:r>
        <w:rPr>
          <w:rFonts w:ascii="Arial" w:hAnsi="Arial"/>
        </w:rPr>
        <w:t xml:space="preserve"> mak</w:t>
      </w:r>
      <w:r w:rsidR="007D2844">
        <w:rPr>
          <w:rFonts w:ascii="Arial" w:hAnsi="Arial"/>
        </w:rPr>
        <w:t>e</w:t>
      </w:r>
      <w:r>
        <w:rPr>
          <w:rFonts w:ascii="Arial" w:hAnsi="Arial"/>
        </w:rPr>
        <w:t xml:space="preserve"> a significant difference in</w:t>
      </w:r>
      <w:r w:rsidR="00DC3E5F">
        <w:rPr>
          <w:rFonts w:ascii="Arial" w:hAnsi="Arial"/>
        </w:rPr>
        <w:t xml:space="preserve"> the program’s performance.</w:t>
      </w:r>
    </w:p>
    <w:p w:rsidR="00960450" w:rsidRPr="007D2844" w:rsidRDefault="00DC3E5F" w:rsidP="00960450">
      <w:pPr>
        <w:rPr>
          <w:rFonts w:ascii="Arial" w:hAnsi="Arial"/>
          <w:u w:val="single"/>
        </w:rPr>
      </w:pPr>
      <w:r w:rsidRPr="007D2844">
        <w:rPr>
          <w:rFonts w:ascii="Arial" w:hAnsi="Arial"/>
          <w:u w:val="single"/>
        </w:rPr>
        <w:t xml:space="preserve">To increase </w:t>
      </w:r>
      <w:r w:rsidR="00960450" w:rsidRPr="007D2844">
        <w:rPr>
          <w:rFonts w:ascii="Arial" w:hAnsi="Arial"/>
          <w:u w:val="single"/>
        </w:rPr>
        <w:t xml:space="preserve">government funding for immunization and improve advocacy and decision-making: </w:t>
      </w:r>
    </w:p>
    <w:p w:rsidR="00DC3E5F" w:rsidRDefault="001F695A" w:rsidP="006A269E">
      <w:pPr>
        <w:pStyle w:val="ListParagraph"/>
        <w:numPr>
          <w:ilvl w:val="0"/>
          <w:numId w:val="35"/>
        </w:numPr>
        <w:contextualSpacing w:val="0"/>
        <w:rPr>
          <w:rFonts w:ascii="Arial" w:hAnsi="Arial"/>
        </w:rPr>
      </w:pPr>
      <w:r>
        <w:rPr>
          <w:rFonts w:ascii="Arial" w:hAnsi="Arial"/>
          <w:b/>
        </w:rPr>
        <w:lastRenderedPageBreak/>
        <w:t>Support to a</w:t>
      </w:r>
      <w:r w:rsidR="00933AAE" w:rsidRPr="00933AAE">
        <w:rPr>
          <w:rFonts w:ascii="Arial" w:hAnsi="Arial"/>
          <w:b/>
        </w:rPr>
        <w:t xml:space="preserve"> high-level </w:t>
      </w:r>
      <w:r w:rsidRPr="00933AAE">
        <w:rPr>
          <w:rFonts w:ascii="Arial" w:hAnsi="Arial"/>
          <w:b/>
        </w:rPr>
        <w:t>immunization</w:t>
      </w:r>
      <w:r>
        <w:rPr>
          <w:rFonts w:ascii="Arial" w:hAnsi="Arial"/>
          <w:b/>
        </w:rPr>
        <w:t xml:space="preserve"> lobbying group</w:t>
      </w:r>
      <w:r w:rsidR="00933AAE">
        <w:rPr>
          <w:rFonts w:ascii="Arial" w:hAnsi="Arial"/>
        </w:rPr>
        <w:t xml:space="preserve">: </w:t>
      </w:r>
      <w:r w:rsidR="00960450" w:rsidRPr="00960450">
        <w:rPr>
          <w:rFonts w:ascii="Arial" w:hAnsi="Arial"/>
        </w:rPr>
        <w:t xml:space="preserve">Through a Gates Foundation-funded project, the Sabin </w:t>
      </w:r>
      <w:r w:rsidR="00933AAE">
        <w:rPr>
          <w:rFonts w:ascii="Arial" w:hAnsi="Arial"/>
        </w:rPr>
        <w:t>I</w:t>
      </w:r>
      <w:r w:rsidR="00960450" w:rsidRPr="00960450">
        <w:rPr>
          <w:rFonts w:ascii="Arial" w:hAnsi="Arial"/>
        </w:rPr>
        <w:t>nstitute, along with WHO</w:t>
      </w:r>
      <w:r w:rsidR="007D2844">
        <w:rPr>
          <w:rFonts w:ascii="Arial" w:hAnsi="Arial"/>
        </w:rPr>
        <w:t xml:space="preserve"> and other partners,</w:t>
      </w:r>
      <w:r w:rsidR="00960450" w:rsidRPr="00960450">
        <w:rPr>
          <w:rFonts w:ascii="Arial" w:hAnsi="Arial"/>
          <w:color w:val="FF0000"/>
        </w:rPr>
        <w:t xml:space="preserve"> </w:t>
      </w:r>
      <w:r>
        <w:rPr>
          <w:rFonts w:ascii="Arial" w:hAnsi="Arial"/>
        </w:rPr>
        <w:t>has assisted the</w:t>
      </w:r>
      <w:r w:rsidR="00960450" w:rsidRPr="00960450">
        <w:rPr>
          <w:rFonts w:ascii="Arial" w:hAnsi="Arial"/>
        </w:rPr>
        <w:t xml:space="preserve"> Parliamentary Forum on Immunization </w:t>
      </w:r>
      <w:r>
        <w:rPr>
          <w:rFonts w:ascii="Arial" w:hAnsi="Arial"/>
        </w:rPr>
        <w:t>in advocating</w:t>
      </w:r>
      <w:r w:rsidR="00960450" w:rsidRPr="00960450">
        <w:rPr>
          <w:rFonts w:ascii="Arial" w:hAnsi="Arial"/>
        </w:rPr>
        <w:t xml:space="preserve"> for increased government spending on immunization</w:t>
      </w:r>
      <w:r w:rsidR="00F06C80">
        <w:rPr>
          <w:rFonts w:ascii="Arial" w:hAnsi="Arial"/>
        </w:rPr>
        <w:t xml:space="preserve">. </w:t>
      </w:r>
      <w:r>
        <w:rPr>
          <w:rFonts w:ascii="Arial" w:hAnsi="Arial"/>
        </w:rPr>
        <w:t>The Forum’s efforts</w:t>
      </w:r>
      <w:r w:rsidR="00960450" w:rsidRPr="00960450">
        <w:rPr>
          <w:rFonts w:ascii="Arial" w:hAnsi="Arial"/>
        </w:rPr>
        <w:t xml:space="preserve"> led to the drafting and enactment of the Immunization Act that includes a provision for an Immunization Fund. </w:t>
      </w:r>
      <w:r>
        <w:rPr>
          <w:rFonts w:ascii="Arial" w:hAnsi="Arial"/>
        </w:rPr>
        <w:t>T</w:t>
      </w:r>
      <w:r w:rsidR="00960450" w:rsidRPr="00960450">
        <w:rPr>
          <w:rFonts w:ascii="Arial" w:hAnsi="Arial"/>
        </w:rPr>
        <w:t xml:space="preserve">he Forum </w:t>
      </w:r>
      <w:r>
        <w:rPr>
          <w:rFonts w:ascii="Arial" w:hAnsi="Arial"/>
        </w:rPr>
        <w:t xml:space="preserve">also </w:t>
      </w:r>
      <w:r w:rsidR="00960450" w:rsidRPr="00960450">
        <w:rPr>
          <w:rFonts w:ascii="Arial" w:hAnsi="Arial"/>
        </w:rPr>
        <w:t>encourage</w:t>
      </w:r>
      <w:r>
        <w:rPr>
          <w:rFonts w:ascii="Arial" w:hAnsi="Arial"/>
        </w:rPr>
        <w:t>s</w:t>
      </w:r>
      <w:r w:rsidR="00960450" w:rsidRPr="00960450">
        <w:rPr>
          <w:rFonts w:ascii="Arial" w:hAnsi="Arial"/>
        </w:rPr>
        <w:t xml:space="preserve"> politic</w:t>
      </w:r>
      <w:r w:rsidR="00960450">
        <w:rPr>
          <w:rFonts w:ascii="Arial" w:hAnsi="Arial"/>
        </w:rPr>
        <w:t>i</w:t>
      </w:r>
      <w:r w:rsidR="00960450" w:rsidRPr="00960450">
        <w:rPr>
          <w:rFonts w:ascii="Arial" w:hAnsi="Arial"/>
        </w:rPr>
        <w:t xml:space="preserve">ans to promote immunization </w:t>
      </w:r>
      <w:r>
        <w:rPr>
          <w:rFonts w:ascii="Arial" w:hAnsi="Arial"/>
        </w:rPr>
        <w:t>amongst</w:t>
      </w:r>
      <w:r w:rsidR="00960450" w:rsidRPr="00960450">
        <w:rPr>
          <w:rFonts w:ascii="Arial" w:hAnsi="Arial"/>
        </w:rPr>
        <w:t xml:space="preserve"> their constituen</w:t>
      </w:r>
      <w:r>
        <w:rPr>
          <w:rFonts w:ascii="Arial" w:hAnsi="Arial"/>
        </w:rPr>
        <w:t>t</w:t>
      </w:r>
      <w:r w:rsidR="00960450" w:rsidRPr="00960450">
        <w:rPr>
          <w:rFonts w:ascii="Arial" w:hAnsi="Arial"/>
        </w:rPr>
        <w:t>s.</w:t>
      </w:r>
    </w:p>
    <w:p w:rsidR="00960450" w:rsidRDefault="00933AAE" w:rsidP="006A269E">
      <w:pPr>
        <w:pStyle w:val="ListParagraph"/>
        <w:numPr>
          <w:ilvl w:val="0"/>
          <w:numId w:val="35"/>
        </w:numPr>
        <w:contextualSpacing w:val="0"/>
        <w:rPr>
          <w:rFonts w:ascii="Arial" w:hAnsi="Arial"/>
        </w:rPr>
      </w:pPr>
      <w:r w:rsidRPr="00933AAE">
        <w:rPr>
          <w:rFonts w:ascii="Arial" w:hAnsi="Arial"/>
          <w:b/>
        </w:rPr>
        <w:t>Support for the NITAG</w:t>
      </w:r>
      <w:r>
        <w:rPr>
          <w:rFonts w:ascii="Arial" w:hAnsi="Arial"/>
        </w:rPr>
        <w:t xml:space="preserve">: </w:t>
      </w:r>
      <w:r w:rsidR="00960450">
        <w:rPr>
          <w:rFonts w:ascii="Arial" w:hAnsi="Arial"/>
        </w:rPr>
        <w:t xml:space="preserve">Partners, especially WHO and the </w:t>
      </w:r>
      <w:r w:rsidR="007D2844">
        <w:rPr>
          <w:rFonts w:ascii="Arial" w:hAnsi="Arial"/>
        </w:rPr>
        <w:t>SIVAC project</w:t>
      </w:r>
      <w:r w:rsidR="00960450">
        <w:rPr>
          <w:rFonts w:ascii="Arial" w:hAnsi="Arial"/>
        </w:rPr>
        <w:t xml:space="preserve">, supported the country in establishing a NITAG and making it operational. UNITAG, as described above, has already played a critical role in making decisions about new vaccine introductions – adding the criteria of affordability and sustainability – called for a financial sustainability plan to be conducted, and was </w:t>
      </w:r>
      <w:r w:rsidR="00EE1747">
        <w:rPr>
          <w:rFonts w:ascii="Arial" w:hAnsi="Arial"/>
        </w:rPr>
        <w:t>instrumental in getting an Immunization Fund provision added to the 2016 Immunization Act.</w:t>
      </w:r>
    </w:p>
    <w:p w:rsidR="00D151A4" w:rsidRDefault="00D151A4" w:rsidP="00EE1747">
      <w:pPr>
        <w:rPr>
          <w:rFonts w:ascii="Arial" w:hAnsi="Arial"/>
          <w:u w:val="single"/>
        </w:rPr>
      </w:pPr>
    </w:p>
    <w:p w:rsidR="00D151A4" w:rsidRDefault="00D151A4" w:rsidP="00EE1747">
      <w:pPr>
        <w:rPr>
          <w:rFonts w:ascii="Arial" w:hAnsi="Arial"/>
          <w:u w:val="single"/>
        </w:rPr>
      </w:pPr>
    </w:p>
    <w:p w:rsidR="00EE1747" w:rsidRPr="00F06C80" w:rsidRDefault="00EE1747" w:rsidP="00EE1747">
      <w:pPr>
        <w:rPr>
          <w:rFonts w:ascii="Arial" w:hAnsi="Arial"/>
          <w:u w:val="single"/>
        </w:rPr>
      </w:pPr>
      <w:r w:rsidRPr="00F06C80">
        <w:rPr>
          <w:rFonts w:ascii="Arial" w:hAnsi="Arial"/>
          <w:u w:val="single"/>
        </w:rPr>
        <w:t>To improve EPI coverage and program performance:</w:t>
      </w:r>
    </w:p>
    <w:p w:rsidR="00EE1747" w:rsidRDefault="00267F0A" w:rsidP="00933AAE">
      <w:pPr>
        <w:pStyle w:val="ListParagraph"/>
        <w:numPr>
          <w:ilvl w:val="0"/>
          <w:numId w:val="36"/>
        </w:numPr>
        <w:contextualSpacing w:val="0"/>
        <w:rPr>
          <w:rFonts w:ascii="Arial" w:hAnsi="Arial"/>
        </w:rPr>
      </w:pPr>
      <w:r w:rsidRPr="00267F0A">
        <w:rPr>
          <w:rFonts w:ascii="Arial" w:hAnsi="Arial"/>
          <w:b/>
        </w:rPr>
        <w:t>Implementation of</w:t>
      </w:r>
      <w:r w:rsidR="00933AAE" w:rsidRPr="00267F0A">
        <w:rPr>
          <w:rFonts w:ascii="Arial" w:hAnsi="Arial"/>
          <w:b/>
        </w:rPr>
        <w:t xml:space="preserve"> </w:t>
      </w:r>
      <w:r w:rsidR="006A269E" w:rsidRPr="00267F0A">
        <w:rPr>
          <w:rFonts w:ascii="Arial" w:hAnsi="Arial"/>
          <w:b/>
        </w:rPr>
        <w:t>EPI Revitalization Plan</w:t>
      </w:r>
      <w:r>
        <w:rPr>
          <w:rFonts w:ascii="Arial" w:hAnsi="Arial"/>
        </w:rPr>
        <w:t>: This plan</w:t>
      </w:r>
      <w:r w:rsidR="006A269E">
        <w:rPr>
          <w:rFonts w:ascii="Arial" w:hAnsi="Arial"/>
        </w:rPr>
        <w:t xml:space="preserve"> was enacted by the Government from 2012 to 2014 with funding from UNICEF, WHO, USAID, CHAI, CDC, and other partners to fill in gaps in immunization service delivery in poor-performing districts. The infusion of funding, along with technical assistance, was used to strengthen the role of VHTs in promoting immunization and in organizing outreaches</w:t>
      </w:r>
      <w:r w:rsidR="00933AAE">
        <w:rPr>
          <w:rFonts w:ascii="Arial" w:hAnsi="Arial"/>
        </w:rPr>
        <w:t>;</w:t>
      </w:r>
      <w:r w:rsidR="006A269E">
        <w:rPr>
          <w:rFonts w:ascii="Arial" w:hAnsi="Arial"/>
        </w:rPr>
        <w:t xml:space="preserve"> purchase vehicles and fuel to increase outreach activities and to pick up vaccines from district stores</w:t>
      </w:r>
      <w:r w:rsidR="00933AAE">
        <w:rPr>
          <w:rFonts w:ascii="Arial" w:hAnsi="Arial"/>
        </w:rPr>
        <w:t xml:space="preserve">; increase </w:t>
      </w:r>
      <w:r w:rsidR="006A269E">
        <w:rPr>
          <w:rFonts w:ascii="Arial" w:hAnsi="Arial"/>
        </w:rPr>
        <w:t>supervisory visits</w:t>
      </w:r>
      <w:r w:rsidR="00933AAE">
        <w:rPr>
          <w:rFonts w:ascii="Arial" w:hAnsi="Arial"/>
        </w:rPr>
        <w:t>;</w:t>
      </w:r>
      <w:r w:rsidR="006A269E">
        <w:rPr>
          <w:rFonts w:ascii="Arial" w:hAnsi="Arial"/>
        </w:rPr>
        <w:t xml:space="preserve"> </w:t>
      </w:r>
      <w:r w:rsidR="00F06C80">
        <w:rPr>
          <w:rFonts w:ascii="Arial" w:hAnsi="Arial"/>
        </w:rPr>
        <w:t xml:space="preserve">and </w:t>
      </w:r>
      <w:r w:rsidR="006A269E">
        <w:rPr>
          <w:rFonts w:ascii="Arial" w:hAnsi="Arial"/>
        </w:rPr>
        <w:t>impl</w:t>
      </w:r>
      <w:r w:rsidR="00F06C80">
        <w:rPr>
          <w:rFonts w:ascii="Arial" w:hAnsi="Arial"/>
        </w:rPr>
        <w:t>ement RED/REC and microplanning</w:t>
      </w:r>
      <w:r w:rsidR="006A269E">
        <w:rPr>
          <w:rFonts w:ascii="Arial" w:hAnsi="Arial"/>
        </w:rPr>
        <w:t xml:space="preserve">. As shown in the Annex, the number of districts meeting the target of 80% coverage with three doses of DPT-containing vaccine increased significantly from 2010 to 2015, with </w:t>
      </w:r>
      <w:r w:rsidR="00933AAE">
        <w:rPr>
          <w:rFonts w:ascii="Arial" w:hAnsi="Arial"/>
        </w:rPr>
        <w:t>informants</w:t>
      </w:r>
      <w:r w:rsidR="006A269E">
        <w:rPr>
          <w:rFonts w:ascii="Arial" w:hAnsi="Arial"/>
        </w:rPr>
        <w:t xml:space="preserve"> attributing these gains to this Plan.</w:t>
      </w:r>
      <w:r>
        <w:rPr>
          <w:rFonts w:ascii="Arial" w:hAnsi="Arial"/>
        </w:rPr>
        <w:t xml:space="preserve"> </w:t>
      </w:r>
    </w:p>
    <w:p w:rsidR="006A269E" w:rsidRDefault="00267F0A" w:rsidP="00933AAE">
      <w:pPr>
        <w:pStyle w:val="ListParagraph"/>
        <w:numPr>
          <w:ilvl w:val="0"/>
          <w:numId w:val="36"/>
        </w:numPr>
        <w:contextualSpacing w:val="0"/>
        <w:rPr>
          <w:rFonts w:ascii="Arial" w:hAnsi="Arial"/>
        </w:rPr>
      </w:pPr>
      <w:r w:rsidRPr="00267F0A">
        <w:rPr>
          <w:rFonts w:ascii="Arial" w:hAnsi="Arial"/>
          <w:b/>
        </w:rPr>
        <w:t>Assisting private health facilities in providing quality immunization services</w:t>
      </w:r>
      <w:r>
        <w:rPr>
          <w:rFonts w:ascii="Arial" w:hAnsi="Arial"/>
        </w:rPr>
        <w:t xml:space="preserve">: </w:t>
      </w:r>
      <w:r w:rsidR="00933AAE">
        <w:rPr>
          <w:rFonts w:ascii="Arial" w:hAnsi="Arial"/>
        </w:rPr>
        <w:t>One objective of the GAVI HSS grant that is being implemented is to improve immunization services in private sector health facilities, which make up an estimated 19% of all health service providers in the country.</w:t>
      </w:r>
      <w:r w:rsidR="00F06C80">
        <w:rPr>
          <w:rStyle w:val="FootnoteReference"/>
          <w:rFonts w:ascii="Arial" w:hAnsi="Arial"/>
        </w:rPr>
        <w:footnoteReference w:id="16"/>
      </w:r>
      <w:r w:rsidR="00933AAE">
        <w:rPr>
          <w:rFonts w:ascii="Arial" w:hAnsi="Arial"/>
        </w:rPr>
        <w:t xml:space="preserve"> This is being done by procuring refrigerators and other cold chain equipment for around 90 private clinics in Kampala, as well as providing immunization training </w:t>
      </w:r>
      <w:r w:rsidR="00F06C80">
        <w:rPr>
          <w:rFonts w:ascii="Arial" w:hAnsi="Arial"/>
        </w:rPr>
        <w:t xml:space="preserve">and supportive supervision </w:t>
      </w:r>
      <w:r w:rsidR="00933AAE">
        <w:rPr>
          <w:rFonts w:ascii="Arial" w:hAnsi="Arial"/>
        </w:rPr>
        <w:t>to he</w:t>
      </w:r>
      <w:r w:rsidR="00F06C80">
        <w:rPr>
          <w:rFonts w:ascii="Arial" w:hAnsi="Arial"/>
        </w:rPr>
        <w:t>alth workers in these facilities</w:t>
      </w:r>
      <w:r w:rsidR="00933AAE">
        <w:rPr>
          <w:rFonts w:ascii="Arial" w:hAnsi="Arial"/>
        </w:rPr>
        <w:t>. The equipment procurement was delayed due to the lack of involvement of key stakeholders in selecting the health facilities and to other issues, but is no</w:t>
      </w:r>
      <w:r w:rsidR="00F06C80">
        <w:rPr>
          <w:rFonts w:ascii="Arial" w:hAnsi="Arial"/>
        </w:rPr>
        <w:t>w</w:t>
      </w:r>
      <w:r w:rsidR="00933AAE">
        <w:rPr>
          <w:rFonts w:ascii="Arial" w:hAnsi="Arial"/>
        </w:rPr>
        <w:t xml:space="preserve"> being implemented. </w:t>
      </w:r>
    </w:p>
    <w:p w:rsidR="00933AAE" w:rsidRDefault="00267F0A" w:rsidP="00933AAE">
      <w:pPr>
        <w:pStyle w:val="ListParagraph"/>
        <w:numPr>
          <w:ilvl w:val="0"/>
          <w:numId w:val="36"/>
        </w:numPr>
        <w:contextualSpacing w:val="0"/>
        <w:rPr>
          <w:rFonts w:ascii="Arial" w:hAnsi="Arial"/>
        </w:rPr>
      </w:pPr>
      <w:r w:rsidRPr="00267F0A">
        <w:rPr>
          <w:rFonts w:ascii="Arial" w:hAnsi="Arial"/>
          <w:b/>
        </w:rPr>
        <w:t>Establishment of Regional Supportive Supervision Team</w:t>
      </w:r>
      <w:r>
        <w:rPr>
          <w:rFonts w:ascii="Arial" w:hAnsi="Arial"/>
        </w:rPr>
        <w:t xml:space="preserve">: Partners, including </w:t>
      </w:r>
      <w:r w:rsidR="004333B5">
        <w:rPr>
          <w:rFonts w:ascii="Arial" w:hAnsi="Arial"/>
        </w:rPr>
        <w:t xml:space="preserve">WHO, </w:t>
      </w:r>
      <w:r>
        <w:rPr>
          <w:rFonts w:ascii="Arial" w:hAnsi="Arial"/>
        </w:rPr>
        <w:t xml:space="preserve">CHAI and UNICEF, have assisted the Government in establishing these teams to increase the regular supervision of health workers, a critical element in improving and sustaining the performance of the immunization program and other components in the minimum health care services package. The teams – made up of regional EPI and IDSR supervisors, and other health professionals – operate from the regional reference hospitals and are each responsible for providing </w:t>
      </w:r>
      <w:r w:rsidR="00591618">
        <w:rPr>
          <w:rFonts w:ascii="Arial" w:hAnsi="Arial"/>
        </w:rPr>
        <w:t>integrated</w:t>
      </w:r>
      <w:r>
        <w:rPr>
          <w:rFonts w:ascii="Arial" w:hAnsi="Arial"/>
        </w:rPr>
        <w:t xml:space="preserve"> supervision</w:t>
      </w:r>
      <w:r w:rsidR="00591618">
        <w:rPr>
          <w:rFonts w:ascii="Arial" w:hAnsi="Arial"/>
        </w:rPr>
        <w:t xml:space="preserve"> in to the districts </w:t>
      </w:r>
      <w:r w:rsidR="00591618">
        <w:rPr>
          <w:rFonts w:ascii="Arial" w:hAnsi="Arial"/>
        </w:rPr>
        <w:lastRenderedPageBreak/>
        <w:t>in their region. Begun in 20</w:t>
      </w:r>
      <w:r w:rsidR="004333B5">
        <w:rPr>
          <w:rFonts w:ascii="Arial" w:hAnsi="Arial"/>
        </w:rPr>
        <w:t>03</w:t>
      </w:r>
      <w:r w:rsidR="00591618">
        <w:rPr>
          <w:rFonts w:ascii="Arial" w:hAnsi="Arial"/>
        </w:rPr>
        <w:t xml:space="preserve"> with polio funding, teams have already been established in 11 of the country’s 14 regions.</w:t>
      </w:r>
    </w:p>
    <w:p w:rsidR="00591618" w:rsidRPr="00F06C80" w:rsidRDefault="00F06C80" w:rsidP="00591618">
      <w:pPr>
        <w:rPr>
          <w:rFonts w:ascii="Arial" w:hAnsi="Arial"/>
          <w:u w:val="single"/>
        </w:rPr>
      </w:pPr>
      <w:r w:rsidRPr="00F06C80">
        <w:rPr>
          <w:rFonts w:ascii="Arial" w:hAnsi="Arial"/>
          <w:u w:val="single"/>
        </w:rPr>
        <w:t>T</w:t>
      </w:r>
      <w:r w:rsidR="00591618" w:rsidRPr="00F06C80">
        <w:rPr>
          <w:rFonts w:ascii="Arial" w:hAnsi="Arial"/>
          <w:u w:val="single"/>
        </w:rPr>
        <w:t xml:space="preserve">o improve the quality of EPI and other health data: </w:t>
      </w:r>
    </w:p>
    <w:p w:rsidR="00960450" w:rsidRDefault="00591618" w:rsidP="00960450">
      <w:pPr>
        <w:pStyle w:val="ListParagraph"/>
        <w:numPr>
          <w:ilvl w:val="0"/>
          <w:numId w:val="37"/>
        </w:numPr>
        <w:rPr>
          <w:rFonts w:ascii="Arial" w:hAnsi="Arial"/>
        </w:rPr>
      </w:pPr>
      <w:r w:rsidRPr="00E3004C">
        <w:rPr>
          <w:rFonts w:ascii="Arial" w:hAnsi="Arial"/>
          <w:b/>
        </w:rPr>
        <w:t xml:space="preserve">Establishment of </w:t>
      </w:r>
      <w:r w:rsidR="00E3004C" w:rsidRPr="00E3004C">
        <w:rPr>
          <w:rFonts w:ascii="Arial" w:hAnsi="Arial"/>
          <w:b/>
        </w:rPr>
        <w:t>Data Improvement Teams (DITs)</w:t>
      </w:r>
      <w:r w:rsidR="00E3004C">
        <w:rPr>
          <w:rFonts w:ascii="Arial" w:hAnsi="Arial"/>
        </w:rPr>
        <w:t xml:space="preserve">: </w:t>
      </w:r>
      <w:r w:rsidRPr="00591618">
        <w:rPr>
          <w:rFonts w:ascii="Arial" w:hAnsi="Arial"/>
        </w:rPr>
        <w:t xml:space="preserve">The quality of immunization and other health data </w:t>
      </w:r>
      <w:r w:rsidR="00D151A4">
        <w:rPr>
          <w:rFonts w:ascii="Arial" w:hAnsi="Arial"/>
        </w:rPr>
        <w:t>in Uganda needs to be strengthened</w:t>
      </w:r>
      <w:r w:rsidRPr="00591618">
        <w:rPr>
          <w:rFonts w:ascii="Arial" w:hAnsi="Arial"/>
        </w:rPr>
        <w:t>, as evidenced by the 11 or 12 point difference in immunization coverage estimates between the government’s administrative data and the WHO/UNICEF estimates (e.g., 89% vs. 78% for pentavalent 3 and 94% vs. 82% for measles)</w:t>
      </w:r>
      <w:r w:rsidR="00E3004C">
        <w:rPr>
          <w:rFonts w:ascii="Arial" w:hAnsi="Arial"/>
        </w:rPr>
        <w:t xml:space="preserve">. Several partners, including the U.S. CDC, WHO and UNICEF, are supporting the establishment and training of district-level teams, each consisting of the district biostatistician, immunization focal point, surveillance officer and other relevant district health team members. The teams are responsible for </w:t>
      </w:r>
      <w:r w:rsidR="004333B5">
        <w:rPr>
          <w:rFonts w:ascii="Arial" w:hAnsi="Arial"/>
        </w:rPr>
        <w:t>mentoring</w:t>
      </w:r>
      <w:r w:rsidR="00D151A4">
        <w:rPr>
          <w:rFonts w:ascii="Arial" w:hAnsi="Arial"/>
        </w:rPr>
        <w:t xml:space="preserve"> and </w:t>
      </w:r>
      <w:r w:rsidR="00E3004C">
        <w:rPr>
          <w:rFonts w:ascii="Arial" w:hAnsi="Arial"/>
        </w:rPr>
        <w:t xml:space="preserve">training health facility staff in data management and harmonization, with an focus on immunization data and using DHIS2 software. Training of trainers and district-level trainings have taken place and teams are currently operating in 13 of the country’s 14 regions. The DITs are envisioned to have regular meetings to review data, such as part of surveillance meetings. A major gap is that there is at present little supervision </w:t>
      </w:r>
      <w:r w:rsidR="004333B5">
        <w:rPr>
          <w:rFonts w:ascii="Arial" w:hAnsi="Arial"/>
        </w:rPr>
        <w:t xml:space="preserve">and follow up </w:t>
      </w:r>
      <w:r w:rsidR="00E3004C">
        <w:rPr>
          <w:rFonts w:ascii="Arial" w:hAnsi="Arial"/>
        </w:rPr>
        <w:t>of the DITs.</w:t>
      </w:r>
    </w:p>
    <w:p w:rsidR="0098010F" w:rsidRDefault="0098010F" w:rsidP="0098010F">
      <w:pPr>
        <w:pStyle w:val="ListParagraph"/>
        <w:ind w:left="0"/>
        <w:rPr>
          <w:rFonts w:ascii="Arial" w:hAnsi="Arial"/>
        </w:rPr>
      </w:pPr>
    </w:p>
    <w:p w:rsidR="0098010F" w:rsidRDefault="0098010F" w:rsidP="0098010F">
      <w:pPr>
        <w:pStyle w:val="ListParagraph"/>
        <w:ind w:left="0"/>
        <w:rPr>
          <w:rFonts w:ascii="Arial" w:hAnsi="Arial"/>
        </w:rPr>
      </w:pPr>
    </w:p>
    <w:p w:rsidR="0098010F" w:rsidRPr="004C322B" w:rsidRDefault="0098010F" w:rsidP="0098010F">
      <w:pPr>
        <w:rPr>
          <w:rFonts w:ascii="Arial" w:hAnsi="Arial"/>
          <w:b/>
          <w:lang w:val="en-US"/>
        </w:rPr>
      </w:pPr>
      <w:r w:rsidRPr="004C322B">
        <w:rPr>
          <w:rFonts w:ascii="Arial" w:hAnsi="Arial"/>
          <w:b/>
          <w:lang w:val="en-US"/>
        </w:rPr>
        <w:t>Acknowledgments</w:t>
      </w:r>
    </w:p>
    <w:p w:rsidR="0098010F" w:rsidRDefault="0098010F" w:rsidP="0098010F">
      <w:pPr>
        <w:rPr>
          <w:rFonts w:ascii="Arial" w:hAnsi="Arial"/>
          <w:lang w:val="en-US"/>
        </w:rPr>
      </w:pPr>
      <w:r>
        <w:rPr>
          <w:rFonts w:ascii="Arial" w:hAnsi="Arial"/>
          <w:lang w:val="en-US"/>
        </w:rPr>
        <w:t>We would like to thank the following people who were interviewed for this report:</w:t>
      </w:r>
    </w:p>
    <w:p w:rsidR="0098010F" w:rsidRDefault="0098010F" w:rsidP="0098010F">
      <w:pPr>
        <w:numPr>
          <w:ilvl w:val="0"/>
          <w:numId w:val="42"/>
        </w:numPr>
        <w:spacing w:before="100" w:beforeAutospacing="1" w:after="100" w:afterAutospacing="1" w:line="240" w:lineRule="auto"/>
      </w:pPr>
      <w:r>
        <w:t>Emmanuel Tanywa (WHO CO)</w:t>
      </w:r>
    </w:p>
    <w:p w:rsidR="0098010F" w:rsidRDefault="0098010F" w:rsidP="0098010F">
      <w:pPr>
        <w:numPr>
          <w:ilvl w:val="0"/>
          <w:numId w:val="42"/>
        </w:numPr>
        <w:spacing w:before="100" w:beforeAutospacing="1" w:after="100" w:afterAutospacing="1" w:line="240" w:lineRule="auto"/>
      </w:pPr>
      <w:r>
        <w:t>Annet Kisakye (WHO CO)</w:t>
      </w:r>
    </w:p>
    <w:p w:rsidR="0098010F" w:rsidRDefault="0098010F" w:rsidP="0098010F">
      <w:pPr>
        <w:numPr>
          <w:ilvl w:val="0"/>
          <w:numId w:val="42"/>
        </w:numPr>
        <w:spacing w:before="100" w:beforeAutospacing="1" w:after="100" w:afterAutospacing="1" w:line="240" w:lineRule="auto"/>
      </w:pPr>
      <w:r>
        <w:t>Meseret Eshetu (WHO IST/ESA)</w:t>
      </w:r>
    </w:p>
    <w:p w:rsidR="0098010F" w:rsidRDefault="0098010F" w:rsidP="0098010F">
      <w:pPr>
        <w:numPr>
          <w:ilvl w:val="0"/>
          <w:numId w:val="42"/>
        </w:numPr>
        <w:spacing w:before="100" w:beforeAutospacing="1" w:after="100" w:afterAutospacing="1" w:line="240" w:lineRule="auto"/>
      </w:pPr>
      <w:r>
        <w:t>Tracey Goodman (WHO HQ)</w:t>
      </w:r>
    </w:p>
    <w:p w:rsidR="0098010F" w:rsidRPr="00E6488A" w:rsidRDefault="0098010F" w:rsidP="0098010F">
      <w:pPr>
        <w:pStyle w:val="ListParagraph"/>
        <w:ind w:left="0"/>
        <w:rPr>
          <w:rFonts w:ascii="Arial" w:hAnsi="Arial"/>
        </w:rPr>
      </w:pPr>
    </w:p>
    <w:p w:rsidR="00960450" w:rsidRPr="00960450" w:rsidRDefault="00960450" w:rsidP="00960450">
      <w:pPr>
        <w:rPr>
          <w:rFonts w:ascii="Arial" w:hAnsi="Arial"/>
        </w:rPr>
        <w:sectPr w:rsidR="00960450" w:rsidRPr="00960450" w:rsidSect="00734BA0">
          <w:type w:val="continuous"/>
          <w:pgSz w:w="11906" w:h="16838"/>
          <w:pgMar w:top="1440" w:right="1440" w:bottom="1440" w:left="1440" w:header="709" w:footer="709" w:gutter="0"/>
          <w:cols w:space="708"/>
          <w:docGrid w:linePitch="360"/>
        </w:sectPr>
      </w:pPr>
    </w:p>
    <w:p w:rsidR="006F219F" w:rsidRDefault="006F219F" w:rsidP="006F219F">
      <w:pPr>
        <w:rPr>
          <w:rFonts w:ascii="Arial" w:hAnsi="Arial"/>
          <w:b/>
          <w:sz w:val="24"/>
        </w:rPr>
      </w:pPr>
      <w:r>
        <w:rPr>
          <w:rFonts w:ascii="Arial" w:hAnsi="Arial"/>
          <w:b/>
          <w:sz w:val="24"/>
        </w:rPr>
        <w:lastRenderedPageBreak/>
        <w:t>ANNEX: Country immunization profile</w:t>
      </w:r>
    </w:p>
    <w:p w:rsidR="006F219F" w:rsidRDefault="006F219F" w:rsidP="006F219F">
      <w:pPr>
        <w:rPr>
          <w:rFonts w:ascii="Arial" w:hAnsi="Arial"/>
          <w:b/>
          <w:sz w:val="24"/>
        </w:rPr>
      </w:pPr>
    </w:p>
    <w:p w:rsidR="006F219F" w:rsidRDefault="006F219F" w:rsidP="006F219F">
      <w:pPr>
        <w:pStyle w:val="ListParagraph"/>
        <w:numPr>
          <w:ilvl w:val="0"/>
          <w:numId w:val="22"/>
        </w:numPr>
        <w:rPr>
          <w:b/>
          <w:bCs/>
          <w:sz w:val="24"/>
          <w:szCs w:val="24"/>
        </w:rPr>
      </w:pPr>
      <w:r>
        <w:rPr>
          <w:b/>
          <w:bCs/>
          <w:sz w:val="24"/>
          <w:szCs w:val="24"/>
        </w:rPr>
        <w:t>General indicators</w:t>
      </w:r>
    </w:p>
    <w:p w:rsidR="006F219F" w:rsidRDefault="006F219F" w:rsidP="00C8156B">
      <w:pPr>
        <w:pStyle w:val="ListParagraph"/>
        <w:numPr>
          <w:ilvl w:val="0"/>
          <w:numId w:val="6"/>
        </w:numPr>
        <w:rPr>
          <w:bCs/>
          <w:sz w:val="24"/>
          <w:szCs w:val="24"/>
        </w:rPr>
      </w:pPr>
      <w:r>
        <w:rPr>
          <w:bCs/>
          <w:sz w:val="24"/>
          <w:szCs w:val="24"/>
        </w:rPr>
        <w:t xml:space="preserve">GNI (USD): </w:t>
      </w:r>
      <w:r w:rsidR="00C8156B">
        <w:rPr>
          <w:bCs/>
          <w:sz w:val="24"/>
          <w:szCs w:val="24"/>
        </w:rPr>
        <w:t>660</w:t>
      </w:r>
    </w:p>
    <w:p w:rsidR="006F219F" w:rsidRDefault="006F219F" w:rsidP="00C8156B">
      <w:pPr>
        <w:pStyle w:val="ListParagraph"/>
        <w:numPr>
          <w:ilvl w:val="0"/>
          <w:numId w:val="6"/>
        </w:numPr>
        <w:rPr>
          <w:bCs/>
          <w:sz w:val="24"/>
          <w:szCs w:val="24"/>
        </w:rPr>
      </w:pPr>
      <w:r w:rsidRPr="006E0769">
        <w:rPr>
          <w:bCs/>
          <w:sz w:val="24"/>
          <w:szCs w:val="24"/>
        </w:rPr>
        <w:t>WB Status: Lower Income</w:t>
      </w:r>
    </w:p>
    <w:p w:rsidR="006F219F" w:rsidRPr="006E0769" w:rsidRDefault="006F219F" w:rsidP="006F219F">
      <w:pPr>
        <w:pStyle w:val="ListParagraph"/>
        <w:numPr>
          <w:ilvl w:val="0"/>
          <w:numId w:val="6"/>
        </w:numPr>
        <w:rPr>
          <w:bCs/>
          <w:sz w:val="24"/>
          <w:szCs w:val="24"/>
        </w:rPr>
      </w:pPr>
      <w:r w:rsidRPr="006E0769">
        <w:rPr>
          <w:bCs/>
          <w:sz w:val="24"/>
          <w:szCs w:val="24"/>
        </w:rPr>
        <w:t xml:space="preserve">Infant mortality (&lt;12 M) rate: </w:t>
      </w:r>
      <w:r w:rsidR="00C8156B">
        <w:rPr>
          <w:bCs/>
          <w:sz w:val="24"/>
          <w:szCs w:val="24"/>
        </w:rPr>
        <w:t>38</w:t>
      </w:r>
    </w:p>
    <w:p w:rsidR="006F219F" w:rsidRDefault="006F219F" w:rsidP="00C8156B">
      <w:pPr>
        <w:pStyle w:val="ListParagraph"/>
        <w:numPr>
          <w:ilvl w:val="0"/>
          <w:numId w:val="6"/>
        </w:numPr>
        <w:rPr>
          <w:bCs/>
          <w:sz w:val="24"/>
          <w:szCs w:val="24"/>
        </w:rPr>
      </w:pPr>
      <w:r>
        <w:rPr>
          <w:bCs/>
          <w:sz w:val="24"/>
          <w:szCs w:val="24"/>
        </w:rPr>
        <w:t xml:space="preserve">GAVI Status: </w:t>
      </w:r>
      <w:r w:rsidR="00C8156B">
        <w:rPr>
          <w:bCs/>
          <w:sz w:val="24"/>
          <w:szCs w:val="24"/>
        </w:rPr>
        <w:t>Eligible</w:t>
      </w:r>
    </w:p>
    <w:p w:rsidR="00C8156B" w:rsidRDefault="006F219F" w:rsidP="00C8156B">
      <w:pPr>
        <w:pStyle w:val="ListParagraph"/>
        <w:numPr>
          <w:ilvl w:val="0"/>
          <w:numId w:val="6"/>
        </w:numPr>
        <w:rPr>
          <w:bCs/>
          <w:sz w:val="24"/>
          <w:szCs w:val="24"/>
        </w:rPr>
      </w:pPr>
      <w:r w:rsidRPr="00C8156B">
        <w:rPr>
          <w:bCs/>
          <w:sz w:val="24"/>
          <w:szCs w:val="24"/>
        </w:rPr>
        <w:t xml:space="preserve">Total Population: </w:t>
      </w:r>
      <w:r w:rsidR="00C8156B" w:rsidRPr="00C8156B">
        <w:rPr>
          <w:bCs/>
          <w:sz w:val="24"/>
          <w:szCs w:val="24"/>
        </w:rPr>
        <w:t>39</w:t>
      </w:r>
      <w:r w:rsidR="00C8156B">
        <w:rPr>
          <w:bCs/>
          <w:sz w:val="24"/>
          <w:szCs w:val="24"/>
        </w:rPr>
        <w:t>,</w:t>
      </w:r>
      <w:r w:rsidR="00C8156B" w:rsidRPr="00C8156B">
        <w:rPr>
          <w:bCs/>
          <w:sz w:val="24"/>
          <w:szCs w:val="24"/>
        </w:rPr>
        <w:t>032</w:t>
      </w:r>
      <w:r w:rsidR="00C8156B">
        <w:rPr>
          <w:bCs/>
          <w:sz w:val="24"/>
          <w:szCs w:val="24"/>
        </w:rPr>
        <w:t>,</w:t>
      </w:r>
      <w:r w:rsidR="00C8156B" w:rsidRPr="00C8156B">
        <w:rPr>
          <w:bCs/>
          <w:sz w:val="24"/>
          <w:szCs w:val="24"/>
        </w:rPr>
        <w:t>000</w:t>
      </w:r>
    </w:p>
    <w:p w:rsidR="006F219F" w:rsidRPr="00C8156B" w:rsidRDefault="006F219F" w:rsidP="00C8156B">
      <w:pPr>
        <w:pStyle w:val="ListParagraph"/>
        <w:numPr>
          <w:ilvl w:val="0"/>
          <w:numId w:val="6"/>
        </w:numPr>
        <w:rPr>
          <w:bCs/>
          <w:sz w:val="24"/>
          <w:szCs w:val="24"/>
        </w:rPr>
      </w:pPr>
      <w:r w:rsidRPr="00C8156B">
        <w:rPr>
          <w:bCs/>
          <w:sz w:val="24"/>
          <w:szCs w:val="24"/>
        </w:rPr>
        <w:t xml:space="preserve">Birth Cohort: </w:t>
      </w:r>
      <w:r w:rsidR="00C8156B" w:rsidRPr="00C8156B">
        <w:rPr>
          <w:bCs/>
          <w:sz w:val="24"/>
          <w:szCs w:val="24"/>
        </w:rPr>
        <w:t>1</w:t>
      </w:r>
      <w:r w:rsidR="00C8156B">
        <w:rPr>
          <w:bCs/>
          <w:sz w:val="24"/>
          <w:szCs w:val="24"/>
        </w:rPr>
        <w:t>,</w:t>
      </w:r>
      <w:r w:rsidR="00C8156B" w:rsidRPr="00C8156B">
        <w:rPr>
          <w:bCs/>
          <w:sz w:val="24"/>
          <w:szCs w:val="24"/>
        </w:rPr>
        <w:t>665</w:t>
      </w:r>
      <w:r w:rsidR="00C8156B">
        <w:rPr>
          <w:bCs/>
          <w:sz w:val="24"/>
          <w:szCs w:val="24"/>
        </w:rPr>
        <w:t>,</w:t>
      </w:r>
      <w:r w:rsidR="00C8156B" w:rsidRPr="00C8156B">
        <w:rPr>
          <w:bCs/>
          <w:sz w:val="24"/>
          <w:szCs w:val="24"/>
        </w:rPr>
        <w:t>000</w:t>
      </w:r>
    </w:p>
    <w:p w:rsidR="006F219F" w:rsidRDefault="006F219F" w:rsidP="00F01C3B">
      <w:pPr>
        <w:pStyle w:val="ListParagraph"/>
        <w:numPr>
          <w:ilvl w:val="0"/>
          <w:numId w:val="6"/>
        </w:numPr>
        <w:spacing w:line="480" w:lineRule="auto"/>
        <w:rPr>
          <w:bCs/>
          <w:sz w:val="24"/>
          <w:szCs w:val="24"/>
        </w:rPr>
      </w:pPr>
      <w:r>
        <w:rPr>
          <w:bCs/>
          <w:sz w:val="24"/>
          <w:szCs w:val="24"/>
        </w:rPr>
        <w:t xml:space="preserve">Surviving Infants: </w:t>
      </w:r>
      <w:r w:rsidR="00C8156B" w:rsidRPr="00C8156B">
        <w:rPr>
          <w:bCs/>
          <w:sz w:val="24"/>
          <w:szCs w:val="24"/>
        </w:rPr>
        <w:t>1</w:t>
      </w:r>
      <w:r w:rsidR="00C8156B">
        <w:rPr>
          <w:bCs/>
          <w:sz w:val="24"/>
          <w:szCs w:val="24"/>
        </w:rPr>
        <w:t>,</w:t>
      </w:r>
      <w:r w:rsidR="00C8156B" w:rsidRPr="00C8156B">
        <w:rPr>
          <w:bCs/>
          <w:sz w:val="24"/>
          <w:szCs w:val="24"/>
        </w:rPr>
        <w:t>568</w:t>
      </w:r>
      <w:r w:rsidR="00C8156B">
        <w:rPr>
          <w:bCs/>
          <w:sz w:val="24"/>
          <w:szCs w:val="24"/>
        </w:rPr>
        <w:t>,</w:t>
      </w:r>
      <w:r w:rsidR="00C8156B" w:rsidRPr="00C8156B">
        <w:rPr>
          <w:bCs/>
          <w:sz w:val="24"/>
          <w:szCs w:val="24"/>
        </w:rPr>
        <w:t>000</w:t>
      </w:r>
    </w:p>
    <w:p w:rsidR="006F219F" w:rsidRDefault="006F219F" w:rsidP="006F219F">
      <w:pPr>
        <w:pStyle w:val="ListParagraph"/>
        <w:numPr>
          <w:ilvl w:val="0"/>
          <w:numId w:val="22"/>
        </w:numPr>
        <w:rPr>
          <w:b/>
          <w:bCs/>
          <w:sz w:val="24"/>
          <w:szCs w:val="24"/>
        </w:rPr>
      </w:pPr>
      <w:r>
        <w:rPr>
          <w:b/>
          <w:bCs/>
          <w:sz w:val="24"/>
          <w:szCs w:val="24"/>
        </w:rPr>
        <w:t>Polio</w:t>
      </w:r>
    </w:p>
    <w:p w:rsidR="006F219F" w:rsidRPr="00D151A4" w:rsidRDefault="006F219F" w:rsidP="006F219F">
      <w:pPr>
        <w:pStyle w:val="ListParagraph"/>
        <w:numPr>
          <w:ilvl w:val="0"/>
          <w:numId w:val="7"/>
        </w:numPr>
        <w:rPr>
          <w:bCs/>
          <w:sz w:val="24"/>
          <w:szCs w:val="24"/>
        </w:rPr>
      </w:pPr>
      <w:r w:rsidRPr="00D151A4">
        <w:rPr>
          <w:bCs/>
          <w:sz w:val="24"/>
          <w:szCs w:val="24"/>
        </w:rPr>
        <w:t xml:space="preserve">Transmission stopped in </w:t>
      </w:r>
      <w:r w:rsidR="004333B5" w:rsidRPr="00D151A4">
        <w:rPr>
          <w:bCs/>
          <w:sz w:val="24"/>
          <w:szCs w:val="24"/>
        </w:rPr>
        <w:t>2011</w:t>
      </w:r>
      <w:r w:rsidRPr="00D151A4">
        <w:rPr>
          <w:bCs/>
          <w:sz w:val="24"/>
          <w:szCs w:val="24"/>
        </w:rPr>
        <w:t>.</w:t>
      </w:r>
    </w:p>
    <w:p w:rsidR="006F219F" w:rsidRPr="00D151A4" w:rsidRDefault="006F219F" w:rsidP="006F219F">
      <w:pPr>
        <w:pStyle w:val="ListParagraph"/>
        <w:numPr>
          <w:ilvl w:val="0"/>
          <w:numId w:val="7"/>
        </w:numPr>
        <w:rPr>
          <w:bCs/>
          <w:sz w:val="24"/>
          <w:szCs w:val="24"/>
        </w:rPr>
      </w:pPr>
      <w:r w:rsidRPr="00D151A4">
        <w:rPr>
          <w:bCs/>
          <w:sz w:val="24"/>
          <w:szCs w:val="24"/>
        </w:rPr>
        <w:t xml:space="preserve">Eradication certified in </w:t>
      </w:r>
      <w:r w:rsidR="006D0B40" w:rsidRPr="00D151A4">
        <w:rPr>
          <w:bCs/>
          <w:sz w:val="24"/>
          <w:szCs w:val="24"/>
        </w:rPr>
        <w:t>2006</w:t>
      </w:r>
      <w:r w:rsidR="00D151A4" w:rsidRPr="00D151A4">
        <w:rPr>
          <w:bCs/>
          <w:sz w:val="24"/>
          <w:szCs w:val="24"/>
        </w:rPr>
        <w:t xml:space="preserve"> and in 2015 ARCC accepted a report on </w:t>
      </w:r>
      <w:r w:rsidR="00D151A4">
        <w:rPr>
          <w:bCs/>
          <w:sz w:val="24"/>
          <w:szCs w:val="24"/>
        </w:rPr>
        <w:t>the</w:t>
      </w:r>
      <w:r w:rsidR="00D151A4" w:rsidRPr="00D151A4">
        <w:rPr>
          <w:bCs/>
          <w:sz w:val="24"/>
          <w:szCs w:val="24"/>
        </w:rPr>
        <w:t xml:space="preserve"> response to </w:t>
      </w:r>
      <w:r w:rsidR="00D151A4">
        <w:rPr>
          <w:bCs/>
          <w:sz w:val="24"/>
          <w:szCs w:val="24"/>
        </w:rPr>
        <w:t xml:space="preserve">the imported </w:t>
      </w:r>
      <w:r w:rsidR="00D151A4" w:rsidRPr="00D151A4">
        <w:rPr>
          <w:bCs/>
          <w:sz w:val="24"/>
          <w:szCs w:val="24"/>
        </w:rPr>
        <w:t xml:space="preserve">WPV outbreak following complete documentation. </w:t>
      </w:r>
      <w:r w:rsidR="004333B5" w:rsidRPr="00D151A4">
        <w:rPr>
          <w:bCs/>
          <w:sz w:val="24"/>
          <w:szCs w:val="24"/>
        </w:rPr>
        <w:t xml:space="preserve"> </w:t>
      </w:r>
    </w:p>
    <w:p w:rsidR="006F219F" w:rsidRDefault="006F219F" w:rsidP="006F219F">
      <w:pPr>
        <w:pStyle w:val="ListParagraph"/>
        <w:ind w:left="1080"/>
        <w:rPr>
          <w:b/>
          <w:bCs/>
          <w:sz w:val="24"/>
          <w:szCs w:val="24"/>
        </w:rPr>
      </w:pPr>
    </w:p>
    <w:p w:rsidR="006F219F" w:rsidRDefault="006F219F" w:rsidP="006F219F">
      <w:pPr>
        <w:pStyle w:val="ListParagraph"/>
        <w:numPr>
          <w:ilvl w:val="0"/>
          <w:numId w:val="22"/>
        </w:numPr>
        <w:rPr>
          <w:b/>
          <w:bCs/>
          <w:sz w:val="24"/>
          <w:szCs w:val="24"/>
        </w:rPr>
      </w:pPr>
      <w:r>
        <w:rPr>
          <w:b/>
          <w:bCs/>
          <w:sz w:val="24"/>
          <w:szCs w:val="24"/>
        </w:rPr>
        <w:t>Measles and rubella</w:t>
      </w:r>
    </w:p>
    <w:p w:rsidR="00F01C3B" w:rsidRDefault="00F01C3B" w:rsidP="00F01C3B">
      <w:pPr>
        <w:pStyle w:val="Caption"/>
        <w:rPr>
          <w:b w:val="0"/>
          <w:bCs w:val="0"/>
          <w:sz w:val="24"/>
          <w:szCs w:val="24"/>
        </w:rPr>
      </w:pPr>
      <w:r>
        <w:t xml:space="preserve">Figure </w:t>
      </w:r>
      <w:r>
        <w:fldChar w:fldCharType="begin"/>
      </w:r>
      <w:r>
        <w:instrText xml:space="preserve"> SEQ Figure \* ARABIC </w:instrText>
      </w:r>
      <w:r>
        <w:fldChar w:fldCharType="separate"/>
      </w:r>
      <w:r w:rsidR="007D3409">
        <w:rPr>
          <w:noProof/>
        </w:rPr>
        <w:t>2</w:t>
      </w:r>
      <w:r>
        <w:fldChar w:fldCharType="end"/>
      </w:r>
      <w:r>
        <w:t>: Reported measles cases and MCV1 coverage, Uganda, 1990-2015</w:t>
      </w:r>
    </w:p>
    <w:p w:rsidR="006F219F" w:rsidRDefault="001B1E58" w:rsidP="006F219F">
      <w:pPr>
        <w:rPr>
          <w:b/>
          <w:bCs/>
          <w:sz w:val="32"/>
          <w:szCs w:val="32"/>
        </w:rPr>
      </w:pPr>
      <w:r>
        <w:rPr>
          <w:b/>
          <w:noProof/>
          <w:sz w:val="32"/>
          <w:szCs w:val="32"/>
          <w:lang w:eastAsia="en-GB"/>
        </w:rPr>
        <w:drawing>
          <wp:inline distT="0" distB="0" distL="0" distR="0">
            <wp:extent cx="5727700" cy="3217545"/>
            <wp:effectExtent l="19050" t="19050" r="25400" b="20955"/>
            <wp:docPr id="1" name="Picture 1" descr="Y:\GVAP\Priority_countries\UGAMCV1_MCV2_MEAS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GVAP\Priority_countries\UGAMCV1_MCV2_MEASLE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3217545"/>
                    </a:xfrm>
                    <a:prstGeom prst="rect">
                      <a:avLst/>
                    </a:prstGeom>
                    <a:noFill/>
                    <a:ln w="6350" cmpd="sng">
                      <a:solidFill>
                        <a:srgbClr val="000000"/>
                      </a:solidFill>
                      <a:miter lim="800000"/>
                      <a:headEnd/>
                      <a:tailEnd/>
                    </a:ln>
                    <a:effectLst/>
                  </pic:spPr>
                </pic:pic>
              </a:graphicData>
            </a:graphic>
          </wp:inline>
        </w:drawing>
      </w:r>
    </w:p>
    <w:p w:rsidR="006F219F" w:rsidRDefault="006F219F" w:rsidP="006F219F">
      <w:pPr>
        <w:rPr>
          <w:b/>
        </w:rPr>
      </w:pPr>
    </w:p>
    <w:p w:rsidR="006F219F" w:rsidRDefault="006F219F" w:rsidP="006F219F">
      <w:pPr>
        <w:rPr>
          <w:b/>
        </w:rPr>
      </w:pPr>
    </w:p>
    <w:p w:rsidR="00385AF1" w:rsidRPr="00EF28C5" w:rsidRDefault="00EF28C5" w:rsidP="00EF28C5">
      <w:pPr>
        <w:rPr>
          <w:b/>
        </w:rPr>
      </w:pPr>
      <w:r>
        <w:rPr>
          <w:b/>
        </w:rPr>
        <w:br w:type="page"/>
      </w:r>
      <w:r w:rsidR="00F01C3B" w:rsidRPr="00EF28C5">
        <w:rPr>
          <w:b/>
        </w:rPr>
        <w:lastRenderedPageBreak/>
        <w:t xml:space="preserve">Table </w:t>
      </w:r>
      <w:r w:rsidR="00F01C3B" w:rsidRPr="00EF28C5">
        <w:rPr>
          <w:b/>
        </w:rPr>
        <w:fldChar w:fldCharType="begin"/>
      </w:r>
      <w:r w:rsidR="00F01C3B" w:rsidRPr="00EF28C5">
        <w:rPr>
          <w:b/>
        </w:rPr>
        <w:instrText xml:space="preserve"> SEQ Table \* ARABIC </w:instrText>
      </w:r>
      <w:r w:rsidR="00F01C3B" w:rsidRPr="00EF28C5">
        <w:rPr>
          <w:b/>
        </w:rPr>
        <w:fldChar w:fldCharType="separate"/>
      </w:r>
      <w:r w:rsidRPr="00EF28C5">
        <w:rPr>
          <w:b/>
          <w:noProof/>
        </w:rPr>
        <w:t>2</w:t>
      </w:r>
      <w:r w:rsidR="00F01C3B" w:rsidRPr="00EF28C5">
        <w:rPr>
          <w:b/>
        </w:rPr>
        <w:fldChar w:fldCharType="end"/>
      </w:r>
      <w:r w:rsidR="00F01C3B" w:rsidRPr="00EF28C5">
        <w:rPr>
          <w:b/>
        </w:rPr>
        <w:t xml:space="preserve">: </w:t>
      </w:r>
      <w:r w:rsidR="006F219F" w:rsidRPr="00EF28C5">
        <w:rPr>
          <w:b/>
        </w:rPr>
        <w:t>SIA activities planned in 2016-2017</w:t>
      </w:r>
    </w:p>
    <w:tbl>
      <w:tblPr>
        <w:tblW w:w="963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5"/>
        <w:gridCol w:w="1358"/>
        <w:gridCol w:w="822"/>
        <w:gridCol w:w="1311"/>
        <w:gridCol w:w="1278"/>
        <w:gridCol w:w="917"/>
        <w:gridCol w:w="1053"/>
        <w:gridCol w:w="942"/>
        <w:gridCol w:w="1218"/>
      </w:tblGrid>
      <w:tr w:rsidR="00385AF1" w:rsidRPr="00B13A2F" w:rsidTr="00B13A2F">
        <w:trPr>
          <w:trHeight w:val="255"/>
        </w:trPr>
        <w:tc>
          <w:tcPr>
            <w:tcW w:w="975" w:type="dxa"/>
            <w:shd w:val="clear" w:color="auto" w:fill="auto"/>
            <w:noWrap/>
            <w:hideMark/>
          </w:tcPr>
          <w:p w:rsidR="00385AF1" w:rsidRPr="00B13A2F" w:rsidRDefault="00385AF1" w:rsidP="00B13A2F">
            <w:pPr>
              <w:spacing w:after="0" w:line="240" w:lineRule="auto"/>
              <w:jc w:val="center"/>
              <w:rPr>
                <w:rFonts w:eastAsia="SimSun"/>
                <w:b/>
                <w:lang w:eastAsia="zh-CN"/>
              </w:rPr>
            </w:pPr>
            <w:r w:rsidRPr="00B13A2F">
              <w:rPr>
                <w:rFonts w:eastAsia="SimSun"/>
                <w:b/>
                <w:lang w:eastAsia="zh-CN"/>
              </w:rPr>
              <w:t>Activity</w:t>
            </w:r>
          </w:p>
        </w:tc>
        <w:tc>
          <w:tcPr>
            <w:tcW w:w="1262" w:type="dxa"/>
            <w:shd w:val="clear" w:color="auto" w:fill="auto"/>
            <w:noWrap/>
            <w:hideMark/>
          </w:tcPr>
          <w:p w:rsidR="00385AF1" w:rsidRPr="00B13A2F" w:rsidRDefault="00385AF1" w:rsidP="00B13A2F">
            <w:pPr>
              <w:spacing w:after="0" w:line="240" w:lineRule="auto"/>
              <w:jc w:val="center"/>
              <w:rPr>
                <w:rFonts w:eastAsia="SimSun"/>
                <w:b/>
                <w:lang w:eastAsia="zh-CN"/>
              </w:rPr>
            </w:pPr>
            <w:r w:rsidRPr="00B13A2F">
              <w:rPr>
                <w:rFonts w:eastAsia="SimSun"/>
                <w:b/>
                <w:lang w:eastAsia="zh-CN"/>
              </w:rPr>
              <w:t>Intervention</w:t>
            </w:r>
          </w:p>
        </w:tc>
        <w:tc>
          <w:tcPr>
            <w:tcW w:w="822" w:type="dxa"/>
            <w:shd w:val="clear" w:color="auto" w:fill="auto"/>
            <w:noWrap/>
            <w:hideMark/>
          </w:tcPr>
          <w:p w:rsidR="00385AF1" w:rsidRPr="00B13A2F" w:rsidRDefault="00385AF1" w:rsidP="00B13A2F">
            <w:pPr>
              <w:spacing w:after="0" w:line="240" w:lineRule="auto"/>
              <w:jc w:val="center"/>
              <w:rPr>
                <w:rFonts w:eastAsia="SimSun"/>
                <w:b/>
                <w:lang w:eastAsia="zh-CN"/>
              </w:rPr>
            </w:pPr>
            <w:r w:rsidRPr="00B13A2F">
              <w:rPr>
                <w:rFonts w:eastAsia="SimSun"/>
                <w:b/>
                <w:lang w:eastAsia="zh-CN"/>
              </w:rPr>
              <w:t>Year</w:t>
            </w:r>
          </w:p>
        </w:tc>
        <w:tc>
          <w:tcPr>
            <w:tcW w:w="1311" w:type="dxa"/>
            <w:shd w:val="clear" w:color="auto" w:fill="auto"/>
            <w:noWrap/>
            <w:hideMark/>
          </w:tcPr>
          <w:p w:rsidR="00385AF1" w:rsidRPr="00B13A2F" w:rsidRDefault="00385AF1" w:rsidP="00B13A2F">
            <w:pPr>
              <w:spacing w:after="0" w:line="240" w:lineRule="auto"/>
              <w:jc w:val="center"/>
              <w:rPr>
                <w:rFonts w:eastAsia="SimSun"/>
                <w:b/>
                <w:lang w:eastAsia="zh-CN"/>
              </w:rPr>
            </w:pPr>
            <w:r w:rsidRPr="00B13A2F">
              <w:rPr>
                <w:rFonts w:eastAsia="SimSun"/>
                <w:b/>
                <w:lang w:eastAsia="zh-CN"/>
              </w:rPr>
              <w:t>Start</w:t>
            </w:r>
            <w:r w:rsidR="006D0B40" w:rsidRPr="00B13A2F">
              <w:rPr>
                <w:rFonts w:eastAsia="SimSun"/>
                <w:b/>
                <w:lang w:eastAsia="zh-CN"/>
              </w:rPr>
              <w:t xml:space="preserve"> </w:t>
            </w:r>
            <w:r w:rsidRPr="00B13A2F">
              <w:rPr>
                <w:rFonts w:eastAsia="SimSun"/>
                <w:b/>
                <w:lang w:eastAsia="zh-CN"/>
              </w:rPr>
              <w:t>Date</w:t>
            </w:r>
          </w:p>
        </w:tc>
        <w:tc>
          <w:tcPr>
            <w:tcW w:w="1215" w:type="dxa"/>
            <w:shd w:val="clear" w:color="auto" w:fill="auto"/>
            <w:noWrap/>
            <w:hideMark/>
          </w:tcPr>
          <w:p w:rsidR="00385AF1" w:rsidRPr="00B13A2F" w:rsidRDefault="00385AF1" w:rsidP="00B13A2F">
            <w:pPr>
              <w:spacing w:after="0" w:line="240" w:lineRule="auto"/>
              <w:jc w:val="center"/>
              <w:rPr>
                <w:rFonts w:eastAsia="SimSun"/>
                <w:b/>
                <w:lang w:eastAsia="zh-CN"/>
              </w:rPr>
            </w:pPr>
            <w:r w:rsidRPr="00B13A2F">
              <w:rPr>
                <w:rFonts w:eastAsia="SimSun"/>
                <w:b/>
                <w:lang w:eastAsia="zh-CN"/>
              </w:rPr>
              <w:t>End</w:t>
            </w:r>
            <w:r w:rsidR="006D0B40" w:rsidRPr="00B13A2F">
              <w:rPr>
                <w:rFonts w:eastAsia="SimSun"/>
                <w:b/>
                <w:lang w:eastAsia="zh-CN"/>
              </w:rPr>
              <w:t xml:space="preserve"> </w:t>
            </w:r>
            <w:r w:rsidRPr="00B13A2F">
              <w:rPr>
                <w:rFonts w:eastAsia="SimSun"/>
                <w:b/>
                <w:lang w:eastAsia="zh-CN"/>
              </w:rPr>
              <w:t>Date</w:t>
            </w:r>
          </w:p>
        </w:tc>
        <w:tc>
          <w:tcPr>
            <w:tcW w:w="917" w:type="dxa"/>
            <w:shd w:val="clear" w:color="auto" w:fill="auto"/>
            <w:noWrap/>
            <w:hideMark/>
          </w:tcPr>
          <w:p w:rsidR="00385AF1" w:rsidRPr="00B13A2F" w:rsidRDefault="00385AF1" w:rsidP="00B13A2F">
            <w:pPr>
              <w:spacing w:after="0" w:line="240" w:lineRule="auto"/>
              <w:jc w:val="center"/>
              <w:rPr>
                <w:rFonts w:eastAsia="SimSun"/>
                <w:b/>
                <w:lang w:eastAsia="zh-CN"/>
              </w:rPr>
            </w:pPr>
            <w:r w:rsidRPr="00B13A2F">
              <w:rPr>
                <w:rFonts w:eastAsia="SimSun"/>
                <w:b/>
                <w:lang w:eastAsia="zh-CN"/>
              </w:rPr>
              <w:t>Age</w:t>
            </w:r>
            <w:r w:rsidR="006D0B40" w:rsidRPr="00B13A2F">
              <w:rPr>
                <w:rFonts w:eastAsia="SimSun"/>
                <w:b/>
                <w:lang w:eastAsia="zh-CN"/>
              </w:rPr>
              <w:t xml:space="preserve"> </w:t>
            </w:r>
            <w:r w:rsidRPr="00B13A2F">
              <w:rPr>
                <w:rFonts w:eastAsia="SimSun"/>
                <w:b/>
                <w:lang w:eastAsia="zh-CN"/>
              </w:rPr>
              <w:t>Group</w:t>
            </w:r>
          </w:p>
        </w:tc>
        <w:tc>
          <w:tcPr>
            <w:tcW w:w="1053" w:type="dxa"/>
            <w:shd w:val="clear" w:color="auto" w:fill="auto"/>
            <w:noWrap/>
            <w:hideMark/>
          </w:tcPr>
          <w:p w:rsidR="00385AF1" w:rsidRPr="00B13A2F" w:rsidRDefault="00385AF1" w:rsidP="00B13A2F">
            <w:pPr>
              <w:spacing w:after="0" w:line="240" w:lineRule="auto"/>
              <w:jc w:val="center"/>
              <w:rPr>
                <w:rFonts w:eastAsia="SimSun"/>
                <w:b/>
                <w:lang w:eastAsia="zh-CN"/>
              </w:rPr>
            </w:pPr>
            <w:r w:rsidRPr="00B13A2F">
              <w:rPr>
                <w:rFonts w:eastAsia="SimSun"/>
                <w:b/>
                <w:lang w:eastAsia="zh-CN"/>
              </w:rPr>
              <w:t>Extent</w:t>
            </w:r>
          </w:p>
        </w:tc>
        <w:tc>
          <w:tcPr>
            <w:tcW w:w="899" w:type="dxa"/>
            <w:shd w:val="clear" w:color="auto" w:fill="auto"/>
            <w:noWrap/>
            <w:hideMark/>
          </w:tcPr>
          <w:p w:rsidR="00385AF1" w:rsidRPr="00B13A2F" w:rsidRDefault="00385AF1" w:rsidP="00B13A2F">
            <w:pPr>
              <w:spacing w:after="0" w:line="240" w:lineRule="auto"/>
              <w:jc w:val="center"/>
              <w:rPr>
                <w:rFonts w:eastAsia="SimSun"/>
                <w:b/>
                <w:lang w:eastAsia="zh-CN"/>
              </w:rPr>
            </w:pPr>
            <w:r w:rsidRPr="00B13A2F">
              <w:rPr>
                <w:rFonts w:eastAsia="SimSun"/>
                <w:b/>
                <w:lang w:eastAsia="zh-CN"/>
              </w:rPr>
              <w:t>Status</w:t>
            </w:r>
          </w:p>
        </w:tc>
        <w:tc>
          <w:tcPr>
            <w:tcW w:w="1176" w:type="dxa"/>
            <w:shd w:val="clear" w:color="auto" w:fill="auto"/>
            <w:noWrap/>
            <w:hideMark/>
          </w:tcPr>
          <w:p w:rsidR="00385AF1" w:rsidRPr="00B13A2F" w:rsidRDefault="00385AF1" w:rsidP="00B13A2F">
            <w:pPr>
              <w:spacing w:after="0" w:line="240" w:lineRule="auto"/>
              <w:jc w:val="center"/>
              <w:rPr>
                <w:rFonts w:eastAsia="SimSun"/>
                <w:b/>
                <w:lang w:eastAsia="zh-CN"/>
              </w:rPr>
            </w:pPr>
            <w:r w:rsidRPr="00B13A2F">
              <w:rPr>
                <w:rFonts w:eastAsia="SimSun"/>
                <w:b/>
                <w:lang w:eastAsia="zh-CN"/>
              </w:rPr>
              <w:t>Target</w:t>
            </w:r>
            <w:r w:rsidR="006D0B40" w:rsidRPr="00B13A2F">
              <w:rPr>
                <w:rFonts w:eastAsia="SimSun"/>
                <w:b/>
                <w:lang w:eastAsia="zh-CN"/>
              </w:rPr>
              <w:t xml:space="preserve"> population</w:t>
            </w:r>
          </w:p>
        </w:tc>
      </w:tr>
      <w:tr w:rsidR="00385AF1" w:rsidRPr="00B13A2F" w:rsidTr="00B13A2F">
        <w:trPr>
          <w:trHeight w:val="255"/>
        </w:trPr>
        <w:tc>
          <w:tcPr>
            <w:tcW w:w="975" w:type="dxa"/>
            <w:shd w:val="clear" w:color="auto" w:fill="auto"/>
            <w:noWrap/>
            <w:hideMark/>
          </w:tcPr>
          <w:p w:rsidR="00385AF1" w:rsidRPr="00B13A2F" w:rsidRDefault="00385AF1" w:rsidP="00B13A2F">
            <w:pPr>
              <w:spacing w:after="0" w:line="240" w:lineRule="auto"/>
              <w:rPr>
                <w:rFonts w:eastAsia="SimSun"/>
                <w:lang w:eastAsia="zh-CN"/>
              </w:rPr>
            </w:pPr>
            <w:r w:rsidRPr="00B13A2F">
              <w:rPr>
                <w:rFonts w:eastAsia="SimSun"/>
                <w:lang w:eastAsia="zh-CN"/>
              </w:rPr>
              <w:t>SNID</w:t>
            </w:r>
          </w:p>
        </w:tc>
        <w:tc>
          <w:tcPr>
            <w:tcW w:w="1262" w:type="dxa"/>
            <w:shd w:val="clear" w:color="auto" w:fill="auto"/>
            <w:noWrap/>
            <w:hideMark/>
          </w:tcPr>
          <w:p w:rsidR="00385AF1" w:rsidRPr="00B13A2F" w:rsidRDefault="00385AF1" w:rsidP="00B13A2F">
            <w:pPr>
              <w:spacing w:after="0" w:line="240" w:lineRule="auto"/>
              <w:rPr>
                <w:rFonts w:eastAsia="SimSun"/>
                <w:lang w:eastAsia="zh-CN"/>
              </w:rPr>
            </w:pPr>
            <w:r w:rsidRPr="00B13A2F">
              <w:rPr>
                <w:rFonts w:eastAsia="SimSun"/>
                <w:lang w:eastAsia="zh-CN"/>
              </w:rPr>
              <w:t>tOPV</w:t>
            </w:r>
          </w:p>
        </w:tc>
        <w:tc>
          <w:tcPr>
            <w:tcW w:w="822" w:type="dxa"/>
            <w:shd w:val="clear" w:color="auto" w:fill="auto"/>
            <w:noWrap/>
            <w:hideMark/>
          </w:tcPr>
          <w:p w:rsidR="00385AF1" w:rsidRPr="00B13A2F" w:rsidRDefault="00385AF1" w:rsidP="00B13A2F">
            <w:pPr>
              <w:spacing w:after="0" w:line="240" w:lineRule="auto"/>
              <w:rPr>
                <w:rFonts w:eastAsia="SimSun"/>
                <w:lang w:eastAsia="zh-CN"/>
              </w:rPr>
            </w:pPr>
            <w:r w:rsidRPr="00B13A2F">
              <w:rPr>
                <w:rFonts w:eastAsia="SimSun"/>
                <w:lang w:eastAsia="zh-CN"/>
              </w:rPr>
              <w:t>2016</w:t>
            </w:r>
          </w:p>
        </w:tc>
        <w:tc>
          <w:tcPr>
            <w:tcW w:w="1311" w:type="dxa"/>
            <w:shd w:val="clear" w:color="auto" w:fill="auto"/>
            <w:noWrap/>
            <w:hideMark/>
          </w:tcPr>
          <w:p w:rsidR="00385AF1" w:rsidRPr="00B13A2F" w:rsidRDefault="00385AF1" w:rsidP="00B13A2F">
            <w:pPr>
              <w:spacing w:after="0" w:line="240" w:lineRule="auto"/>
              <w:rPr>
                <w:rFonts w:eastAsia="SimSun"/>
                <w:lang w:eastAsia="zh-CN"/>
              </w:rPr>
            </w:pPr>
            <w:r w:rsidRPr="00B13A2F">
              <w:rPr>
                <w:rFonts w:eastAsia="SimSun"/>
                <w:lang w:eastAsia="zh-CN"/>
              </w:rPr>
              <w:t>23/01/2016</w:t>
            </w:r>
          </w:p>
        </w:tc>
        <w:tc>
          <w:tcPr>
            <w:tcW w:w="1215" w:type="dxa"/>
            <w:shd w:val="clear" w:color="auto" w:fill="auto"/>
            <w:noWrap/>
            <w:hideMark/>
          </w:tcPr>
          <w:p w:rsidR="00385AF1" w:rsidRPr="00B13A2F" w:rsidRDefault="00385AF1" w:rsidP="00B13A2F">
            <w:pPr>
              <w:spacing w:after="0" w:line="240" w:lineRule="auto"/>
              <w:rPr>
                <w:rFonts w:eastAsia="SimSun"/>
                <w:lang w:eastAsia="zh-CN"/>
              </w:rPr>
            </w:pPr>
            <w:r w:rsidRPr="00B13A2F">
              <w:rPr>
                <w:rFonts w:eastAsia="SimSun"/>
                <w:lang w:eastAsia="zh-CN"/>
              </w:rPr>
              <w:t>25/01/2016</w:t>
            </w:r>
          </w:p>
        </w:tc>
        <w:tc>
          <w:tcPr>
            <w:tcW w:w="917" w:type="dxa"/>
            <w:shd w:val="clear" w:color="auto" w:fill="auto"/>
            <w:noWrap/>
            <w:hideMark/>
          </w:tcPr>
          <w:p w:rsidR="00385AF1" w:rsidRPr="00B13A2F" w:rsidRDefault="00385AF1" w:rsidP="00B13A2F">
            <w:pPr>
              <w:spacing w:after="0" w:line="240" w:lineRule="auto"/>
              <w:rPr>
                <w:rFonts w:eastAsia="SimSun"/>
                <w:lang w:eastAsia="zh-CN"/>
              </w:rPr>
            </w:pPr>
            <w:r w:rsidRPr="00B13A2F">
              <w:rPr>
                <w:rFonts w:eastAsia="SimSun"/>
                <w:lang w:eastAsia="zh-CN"/>
              </w:rPr>
              <w:t>0 to 5 years</w:t>
            </w:r>
          </w:p>
        </w:tc>
        <w:tc>
          <w:tcPr>
            <w:tcW w:w="1053" w:type="dxa"/>
            <w:shd w:val="clear" w:color="auto" w:fill="auto"/>
            <w:noWrap/>
            <w:hideMark/>
          </w:tcPr>
          <w:p w:rsidR="00385AF1" w:rsidRPr="00B13A2F" w:rsidRDefault="00385AF1" w:rsidP="00B13A2F">
            <w:pPr>
              <w:spacing w:after="0" w:line="240" w:lineRule="auto"/>
              <w:rPr>
                <w:rFonts w:eastAsia="SimSun"/>
                <w:lang w:eastAsia="zh-CN"/>
              </w:rPr>
            </w:pPr>
            <w:r w:rsidRPr="00B13A2F">
              <w:rPr>
                <w:rFonts w:eastAsia="SimSun"/>
                <w:lang w:eastAsia="zh-CN"/>
              </w:rPr>
              <w:t xml:space="preserve"> Sub-National</w:t>
            </w:r>
          </w:p>
        </w:tc>
        <w:tc>
          <w:tcPr>
            <w:tcW w:w="899" w:type="dxa"/>
            <w:shd w:val="clear" w:color="auto" w:fill="auto"/>
            <w:noWrap/>
            <w:hideMark/>
          </w:tcPr>
          <w:p w:rsidR="00385AF1" w:rsidRPr="00B13A2F" w:rsidRDefault="00385AF1" w:rsidP="00B13A2F">
            <w:pPr>
              <w:spacing w:after="0" w:line="240" w:lineRule="auto"/>
              <w:rPr>
                <w:rFonts w:eastAsia="SimSun"/>
                <w:lang w:eastAsia="zh-CN"/>
              </w:rPr>
            </w:pPr>
            <w:r w:rsidRPr="00B13A2F">
              <w:rPr>
                <w:rFonts w:eastAsia="SimSun"/>
                <w:lang w:eastAsia="zh-CN"/>
              </w:rPr>
              <w:t>Planned</w:t>
            </w:r>
          </w:p>
        </w:tc>
        <w:tc>
          <w:tcPr>
            <w:tcW w:w="1176" w:type="dxa"/>
            <w:shd w:val="clear" w:color="auto" w:fill="auto"/>
            <w:noWrap/>
            <w:hideMark/>
          </w:tcPr>
          <w:p w:rsidR="00385AF1" w:rsidRPr="00B13A2F" w:rsidRDefault="00385AF1" w:rsidP="00B13A2F">
            <w:pPr>
              <w:spacing w:after="0" w:line="240" w:lineRule="auto"/>
              <w:rPr>
                <w:rFonts w:eastAsia="SimSun"/>
                <w:lang w:eastAsia="zh-CN"/>
              </w:rPr>
            </w:pPr>
            <w:r w:rsidRPr="00B13A2F">
              <w:rPr>
                <w:rFonts w:eastAsia="SimSun"/>
                <w:lang w:eastAsia="zh-CN"/>
              </w:rPr>
              <w:t>2</w:t>
            </w:r>
            <w:r w:rsidR="006D0B40" w:rsidRPr="00B13A2F">
              <w:rPr>
                <w:rFonts w:eastAsia="SimSun"/>
                <w:lang w:eastAsia="zh-CN"/>
              </w:rPr>
              <w:t>,</w:t>
            </w:r>
            <w:r w:rsidRPr="00B13A2F">
              <w:rPr>
                <w:rFonts w:eastAsia="SimSun"/>
                <w:lang w:eastAsia="zh-CN"/>
              </w:rPr>
              <w:t>540</w:t>
            </w:r>
            <w:r w:rsidR="006D0B40" w:rsidRPr="00B13A2F">
              <w:rPr>
                <w:rFonts w:eastAsia="SimSun"/>
                <w:lang w:eastAsia="zh-CN"/>
              </w:rPr>
              <w:t>,</w:t>
            </w:r>
            <w:r w:rsidRPr="00B13A2F">
              <w:rPr>
                <w:rFonts w:eastAsia="SimSun"/>
                <w:lang w:eastAsia="zh-CN"/>
              </w:rPr>
              <w:t>476</w:t>
            </w:r>
          </w:p>
        </w:tc>
      </w:tr>
      <w:tr w:rsidR="00385AF1" w:rsidRPr="00B13A2F" w:rsidTr="00B13A2F">
        <w:trPr>
          <w:trHeight w:val="255"/>
        </w:trPr>
        <w:tc>
          <w:tcPr>
            <w:tcW w:w="975" w:type="dxa"/>
            <w:shd w:val="clear" w:color="auto" w:fill="auto"/>
            <w:noWrap/>
            <w:hideMark/>
          </w:tcPr>
          <w:p w:rsidR="00385AF1" w:rsidRPr="00B13A2F" w:rsidRDefault="00385AF1" w:rsidP="00B13A2F">
            <w:pPr>
              <w:spacing w:after="0" w:line="240" w:lineRule="auto"/>
              <w:rPr>
                <w:rFonts w:eastAsia="SimSun"/>
                <w:lang w:eastAsia="zh-CN"/>
              </w:rPr>
            </w:pPr>
            <w:r w:rsidRPr="00B13A2F">
              <w:rPr>
                <w:rFonts w:eastAsia="SimSun"/>
                <w:lang w:eastAsia="zh-CN"/>
              </w:rPr>
              <w:t>NID</w:t>
            </w:r>
          </w:p>
        </w:tc>
        <w:tc>
          <w:tcPr>
            <w:tcW w:w="1262" w:type="dxa"/>
            <w:shd w:val="clear" w:color="auto" w:fill="auto"/>
            <w:noWrap/>
            <w:hideMark/>
          </w:tcPr>
          <w:p w:rsidR="00385AF1" w:rsidRPr="00B13A2F" w:rsidRDefault="00385AF1" w:rsidP="00B13A2F">
            <w:pPr>
              <w:spacing w:after="0" w:line="240" w:lineRule="auto"/>
              <w:rPr>
                <w:rFonts w:eastAsia="SimSun"/>
                <w:lang w:eastAsia="zh-CN"/>
              </w:rPr>
            </w:pPr>
            <w:r w:rsidRPr="00B13A2F">
              <w:rPr>
                <w:rFonts w:eastAsia="SimSun"/>
                <w:lang w:eastAsia="zh-CN"/>
              </w:rPr>
              <w:t>tOPV</w:t>
            </w:r>
          </w:p>
        </w:tc>
        <w:tc>
          <w:tcPr>
            <w:tcW w:w="822" w:type="dxa"/>
            <w:shd w:val="clear" w:color="auto" w:fill="auto"/>
            <w:noWrap/>
            <w:hideMark/>
          </w:tcPr>
          <w:p w:rsidR="00385AF1" w:rsidRPr="00B13A2F" w:rsidRDefault="00385AF1" w:rsidP="00B13A2F">
            <w:pPr>
              <w:spacing w:after="0" w:line="240" w:lineRule="auto"/>
              <w:rPr>
                <w:rFonts w:eastAsia="SimSun"/>
                <w:lang w:eastAsia="zh-CN"/>
              </w:rPr>
            </w:pPr>
            <w:r w:rsidRPr="00B13A2F">
              <w:rPr>
                <w:rFonts w:eastAsia="SimSun"/>
                <w:lang w:eastAsia="zh-CN"/>
              </w:rPr>
              <w:t>2016</w:t>
            </w:r>
          </w:p>
        </w:tc>
        <w:tc>
          <w:tcPr>
            <w:tcW w:w="1311" w:type="dxa"/>
            <w:shd w:val="clear" w:color="auto" w:fill="auto"/>
            <w:noWrap/>
            <w:hideMark/>
          </w:tcPr>
          <w:p w:rsidR="00385AF1" w:rsidRPr="00B13A2F" w:rsidRDefault="00385AF1" w:rsidP="00B13A2F">
            <w:pPr>
              <w:spacing w:after="0" w:line="240" w:lineRule="auto"/>
              <w:rPr>
                <w:rFonts w:eastAsia="SimSun"/>
                <w:lang w:eastAsia="zh-CN"/>
              </w:rPr>
            </w:pPr>
            <w:r w:rsidRPr="00B13A2F">
              <w:rPr>
                <w:rFonts w:eastAsia="SimSun"/>
                <w:lang w:eastAsia="zh-CN"/>
              </w:rPr>
              <w:t>01/04/2016</w:t>
            </w:r>
          </w:p>
        </w:tc>
        <w:tc>
          <w:tcPr>
            <w:tcW w:w="1215" w:type="dxa"/>
            <w:shd w:val="clear" w:color="auto" w:fill="auto"/>
            <w:noWrap/>
            <w:hideMark/>
          </w:tcPr>
          <w:p w:rsidR="00385AF1" w:rsidRPr="00B13A2F" w:rsidRDefault="00385AF1" w:rsidP="00B13A2F">
            <w:pPr>
              <w:spacing w:after="0" w:line="240" w:lineRule="auto"/>
              <w:rPr>
                <w:rFonts w:eastAsia="SimSun"/>
                <w:lang w:eastAsia="zh-CN"/>
              </w:rPr>
            </w:pPr>
            <w:r w:rsidRPr="00B13A2F">
              <w:rPr>
                <w:rFonts w:eastAsia="SimSun"/>
                <w:lang w:eastAsia="zh-CN"/>
              </w:rPr>
              <w:t>03/04/2016</w:t>
            </w:r>
          </w:p>
        </w:tc>
        <w:tc>
          <w:tcPr>
            <w:tcW w:w="917" w:type="dxa"/>
            <w:shd w:val="clear" w:color="auto" w:fill="auto"/>
            <w:noWrap/>
            <w:hideMark/>
          </w:tcPr>
          <w:p w:rsidR="00385AF1" w:rsidRPr="00B13A2F" w:rsidRDefault="00385AF1" w:rsidP="00B13A2F">
            <w:pPr>
              <w:spacing w:after="0" w:line="240" w:lineRule="auto"/>
              <w:rPr>
                <w:rFonts w:eastAsia="SimSun"/>
                <w:lang w:eastAsia="zh-CN"/>
              </w:rPr>
            </w:pPr>
            <w:r w:rsidRPr="00B13A2F">
              <w:rPr>
                <w:rFonts w:eastAsia="SimSun"/>
                <w:lang w:eastAsia="zh-CN"/>
              </w:rPr>
              <w:t>0 to 5 years</w:t>
            </w:r>
          </w:p>
        </w:tc>
        <w:tc>
          <w:tcPr>
            <w:tcW w:w="1053" w:type="dxa"/>
            <w:shd w:val="clear" w:color="auto" w:fill="auto"/>
            <w:noWrap/>
            <w:hideMark/>
          </w:tcPr>
          <w:p w:rsidR="00385AF1" w:rsidRPr="00B13A2F" w:rsidRDefault="00385AF1" w:rsidP="00B13A2F">
            <w:pPr>
              <w:spacing w:after="0" w:line="240" w:lineRule="auto"/>
              <w:rPr>
                <w:rFonts w:eastAsia="SimSun"/>
                <w:lang w:eastAsia="zh-CN"/>
              </w:rPr>
            </w:pPr>
            <w:r w:rsidRPr="00B13A2F">
              <w:rPr>
                <w:rFonts w:eastAsia="SimSun"/>
                <w:lang w:eastAsia="zh-CN"/>
              </w:rPr>
              <w:t>National</w:t>
            </w:r>
          </w:p>
        </w:tc>
        <w:tc>
          <w:tcPr>
            <w:tcW w:w="899" w:type="dxa"/>
            <w:shd w:val="clear" w:color="auto" w:fill="auto"/>
            <w:noWrap/>
            <w:hideMark/>
          </w:tcPr>
          <w:p w:rsidR="00385AF1" w:rsidRPr="00B13A2F" w:rsidRDefault="00385AF1" w:rsidP="00B13A2F">
            <w:pPr>
              <w:spacing w:after="0" w:line="240" w:lineRule="auto"/>
              <w:rPr>
                <w:rFonts w:eastAsia="SimSun"/>
                <w:lang w:eastAsia="zh-CN"/>
              </w:rPr>
            </w:pPr>
            <w:r w:rsidRPr="00B13A2F">
              <w:rPr>
                <w:rFonts w:eastAsia="SimSun"/>
                <w:lang w:eastAsia="zh-CN"/>
              </w:rPr>
              <w:t>Planned</w:t>
            </w:r>
          </w:p>
        </w:tc>
        <w:tc>
          <w:tcPr>
            <w:tcW w:w="1176" w:type="dxa"/>
            <w:shd w:val="clear" w:color="auto" w:fill="auto"/>
            <w:noWrap/>
            <w:hideMark/>
          </w:tcPr>
          <w:p w:rsidR="00385AF1" w:rsidRPr="00B13A2F" w:rsidRDefault="00385AF1" w:rsidP="00B13A2F">
            <w:pPr>
              <w:spacing w:after="0" w:line="240" w:lineRule="auto"/>
              <w:rPr>
                <w:rFonts w:eastAsia="SimSun"/>
                <w:lang w:eastAsia="zh-CN"/>
              </w:rPr>
            </w:pPr>
            <w:r w:rsidRPr="00B13A2F">
              <w:rPr>
                <w:rFonts w:eastAsia="SimSun"/>
                <w:lang w:eastAsia="zh-CN"/>
              </w:rPr>
              <w:t>8</w:t>
            </w:r>
            <w:r w:rsidR="006D0B40" w:rsidRPr="00B13A2F">
              <w:rPr>
                <w:rFonts w:eastAsia="SimSun"/>
                <w:lang w:eastAsia="zh-CN"/>
              </w:rPr>
              <w:t>,</w:t>
            </w:r>
            <w:r w:rsidRPr="00B13A2F">
              <w:rPr>
                <w:rFonts w:eastAsia="SimSun"/>
                <w:lang w:eastAsia="zh-CN"/>
              </w:rPr>
              <w:t>092</w:t>
            </w:r>
            <w:r w:rsidR="006D0B40" w:rsidRPr="00B13A2F">
              <w:rPr>
                <w:rFonts w:eastAsia="SimSun"/>
                <w:lang w:eastAsia="zh-CN"/>
              </w:rPr>
              <w:t>,</w:t>
            </w:r>
            <w:r w:rsidRPr="00B13A2F">
              <w:rPr>
                <w:rFonts w:eastAsia="SimSun"/>
                <w:lang w:eastAsia="zh-CN"/>
              </w:rPr>
              <w:t>606</w:t>
            </w:r>
          </w:p>
        </w:tc>
      </w:tr>
      <w:tr w:rsidR="00385AF1" w:rsidRPr="00B13A2F" w:rsidTr="00B13A2F">
        <w:trPr>
          <w:trHeight w:val="255"/>
        </w:trPr>
        <w:tc>
          <w:tcPr>
            <w:tcW w:w="975" w:type="dxa"/>
            <w:shd w:val="clear" w:color="auto" w:fill="auto"/>
            <w:noWrap/>
            <w:hideMark/>
          </w:tcPr>
          <w:p w:rsidR="00385AF1" w:rsidRPr="00B13A2F" w:rsidRDefault="00385AF1" w:rsidP="00B13A2F">
            <w:pPr>
              <w:spacing w:after="0" w:line="240" w:lineRule="auto"/>
              <w:rPr>
                <w:rFonts w:eastAsia="SimSun"/>
                <w:lang w:eastAsia="zh-CN"/>
              </w:rPr>
            </w:pPr>
            <w:r w:rsidRPr="00B13A2F">
              <w:rPr>
                <w:rFonts w:eastAsia="SimSun"/>
                <w:lang w:eastAsia="zh-CN"/>
              </w:rPr>
              <w:t>SNID</w:t>
            </w:r>
          </w:p>
        </w:tc>
        <w:tc>
          <w:tcPr>
            <w:tcW w:w="1262" w:type="dxa"/>
            <w:shd w:val="clear" w:color="auto" w:fill="auto"/>
            <w:noWrap/>
            <w:hideMark/>
          </w:tcPr>
          <w:p w:rsidR="00385AF1" w:rsidRPr="00B13A2F" w:rsidRDefault="00385AF1" w:rsidP="00B13A2F">
            <w:pPr>
              <w:spacing w:after="0" w:line="240" w:lineRule="auto"/>
              <w:rPr>
                <w:rFonts w:eastAsia="SimSun"/>
                <w:lang w:eastAsia="zh-CN"/>
              </w:rPr>
            </w:pPr>
            <w:r w:rsidRPr="00B13A2F">
              <w:rPr>
                <w:rFonts w:eastAsia="SimSun"/>
                <w:lang w:eastAsia="zh-CN"/>
              </w:rPr>
              <w:t>tOPV</w:t>
            </w:r>
          </w:p>
        </w:tc>
        <w:tc>
          <w:tcPr>
            <w:tcW w:w="822" w:type="dxa"/>
            <w:shd w:val="clear" w:color="auto" w:fill="auto"/>
            <w:noWrap/>
            <w:hideMark/>
          </w:tcPr>
          <w:p w:rsidR="00385AF1" w:rsidRPr="00B13A2F" w:rsidRDefault="00385AF1" w:rsidP="00B13A2F">
            <w:pPr>
              <w:spacing w:after="0" w:line="240" w:lineRule="auto"/>
              <w:rPr>
                <w:rFonts w:eastAsia="SimSun"/>
                <w:lang w:eastAsia="zh-CN"/>
              </w:rPr>
            </w:pPr>
            <w:r w:rsidRPr="00B13A2F">
              <w:rPr>
                <w:rFonts w:eastAsia="SimSun"/>
                <w:lang w:eastAsia="zh-CN"/>
              </w:rPr>
              <w:t>2016</w:t>
            </w:r>
          </w:p>
        </w:tc>
        <w:tc>
          <w:tcPr>
            <w:tcW w:w="1311" w:type="dxa"/>
            <w:shd w:val="clear" w:color="auto" w:fill="auto"/>
            <w:noWrap/>
            <w:hideMark/>
          </w:tcPr>
          <w:p w:rsidR="00385AF1" w:rsidRPr="00B13A2F" w:rsidRDefault="00385AF1" w:rsidP="00B13A2F">
            <w:pPr>
              <w:spacing w:after="0" w:line="240" w:lineRule="auto"/>
              <w:rPr>
                <w:rFonts w:eastAsia="SimSun"/>
                <w:lang w:eastAsia="zh-CN"/>
              </w:rPr>
            </w:pPr>
            <w:r w:rsidRPr="00B13A2F">
              <w:rPr>
                <w:rFonts w:eastAsia="SimSun"/>
                <w:lang w:eastAsia="zh-CN"/>
              </w:rPr>
              <w:t>23/04/2016</w:t>
            </w:r>
          </w:p>
        </w:tc>
        <w:tc>
          <w:tcPr>
            <w:tcW w:w="1215" w:type="dxa"/>
            <w:shd w:val="clear" w:color="auto" w:fill="auto"/>
            <w:noWrap/>
            <w:hideMark/>
          </w:tcPr>
          <w:p w:rsidR="00385AF1" w:rsidRPr="00B13A2F" w:rsidRDefault="00385AF1" w:rsidP="00B13A2F">
            <w:pPr>
              <w:spacing w:after="0" w:line="240" w:lineRule="auto"/>
              <w:rPr>
                <w:rFonts w:eastAsia="SimSun"/>
                <w:lang w:eastAsia="zh-CN"/>
              </w:rPr>
            </w:pPr>
            <w:r w:rsidRPr="00B13A2F">
              <w:rPr>
                <w:rFonts w:eastAsia="SimSun"/>
                <w:lang w:eastAsia="zh-CN"/>
              </w:rPr>
              <w:t>25/04/2016</w:t>
            </w:r>
          </w:p>
        </w:tc>
        <w:tc>
          <w:tcPr>
            <w:tcW w:w="917" w:type="dxa"/>
            <w:shd w:val="clear" w:color="auto" w:fill="auto"/>
            <w:noWrap/>
            <w:hideMark/>
          </w:tcPr>
          <w:p w:rsidR="00385AF1" w:rsidRPr="00B13A2F" w:rsidRDefault="00385AF1" w:rsidP="00B13A2F">
            <w:pPr>
              <w:spacing w:after="0" w:line="240" w:lineRule="auto"/>
              <w:rPr>
                <w:rFonts w:eastAsia="SimSun"/>
                <w:lang w:eastAsia="zh-CN"/>
              </w:rPr>
            </w:pPr>
            <w:r w:rsidRPr="00B13A2F">
              <w:rPr>
                <w:rFonts w:eastAsia="SimSun"/>
                <w:lang w:eastAsia="zh-CN"/>
              </w:rPr>
              <w:t>0 to 5 years</w:t>
            </w:r>
          </w:p>
        </w:tc>
        <w:tc>
          <w:tcPr>
            <w:tcW w:w="1053" w:type="dxa"/>
            <w:shd w:val="clear" w:color="auto" w:fill="auto"/>
            <w:noWrap/>
            <w:hideMark/>
          </w:tcPr>
          <w:p w:rsidR="00385AF1" w:rsidRPr="00B13A2F" w:rsidRDefault="00385AF1" w:rsidP="00B13A2F">
            <w:pPr>
              <w:spacing w:after="0" w:line="240" w:lineRule="auto"/>
              <w:rPr>
                <w:rFonts w:eastAsia="SimSun"/>
                <w:lang w:eastAsia="zh-CN"/>
              </w:rPr>
            </w:pPr>
            <w:r w:rsidRPr="00B13A2F">
              <w:rPr>
                <w:rFonts w:eastAsia="SimSun"/>
                <w:lang w:eastAsia="zh-CN"/>
              </w:rPr>
              <w:t xml:space="preserve"> Sub-National</w:t>
            </w:r>
          </w:p>
        </w:tc>
        <w:tc>
          <w:tcPr>
            <w:tcW w:w="899" w:type="dxa"/>
            <w:shd w:val="clear" w:color="auto" w:fill="auto"/>
            <w:noWrap/>
            <w:hideMark/>
          </w:tcPr>
          <w:p w:rsidR="00385AF1" w:rsidRPr="00B13A2F" w:rsidRDefault="00385AF1" w:rsidP="00B13A2F">
            <w:pPr>
              <w:spacing w:after="0" w:line="240" w:lineRule="auto"/>
              <w:rPr>
                <w:rFonts w:eastAsia="SimSun"/>
                <w:lang w:eastAsia="zh-CN"/>
              </w:rPr>
            </w:pPr>
            <w:r w:rsidRPr="00B13A2F">
              <w:rPr>
                <w:rFonts w:eastAsia="SimSun"/>
                <w:lang w:eastAsia="zh-CN"/>
              </w:rPr>
              <w:t>Planned</w:t>
            </w:r>
          </w:p>
        </w:tc>
        <w:tc>
          <w:tcPr>
            <w:tcW w:w="1176" w:type="dxa"/>
            <w:shd w:val="clear" w:color="auto" w:fill="auto"/>
            <w:noWrap/>
            <w:hideMark/>
          </w:tcPr>
          <w:p w:rsidR="00385AF1" w:rsidRPr="00B13A2F" w:rsidRDefault="00385AF1" w:rsidP="00B13A2F">
            <w:pPr>
              <w:spacing w:after="0" w:line="240" w:lineRule="auto"/>
              <w:rPr>
                <w:rFonts w:eastAsia="SimSun"/>
                <w:lang w:eastAsia="zh-CN"/>
              </w:rPr>
            </w:pPr>
            <w:r w:rsidRPr="00B13A2F">
              <w:rPr>
                <w:rFonts w:eastAsia="SimSun"/>
                <w:lang w:eastAsia="zh-CN"/>
              </w:rPr>
              <w:t>4</w:t>
            </w:r>
            <w:r w:rsidR="006D0B40" w:rsidRPr="00B13A2F">
              <w:rPr>
                <w:rFonts w:eastAsia="SimSun"/>
                <w:lang w:eastAsia="zh-CN"/>
              </w:rPr>
              <w:t>,</w:t>
            </w:r>
            <w:r w:rsidRPr="00B13A2F">
              <w:rPr>
                <w:rFonts w:eastAsia="SimSun"/>
                <w:lang w:eastAsia="zh-CN"/>
              </w:rPr>
              <w:t>046</w:t>
            </w:r>
            <w:r w:rsidR="006D0B40" w:rsidRPr="00B13A2F">
              <w:rPr>
                <w:rFonts w:eastAsia="SimSun"/>
                <w:lang w:eastAsia="zh-CN"/>
              </w:rPr>
              <w:t>,</w:t>
            </w:r>
            <w:r w:rsidRPr="00B13A2F">
              <w:rPr>
                <w:rFonts w:eastAsia="SimSun"/>
                <w:lang w:eastAsia="zh-CN"/>
              </w:rPr>
              <w:t>303</w:t>
            </w:r>
          </w:p>
        </w:tc>
      </w:tr>
    </w:tbl>
    <w:p w:rsidR="006F219F" w:rsidRDefault="006F219F" w:rsidP="00385AF1">
      <w:r>
        <w:t>Source: WHO/IVB Database as at 01 July 2016</w:t>
      </w:r>
    </w:p>
    <w:p w:rsidR="00F01C3B" w:rsidRPr="00F01C3B" w:rsidRDefault="006F219F" w:rsidP="00385AF1">
      <w:pPr>
        <w:pStyle w:val="ListParagraph"/>
        <w:numPr>
          <w:ilvl w:val="0"/>
          <w:numId w:val="22"/>
        </w:numPr>
        <w:rPr>
          <w:b/>
        </w:rPr>
      </w:pPr>
      <w:r w:rsidRPr="00D151A4">
        <w:rPr>
          <w:b/>
          <w:bCs/>
        </w:rPr>
        <w:t xml:space="preserve">MNT </w:t>
      </w:r>
    </w:p>
    <w:p w:rsidR="00F01C3B" w:rsidRPr="00F01C3B" w:rsidRDefault="00F01C3B" w:rsidP="00F01C3B">
      <w:pPr>
        <w:pStyle w:val="ListParagraph"/>
        <w:ind w:left="0"/>
        <w:rPr>
          <w:bCs/>
        </w:rPr>
      </w:pPr>
    </w:p>
    <w:p w:rsidR="006F219F" w:rsidRPr="00F01C3B" w:rsidRDefault="00F01C3B" w:rsidP="00F01C3B">
      <w:pPr>
        <w:pStyle w:val="ListParagraph"/>
        <w:ind w:left="0"/>
      </w:pPr>
      <w:r w:rsidRPr="00F01C3B">
        <w:rPr>
          <w:bCs/>
        </w:rPr>
        <w:t xml:space="preserve">MNTE </w:t>
      </w:r>
      <w:r w:rsidR="00385AF1" w:rsidRPr="00F01C3B">
        <w:rPr>
          <w:bCs/>
        </w:rPr>
        <w:t xml:space="preserve">elimination </w:t>
      </w:r>
      <w:r w:rsidRPr="00F01C3B">
        <w:rPr>
          <w:bCs/>
        </w:rPr>
        <w:t xml:space="preserve">was </w:t>
      </w:r>
      <w:r w:rsidR="00385AF1" w:rsidRPr="00F01C3B">
        <w:rPr>
          <w:bCs/>
        </w:rPr>
        <w:t>validated in 2011</w:t>
      </w:r>
      <w:r w:rsidR="006F219F" w:rsidRPr="00F01C3B">
        <w:rPr>
          <w:bCs/>
        </w:rPr>
        <w:t>.</w:t>
      </w:r>
      <w:r w:rsidR="006F219F" w:rsidRPr="00F01C3B">
        <w:t xml:space="preserve"> </w:t>
      </w:r>
    </w:p>
    <w:p w:rsidR="006F219F" w:rsidRDefault="006F219F" w:rsidP="006F219F">
      <w:pPr>
        <w:pStyle w:val="ListParagraph"/>
      </w:pPr>
    </w:p>
    <w:p w:rsidR="006F219F" w:rsidRPr="00D151A4" w:rsidRDefault="001F695A" w:rsidP="006F219F">
      <w:pPr>
        <w:pStyle w:val="ListParagraph"/>
        <w:numPr>
          <w:ilvl w:val="0"/>
          <w:numId w:val="22"/>
        </w:numPr>
        <w:rPr>
          <w:b/>
          <w:bCs/>
        </w:rPr>
      </w:pPr>
      <w:r>
        <w:rPr>
          <w:b/>
          <w:bCs/>
        </w:rPr>
        <w:t>Immunization coverage and e</w:t>
      </w:r>
      <w:r w:rsidR="006F219F" w:rsidRPr="00D151A4">
        <w:rPr>
          <w:b/>
          <w:bCs/>
        </w:rPr>
        <w:t>quity</w:t>
      </w:r>
    </w:p>
    <w:p w:rsidR="007D3409" w:rsidRDefault="001B1E58" w:rsidP="007D3409">
      <w:pPr>
        <w:pStyle w:val="Caption"/>
        <w:jc w:val="center"/>
        <w:rPr>
          <w:sz w:val="22"/>
        </w:rPr>
      </w:pPr>
      <w:r>
        <w:rPr>
          <w:bCs w:val="0"/>
          <w:noProof/>
          <w:sz w:val="22"/>
          <w:lang w:eastAsia="en-GB"/>
        </w:rPr>
        <w:drawing>
          <wp:inline distT="0" distB="0" distL="0" distR="0">
            <wp:extent cx="3890645" cy="2837815"/>
            <wp:effectExtent l="0" t="0" r="0" b="635"/>
            <wp:docPr id="2" name="Picture 2" descr="ugan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gand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90645" cy="2837815"/>
                    </a:xfrm>
                    <a:prstGeom prst="rect">
                      <a:avLst/>
                    </a:prstGeom>
                    <a:noFill/>
                    <a:ln>
                      <a:noFill/>
                    </a:ln>
                  </pic:spPr>
                </pic:pic>
              </a:graphicData>
            </a:graphic>
          </wp:inline>
        </w:drawing>
      </w:r>
    </w:p>
    <w:p w:rsidR="00CD1366" w:rsidRDefault="001B1E58" w:rsidP="00CD1366">
      <w:pPr>
        <w:pStyle w:val="Caption"/>
        <w:jc w:val="center"/>
        <w:rPr>
          <w:sz w:val="22"/>
        </w:rPr>
      </w:pPr>
      <w:r>
        <w:rPr>
          <w:noProof/>
          <w:lang w:eastAsia="en-GB"/>
        </w:rPr>
        <w:drawing>
          <wp:inline distT="0" distB="0" distL="0" distR="0">
            <wp:extent cx="3554095" cy="819785"/>
            <wp:effectExtent l="0" t="0" r="8255" b="0"/>
            <wp:docPr id="3" name="Picture 7" descr="D:\data\GVAP Reports\2016\3. Scrore Cards 2016\jan visualizations DTP3 per country\Punch cards per country\_legend-punchc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ata\GVAP Reports\2016\3. Scrore Cards 2016\jan visualizations DTP3 per country\Punch cards per country\_legend-punchcard.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54095" cy="819785"/>
                    </a:xfrm>
                    <a:prstGeom prst="rect">
                      <a:avLst/>
                    </a:prstGeom>
                    <a:noFill/>
                    <a:ln>
                      <a:noFill/>
                    </a:ln>
                  </pic:spPr>
                </pic:pic>
              </a:graphicData>
            </a:graphic>
          </wp:inline>
        </w:drawing>
      </w:r>
    </w:p>
    <w:p w:rsidR="006F219F" w:rsidRPr="00F01C3B" w:rsidRDefault="00F01C3B" w:rsidP="00F01C3B">
      <w:pPr>
        <w:pStyle w:val="Caption"/>
        <w:rPr>
          <w:bCs w:val="0"/>
          <w:sz w:val="22"/>
        </w:rPr>
      </w:pPr>
      <w:r w:rsidRPr="00F01C3B">
        <w:rPr>
          <w:sz w:val="22"/>
        </w:rPr>
        <w:t xml:space="preserve">Figure </w:t>
      </w:r>
      <w:r w:rsidRPr="00F01C3B">
        <w:rPr>
          <w:sz w:val="22"/>
        </w:rPr>
        <w:fldChar w:fldCharType="begin"/>
      </w:r>
      <w:r w:rsidRPr="00F01C3B">
        <w:rPr>
          <w:sz w:val="22"/>
        </w:rPr>
        <w:instrText xml:space="preserve"> SEQ Figure \* ARABIC </w:instrText>
      </w:r>
      <w:r w:rsidRPr="00F01C3B">
        <w:rPr>
          <w:sz w:val="22"/>
        </w:rPr>
        <w:fldChar w:fldCharType="separate"/>
      </w:r>
      <w:r w:rsidR="007D3409">
        <w:rPr>
          <w:noProof/>
          <w:sz w:val="22"/>
        </w:rPr>
        <w:t>4</w:t>
      </w:r>
      <w:r w:rsidRPr="00F01C3B">
        <w:rPr>
          <w:sz w:val="22"/>
        </w:rPr>
        <w:fldChar w:fldCharType="end"/>
      </w:r>
      <w:r w:rsidRPr="00F01C3B">
        <w:rPr>
          <w:sz w:val="22"/>
        </w:rPr>
        <w:t xml:space="preserve">: </w:t>
      </w:r>
      <w:r w:rsidR="006F219F" w:rsidRPr="00F01C3B">
        <w:rPr>
          <w:bCs w:val="0"/>
          <w:sz w:val="22"/>
        </w:rPr>
        <w:t xml:space="preserve">Reported DTPCV doses administered &amp; coverage, </w:t>
      </w:r>
      <w:r w:rsidR="00097B01" w:rsidRPr="00F01C3B">
        <w:rPr>
          <w:bCs w:val="0"/>
          <w:sz w:val="22"/>
        </w:rPr>
        <w:t>Uganda</w:t>
      </w:r>
      <w:r w:rsidR="006F219F" w:rsidRPr="00F01C3B">
        <w:rPr>
          <w:bCs w:val="0"/>
          <w:sz w:val="22"/>
        </w:rPr>
        <w:t>, 2000-2015</w:t>
      </w:r>
    </w:p>
    <w:p w:rsidR="006F219F" w:rsidRDefault="001B1E58" w:rsidP="006F219F">
      <w:r>
        <w:rPr>
          <w:noProof/>
          <w:lang w:eastAsia="en-GB"/>
        </w:rPr>
        <w:lastRenderedPageBreak/>
        <w:drawing>
          <wp:inline distT="0" distB="0" distL="0" distR="0">
            <wp:extent cx="6184900" cy="2191385"/>
            <wp:effectExtent l="0" t="0" r="635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84900" cy="2191385"/>
                    </a:xfrm>
                    <a:prstGeom prst="rect">
                      <a:avLst/>
                    </a:prstGeom>
                    <a:noFill/>
                    <a:ln>
                      <a:noFill/>
                    </a:ln>
                  </pic:spPr>
                </pic:pic>
              </a:graphicData>
            </a:graphic>
          </wp:inline>
        </w:drawing>
      </w:r>
    </w:p>
    <w:p w:rsidR="006F219F" w:rsidRPr="001F695A" w:rsidRDefault="006F219F" w:rsidP="001F695A">
      <w:pPr>
        <w:spacing w:after="0"/>
        <w:rPr>
          <w:sz w:val="20"/>
          <w:szCs w:val="20"/>
        </w:rPr>
      </w:pPr>
      <w:r w:rsidRPr="001F695A">
        <w:rPr>
          <w:sz w:val="20"/>
          <w:szCs w:val="20"/>
        </w:rPr>
        <w:t>* COE: country Official Estimates</w:t>
      </w:r>
    </w:p>
    <w:p w:rsidR="00E935C8" w:rsidRPr="001F695A" w:rsidRDefault="00E935C8" w:rsidP="001F695A">
      <w:pPr>
        <w:spacing w:after="0"/>
        <w:rPr>
          <w:sz w:val="20"/>
          <w:szCs w:val="20"/>
        </w:rPr>
      </w:pPr>
      <w:r w:rsidRPr="001F695A">
        <w:rPr>
          <w:sz w:val="20"/>
          <w:szCs w:val="20"/>
          <w:lang w:val="en-US"/>
        </w:rPr>
        <w:t>Source:</w:t>
      </w:r>
      <w:r w:rsidR="006D0B40" w:rsidRPr="001F695A">
        <w:rPr>
          <w:sz w:val="20"/>
          <w:szCs w:val="20"/>
          <w:lang w:val="en-US"/>
        </w:rPr>
        <w:t xml:space="preserve"> </w:t>
      </w:r>
      <w:r w:rsidRPr="001F695A">
        <w:rPr>
          <w:sz w:val="20"/>
          <w:szCs w:val="20"/>
          <w:lang w:val="en-US"/>
        </w:rPr>
        <w:t>WHO/IVB database, data reported to WHO by member states as of 1 July 2016</w:t>
      </w:r>
    </w:p>
    <w:p w:rsidR="00E935C8" w:rsidRPr="001F695A" w:rsidRDefault="00E935C8" w:rsidP="001F695A">
      <w:pPr>
        <w:spacing w:after="0"/>
        <w:rPr>
          <w:sz w:val="20"/>
          <w:szCs w:val="20"/>
        </w:rPr>
      </w:pPr>
      <w:r w:rsidRPr="001F695A">
        <w:rPr>
          <w:sz w:val="20"/>
          <w:szCs w:val="20"/>
          <w:lang w:val="en-US"/>
        </w:rPr>
        <w:t>WHO/UNICEF national coverage estimates, 2014 revision, data as of July 2015</w:t>
      </w:r>
    </w:p>
    <w:p w:rsidR="006F219F" w:rsidRDefault="006F219F" w:rsidP="006F219F"/>
    <w:p w:rsidR="006D0B40" w:rsidRDefault="006D0B40" w:rsidP="006F219F"/>
    <w:p w:rsidR="006F219F" w:rsidRPr="00F01C3B" w:rsidRDefault="001F695A" w:rsidP="00F01C3B">
      <w:pPr>
        <w:pStyle w:val="Caption"/>
        <w:rPr>
          <w:noProof/>
          <w:lang w:eastAsia="zh-CN"/>
        </w:rPr>
      </w:pPr>
      <w:r>
        <w:br w:type="page"/>
      </w:r>
      <w:r w:rsidR="00F01C3B" w:rsidRPr="00F01C3B">
        <w:rPr>
          <w:sz w:val="22"/>
        </w:rPr>
        <w:lastRenderedPageBreak/>
        <w:t xml:space="preserve">Figure </w:t>
      </w:r>
      <w:r w:rsidR="00F01C3B" w:rsidRPr="00F01C3B">
        <w:rPr>
          <w:sz w:val="22"/>
        </w:rPr>
        <w:fldChar w:fldCharType="begin"/>
      </w:r>
      <w:r w:rsidR="00F01C3B" w:rsidRPr="00F01C3B">
        <w:rPr>
          <w:sz w:val="22"/>
        </w:rPr>
        <w:instrText xml:space="preserve"> SEQ Figure \* ARABIC </w:instrText>
      </w:r>
      <w:r w:rsidR="00F01C3B" w:rsidRPr="00F01C3B">
        <w:rPr>
          <w:sz w:val="22"/>
        </w:rPr>
        <w:fldChar w:fldCharType="separate"/>
      </w:r>
      <w:r w:rsidR="007D3409">
        <w:rPr>
          <w:noProof/>
          <w:sz w:val="22"/>
        </w:rPr>
        <w:t>5</w:t>
      </w:r>
      <w:r w:rsidR="00F01C3B" w:rsidRPr="00F01C3B">
        <w:rPr>
          <w:sz w:val="22"/>
        </w:rPr>
        <w:fldChar w:fldCharType="end"/>
      </w:r>
      <w:r w:rsidR="00F01C3B" w:rsidRPr="00F01C3B">
        <w:rPr>
          <w:sz w:val="22"/>
        </w:rPr>
        <w:t xml:space="preserve">: </w:t>
      </w:r>
      <w:r w:rsidR="006F219F" w:rsidRPr="00F01C3B">
        <w:rPr>
          <w:sz w:val="22"/>
        </w:rPr>
        <w:t xml:space="preserve">Percentage of district achieving &lt;50%; 50-79% and </w:t>
      </w:r>
      <w:r w:rsidR="006F219F" w:rsidRPr="00F01C3B">
        <w:rPr>
          <w:rFonts w:cs="Calibri"/>
          <w:sz w:val="22"/>
        </w:rPr>
        <w:t>≥</w:t>
      </w:r>
      <w:r w:rsidR="006F219F" w:rsidRPr="00F01C3B">
        <w:rPr>
          <w:sz w:val="22"/>
        </w:rPr>
        <w:t>80% coverage, 2000-2015</w:t>
      </w:r>
      <w:r w:rsidR="006D0B40" w:rsidRPr="00F01C3B">
        <w:rPr>
          <w:sz w:val="22"/>
        </w:rPr>
        <w:t>, administrative data</w:t>
      </w:r>
    </w:p>
    <w:p w:rsidR="00097B01" w:rsidRDefault="001B1E58" w:rsidP="006F219F">
      <w:pPr>
        <w:rPr>
          <w:b/>
        </w:rPr>
      </w:pPr>
      <w:r>
        <w:rPr>
          <w:noProof/>
          <w:lang w:eastAsia="en-GB"/>
        </w:rPr>
        <w:drawing>
          <wp:inline distT="0" distB="0" distL="0" distR="0">
            <wp:extent cx="5572760" cy="4175125"/>
            <wp:effectExtent l="19050" t="19050" r="27940" b="15875"/>
            <wp:docPr id="5" name="Picture 4" descr="Y:\GVAP\Priority_countries\U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Y:\GVAP\Priority_countries\UGA.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2760" cy="4175125"/>
                    </a:xfrm>
                    <a:prstGeom prst="rect">
                      <a:avLst/>
                    </a:prstGeom>
                    <a:noFill/>
                    <a:ln w="9525" cmpd="sng">
                      <a:solidFill>
                        <a:srgbClr val="000000"/>
                      </a:solidFill>
                      <a:miter lim="800000"/>
                      <a:headEnd/>
                      <a:tailEnd/>
                    </a:ln>
                    <a:effectLst/>
                  </pic:spPr>
                </pic:pic>
              </a:graphicData>
            </a:graphic>
          </wp:inline>
        </w:drawing>
      </w:r>
    </w:p>
    <w:p w:rsidR="006F219F" w:rsidRDefault="006F219F" w:rsidP="006F219F"/>
    <w:p w:rsidR="006F219F" w:rsidRDefault="006D0B40" w:rsidP="00F01C3B">
      <w:pPr>
        <w:rPr>
          <w:b/>
        </w:rPr>
      </w:pPr>
      <w:r>
        <w:rPr>
          <w:b/>
          <w:highlight w:val="yellow"/>
        </w:rPr>
        <w:br w:type="page"/>
      </w:r>
      <w:r w:rsidR="00F01C3B" w:rsidRPr="00F01C3B">
        <w:rPr>
          <w:b/>
        </w:rPr>
        <w:lastRenderedPageBreak/>
        <w:t xml:space="preserve">Figure </w:t>
      </w:r>
      <w:r w:rsidR="00F01C3B" w:rsidRPr="00F01C3B">
        <w:rPr>
          <w:b/>
        </w:rPr>
        <w:fldChar w:fldCharType="begin"/>
      </w:r>
      <w:r w:rsidR="00F01C3B" w:rsidRPr="00F01C3B">
        <w:rPr>
          <w:b/>
        </w:rPr>
        <w:instrText xml:space="preserve"> SEQ Figure \* ARABIC </w:instrText>
      </w:r>
      <w:r w:rsidR="00F01C3B" w:rsidRPr="00F01C3B">
        <w:rPr>
          <w:b/>
        </w:rPr>
        <w:fldChar w:fldCharType="separate"/>
      </w:r>
      <w:r w:rsidR="007D3409">
        <w:rPr>
          <w:b/>
          <w:noProof/>
        </w:rPr>
        <w:t>6</w:t>
      </w:r>
      <w:r w:rsidR="00F01C3B" w:rsidRPr="00F01C3B">
        <w:rPr>
          <w:b/>
        </w:rPr>
        <w:fldChar w:fldCharType="end"/>
      </w:r>
      <w:r w:rsidR="00F01C3B" w:rsidRPr="00F01C3B">
        <w:rPr>
          <w:b/>
        </w:rPr>
        <w:t xml:space="preserve">: </w:t>
      </w:r>
      <w:r w:rsidR="006F219F" w:rsidRPr="00F01C3B">
        <w:rPr>
          <w:b/>
        </w:rPr>
        <w:t>DTP3 coverage by district/province 2010 and 2015 (admin</w:t>
      </w:r>
      <w:r w:rsidR="00D151A4" w:rsidRPr="00F01C3B">
        <w:rPr>
          <w:b/>
        </w:rPr>
        <w:t>istrative data</w:t>
      </w:r>
      <w:r w:rsidR="006F219F" w:rsidRPr="00F01C3B">
        <w:rPr>
          <w:b/>
        </w:rPr>
        <w:t>)</w:t>
      </w:r>
      <w:r w:rsidR="006F219F" w:rsidRPr="00F01C3B">
        <w:rPr>
          <w:b/>
          <w:noProof/>
          <w:lang w:eastAsia="zh-CN"/>
        </w:rPr>
        <w:t xml:space="preserve"> </w:t>
      </w:r>
      <w:r w:rsidR="006F219F" w:rsidRPr="00F01C3B">
        <w:rPr>
          <w:b/>
        </w:rPr>
        <w:tab/>
      </w:r>
      <w:r w:rsidR="006F219F">
        <w:rPr>
          <w:b/>
        </w:rPr>
        <w:tab/>
      </w:r>
    </w:p>
    <w:p w:rsidR="006F219F" w:rsidRDefault="001B1E58" w:rsidP="006F219F">
      <w:pPr>
        <w:rPr>
          <w:b/>
        </w:rPr>
      </w:pPr>
      <w:r>
        <w:rPr>
          <w:b/>
          <w:noProof/>
          <w:lang w:eastAsia="en-GB"/>
        </w:rPr>
        <w:drawing>
          <wp:inline distT="0" distB="0" distL="0" distR="0">
            <wp:extent cx="5512435" cy="4131945"/>
            <wp:effectExtent l="19050" t="19050" r="12065" b="209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12435" cy="4131945"/>
                    </a:xfrm>
                    <a:prstGeom prst="rect">
                      <a:avLst/>
                    </a:prstGeom>
                    <a:noFill/>
                    <a:ln w="6350" cmpd="sng">
                      <a:solidFill>
                        <a:srgbClr val="000000"/>
                      </a:solidFill>
                      <a:miter lim="800000"/>
                      <a:headEnd/>
                      <a:tailEnd/>
                    </a:ln>
                    <a:effectLst/>
                  </pic:spPr>
                </pic:pic>
              </a:graphicData>
            </a:graphic>
          </wp:inline>
        </w:drawing>
      </w:r>
    </w:p>
    <w:p w:rsidR="00EF28C5" w:rsidRDefault="00EF28C5" w:rsidP="00F01C3B">
      <w:pPr>
        <w:pStyle w:val="Caption"/>
      </w:pPr>
    </w:p>
    <w:p w:rsidR="00D151A4" w:rsidRPr="00F01C3B" w:rsidRDefault="00F01C3B" w:rsidP="00F01C3B">
      <w:pPr>
        <w:pStyle w:val="Caption"/>
      </w:pPr>
      <w:r w:rsidRPr="00F01C3B">
        <w:t xml:space="preserve">Figure </w:t>
      </w:r>
      <w:r w:rsidRPr="00F01C3B">
        <w:fldChar w:fldCharType="begin"/>
      </w:r>
      <w:r w:rsidRPr="00F01C3B">
        <w:instrText xml:space="preserve"> SEQ Figure \* ARABIC </w:instrText>
      </w:r>
      <w:r w:rsidRPr="00F01C3B">
        <w:fldChar w:fldCharType="separate"/>
      </w:r>
      <w:r w:rsidR="007D3409">
        <w:rPr>
          <w:noProof/>
        </w:rPr>
        <w:t>7</w:t>
      </w:r>
      <w:r w:rsidRPr="00F01C3B">
        <w:fldChar w:fldCharType="end"/>
      </w:r>
      <w:r w:rsidRPr="00F01C3B">
        <w:t xml:space="preserve">: </w:t>
      </w:r>
      <w:r w:rsidR="00D151A4" w:rsidRPr="00F01C3B">
        <w:t>Three-dose pentavalent coverage from 2010 to 2015, based on the GAVI Full Country Evaluation household survey conducted in 19 districts in 2015</w:t>
      </w:r>
    </w:p>
    <w:p w:rsidR="00D151A4" w:rsidRPr="00E6488A" w:rsidRDefault="001B1E58" w:rsidP="00D151A4">
      <w:pPr>
        <w:rPr>
          <w:rFonts w:ascii="Arial" w:hAnsi="Arial"/>
          <w:b/>
        </w:rPr>
      </w:pPr>
      <w:r>
        <w:rPr>
          <w:rFonts w:ascii="Arial" w:hAnsi="Arial"/>
          <w:b/>
          <w:noProof/>
          <w:lang w:eastAsia="en-GB"/>
        </w:rPr>
        <w:drawing>
          <wp:inline distT="0" distB="0" distL="0" distR="0">
            <wp:extent cx="5736590" cy="2880995"/>
            <wp:effectExtent l="19050" t="19050" r="16510" b="14605"/>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6590" cy="2880995"/>
                    </a:xfrm>
                    <a:prstGeom prst="rect">
                      <a:avLst/>
                    </a:prstGeom>
                    <a:noFill/>
                    <a:ln w="9525" cmpd="sng">
                      <a:solidFill>
                        <a:srgbClr val="000000"/>
                      </a:solidFill>
                      <a:miter lim="800000"/>
                      <a:headEnd/>
                      <a:tailEnd/>
                    </a:ln>
                    <a:effectLst/>
                  </pic:spPr>
                </pic:pic>
              </a:graphicData>
            </a:graphic>
          </wp:inline>
        </w:drawing>
      </w:r>
    </w:p>
    <w:p w:rsidR="006F219F" w:rsidRPr="00F01C3B" w:rsidRDefault="00F01C3B" w:rsidP="00F01C3B">
      <w:pPr>
        <w:rPr>
          <w:b/>
        </w:rPr>
      </w:pPr>
      <w:r>
        <w:rPr>
          <w:b/>
        </w:rPr>
        <w:br w:type="page"/>
      </w:r>
      <w:r w:rsidRPr="00F01C3B">
        <w:rPr>
          <w:b/>
        </w:rPr>
        <w:lastRenderedPageBreak/>
        <w:t xml:space="preserve">Figure </w:t>
      </w:r>
      <w:r w:rsidRPr="00F01C3B">
        <w:rPr>
          <w:b/>
        </w:rPr>
        <w:fldChar w:fldCharType="begin"/>
      </w:r>
      <w:r w:rsidRPr="00F01C3B">
        <w:rPr>
          <w:b/>
        </w:rPr>
        <w:instrText xml:space="preserve"> SEQ Figure \* ARABIC </w:instrText>
      </w:r>
      <w:r w:rsidRPr="00F01C3B">
        <w:rPr>
          <w:b/>
        </w:rPr>
        <w:fldChar w:fldCharType="separate"/>
      </w:r>
      <w:r w:rsidR="007D3409">
        <w:rPr>
          <w:b/>
          <w:noProof/>
        </w:rPr>
        <w:t>8</w:t>
      </w:r>
      <w:r w:rsidRPr="00F01C3B">
        <w:rPr>
          <w:b/>
        </w:rPr>
        <w:fldChar w:fldCharType="end"/>
      </w:r>
      <w:r w:rsidRPr="00F01C3B">
        <w:rPr>
          <w:b/>
        </w:rPr>
        <w:t xml:space="preserve">: </w:t>
      </w:r>
      <w:r w:rsidR="006F219F" w:rsidRPr="00F01C3B">
        <w:rPr>
          <w:b/>
        </w:rPr>
        <w:t>Immunization coverage data disaggregated by sex and wealth quintile</w:t>
      </w:r>
    </w:p>
    <w:p w:rsidR="00F01C3B" w:rsidRPr="00F01C3B" w:rsidRDefault="001B1E58" w:rsidP="00F01C3B">
      <w:r>
        <w:rPr>
          <w:noProof/>
          <w:lang w:eastAsia="en-GB"/>
        </w:rPr>
        <w:drawing>
          <wp:inline distT="0" distB="0" distL="0" distR="0">
            <wp:extent cx="4338955" cy="4338955"/>
            <wp:effectExtent l="0" t="0" r="4445" b="4445"/>
            <wp:docPr id="8" name="Picture 8" descr="UGA_disaggregated_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GA_disaggregated_dat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38955" cy="4338955"/>
                    </a:xfrm>
                    <a:prstGeom prst="rect">
                      <a:avLst/>
                    </a:prstGeom>
                    <a:noFill/>
                    <a:ln>
                      <a:noFill/>
                    </a:ln>
                  </pic:spPr>
                </pic:pic>
              </a:graphicData>
            </a:graphic>
          </wp:inline>
        </w:drawing>
      </w:r>
    </w:p>
    <w:p w:rsidR="006F219F" w:rsidRDefault="006F219F" w:rsidP="006F219F"/>
    <w:p w:rsidR="006F219F" w:rsidRDefault="006F219F" w:rsidP="006F219F">
      <w:pPr>
        <w:pStyle w:val="ListParagraph"/>
        <w:numPr>
          <w:ilvl w:val="0"/>
          <w:numId w:val="22"/>
        </w:numPr>
        <w:rPr>
          <w:b/>
          <w:bCs/>
        </w:rPr>
      </w:pPr>
      <w:r>
        <w:rPr>
          <w:b/>
          <w:bCs/>
        </w:rPr>
        <w:t>Immunization systems highlights</w:t>
      </w:r>
    </w:p>
    <w:p w:rsidR="006F219F" w:rsidRDefault="006F219F" w:rsidP="006F219F">
      <w:pPr>
        <w:pStyle w:val="ListParagraph"/>
        <w:numPr>
          <w:ilvl w:val="0"/>
          <w:numId w:val="4"/>
        </w:numPr>
        <w:ind w:left="426"/>
      </w:pPr>
      <w:r>
        <w:t>Immunization schedule</w:t>
      </w:r>
    </w:p>
    <w:p w:rsidR="006F219F" w:rsidRDefault="001B1E58" w:rsidP="006F219F">
      <w:pPr>
        <w:spacing w:after="0"/>
      </w:pPr>
      <w:r>
        <w:rPr>
          <w:noProof/>
          <w:lang w:eastAsia="en-GB"/>
        </w:rPr>
        <w:drawing>
          <wp:inline distT="0" distB="0" distL="0" distR="0">
            <wp:extent cx="6236970" cy="2148205"/>
            <wp:effectExtent l="19050" t="19050" r="11430" b="23495"/>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l="51196" t="32979" r="30351" b="46661"/>
                    <a:stretch>
                      <a:fillRect/>
                    </a:stretch>
                  </pic:blipFill>
                  <pic:spPr bwMode="auto">
                    <a:xfrm>
                      <a:off x="0" y="0"/>
                      <a:ext cx="6236970" cy="2148205"/>
                    </a:xfrm>
                    <a:prstGeom prst="rect">
                      <a:avLst/>
                    </a:prstGeom>
                    <a:noFill/>
                    <a:ln w="6350" cmpd="sng">
                      <a:solidFill>
                        <a:srgbClr val="000000"/>
                      </a:solidFill>
                      <a:miter lim="800000"/>
                      <a:headEnd/>
                      <a:tailEnd/>
                    </a:ln>
                    <a:effectLst/>
                  </pic:spPr>
                </pic:pic>
              </a:graphicData>
            </a:graphic>
          </wp:inline>
        </w:drawing>
      </w:r>
    </w:p>
    <w:p w:rsidR="00097B01" w:rsidRDefault="00097B01" w:rsidP="006F219F">
      <w:pPr>
        <w:spacing w:after="0"/>
      </w:pPr>
    </w:p>
    <w:p w:rsidR="006F219F" w:rsidRDefault="006F219F" w:rsidP="006F219F">
      <w:pPr>
        <w:pStyle w:val="ListParagraph"/>
        <w:numPr>
          <w:ilvl w:val="0"/>
          <w:numId w:val="4"/>
        </w:numPr>
      </w:pPr>
      <w:r>
        <w:t>Planning and management:</w:t>
      </w:r>
    </w:p>
    <w:p w:rsidR="00DC6AC7" w:rsidRPr="00DC6AC7" w:rsidRDefault="00DC6AC7" w:rsidP="00DC6AC7">
      <w:pPr>
        <w:pStyle w:val="ListParagraph"/>
        <w:numPr>
          <w:ilvl w:val="2"/>
          <w:numId w:val="4"/>
        </w:numPr>
      </w:pPr>
      <w:r w:rsidRPr="00DC6AC7">
        <w:t>Stockouts events in 2015</w:t>
      </w:r>
      <w:r>
        <w:t xml:space="preserve">: </w:t>
      </w:r>
      <w:r w:rsidRPr="00DC6AC7">
        <w:t>1 month for BCG</w:t>
      </w:r>
    </w:p>
    <w:p w:rsidR="006F219F" w:rsidRDefault="006F219F" w:rsidP="00097B01">
      <w:pPr>
        <w:pStyle w:val="ListParagraph"/>
        <w:numPr>
          <w:ilvl w:val="1"/>
          <w:numId w:val="4"/>
        </w:numPr>
      </w:pPr>
      <w:r>
        <w:t>cMYP: 201</w:t>
      </w:r>
      <w:r w:rsidR="00097B01">
        <w:t>2</w:t>
      </w:r>
      <w:r>
        <w:t>-201</w:t>
      </w:r>
      <w:r w:rsidR="00097B01">
        <w:t>6</w:t>
      </w:r>
    </w:p>
    <w:p w:rsidR="006F219F" w:rsidRDefault="006F219F" w:rsidP="006F219F">
      <w:pPr>
        <w:pStyle w:val="ListParagraph"/>
        <w:numPr>
          <w:ilvl w:val="1"/>
          <w:numId w:val="4"/>
        </w:numPr>
      </w:pPr>
      <w:r>
        <w:t>Annual Plan: Yes</w:t>
      </w:r>
    </w:p>
    <w:p w:rsidR="00F01C3B" w:rsidRDefault="00F01C3B" w:rsidP="00F01C3B">
      <w:pPr>
        <w:pStyle w:val="ListParagraph"/>
        <w:ind w:left="1440"/>
      </w:pPr>
    </w:p>
    <w:p w:rsidR="006F219F" w:rsidRDefault="006F219F" w:rsidP="006F219F">
      <w:pPr>
        <w:pStyle w:val="ListParagraph"/>
        <w:numPr>
          <w:ilvl w:val="0"/>
          <w:numId w:val="4"/>
        </w:numPr>
      </w:pPr>
      <w:r>
        <w:t xml:space="preserve">Country decision making: </w:t>
      </w:r>
      <w:r w:rsidR="00097B01">
        <w:t xml:space="preserve">A </w:t>
      </w:r>
      <w:r>
        <w:t xml:space="preserve">NITAG </w:t>
      </w:r>
      <w:r w:rsidR="001F695A">
        <w:t>was established in 2014</w:t>
      </w:r>
      <w:r w:rsidR="00097B01">
        <w:t xml:space="preserve"> </w:t>
      </w:r>
      <w:r w:rsidR="00D151A4">
        <w:t>and meets five of the six</w:t>
      </w:r>
      <w:r>
        <w:t xml:space="preserve"> minimum criteria defined by WHO for a functioning NITAG</w:t>
      </w:r>
      <w:r w:rsidR="00090336">
        <w:t xml:space="preserve">. </w:t>
      </w:r>
    </w:p>
    <w:p w:rsidR="00E6488A" w:rsidRPr="00F01C3B" w:rsidRDefault="006F219F" w:rsidP="00492F98">
      <w:pPr>
        <w:pStyle w:val="ListParagraph"/>
        <w:numPr>
          <w:ilvl w:val="0"/>
          <w:numId w:val="4"/>
        </w:numPr>
        <w:rPr>
          <w:rFonts w:ascii="Arial" w:hAnsi="Arial"/>
        </w:rPr>
      </w:pPr>
      <w:r>
        <w:t xml:space="preserve">% of total expenditures on vaccines financed by government funds: </w:t>
      </w:r>
      <w:r w:rsidR="00097B01">
        <w:t>15</w:t>
      </w:r>
      <w:r>
        <w:t>%</w:t>
      </w:r>
    </w:p>
    <w:sectPr w:rsidR="00E6488A" w:rsidRPr="00F01C3B" w:rsidSect="00634879">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31854" w:rsidRDefault="00631854">
      <w:pPr>
        <w:spacing w:after="0" w:line="240" w:lineRule="auto"/>
      </w:pPr>
      <w:r>
        <w:separator/>
      </w:r>
    </w:p>
  </w:endnote>
  <w:endnote w:type="continuationSeparator" w:id="0">
    <w:p w:rsidR="00631854" w:rsidRDefault="006318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00000000" w:usb2="00000000" w:usb3="00000000" w:csb0="000001FF"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488A" w:rsidRDefault="00E6488A">
    <w:pPr>
      <w:pStyle w:val="Footer"/>
      <w:jc w:val="center"/>
    </w:pPr>
    <w:r>
      <w:fldChar w:fldCharType="begin"/>
    </w:r>
    <w:r>
      <w:instrText xml:space="preserve"> PAGE   \* MERGEFORMAT </w:instrText>
    </w:r>
    <w:r>
      <w:fldChar w:fldCharType="separate"/>
    </w:r>
    <w:r w:rsidR="001B1E58">
      <w:rPr>
        <w:noProof/>
      </w:rPr>
      <w:t>1</w:t>
    </w:r>
    <w:r>
      <w:rPr>
        <w:noProof/>
      </w:rPr>
      <w:fldChar w:fldCharType="end"/>
    </w:r>
  </w:p>
  <w:p w:rsidR="00E6488A" w:rsidRDefault="00E6488A" w:rsidP="00641AE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31854" w:rsidRDefault="00631854">
      <w:pPr>
        <w:spacing w:after="0" w:line="240" w:lineRule="auto"/>
      </w:pPr>
      <w:r>
        <w:separator/>
      </w:r>
    </w:p>
  </w:footnote>
  <w:footnote w:type="continuationSeparator" w:id="0">
    <w:p w:rsidR="00631854" w:rsidRDefault="00631854">
      <w:pPr>
        <w:spacing w:after="0" w:line="240" w:lineRule="auto"/>
      </w:pPr>
      <w:r>
        <w:continuationSeparator/>
      </w:r>
    </w:p>
  </w:footnote>
  <w:footnote w:id="1">
    <w:p w:rsidR="006321C4" w:rsidRPr="00F31093" w:rsidRDefault="006321C4">
      <w:pPr>
        <w:pStyle w:val="FootnoteText"/>
      </w:pPr>
      <w:r>
        <w:rPr>
          <w:rStyle w:val="FootnoteReference"/>
        </w:rPr>
        <w:footnoteRef/>
      </w:r>
      <w:r>
        <w:t xml:space="preserve"> </w:t>
      </w:r>
      <w:r w:rsidRPr="00F31093">
        <w:t>Uganda Comprehensive EPI, Surveillance, Immunization Financing Review and Post-introduction Evaluation of Pneumococcal vaccine, 23 Feb – 6 March 2015.</w:t>
      </w:r>
    </w:p>
  </w:footnote>
  <w:footnote w:id="2">
    <w:p w:rsidR="00E6488A" w:rsidRPr="00066111" w:rsidRDefault="00E6488A" w:rsidP="00066111">
      <w:pPr>
        <w:pStyle w:val="ListParagraph"/>
        <w:ind w:left="0"/>
        <w:rPr>
          <w:rFonts w:ascii="Arial" w:hAnsi="Arial"/>
          <w:sz w:val="18"/>
          <w:szCs w:val="18"/>
        </w:rPr>
      </w:pPr>
      <w:r w:rsidRPr="00F31093">
        <w:rPr>
          <w:rStyle w:val="FootnoteReference"/>
          <w:sz w:val="20"/>
          <w:szCs w:val="20"/>
        </w:rPr>
        <w:footnoteRef/>
      </w:r>
      <w:r w:rsidRPr="00F31093">
        <w:rPr>
          <w:sz w:val="20"/>
          <w:szCs w:val="20"/>
        </w:rPr>
        <w:t xml:space="preserve"> </w:t>
      </w:r>
      <w:r w:rsidRPr="00F31093">
        <w:rPr>
          <w:sz w:val="20"/>
          <w:szCs w:val="20"/>
          <w:lang w:val="en-US"/>
        </w:rPr>
        <w:t xml:space="preserve">Sources: </w:t>
      </w:r>
      <w:r w:rsidRPr="00F31093">
        <w:rPr>
          <w:sz w:val="20"/>
          <w:szCs w:val="20"/>
        </w:rPr>
        <w:t>Resource Tracking for Immunization in Uganda, 2013/14, Full Country Evaluation brief, 2015.</w:t>
      </w:r>
    </w:p>
  </w:footnote>
  <w:footnote w:id="3">
    <w:p w:rsidR="00DB46DE" w:rsidRPr="00DB46DE" w:rsidRDefault="00DB46DE">
      <w:pPr>
        <w:pStyle w:val="FootnoteText"/>
      </w:pPr>
      <w:r>
        <w:rPr>
          <w:rStyle w:val="FootnoteReference"/>
        </w:rPr>
        <w:footnoteRef/>
      </w:r>
      <w:r>
        <w:t xml:space="preserve"> Resource tracking for immunization in Uganda, 2013/14, GAVI evaluation. HealthNet Consult Infectious Diseases Research Collaboration, August 4, 2015.</w:t>
      </w:r>
    </w:p>
  </w:footnote>
  <w:footnote w:id="4">
    <w:p w:rsidR="00DB46DE" w:rsidRPr="00DB46DE" w:rsidRDefault="00DB46DE">
      <w:pPr>
        <w:pStyle w:val="FootnoteText"/>
      </w:pPr>
      <w:r>
        <w:rPr>
          <w:rStyle w:val="FootnoteReference"/>
        </w:rPr>
        <w:footnoteRef/>
      </w:r>
      <w:r>
        <w:t xml:space="preserve"> Government of Uganda. The Uganda national Expanded Programmed on Immunisation multi-year plan, 2016-2020.</w:t>
      </w:r>
    </w:p>
  </w:footnote>
  <w:footnote w:id="5">
    <w:p w:rsidR="00DB46DE" w:rsidRPr="00DB46DE" w:rsidRDefault="00DB46DE">
      <w:pPr>
        <w:pStyle w:val="FootnoteText"/>
      </w:pPr>
      <w:r>
        <w:rPr>
          <w:rStyle w:val="FootnoteReference"/>
        </w:rPr>
        <w:footnoteRef/>
      </w:r>
      <w:r>
        <w:t xml:space="preserve"> </w:t>
      </w:r>
      <w:r w:rsidRPr="00DB46DE">
        <w:t>Uganda Comprehensive EPI, Surveillance, Immunization Financing Review and Post-introduction Evaluation of Pneumococcal vaccine, 23 Feb – 6 March 2015.</w:t>
      </w:r>
    </w:p>
  </w:footnote>
  <w:footnote w:id="6">
    <w:p w:rsidR="00E5103C" w:rsidRPr="00E5103C" w:rsidRDefault="00E5103C">
      <w:pPr>
        <w:pStyle w:val="FootnoteText"/>
      </w:pPr>
      <w:r>
        <w:rPr>
          <w:rStyle w:val="FootnoteReference"/>
        </w:rPr>
        <w:footnoteRef/>
      </w:r>
      <w:r>
        <w:t xml:space="preserve"> </w:t>
      </w:r>
      <w:r w:rsidRPr="00DB46DE">
        <w:t>Uganda Comprehensive EPI, Surveillance, Immunization Financing Review and Post-introduction Evaluation of Pneumococcal vaccine, 23 Feb – 6 March 2015.</w:t>
      </w:r>
    </w:p>
  </w:footnote>
  <w:footnote w:id="7">
    <w:p w:rsidR="00F76419" w:rsidRPr="00F76419" w:rsidRDefault="00F76419">
      <w:pPr>
        <w:pStyle w:val="FootnoteText"/>
      </w:pPr>
      <w:r>
        <w:rPr>
          <w:rStyle w:val="FootnoteReference"/>
        </w:rPr>
        <w:footnoteRef/>
      </w:r>
      <w:r>
        <w:t xml:space="preserve"> CMYP.</w:t>
      </w:r>
    </w:p>
  </w:footnote>
  <w:footnote w:id="8">
    <w:p w:rsidR="00BC039B" w:rsidRPr="00BC039B" w:rsidRDefault="00BC039B">
      <w:pPr>
        <w:pStyle w:val="FootnoteText"/>
      </w:pPr>
      <w:r>
        <w:rPr>
          <w:rStyle w:val="FootnoteReference"/>
        </w:rPr>
        <w:footnoteRef/>
      </w:r>
      <w:r>
        <w:t xml:space="preserve"> cMYP.</w:t>
      </w:r>
    </w:p>
  </w:footnote>
  <w:footnote w:id="9">
    <w:p w:rsidR="00C95CCD" w:rsidRPr="00C95CCD" w:rsidRDefault="00C95CCD">
      <w:pPr>
        <w:pStyle w:val="FootnoteText"/>
      </w:pPr>
      <w:r>
        <w:rPr>
          <w:rStyle w:val="FootnoteReference"/>
        </w:rPr>
        <w:footnoteRef/>
      </w:r>
      <w:r>
        <w:t xml:space="preserve"> </w:t>
      </w:r>
      <w:r w:rsidRPr="00DB46DE">
        <w:t>Uganda Comprehensive EPI, Surveillance, Immunization Financing Review and Post-introduction Evaluation of Pneumococcal vaccine, 23 Feb – 6 March 2015.</w:t>
      </w:r>
    </w:p>
  </w:footnote>
  <w:footnote w:id="10">
    <w:p w:rsidR="004B1E23" w:rsidRPr="004B1E23" w:rsidRDefault="004B1E23">
      <w:pPr>
        <w:pStyle w:val="FootnoteText"/>
      </w:pPr>
      <w:r>
        <w:rPr>
          <w:rStyle w:val="FootnoteReference"/>
        </w:rPr>
        <w:footnoteRef/>
      </w:r>
      <w:r>
        <w:t xml:space="preserve"> GAVI Full Country Evaluation, 2015 annual dissemination report, Uganda report.</w:t>
      </w:r>
    </w:p>
  </w:footnote>
  <w:footnote w:id="11">
    <w:p w:rsidR="002654C3" w:rsidRPr="002654C3" w:rsidRDefault="002654C3">
      <w:pPr>
        <w:pStyle w:val="FootnoteText"/>
      </w:pPr>
      <w:r>
        <w:rPr>
          <w:rStyle w:val="FootnoteReference"/>
        </w:rPr>
        <w:footnoteRef/>
      </w:r>
      <w:r>
        <w:t xml:space="preserve"> cMYP.</w:t>
      </w:r>
    </w:p>
  </w:footnote>
  <w:footnote w:id="12">
    <w:p w:rsidR="00E72094" w:rsidRPr="00E72094" w:rsidRDefault="00E72094">
      <w:pPr>
        <w:pStyle w:val="FootnoteText"/>
      </w:pPr>
      <w:r>
        <w:rPr>
          <w:rStyle w:val="FootnoteReference"/>
        </w:rPr>
        <w:footnoteRef/>
      </w:r>
      <w:r>
        <w:t xml:space="preserve"> Note that the WUENIC estimates for those years to not reflect these reported increases in coverage over this period and the WUENIC estimates are currently being challenged.</w:t>
      </w:r>
    </w:p>
  </w:footnote>
  <w:footnote w:id="13">
    <w:p w:rsidR="00E72094" w:rsidRPr="00E72094" w:rsidRDefault="00E72094">
      <w:pPr>
        <w:pStyle w:val="FootnoteText"/>
      </w:pPr>
      <w:r>
        <w:rPr>
          <w:rStyle w:val="FootnoteReference"/>
        </w:rPr>
        <w:footnoteRef/>
      </w:r>
      <w:r>
        <w:t xml:space="preserve"> </w:t>
      </w:r>
      <w:r w:rsidRPr="00DB46DE">
        <w:t>Uganda Comprehensive EPI, Surveillance, Immunization Financing Review and Post-introduction Evaluation of Pneumococcal vaccine, 23 Feb – 6 March 2015.</w:t>
      </w:r>
    </w:p>
  </w:footnote>
  <w:footnote w:id="14">
    <w:p w:rsidR="00E6488A" w:rsidRPr="00724435" w:rsidRDefault="00E6488A">
      <w:pPr>
        <w:pStyle w:val="FootnoteText"/>
        <w:rPr>
          <w:lang w:val="en-US"/>
        </w:rPr>
      </w:pPr>
      <w:r>
        <w:rPr>
          <w:rStyle w:val="FootnoteReference"/>
        </w:rPr>
        <w:footnoteRef/>
      </w:r>
      <w:r>
        <w:t xml:space="preserve"> </w:t>
      </w:r>
      <w:r>
        <w:rPr>
          <w:lang w:val="en-US"/>
        </w:rPr>
        <w:t>I got this table from the GAVI Resource Tracking document and expanded upon it, using the PEF and what I know. Not sure of its accuracy and I need some help to complete (e.g., from WCO).</w:t>
      </w:r>
    </w:p>
  </w:footnote>
  <w:footnote w:id="15">
    <w:p w:rsidR="00E6488A" w:rsidRPr="00365AB4" w:rsidRDefault="00E6488A">
      <w:pPr>
        <w:pStyle w:val="FootnoteText"/>
        <w:rPr>
          <w:lang w:val="en-US"/>
        </w:rPr>
      </w:pPr>
      <w:r>
        <w:rPr>
          <w:rStyle w:val="FootnoteReference"/>
        </w:rPr>
        <w:footnoteRef/>
      </w:r>
      <w:r>
        <w:t xml:space="preserve"> </w:t>
      </w:r>
      <w:r w:rsidR="007D2844">
        <w:t>Resource tracking for immunization in Uganda, 2013/14, GAVI evaluation. HealthNet Consult Infectious Diseases Research Collaboration, August 4, 2015.</w:t>
      </w:r>
    </w:p>
  </w:footnote>
  <w:footnote w:id="16">
    <w:p w:rsidR="00F06C80" w:rsidRPr="00F06C80" w:rsidRDefault="00F06C80">
      <w:pPr>
        <w:pStyle w:val="FootnoteText"/>
        <w:rPr>
          <w:lang w:val="en-US"/>
        </w:rPr>
      </w:pPr>
      <w:r>
        <w:rPr>
          <w:rStyle w:val="FootnoteReference"/>
        </w:rPr>
        <w:footnoteRef/>
      </w:r>
      <w:r>
        <w:t xml:space="preserve"> </w:t>
      </w:r>
      <w:r>
        <w:rPr>
          <w:lang w:val="en-US"/>
        </w:rPr>
        <w:t>CMYP.</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922BCA"/>
    <w:multiLevelType w:val="hybridMultilevel"/>
    <w:tmpl w:val="60F2986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5DD3098"/>
    <w:multiLevelType w:val="hybridMultilevel"/>
    <w:tmpl w:val="F3E8D56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7FC0D88"/>
    <w:multiLevelType w:val="hybridMultilevel"/>
    <w:tmpl w:val="92B475DA"/>
    <w:lvl w:ilvl="0" w:tplc="04090005">
      <w:start w:val="1"/>
      <w:numFmt w:val="bullet"/>
      <w:lvlText w:val=""/>
      <w:lvlJc w:val="left"/>
      <w:pPr>
        <w:ind w:left="720" w:hanging="360"/>
      </w:pPr>
      <w:rPr>
        <w:rFonts w:ascii="Wingdings" w:hAnsi="Wingding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8F710BA"/>
    <w:multiLevelType w:val="hybridMultilevel"/>
    <w:tmpl w:val="D80015D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nsid w:val="09FF2851"/>
    <w:multiLevelType w:val="hybridMultilevel"/>
    <w:tmpl w:val="EB5A7962"/>
    <w:lvl w:ilvl="0" w:tplc="04090019">
      <w:start w:val="2"/>
      <w:numFmt w:val="low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0BFE4796"/>
    <w:multiLevelType w:val="hybridMultilevel"/>
    <w:tmpl w:val="2D6047F6"/>
    <w:lvl w:ilvl="0" w:tplc="04090015">
      <w:start w:val="1"/>
      <w:numFmt w:val="upp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nsid w:val="15201945"/>
    <w:multiLevelType w:val="hybridMultilevel"/>
    <w:tmpl w:val="EE3E5146"/>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nsid w:val="179F56FE"/>
    <w:multiLevelType w:val="hybridMultilevel"/>
    <w:tmpl w:val="4EFCB3F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nsid w:val="1EE73830"/>
    <w:multiLevelType w:val="hybridMultilevel"/>
    <w:tmpl w:val="95BE3878"/>
    <w:lvl w:ilvl="0" w:tplc="04090005">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9">
    <w:nsid w:val="20910D11"/>
    <w:multiLevelType w:val="hybridMultilevel"/>
    <w:tmpl w:val="ECF6625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nsid w:val="2A3E5941"/>
    <w:multiLevelType w:val="multilevel"/>
    <w:tmpl w:val="A5A406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nsid w:val="2AE3068E"/>
    <w:multiLevelType w:val="multilevel"/>
    <w:tmpl w:val="417A48B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2B3A0448"/>
    <w:multiLevelType w:val="hybridMultilevel"/>
    <w:tmpl w:val="BBAC69A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303055F6"/>
    <w:multiLevelType w:val="hybridMultilevel"/>
    <w:tmpl w:val="1E0AADD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3295309A"/>
    <w:multiLevelType w:val="hybridMultilevel"/>
    <w:tmpl w:val="6C1CFB2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336F6781"/>
    <w:multiLevelType w:val="multilevel"/>
    <w:tmpl w:val="12F245C4"/>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34851C67"/>
    <w:multiLevelType w:val="hybridMultilevel"/>
    <w:tmpl w:val="FA10CC6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34D5180B"/>
    <w:multiLevelType w:val="hybridMultilevel"/>
    <w:tmpl w:val="AAA283B2"/>
    <w:lvl w:ilvl="0" w:tplc="10421B90">
      <w:numFmt w:val="bullet"/>
      <w:lvlText w:val="-"/>
      <w:lvlJc w:val="left"/>
      <w:pPr>
        <w:ind w:left="1080" w:hanging="360"/>
      </w:pPr>
      <w:rPr>
        <w:rFonts w:ascii="Arial" w:eastAsia="Calibri" w:hAnsi="Arial" w:cs="Aria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nsid w:val="39AB2663"/>
    <w:multiLevelType w:val="multilevel"/>
    <w:tmpl w:val="A5E0EF82"/>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3A9B0E47"/>
    <w:multiLevelType w:val="hybridMultilevel"/>
    <w:tmpl w:val="F146A09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0">
    <w:nsid w:val="3AA214CF"/>
    <w:multiLevelType w:val="hybridMultilevel"/>
    <w:tmpl w:val="DBBEA92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3C251F34"/>
    <w:multiLevelType w:val="hybridMultilevel"/>
    <w:tmpl w:val="77B83EF6"/>
    <w:lvl w:ilvl="0" w:tplc="CC78D78A">
      <w:start w:val="1"/>
      <w:numFmt w:val="lowerLetter"/>
      <w:lvlText w:val="%1."/>
      <w:lvlJc w:val="left"/>
      <w:pPr>
        <w:tabs>
          <w:tab w:val="num" w:pos="720"/>
        </w:tabs>
        <w:ind w:left="720" w:hanging="360"/>
      </w:pPr>
    </w:lvl>
    <w:lvl w:ilvl="1" w:tplc="65FE4AFC">
      <w:start w:val="835"/>
      <w:numFmt w:val="bullet"/>
      <w:lvlText w:val="–"/>
      <w:lvlJc w:val="left"/>
      <w:pPr>
        <w:tabs>
          <w:tab w:val="num" w:pos="1440"/>
        </w:tabs>
        <w:ind w:left="1440" w:hanging="360"/>
      </w:pPr>
      <w:rPr>
        <w:rFonts w:ascii="Arial" w:hAnsi="Arial" w:hint="default"/>
      </w:rPr>
    </w:lvl>
    <w:lvl w:ilvl="2" w:tplc="08F4FAD2">
      <w:start w:val="835"/>
      <w:numFmt w:val="bullet"/>
      <w:lvlText w:val="•"/>
      <w:lvlJc w:val="left"/>
      <w:pPr>
        <w:tabs>
          <w:tab w:val="num" w:pos="2160"/>
        </w:tabs>
        <w:ind w:left="2160" w:hanging="360"/>
      </w:pPr>
      <w:rPr>
        <w:rFonts w:ascii="Arial" w:hAnsi="Arial" w:hint="default"/>
      </w:rPr>
    </w:lvl>
    <w:lvl w:ilvl="3" w:tplc="F1E43FCC" w:tentative="1">
      <w:start w:val="1"/>
      <w:numFmt w:val="lowerLetter"/>
      <w:lvlText w:val="%4."/>
      <w:lvlJc w:val="left"/>
      <w:pPr>
        <w:tabs>
          <w:tab w:val="num" w:pos="2880"/>
        </w:tabs>
        <w:ind w:left="2880" w:hanging="360"/>
      </w:pPr>
    </w:lvl>
    <w:lvl w:ilvl="4" w:tplc="EF30CAAE" w:tentative="1">
      <w:start w:val="1"/>
      <w:numFmt w:val="lowerLetter"/>
      <w:lvlText w:val="%5."/>
      <w:lvlJc w:val="left"/>
      <w:pPr>
        <w:tabs>
          <w:tab w:val="num" w:pos="3600"/>
        </w:tabs>
        <w:ind w:left="3600" w:hanging="360"/>
      </w:pPr>
    </w:lvl>
    <w:lvl w:ilvl="5" w:tplc="1D3C0E56" w:tentative="1">
      <w:start w:val="1"/>
      <w:numFmt w:val="lowerLetter"/>
      <w:lvlText w:val="%6."/>
      <w:lvlJc w:val="left"/>
      <w:pPr>
        <w:tabs>
          <w:tab w:val="num" w:pos="4320"/>
        </w:tabs>
        <w:ind w:left="4320" w:hanging="360"/>
      </w:pPr>
    </w:lvl>
    <w:lvl w:ilvl="6" w:tplc="347E5004" w:tentative="1">
      <w:start w:val="1"/>
      <w:numFmt w:val="lowerLetter"/>
      <w:lvlText w:val="%7."/>
      <w:lvlJc w:val="left"/>
      <w:pPr>
        <w:tabs>
          <w:tab w:val="num" w:pos="5040"/>
        </w:tabs>
        <w:ind w:left="5040" w:hanging="360"/>
      </w:pPr>
    </w:lvl>
    <w:lvl w:ilvl="7" w:tplc="1C181A00" w:tentative="1">
      <w:start w:val="1"/>
      <w:numFmt w:val="lowerLetter"/>
      <w:lvlText w:val="%8."/>
      <w:lvlJc w:val="left"/>
      <w:pPr>
        <w:tabs>
          <w:tab w:val="num" w:pos="5760"/>
        </w:tabs>
        <w:ind w:left="5760" w:hanging="360"/>
      </w:pPr>
    </w:lvl>
    <w:lvl w:ilvl="8" w:tplc="C89A567E" w:tentative="1">
      <w:start w:val="1"/>
      <w:numFmt w:val="lowerLetter"/>
      <w:lvlText w:val="%9."/>
      <w:lvlJc w:val="left"/>
      <w:pPr>
        <w:tabs>
          <w:tab w:val="num" w:pos="6480"/>
        </w:tabs>
        <w:ind w:left="6480" w:hanging="360"/>
      </w:pPr>
    </w:lvl>
  </w:abstractNum>
  <w:abstractNum w:abstractNumId="22">
    <w:nsid w:val="4B960D6B"/>
    <w:multiLevelType w:val="hybridMultilevel"/>
    <w:tmpl w:val="F8A2219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510A3FD3"/>
    <w:multiLevelType w:val="hybridMultilevel"/>
    <w:tmpl w:val="60D2E280"/>
    <w:lvl w:ilvl="0" w:tplc="F75E9D44">
      <w:start w:val="1"/>
      <w:numFmt w:val="lowerLetter"/>
      <w:lvlText w:val="%1."/>
      <w:lvlJc w:val="left"/>
      <w:pPr>
        <w:tabs>
          <w:tab w:val="num" w:pos="720"/>
        </w:tabs>
        <w:ind w:left="720" w:hanging="360"/>
      </w:pPr>
    </w:lvl>
    <w:lvl w:ilvl="1" w:tplc="C09222A4" w:tentative="1">
      <w:start w:val="1"/>
      <w:numFmt w:val="lowerLetter"/>
      <w:lvlText w:val="%2."/>
      <w:lvlJc w:val="left"/>
      <w:pPr>
        <w:tabs>
          <w:tab w:val="num" w:pos="1440"/>
        </w:tabs>
        <w:ind w:left="1440" w:hanging="360"/>
      </w:pPr>
    </w:lvl>
    <w:lvl w:ilvl="2" w:tplc="62F4B0F6" w:tentative="1">
      <w:start w:val="1"/>
      <w:numFmt w:val="lowerLetter"/>
      <w:lvlText w:val="%3."/>
      <w:lvlJc w:val="left"/>
      <w:pPr>
        <w:tabs>
          <w:tab w:val="num" w:pos="2160"/>
        </w:tabs>
        <w:ind w:left="2160" w:hanging="360"/>
      </w:pPr>
    </w:lvl>
    <w:lvl w:ilvl="3" w:tplc="4E0CA842" w:tentative="1">
      <w:start w:val="1"/>
      <w:numFmt w:val="lowerLetter"/>
      <w:lvlText w:val="%4."/>
      <w:lvlJc w:val="left"/>
      <w:pPr>
        <w:tabs>
          <w:tab w:val="num" w:pos="2880"/>
        </w:tabs>
        <w:ind w:left="2880" w:hanging="360"/>
      </w:pPr>
    </w:lvl>
    <w:lvl w:ilvl="4" w:tplc="7F66CE10" w:tentative="1">
      <w:start w:val="1"/>
      <w:numFmt w:val="lowerLetter"/>
      <w:lvlText w:val="%5."/>
      <w:lvlJc w:val="left"/>
      <w:pPr>
        <w:tabs>
          <w:tab w:val="num" w:pos="3600"/>
        </w:tabs>
        <w:ind w:left="3600" w:hanging="360"/>
      </w:pPr>
    </w:lvl>
    <w:lvl w:ilvl="5" w:tplc="C7246AA8" w:tentative="1">
      <w:start w:val="1"/>
      <w:numFmt w:val="lowerLetter"/>
      <w:lvlText w:val="%6."/>
      <w:lvlJc w:val="left"/>
      <w:pPr>
        <w:tabs>
          <w:tab w:val="num" w:pos="4320"/>
        </w:tabs>
        <w:ind w:left="4320" w:hanging="360"/>
      </w:pPr>
    </w:lvl>
    <w:lvl w:ilvl="6" w:tplc="31D4196E" w:tentative="1">
      <w:start w:val="1"/>
      <w:numFmt w:val="lowerLetter"/>
      <w:lvlText w:val="%7."/>
      <w:lvlJc w:val="left"/>
      <w:pPr>
        <w:tabs>
          <w:tab w:val="num" w:pos="5040"/>
        </w:tabs>
        <w:ind w:left="5040" w:hanging="360"/>
      </w:pPr>
    </w:lvl>
    <w:lvl w:ilvl="7" w:tplc="FBCED516" w:tentative="1">
      <w:start w:val="1"/>
      <w:numFmt w:val="lowerLetter"/>
      <w:lvlText w:val="%8."/>
      <w:lvlJc w:val="left"/>
      <w:pPr>
        <w:tabs>
          <w:tab w:val="num" w:pos="5760"/>
        </w:tabs>
        <w:ind w:left="5760" w:hanging="360"/>
      </w:pPr>
    </w:lvl>
    <w:lvl w:ilvl="8" w:tplc="2864C6DA" w:tentative="1">
      <w:start w:val="1"/>
      <w:numFmt w:val="lowerLetter"/>
      <w:lvlText w:val="%9."/>
      <w:lvlJc w:val="left"/>
      <w:pPr>
        <w:tabs>
          <w:tab w:val="num" w:pos="6480"/>
        </w:tabs>
        <w:ind w:left="6480" w:hanging="360"/>
      </w:pPr>
    </w:lvl>
  </w:abstractNum>
  <w:abstractNum w:abstractNumId="24">
    <w:nsid w:val="514B7582"/>
    <w:multiLevelType w:val="hybridMultilevel"/>
    <w:tmpl w:val="9AFEA6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527F13EF"/>
    <w:multiLevelType w:val="multilevel"/>
    <w:tmpl w:val="F324700C"/>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582970CC"/>
    <w:multiLevelType w:val="hybridMultilevel"/>
    <w:tmpl w:val="334C477E"/>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7">
    <w:nsid w:val="5B050937"/>
    <w:multiLevelType w:val="hybridMultilevel"/>
    <w:tmpl w:val="7004DC1E"/>
    <w:lvl w:ilvl="0" w:tplc="04090005">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8">
    <w:nsid w:val="612109B1"/>
    <w:multiLevelType w:val="hybridMultilevel"/>
    <w:tmpl w:val="CC8E048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1344C4D"/>
    <w:multiLevelType w:val="multilevel"/>
    <w:tmpl w:val="D122AE2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nsid w:val="64D05912"/>
    <w:multiLevelType w:val="hybridMultilevel"/>
    <w:tmpl w:val="8CCE2F44"/>
    <w:lvl w:ilvl="0" w:tplc="AC7C927C">
      <w:start w:val="1"/>
      <w:numFmt w:val="lowerLetter"/>
      <w:lvlText w:val="%1."/>
      <w:lvlJc w:val="left"/>
      <w:pPr>
        <w:tabs>
          <w:tab w:val="num" w:pos="720"/>
        </w:tabs>
        <w:ind w:left="720" w:hanging="360"/>
      </w:pPr>
    </w:lvl>
    <w:lvl w:ilvl="1" w:tplc="491AC57C" w:tentative="1">
      <w:start w:val="1"/>
      <w:numFmt w:val="lowerLetter"/>
      <w:lvlText w:val="%2."/>
      <w:lvlJc w:val="left"/>
      <w:pPr>
        <w:tabs>
          <w:tab w:val="num" w:pos="1440"/>
        </w:tabs>
        <w:ind w:left="1440" w:hanging="360"/>
      </w:pPr>
    </w:lvl>
    <w:lvl w:ilvl="2" w:tplc="CA2EF9FC" w:tentative="1">
      <w:start w:val="1"/>
      <w:numFmt w:val="lowerLetter"/>
      <w:lvlText w:val="%3."/>
      <w:lvlJc w:val="left"/>
      <w:pPr>
        <w:tabs>
          <w:tab w:val="num" w:pos="2160"/>
        </w:tabs>
        <w:ind w:left="2160" w:hanging="360"/>
      </w:pPr>
    </w:lvl>
    <w:lvl w:ilvl="3" w:tplc="E204790E" w:tentative="1">
      <w:start w:val="1"/>
      <w:numFmt w:val="lowerLetter"/>
      <w:lvlText w:val="%4."/>
      <w:lvlJc w:val="left"/>
      <w:pPr>
        <w:tabs>
          <w:tab w:val="num" w:pos="2880"/>
        </w:tabs>
        <w:ind w:left="2880" w:hanging="360"/>
      </w:pPr>
    </w:lvl>
    <w:lvl w:ilvl="4" w:tplc="8FE4B9D0" w:tentative="1">
      <w:start w:val="1"/>
      <w:numFmt w:val="lowerLetter"/>
      <w:lvlText w:val="%5."/>
      <w:lvlJc w:val="left"/>
      <w:pPr>
        <w:tabs>
          <w:tab w:val="num" w:pos="3600"/>
        </w:tabs>
        <w:ind w:left="3600" w:hanging="360"/>
      </w:pPr>
    </w:lvl>
    <w:lvl w:ilvl="5" w:tplc="0416FB90" w:tentative="1">
      <w:start w:val="1"/>
      <w:numFmt w:val="lowerLetter"/>
      <w:lvlText w:val="%6."/>
      <w:lvlJc w:val="left"/>
      <w:pPr>
        <w:tabs>
          <w:tab w:val="num" w:pos="4320"/>
        </w:tabs>
        <w:ind w:left="4320" w:hanging="360"/>
      </w:pPr>
    </w:lvl>
    <w:lvl w:ilvl="6" w:tplc="8EF4CA38" w:tentative="1">
      <w:start w:val="1"/>
      <w:numFmt w:val="lowerLetter"/>
      <w:lvlText w:val="%7."/>
      <w:lvlJc w:val="left"/>
      <w:pPr>
        <w:tabs>
          <w:tab w:val="num" w:pos="5040"/>
        </w:tabs>
        <w:ind w:left="5040" w:hanging="360"/>
      </w:pPr>
    </w:lvl>
    <w:lvl w:ilvl="7" w:tplc="6CBA7550" w:tentative="1">
      <w:start w:val="1"/>
      <w:numFmt w:val="lowerLetter"/>
      <w:lvlText w:val="%8."/>
      <w:lvlJc w:val="left"/>
      <w:pPr>
        <w:tabs>
          <w:tab w:val="num" w:pos="5760"/>
        </w:tabs>
        <w:ind w:left="5760" w:hanging="360"/>
      </w:pPr>
    </w:lvl>
    <w:lvl w:ilvl="8" w:tplc="0ECCE49A" w:tentative="1">
      <w:start w:val="1"/>
      <w:numFmt w:val="lowerLetter"/>
      <w:lvlText w:val="%9."/>
      <w:lvlJc w:val="left"/>
      <w:pPr>
        <w:tabs>
          <w:tab w:val="num" w:pos="6480"/>
        </w:tabs>
        <w:ind w:left="6480" w:hanging="360"/>
      </w:pPr>
    </w:lvl>
  </w:abstractNum>
  <w:abstractNum w:abstractNumId="31">
    <w:nsid w:val="665D4B37"/>
    <w:multiLevelType w:val="hybridMultilevel"/>
    <w:tmpl w:val="A5C0474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708C7A5B"/>
    <w:multiLevelType w:val="multilevel"/>
    <w:tmpl w:val="900EF63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nsid w:val="724A5E1E"/>
    <w:multiLevelType w:val="multilevel"/>
    <w:tmpl w:val="C11AAA44"/>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nsid w:val="72F01F3F"/>
    <w:multiLevelType w:val="hybridMultilevel"/>
    <w:tmpl w:val="F0AC8CE0"/>
    <w:lvl w:ilvl="0" w:tplc="0AEA3742">
      <w:start w:val="1"/>
      <w:numFmt w:val="lowerLetter"/>
      <w:lvlText w:val="%1."/>
      <w:lvlJc w:val="left"/>
      <w:pPr>
        <w:tabs>
          <w:tab w:val="num" w:pos="720"/>
        </w:tabs>
        <w:ind w:left="720" w:hanging="360"/>
      </w:pPr>
    </w:lvl>
    <w:lvl w:ilvl="1" w:tplc="35D24552" w:tentative="1">
      <w:start w:val="1"/>
      <w:numFmt w:val="lowerLetter"/>
      <w:lvlText w:val="%2."/>
      <w:lvlJc w:val="left"/>
      <w:pPr>
        <w:tabs>
          <w:tab w:val="num" w:pos="1440"/>
        </w:tabs>
        <w:ind w:left="1440" w:hanging="360"/>
      </w:pPr>
    </w:lvl>
    <w:lvl w:ilvl="2" w:tplc="B9CEC44A" w:tentative="1">
      <w:start w:val="1"/>
      <w:numFmt w:val="lowerLetter"/>
      <w:lvlText w:val="%3."/>
      <w:lvlJc w:val="left"/>
      <w:pPr>
        <w:tabs>
          <w:tab w:val="num" w:pos="2160"/>
        </w:tabs>
        <w:ind w:left="2160" w:hanging="360"/>
      </w:pPr>
    </w:lvl>
    <w:lvl w:ilvl="3" w:tplc="D34A7FE2" w:tentative="1">
      <w:start w:val="1"/>
      <w:numFmt w:val="lowerLetter"/>
      <w:lvlText w:val="%4."/>
      <w:lvlJc w:val="left"/>
      <w:pPr>
        <w:tabs>
          <w:tab w:val="num" w:pos="2880"/>
        </w:tabs>
        <w:ind w:left="2880" w:hanging="360"/>
      </w:pPr>
    </w:lvl>
    <w:lvl w:ilvl="4" w:tplc="8BFA7378" w:tentative="1">
      <w:start w:val="1"/>
      <w:numFmt w:val="lowerLetter"/>
      <w:lvlText w:val="%5."/>
      <w:lvlJc w:val="left"/>
      <w:pPr>
        <w:tabs>
          <w:tab w:val="num" w:pos="3600"/>
        </w:tabs>
        <w:ind w:left="3600" w:hanging="360"/>
      </w:pPr>
    </w:lvl>
    <w:lvl w:ilvl="5" w:tplc="43BCEA14" w:tentative="1">
      <w:start w:val="1"/>
      <w:numFmt w:val="lowerLetter"/>
      <w:lvlText w:val="%6."/>
      <w:lvlJc w:val="left"/>
      <w:pPr>
        <w:tabs>
          <w:tab w:val="num" w:pos="4320"/>
        </w:tabs>
        <w:ind w:left="4320" w:hanging="360"/>
      </w:pPr>
    </w:lvl>
    <w:lvl w:ilvl="6" w:tplc="C3F62F62" w:tentative="1">
      <w:start w:val="1"/>
      <w:numFmt w:val="lowerLetter"/>
      <w:lvlText w:val="%7."/>
      <w:lvlJc w:val="left"/>
      <w:pPr>
        <w:tabs>
          <w:tab w:val="num" w:pos="5040"/>
        </w:tabs>
        <w:ind w:left="5040" w:hanging="360"/>
      </w:pPr>
    </w:lvl>
    <w:lvl w:ilvl="7" w:tplc="0FCEC840" w:tentative="1">
      <w:start w:val="1"/>
      <w:numFmt w:val="lowerLetter"/>
      <w:lvlText w:val="%8."/>
      <w:lvlJc w:val="left"/>
      <w:pPr>
        <w:tabs>
          <w:tab w:val="num" w:pos="5760"/>
        </w:tabs>
        <w:ind w:left="5760" w:hanging="360"/>
      </w:pPr>
    </w:lvl>
    <w:lvl w:ilvl="8" w:tplc="FD5A1B24" w:tentative="1">
      <w:start w:val="1"/>
      <w:numFmt w:val="lowerLetter"/>
      <w:lvlText w:val="%9."/>
      <w:lvlJc w:val="left"/>
      <w:pPr>
        <w:tabs>
          <w:tab w:val="num" w:pos="6480"/>
        </w:tabs>
        <w:ind w:left="6480" w:hanging="360"/>
      </w:pPr>
    </w:lvl>
  </w:abstractNum>
  <w:abstractNum w:abstractNumId="35">
    <w:nsid w:val="750809DB"/>
    <w:multiLevelType w:val="hybridMultilevel"/>
    <w:tmpl w:val="A34C097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78716A93"/>
    <w:multiLevelType w:val="multilevel"/>
    <w:tmpl w:val="C46CE1B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nsid w:val="7B8A3DE2"/>
    <w:multiLevelType w:val="hybridMultilevel"/>
    <w:tmpl w:val="9560209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nsid w:val="7C120FF5"/>
    <w:multiLevelType w:val="hybridMultilevel"/>
    <w:tmpl w:val="AAAAC672"/>
    <w:lvl w:ilvl="0" w:tplc="9872F6A8">
      <w:start w:val="1"/>
      <w:numFmt w:val="lowerLetter"/>
      <w:lvlText w:val="%1."/>
      <w:lvlJc w:val="left"/>
      <w:pPr>
        <w:tabs>
          <w:tab w:val="num" w:pos="720"/>
        </w:tabs>
        <w:ind w:left="720" w:hanging="360"/>
      </w:pPr>
    </w:lvl>
    <w:lvl w:ilvl="1" w:tplc="570002C6" w:tentative="1">
      <w:start w:val="1"/>
      <w:numFmt w:val="lowerLetter"/>
      <w:lvlText w:val="%2."/>
      <w:lvlJc w:val="left"/>
      <w:pPr>
        <w:tabs>
          <w:tab w:val="num" w:pos="1440"/>
        </w:tabs>
        <w:ind w:left="1440" w:hanging="360"/>
      </w:pPr>
    </w:lvl>
    <w:lvl w:ilvl="2" w:tplc="E7044478" w:tentative="1">
      <w:start w:val="1"/>
      <w:numFmt w:val="lowerLetter"/>
      <w:lvlText w:val="%3."/>
      <w:lvlJc w:val="left"/>
      <w:pPr>
        <w:tabs>
          <w:tab w:val="num" w:pos="2160"/>
        </w:tabs>
        <w:ind w:left="2160" w:hanging="360"/>
      </w:pPr>
    </w:lvl>
    <w:lvl w:ilvl="3" w:tplc="21B6B786" w:tentative="1">
      <w:start w:val="1"/>
      <w:numFmt w:val="lowerLetter"/>
      <w:lvlText w:val="%4."/>
      <w:lvlJc w:val="left"/>
      <w:pPr>
        <w:tabs>
          <w:tab w:val="num" w:pos="2880"/>
        </w:tabs>
        <w:ind w:left="2880" w:hanging="360"/>
      </w:pPr>
    </w:lvl>
    <w:lvl w:ilvl="4" w:tplc="1B560EC0" w:tentative="1">
      <w:start w:val="1"/>
      <w:numFmt w:val="lowerLetter"/>
      <w:lvlText w:val="%5."/>
      <w:lvlJc w:val="left"/>
      <w:pPr>
        <w:tabs>
          <w:tab w:val="num" w:pos="3600"/>
        </w:tabs>
        <w:ind w:left="3600" w:hanging="360"/>
      </w:pPr>
    </w:lvl>
    <w:lvl w:ilvl="5" w:tplc="1B60A3DC" w:tentative="1">
      <w:start w:val="1"/>
      <w:numFmt w:val="lowerLetter"/>
      <w:lvlText w:val="%6."/>
      <w:lvlJc w:val="left"/>
      <w:pPr>
        <w:tabs>
          <w:tab w:val="num" w:pos="4320"/>
        </w:tabs>
        <w:ind w:left="4320" w:hanging="360"/>
      </w:pPr>
    </w:lvl>
    <w:lvl w:ilvl="6" w:tplc="A0AA011E" w:tentative="1">
      <w:start w:val="1"/>
      <w:numFmt w:val="lowerLetter"/>
      <w:lvlText w:val="%7."/>
      <w:lvlJc w:val="left"/>
      <w:pPr>
        <w:tabs>
          <w:tab w:val="num" w:pos="5040"/>
        </w:tabs>
        <w:ind w:left="5040" w:hanging="360"/>
      </w:pPr>
    </w:lvl>
    <w:lvl w:ilvl="7" w:tplc="38DA9660" w:tentative="1">
      <w:start w:val="1"/>
      <w:numFmt w:val="lowerLetter"/>
      <w:lvlText w:val="%8."/>
      <w:lvlJc w:val="left"/>
      <w:pPr>
        <w:tabs>
          <w:tab w:val="num" w:pos="5760"/>
        </w:tabs>
        <w:ind w:left="5760" w:hanging="360"/>
      </w:pPr>
    </w:lvl>
    <w:lvl w:ilvl="8" w:tplc="6EC27BF0" w:tentative="1">
      <w:start w:val="1"/>
      <w:numFmt w:val="lowerLetter"/>
      <w:lvlText w:val="%9."/>
      <w:lvlJc w:val="left"/>
      <w:pPr>
        <w:tabs>
          <w:tab w:val="num" w:pos="6480"/>
        </w:tabs>
        <w:ind w:left="6480" w:hanging="360"/>
      </w:pPr>
    </w:lvl>
  </w:abstractNum>
  <w:abstractNum w:abstractNumId="39">
    <w:nsid w:val="7E2B1B49"/>
    <w:multiLevelType w:val="hybridMultilevel"/>
    <w:tmpl w:val="D5048FF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7EE615B6"/>
    <w:multiLevelType w:val="hybridMultilevel"/>
    <w:tmpl w:val="2132F91A"/>
    <w:lvl w:ilvl="0" w:tplc="04090017">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7"/>
  </w:num>
  <w:num w:numId="3">
    <w:abstractNumId w:val="5"/>
  </w:num>
  <w:num w:numId="4">
    <w:abstractNumId w:val="16"/>
  </w:num>
  <w:num w:numId="5">
    <w:abstractNumId w:val="26"/>
  </w:num>
  <w:num w:numId="6">
    <w:abstractNumId w:val="3"/>
  </w:num>
  <w:num w:numId="7">
    <w:abstractNumId w:val="9"/>
  </w:num>
  <w:num w:numId="8">
    <w:abstractNumId w:val="24"/>
  </w:num>
  <w:num w:numId="9">
    <w:abstractNumId w:val="7"/>
  </w:num>
  <w:num w:numId="10">
    <w:abstractNumId w:val="37"/>
  </w:num>
  <w:num w:numId="11">
    <w:abstractNumId w:val="34"/>
  </w:num>
  <w:num w:numId="12">
    <w:abstractNumId w:val="21"/>
  </w:num>
  <w:num w:numId="13">
    <w:abstractNumId w:val="30"/>
  </w:num>
  <w:num w:numId="14">
    <w:abstractNumId w:val="23"/>
  </w:num>
  <w:num w:numId="15">
    <w:abstractNumId w:val="38"/>
  </w:num>
  <w:num w:numId="16">
    <w:abstractNumId w:val="15"/>
  </w:num>
  <w:num w:numId="17">
    <w:abstractNumId w:val="25"/>
  </w:num>
  <w:num w:numId="18">
    <w:abstractNumId w:val="18"/>
  </w:num>
  <w:num w:numId="19">
    <w:abstractNumId w:val="40"/>
  </w:num>
  <w:num w:numId="20">
    <w:abstractNumId w:val="2"/>
  </w:num>
  <w:num w:numId="2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2"/>
  </w:num>
  <w:num w:numId="24">
    <w:abstractNumId w:val="39"/>
  </w:num>
  <w:num w:numId="25">
    <w:abstractNumId w:val="20"/>
  </w:num>
  <w:num w:numId="26">
    <w:abstractNumId w:val="31"/>
  </w:num>
  <w:num w:numId="27">
    <w:abstractNumId w:val="14"/>
  </w:num>
  <w:num w:numId="28">
    <w:abstractNumId w:val="4"/>
  </w:num>
  <w:num w:numId="29">
    <w:abstractNumId w:val="8"/>
  </w:num>
  <w:num w:numId="30">
    <w:abstractNumId w:val="27"/>
  </w:num>
  <w:num w:numId="31">
    <w:abstractNumId w:val="13"/>
  </w:num>
  <w:num w:numId="32">
    <w:abstractNumId w:val="11"/>
  </w:num>
  <w:num w:numId="33">
    <w:abstractNumId w:val="29"/>
  </w:num>
  <w:num w:numId="34">
    <w:abstractNumId w:val="28"/>
  </w:num>
  <w:num w:numId="35">
    <w:abstractNumId w:val="22"/>
  </w:num>
  <w:num w:numId="36">
    <w:abstractNumId w:val="35"/>
  </w:num>
  <w:num w:numId="37">
    <w:abstractNumId w:val="0"/>
  </w:num>
  <w:num w:numId="38">
    <w:abstractNumId w:val="36"/>
  </w:num>
  <w:num w:numId="39">
    <w:abstractNumId w:val="33"/>
  </w:num>
  <w:num w:numId="40">
    <w:abstractNumId w:val="1"/>
  </w:num>
  <w:num w:numId="41">
    <w:abstractNumId w:val="12"/>
  </w:num>
  <w:num w:numId="42">
    <w:abstractNumId w:val="1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3179"/>
    <w:rsid w:val="0000352E"/>
    <w:rsid w:val="00005239"/>
    <w:rsid w:val="0002156C"/>
    <w:rsid w:val="00052693"/>
    <w:rsid w:val="0006192C"/>
    <w:rsid w:val="00066111"/>
    <w:rsid w:val="0007442D"/>
    <w:rsid w:val="00090336"/>
    <w:rsid w:val="00096E70"/>
    <w:rsid w:val="00097B01"/>
    <w:rsid w:val="000A4394"/>
    <w:rsid w:val="000C2C44"/>
    <w:rsid w:val="000E3D3E"/>
    <w:rsid w:val="001067B7"/>
    <w:rsid w:val="00163179"/>
    <w:rsid w:val="0018360B"/>
    <w:rsid w:val="00192CE6"/>
    <w:rsid w:val="001B0097"/>
    <w:rsid w:val="001B1E58"/>
    <w:rsid w:val="001B541B"/>
    <w:rsid w:val="001C1193"/>
    <w:rsid w:val="001C1E4D"/>
    <w:rsid w:val="001C3946"/>
    <w:rsid w:val="001C5026"/>
    <w:rsid w:val="001F2D8D"/>
    <w:rsid w:val="001F695A"/>
    <w:rsid w:val="00211848"/>
    <w:rsid w:val="002258E3"/>
    <w:rsid w:val="002327A5"/>
    <w:rsid w:val="00232D9A"/>
    <w:rsid w:val="002654C3"/>
    <w:rsid w:val="00267F0A"/>
    <w:rsid w:val="002716CC"/>
    <w:rsid w:val="0027368A"/>
    <w:rsid w:val="0028043B"/>
    <w:rsid w:val="002818D0"/>
    <w:rsid w:val="00281CEF"/>
    <w:rsid w:val="00292589"/>
    <w:rsid w:val="002B3BCF"/>
    <w:rsid w:val="002B73D6"/>
    <w:rsid w:val="002C0BCF"/>
    <w:rsid w:val="002C65B5"/>
    <w:rsid w:val="002D3C3D"/>
    <w:rsid w:val="002D61F5"/>
    <w:rsid w:val="002D762A"/>
    <w:rsid w:val="002F1749"/>
    <w:rsid w:val="002F20C9"/>
    <w:rsid w:val="00347756"/>
    <w:rsid w:val="00354BF5"/>
    <w:rsid w:val="00357361"/>
    <w:rsid w:val="00365AB4"/>
    <w:rsid w:val="00370616"/>
    <w:rsid w:val="00371B50"/>
    <w:rsid w:val="00373BA5"/>
    <w:rsid w:val="00385AF1"/>
    <w:rsid w:val="003B4E55"/>
    <w:rsid w:val="003B6F84"/>
    <w:rsid w:val="003D0373"/>
    <w:rsid w:val="003D0BC3"/>
    <w:rsid w:val="003D24BB"/>
    <w:rsid w:val="003D6679"/>
    <w:rsid w:val="003E30EC"/>
    <w:rsid w:val="003E3AFC"/>
    <w:rsid w:val="003F4825"/>
    <w:rsid w:val="004013B6"/>
    <w:rsid w:val="00412E93"/>
    <w:rsid w:val="00413925"/>
    <w:rsid w:val="00432B70"/>
    <w:rsid w:val="004333B5"/>
    <w:rsid w:val="00436537"/>
    <w:rsid w:val="00441EDC"/>
    <w:rsid w:val="00457E0A"/>
    <w:rsid w:val="00460FC0"/>
    <w:rsid w:val="004826EF"/>
    <w:rsid w:val="00492F98"/>
    <w:rsid w:val="004A0122"/>
    <w:rsid w:val="004A203B"/>
    <w:rsid w:val="004A394A"/>
    <w:rsid w:val="004B1494"/>
    <w:rsid w:val="004B1E23"/>
    <w:rsid w:val="004B5B75"/>
    <w:rsid w:val="004C353D"/>
    <w:rsid w:val="004C6880"/>
    <w:rsid w:val="004D307D"/>
    <w:rsid w:val="004F6777"/>
    <w:rsid w:val="00500171"/>
    <w:rsid w:val="005002BB"/>
    <w:rsid w:val="0050564C"/>
    <w:rsid w:val="005133F8"/>
    <w:rsid w:val="00513BF2"/>
    <w:rsid w:val="00522DB6"/>
    <w:rsid w:val="00530FEA"/>
    <w:rsid w:val="00532476"/>
    <w:rsid w:val="00534013"/>
    <w:rsid w:val="00572AD9"/>
    <w:rsid w:val="005737AD"/>
    <w:rsid w:val="0057783D"/>
    <w:rsid w:val="0058000D"/>
    <w:rsid w:val="00586763"/>
    <w:rsid w:val="00591618"/>
    <w:rsid w:val="005B6B29"/>
    <w:rsid w:val="005C6F1C"/>
    <w:rsid w:val="005D52E5"/>
    <w:rsid w:val="005F0283"/>
    <w:rsid w:val="005F74EB"/>
    <w:rsid w:val="00600D0F"/>
    <w:rsid w:val="00631854"/>
    <w:rsid w:val="006321C4"/>
    <w:rsid w:val="00634879"/>
    <w:rsid w:val="0063770B"/>
    <w:rsid w:val="006410AE"/>
    <w:rsid w:val="00641572"/>
    <w:rsid w:val="00641AEE"/>
    <w:rsid w:val="00677182"/>
    <w:rsid w:val="006842AB"/>
    <w:rsid w:val="00696E6A"/>
    <w:rsid w:val="006A05E4"/>
    <w:rsid w:val="006A269E"/>
    <w:rsid w:val="006A4380"/>
    <w:rsid w:val="006C334B"/>
    <w:rsid w:val="006C5F9A"/>
    <w:rsid w:val="006D0B40"/>
    <w:rsid w:val="006D7CA5"/>
    <w:rsid w:val="006F2132"/>
    <w:rsid w:val="006F219F"/>
    <w:rsid w:val="007033F7"/>
    <w:rsid w:val="00716827"/>
    <w:rsid w:val="00724435"/>
    <w:rsid w:val="00734BA0"/>
    <w:rsid w:val="0076408F"/>
    <w:rsid w:val="00767749"/>
    <w:rsid w:val="007709E9"/>
    <w:rsid w:val="00770EEA"/>
    <w:rsid w:val="00774C59"/>
    <w:rsid w:val="00782C2A"/>
    <w:rsid w:val="0079008F"/>
    <w:rsid w:val="00797196"/>
    <w:rsid w:val="007A3008"/>
    <w:rsid w:val="007A35F6"/>
    <w:rsid w:val="007B053A"/>
    <w:rsid w:val="007B7B71"/>
    <w:rsid w:val="007C10B9"/>
    <w:rsid w:val="007C2400"/>
    <w:rsid w:val="007C5F79"/>
    <w:rsid w:val="007D16A4"/>
    <w:rsid w:val="007D2844"/>
    <w:rsid w:val="007D2AA9"/>
    <w:rsid w:val="007D3409"/>
    <w:rsid w:val="007D7DC8"/>
    <w:rsid w:val="007E0DEE"/>
    <w:rsid w:val="007E1D0A"/>
    <w:rsid w:val="007E50D9"/>
    <w:rsid w:val="007F0729"/>
    <w:rsid w:val="00805389"/>
    <w:rsid w:val="008053B7"/>
    <w:rsid w:val="008062DF"/>
    <w:rsid w:val="008105B2"/>
    <w:rsid w:val="00812E29"/>
    <w:rsid w:val="00824C6B"/>
    <w:rsid w:val="00825812"/>
    <w:rsid w:val="0083568C"/>
    <w:rsid w:val="00835BBC"/>
    <w:rsid w:val="00856B69"/>
    <w:rsid w:val="00862516"/>
    <w:rsid w:val="00863F77"/>
    <w:rsid w:val="00865907"/>
    <w:rsid w:val="00883C0A"/>
    <w:rsid w:val="00894DF4"/>
    <w:rsid w:val="008A1C67"/>
    <w:rsid w:val="008A70DC"/>
    <w:rsid w:val="008A7BEC"/>
    <w:rsid w:val="008B3034"/>
    <w:rsid w:val="008C1347"/>
    <w:rsid w:val="008C64BB"/>
    <w:rsid w:val="008E4926"/>
    <w:rsid w:val="008E7AA0"/>
    <w:rsid w:val="008F4F49"/>
    <w:rsid w:val="008F69E2"/>
    <w:rsid w:val="009318B8"/>
    <w:rsid w:val="00933AAE"/>
    <w:rsid w:val="009563E8"/>
    <w:rsid w:val="00960450"/>
    <w:rsid w:val="0098010F"/>
    <w:rsid w:val="009A5026"/>
    <w:rsid w:val="009B091D"/>
    <w:rsid w:val="009C09D8"/>
    <w:rsid w:val="009C5F7F"/>
    <w:rsid w:val="009D32E5"/>
    <w:rsid w:val="009E1E59"/>
    <w:rsid w:val="009E5202"/>
    <w:rsid w:val="009E5E09"/>
    <w:rsid w:val="00A11AC1"/>
    <w:rsid w:val="00A1775D"/>
    <w:rsid w:val="00A233ED"/>
    <w:rsid w:val="00A44D74"/>
    <w:rsid w:val="00A56EBF"/>
    <w:rsid w:val="00A75FEA"/>
    <w:rsid w:val="00A77C6F"/>
    <w:rsid w:val="00A821A2"/>
    <w:rsid w:val="00AA67AB"/>
    <w:rsid w:val="00AB1003"/>
    <w:rsid w:val="00AE11AD"/>
    <w:rsid w:val="00AE5D37"/>
    <w:rsid w:val="00AE7557"/>
    <w:rsid w:val="00AF31C8"/>
    <w:rsid w:val="00AF3E7B"/>
    <w:rsid w:val="00AF7C4D"/>
    <w:rsid w:val="00B11D26"/>
    <w:rsid w:val="00B13423"/>
    <w:rsid w:val="00B13A2F"/>
    <w:rsid w:val="00B17114"/>
    <w:rsid w:val="00B218CC"/>
    <w:rsid w:val="00B37105"/>
    <w:rsid w:val="00B4470F"/>
    <w:rsid w:val="00B61247"/>
    <w:rsid w:val="00BA2589"/>
    <w:rsid w:val="00BB5F62"/>
    <w:rsid w:val="00BC039B"/>
    <w:rsid w:val="00BC6E1F"/>
    <w:rsid w:val="00BD25D9"/>
    <w:rsid w:val="00BD47CC"/>
    <w:rsid w:val="00BD72BB"/>
    <w:rsid w:val="00BF14CF"/>
    <w:rsid w:val="00BF4CFA"/>
    <w:rsid w:val="00C000F1"/>
    <w:rsid w:val="00C03FFE"/>
    <w:rsid w:val="00C15E8C"/>
    <w:rsid w:val="00C2602F"/>
    <w:rsid w:val="00C27BB5"/>
    <w:rsid w:val="00C400A7"/>
    <w:rsid w:val="00C679C0"/>
    <w:rsid w:val="00C67C9D"/>
    <w:rsid w:val="00C8156B"/>
    <w:rsid w:val="00C82C17"/>
    <w:rsid w:val="00C95CCD"/>
    <w:rsid w:val="00CA4529"/>
    <w:rsid w:val="00CA465F"/>
    <w:rsid w:val="00CA4698"/>
    <w:rsid w:val="00CA7D81"/>
    <w:rsid w:val="00CC7611"/>
    <w:rsid w:val="00CD1366"/>
    <w:rsid w:val="00CD3FD9"/>
    <w:rsid w:val="00CF0E45"/>
    <w:rsid w:val="00CF23E9"/>
    <w:rsid w:val="00D00342"/>
    <w:rsid w:val="00D00DC6"/>
    <w:rsid w:val="00D0293C"/>
    <w:rsid w:val="00D05442"/>
    <w:rsid w:val="00D151A4"/>
    <w:rsid w:val="00D17551"/>
    <w:rsid w:val="00D27E92"/>
    <w:rsid w:val="00D30DD8"/>
    <w:rsid w:val="00D732C7"/>
    <w:rsid w:val="00D9435D"/>
    <w:rsid w:val="00D9563B"/>
    <w:rsid w:val="00DB46DE"/>
    <w:rsid w:val="00DB7347"/>
    <w:rsid w:val="00DC3E5F"/>
    <w:rsid w:val="00DC5960"/>
    <w:rsid w:val="00DC6AC7"/>
    <w:rsid w:val="00DD2B4F"/>
    <w:rsid w:val="00E11B99"/>
    <w:rsid w:val="00E1686A"/>
    <w:rsid w:val="00E2660D"/>
    <w:rsid w:val="00E3004C"/>
    <w:rsid w:val="00E3264D"/>
    <w:rsid w:val="00E34D87"/>
    <w:rsid w:val="00E37109"/>
    <w:rsid w:val="00E5103C"/>
    <w:rsid w:val="00E578A3"/>
    <w:rsid w:val="00E6488A"/>
    <w:rsid w:val="00E72094"/>
    <w:rsid w:val="00E86411"/>
    <w:rsid w:val="00E935C8"/>
    <w:rsid w:val="00E963B9"/>
    <w:rsid w:val="00EA1528"/>
    <w:rsid w:val="00EC5704"/>
    <w:rsid w:val="00EC678F"/>
    <w:rsid w:val="00ED0BD7"/>
    <w:rsid w:val="00EE1233"/>
    <w:rsid w:val="00EE1747"/>
    <w:rsid w:val="00EF28C5"/>
    <w:rsid w:val="00F01C3B"/>
    <w:rsid w:val="00F06C80"/>
    <w:rsid w:val="00F1695C"/>
    <w:rsid w:val="00F215A2"/>
    <w:rsid w:val="00F31093"/>
    <w:rsid w:val="00F41E81"/>
    <w:rsid w:val="00F539CA"/>
    <w:rsid w:val="00F577A7"/>
    <w:rsid w:val="00F63D60"/>
    <w:rsid w:val="00F76419"/>
    <w:rsid w:val="00F81B65"/>
    <w:rsid w:val="00F85BA5"/>
    <w:rsid w:val="00F9232C"/>
    <w:rsid w:val="00F96B80"/>
    <w:rsid w:val="00FB6476"/>
    <w:rsid w:val="00FD688B"/>
    <w:rsid w:val="00FD74AA"/>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Arial"/>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3179"/>
    <w:pPr>
      <w:ind w:left="720"/>
      <w:contextualSpacing/>
    </w:pPr>
  </w:style>
  <w:style w:type="character" w:styleId="Hyperlink">
    <w:name w:val="Hyperlink"/>
    <w:uiPriority w:val="99"/>
    <w:unhideWhenUsed/>
    <w:rsid w:val="00513BF2"/>
    <w:rPr>
      <w:color w:val="0000FF"/>
      <w:u w:val="single"/>
    </w:rPr>
  </w:style>
  <w:style w:type="paragraph" w:styleId="Footer">
    <w:name w:val="footer"/>
    <w:basedOn w:val="Normal"/>
    <w:link w:val="FooterChar"/>
    <w:uiPriority w:val="99"/>
    <w:unhideWhenUsed/>
    <w:rsid w:val="00513BF2"/>
    <w:pPr>
      <w:tabs>
        <w:tab w:val="center" w:pos="4513"/>
        <w:tab w:val="right" w:pos="9026"/>
      </w:tabs>
      <w:spacing w:after="0" w:line="240" w:lineRule="auto"/>
    </w:pPr>
    <w:rPr>
      <w:rFonts w:eastAsia="SimSun"/>
      <w:lang w:eastAsia="zh-CN"/>
    </w:rPr>
  </w:style>
  <w:style w:type="character" w:customStyle="1" w:styleId="FooterChar">
    <w:name w:val="Footer Char"/>
    <w:link w:val="Footer"/>
    <w:uiPriority w:val="99"/>
    <w:rsid w:val="00513BF2"/>
    <w:rPr>
      <w:rFonts w:eastAsia="SimSun"/>
      <w:lang w:eastAsia="zh-CN"/>
    </w:rPr>
  </w:style>
  <w:style w:type="table" w:styleId="TableGrid">
    <w:name w:val="Table Grid"/>
    <w:basedOn w:val="TableNormal"/>
    <w:uiPriority w:val="59"/>
    <w:rsid w:val="00513BF2"/>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13BF2"/>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513BF2"/>
    <w:rPr>
      <w:rFonts w:ascii="Tahoma" w:hAnsi="Tahoma" w:cs="Tahoma"/>
      <w:sz w:val="16"/>
      <w:szCs w:val="16"/>
    </w:rPr>
  </w:style>
  <w:style w:type="character" w:styleId="FollowedHyperlink">
    <w:name w:val="FollowedHyperlink"/>
    <w:uiPriority w:val="99"/>
    <w:semiHidden/>
    <w:unhideWhenUsed/>
    <w:rsid w:val="00513BF2"/>
    <w:rPr>
      <w:color w:val="800080"/>
      <w:u w:val="single"/>
    </w:rPr>
  </w:style>
  <w:style w:type="character" w:styleId="CommentReference">
    <w:name w:val="annotation reference"/>
    <w:uiPriority w:val="99"/>
    <w:semiHidden/>
    <w:unhideWhenUsed/>
    <w:rsid w:val="00C67C9D"/>
    <w:rPr>
      <w:sz w:val="16"/>
      <w:szCs w:val="16"/>
    </w:rPr>
  </w:style>
  <w:style w:type="paragraph" w:styleId="CommentText">
    <w:name w:val="annotation text"/>
    <w:basedOn w:val="Normal"/>
    <w:link w:val="CommentTextChar"/>
    <w:uiPriority w:val="99"/>
    <w:semiHidden/>
    <w:unhideWhenUsed/>
    <w:rsid w:val="00C67C9D"/>
    <w:pPr>
      <w:spacing w:line="240" w:lineRule="auto"/>
    </w:pPr>
    <w:rPr>
      <w:sz w:val="20"/>
      <w:szCs w:val="20"/>
    </w:rPr>
  </w:style>
  <w:style w:type="character" w:customStyle="1" w:styleId="CommentTextChar">
    <w:name w:val="Comment Text Char"/>
    <w:link w:val="CommentText"/>
    <w:uiPriority w:val="99"/>
    <w:semiHidden/>
    <w:rsid w:val="00C67C9D"/>
    <w:rPr>
      <w:sz w:val="20"/>
      <w:szCs w:val="20"/>
    </w:rPr>
  </w:style>
  <w:style w:type="paragraph" w:styleId="CommentSubject">
    <w:name w:val="annotation subject"/>
    <w:basedOn w:val="CommentText"/>
    <w:next w:val="CommentText"/>
    <w:link w:val="CommentSubjectChar"/>
    <w:uiPriority w:val="99"/>
    <w:semiHidden/>
    <w:unhideWhenUsed/>
    <w:rsid w:val="00C67C9D"/>
    <w:rPr>
      <w:b/>
      <w:bCs/>
    </w:rPr>
  </w:style>
  <w:style w:type="character" w:customStyle="1" w:styleId="CommentSubjectChar">
    <w:name w:val="Comment Subject Char"/>
    <w:link w:val="CommentSubject"/>
    <w:uiPriority w:val="99"/>
    <w:semiHidden/>
    <w:rsid w:val="00C67C9D"/>
    <w:rPr>
      <w:b/>
      <w:bCs/>
      <w:sz w:val="20"/>
      <w:szCs w:val="20"/>
    </w:rPr>
  </w:style>
  <w:style w:type="paragraph" w:styleId="Header">
    <w:name w:val="header"/>
    <w:basedOn w:val="Normal"/>
    <w:link w:val="HeaderChar"/>
    <w:uiPriority w:val="99"/>
    <w:unhideWhenUsed/>
    <w:rsid w:val="005B6B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B6B29"/>
  </w:style>
  <w:style w:type="paragraph" w:styleId="FootnoteText">
    <w:name w:val="footnote text"/>
    <w:basedOn w:val="Normal"/>
    <w:link w:val="FootnoteTextChar"/>
    <w:uiPriority w:val="99"/>
    <w:semiHidden/>
    <w:unhideWhenUsed/>
    <w:rsid w:val="00F1695C"/>
    <w:pPr>
      <w:spacing w:after="0" w:line="240" w:lineRule="auto"/>
    </w:pPr>
    <w:rPr>
      <w:sz w:val="20"/>
      <w:szCs w:val="20"/>
    </w:rPr>
  </w:style>
  <w:style w:type="character" w:customStyle="1" w:styleId="FootnoteTextChar">
    <w:name w:val="Footnote Text Char"/>
    <w:link w:val="FootnoteText"/>
    <w:uiPriority w:val="99"/>
    <w:semiHidden/>
    <w:rsid w:val="00F1695C"/>
    <w:rPr>
      <w:sz w:val="20"/>
      <w:szCs w:val="20"/>
    </w:rPr>
  </w:style>
  <w:style w:type="character" w:styleId="FootnoteReference">
    <w:name w:val="footnote reference"/>
    <w:uiPriority w:val="99"/>
    <w:semiHidden/>
    <w:unhideWhenUsed/>
    <w:rsid w:val="00F1695C"/>
    <w:rPr>
      <w:vertAlign w:val="superscript"/>
    </w:rPr>
  </w:style>
  <w:style w:type="paragraph" w:styleId="Caption">
    <w:name w:val="caption"/>
    <w:basedOn w:val="Normal"/>
    <w:next w:val="Normal"/>
    <w:uiPriority w:val="35"/>
    <w:unhideWhenUsed/>
    <w:qFormat/>
    <w:rsid w:val="00F01C3B"/>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Arial"/>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3179"/>
    <w:pPr>
      <w:ind w:left="720"/>
      <w:contextualSpacing/>
    </w:pPr>
  </w:style>
  <w:style w:type="character" w:styleId="Hyperlink">
    <w:name w:val="Hyperlink"/>
    <w:uiPriority w:val="99"/>
    <w:unhideWhenUsed/>
    <w:rsid w:val="00513BF2"/>
    <w:rPr>
      <w:color w:val="0000FF"/>
      <w:u w:val="single"/>
    </w:rPr>
  </w:style>
  <w:style w:type="paragraph" w:styleId="Footer">
    <w:name w:val="footer"/>
    <w:basedOn w:val="Normal"/>
    <w:link w:val="FooterChar"/>
    <w:uiPriority w:val="99"/>
    <w:unhideWhenUsed/>
    <w:rsid w:val="00513BF2"/>
    <w:pPr>
      <w:tabs>
        <w:tab w:val="center" w:pos="4513"/>
        <w:tab w:val="right" w:pos="9026"/>
      </w:tabs>
      <w:spacing w:after="0" w:line="240" w:lineRule="auto"/>
    </w:pPr>
    <w:rPr>
      <w:rFonts w:eastAsia="SimSun"/>
      <w:lang w:eastAsia="zh-CN"/>
    </w:rPr>
  </w:style>
  <w:style w:type="character" w:customStyle="1" w:styleId="FooterChar">
    <w:name w:val="Footer Char"/>
    <w:link w:val="Footer"/>
    <w:uiPriority w:val="99"/>
    <w:rsid w:val="00513BF2"/>
    <w:rPr>
      <w:rFonts w:eastAsia="SimSun"/>
      <w:lang w:eastAsia="zh-CN"/>
    </w:rPr>
  </w:style>
  <w:style w:type="table" w:styleId="TableGrid">
    <w:name w:val="Table Grid"/>
    <w:basedOn w:val="TableNormal"/>
    <w:uiPriority w:val="59"/>
    <w:rsid w:val="00513BF2"/>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13BF2"/>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513BF2"/>
    <w:rPr>
      <w:rFonts w:ascii="Tahoma" w:hAnsi="Tahoma" w:cs="Tahoma"/>
      <w:sz w:val="16"/>
      <w:szCs w:val="16"/>
    </w:rPr>
  </w:style>
  <w:style w:type="character" w:styleId="FollowedHyperlink">
    <w:name w:val="FollowedHyperlink"/>
    <w:uiPriority w:val="99"/>
    <w:semiHidden/>
    <w:unhideWhenUsed/>
    <w:rsid w:val="00513BF2"/>
    <w:rPr>
      <w:color w:val="800080"/>
      <w:u w:val="single"/>
    </w:rPr>
  </w:style>
  <w:style w:type="character" w:styleId="CommentReference">
    <w:name w:val="annotation reference"/>
    <w:uiPriority w:val="99"/>
    <w:semiHidden/>
    <w:unhideWhenUsed/>
    <w:rsid w:val="00C67C9D"/>
    <w:rPr>
      <w:sz w:val="16"/>
      <w:szCs w:val="16"/>
    </w:rPr>
  </w:style>
  <w:style w:type="paragraph" w:styleId="CommentText">
    <w:name w:val="annotation text"/>
    <w:basedOn w:val="Normal"/>
    <w:link w:val="CommentTextChar"/>
    <w:uiPriority w:val="99"/>
    <w:semiHidden/>
    <w:unhideWhenUsed/>
    <w:rsid w:val="00C67C9D"/>
    <w:pPr>
      <w:spacing w:line="240" w:lineRule="auto"/>
    </w:pPr>
    <w:rPr>
      <w:sz w:val="20"/>
      <w:szCs w:val="20"/>
    </w:rPr>
  </w:style>
  <w:style w:type="character" w:customStyle="1" w:styleId="CommentTextChar">
    <w:name w:val="Comment Text Char"/>
    <w:link w:val="CommentText"/>
    <w:uiPriority w:val="99"/>
    <w:semiHidden/>
    <w:rsid w:val="00C67C9D"/>
    <w:rPr>
      <w:sz w:val="20"/>
      <w:szCs w:val="20"/>
    </w:rPr>
  </w:style>
  <w:style w:type="paragraph" w:styleId="CommentSubject">
    <w:name w:val="annotation subject"/>
    <w:basedOn w:val="CommentText"/>
    <w:next w:val="CommentText"/>
    <w:link w:val="CommentSubjectChar"/>
    <w:uiPriority w:val="99"/>
    <w:semiHidden/>
    <w:unhideWhenUsed/>
    <w:rsid w:val="00C67C9D"/>
    <w:rPr>
      <w:b/>
      <w:bCs/>
    </w:rPr>
  </w:style>
  <w:style w:type="character" w:customStyle="1" w:styleId="CommentSubjectChar">
    <w:name w:val="Comment Subject Char"/>
    <w:link w:val="CommentSubject"/>
    <w:uiPriority w:val="99"/>
    <w:semiHidden/>
    <w:rsid w:val="00C67C9D"/>
    <w:rPr>
      <w:b/>
      <w:bCs/>
      <w:sz w:val="20"/>
      <w:szCs w:val="20"/>
    </w:rPr>
  </w:style>
  <w:style w:type="paragraph" w:styleId="Header">
    <w:name w:val="header"/>
    <w:basedOn w:val="Normal"/>
    <w:link w:val="HeaderChar"/>
    <w:uiPriority w:val="99"/>
    <w:unhideWhenUsed/>
    <w:rsid w:val="005B6B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B6B29"/>
  </w:style>
  <w:style w:type="paragraph" w:styleId="FootnoteText">
    <w:name w:val="footnote text"/>
    <w:basedOn w:val="Normal"/>
    <w:link w:val="FootnoteTextChar"/>
    <w:uiPriority w:val="99"/>
    <w:semiHidden/>
    <w:unhideWhenUsed/>
    <w:rsid w:val="00F1695C"/>
    <w:pPr>
      <w:spacing w:after="0" w:line="240" w:lineRule="auto"/>
    </w:pPr>
    <w:rPr>
      <w:sz w:val="20"/>
      <w:szCs w:val="20"/>
    </w:rPr>
  </w:style>
  <w:style w:type="character" w:customStyle="1" w:styleId="FootnoteTextChar">
    <w:name w:val="Footnote Text Char"/>
    <w:link w:val="FootnoteText"/>
    <w:uiPriority w:val="99"/>
    <w:semiHidden/>
    <w:rsid w:val="00F1695C"/>
    <w:rPr>
      <w:sz w:val="20"/>
      <w:szCs w:val="20"/>
    </w:rPr>
  </w:style>
  <w:style w:type="character" w:styleId="FootnoteReference">
    <w:name w:val="footnote reference"/>
    <w:uiPriority w:val="99"/>
    <w:semiHidden/>
    <w:unhideWhenUsed/>
    <w:rsid w:val="00F1695C"/>
    <w:rPr>
      <w:vertAlign w:val="superscript"/>
    </w:rPr>
  </w:style>
  <w:style w:type="paragraph" w:styleId="Caption">
    <w:name w:val="caption"/>
    <w:basedOn w:val="Normal"/>
    <w:next w:val="Normal"/>
    <w:uiPriority w:val="35"/>
    <w:unhideWhenUsed/>
    <w:qFormat/>
    <w:rsid w:val="00F01C3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9553530">
      <w:bodyDiv w:val="1"/>
      <w:marLeft w:val="0"/>
      <w:marRight w:val="0"/>
      <w:marTop w:val="0"/>
      <w:marBottom w:val="0"/>
      <w:divBdr>
        <w:top w:val="none" w:sz="0" w:space="0" w:color="auto"/>
        <w:left w:val="none" w:sz="0" w:space="0" w:color="auto"/>
        <w:bottom w:val="none" w:sz="0" w:space="0" w:color="auto"/>
        <w:right w:val="none" w:sz="0" w:space="0" w:color="auto"/>
      </w:divBdr>
    </w:div>
    <w:div w:id="479274181">
      <w:bodyDiv w:val="1"/>
      <w:marLeft w:val="0"/>
      <w:marRight w:val="0"/>
      <w:marTop w:val="0"/>
      <w:marBottom w:val="0"/>
      <w:divBdr>
        <w:top w:val="none" w:sz="0" w:space="0" w:color="auto"/>
        <w:left w:val="none" w:sz="0" w:space="0" w:color="auto"/>
        <w:bottom w:val="none" w:sz="0" w:space="0" w:color="auto"/>
        <w:right w:val="none" w:sz="0" w:space="0" w:color="auto"/>
      </w:divBdr>
    </w:div>
    <w:div w:id="555971470">
      <w:bodyDiv w:val="1"/>
      <w:marLeft w:val="0"/>
      <w:marRight w:val="0"/>
      <w:marTop w:val="0"/>
      <w:marBottom w:val="0"/>
      <w:divBdr>
        <w:top w:val="none" w:sz="0" w:space="0" w:color="auto"/>
        <w:left w:val="none" w:sz="0" w:space="0" w:color="auto"/>
        <w:bottom w:val="none" w:sz="0" w:space="0" w:color="auto"/>
        <w:right w:val="none" w:sz="0" w:space="0" w:color="auto"/>
      </w:divBdr>
      <w:divsChild>
        <w:div w:id="1290817122">
          <w:marLeft w:val="806"/>
          <w:marRight w:val="0"/>
          <w:marTop w:val="86"/>
          <w:marBottom w:val="0"/>
          <w:divBdr>
            <w:top w:val="none" w:sz="0" w:space="0" w:color="auto"/>
            <w:left w:val="none" w:sz="0" w:space="0" w:color="auto"/>
            <w:bottom w:val="none" w:sz="0" w:space="0" w:color="auto"/>
            <w:right w:val="none" w:sz="0" w:space="0" w:color="auto"/>
          </w:divBdr>
        </w:div>
      </w:divsChild>
    </w:div>
    <w:div w:id="599725068">
      <w:bodyDiv w:val="1"/>
      <w:marLeft w:val="0"/>
      <w:marRight w:val="0"/>
      <w:marTop w:val="0"/>
      <w:marBottom w:val="0"/>
      <w:divBdr>
        <w:top w:val="none" w:sz="0" w:space="0" w:color="auto"/>
        <w:left w:val="none" w:sz="0" w:space="0" w:color="auto"/>
        <w:bottom w:val="none" w:sz="0" w:space="0" w:color="auto"/>
        <w:right w:val="none" w:sz="0" w:space="0" w:color="auto"/>
      </w:divBdr>
      <w:divsChild>
        <w:div w:id="224100292">
          <w:marLeft w:val="0"/>
          <w:marRight w:val="0"/>
          <w:marTop w:val="0"/>
          <w:marBottom w:val="0"/>
          <w:divBdr>
            <w:top w:val="none" w:sz="0" w:space="0" w:color="auto"/>
            <w:left w:val="none" w:sz="0" w:space="0" w:color="auto"/>
            <w:bottom w:val="none" w:sz="0" w:space="0" w:color="auto"/>
            <w:right w:val="none" w:sz="0" w:space="0" w:color="auto"/>
          </w:divBdr>
        </w:div>
        <w:div w:id="287786343">
          <w:marLeft w:val="0"/>
          <w:marRight w:val="0"/>
          <w:marTop w:val="0"/>
          <w:marBottom w:val="0"/>
          <w:divBdr>
            <w:top w:val="none" w:sz="0" w:space="0" w:color="auto"/>
            <w:left w:val="none" w:sz="0" w:space="0" w:color="auto"/>
            <w:bottom w:val="none" w:sz="0" w:space="0" w:color="auto"/>
            <w:right w:val="none" w:sz="0" w:space="0" w:color="auto"/>
          </w:divBdr>
        </w:div>
        <w:div w:id="345906336">
          <w:marLeft w:val="0"/>
          <w:marRight w:val="0"/>
          <w:marTop w:val="0"/>
          <w:marBottom w:val="0"/>
          <w:divBdr>
            <w:top w:val="none" w:sz="0" w:space="0" w:color="auto"/>
            <w:left w:val="none" w:sz="0" w:space="0" w:color="auto"/>
            <w:bottom w:val="none" w:sz="0" w:space="0" w:color="auto"/>
            <w:right w:val="none" w:sz="0" w:space="0" w:color="auto"/>
          </w:divBdr>
        </w:div>
        <w:div w:id="424228582">
          <w:marLeft w:val="0"/>
          <w:marRight w:val="0"/>
          <w:marTop w:val="0"/>
          <w:marBottom w:val="0"/>
          <w:divBdr>
            <w:top w:val="none" w:sz="0" w:space="0" w:color="auto"/>
            <w:left w:val="none" w:sz="0" w:space="0" w:color="auto"/>
            <w:bottom w:val="none" w:sz="0" w:space="0" w:color="auto"/>
            <w:right w:val="none" w:sz="0" w:space="0" w:color="auto"/>
          </w:divBdr>
        </w:div>
        <w:div w:id="764106792">
          <w:marLeft w:val="0"/>
          <w:marRight w:val="0"/>
          <w:marTop w:val="0"/>
          <w:marBottom w:val="0"/>
          <w:divBdr>
            <w:top w:val="none" w:sz="0" w:space="0" w:color="auto"/>
            <w:left w:val="none" w:sz="0" w:space="0" w:color="auto"/>
            <w:bottom w:val="none" w:sz="0" w:space="0" w:color="auto"/>
            <w:right w:val="none" w:sz="0" w:space="0" w:color="auto"/>
          </w:divBdr>
        </w:div>
        <w:div w:id="988099662">
          <w:marLeft w:val="0"/>
          <w:marRight w:val="0"/>
          <w:marTop w:val="0"/>
          <w:marBottom w:val="0"/>
          <w:divBdr>
            <w:top w:val="none" w:sz="0" w:space="0" w:color="auto"/>
            <w:left w:val="none" w:sz="0" w:space="0" w:color="auto"/>
            <w:bottom w:val="none" w:sz="0" w:space="0" w:color="auto"/>
            <w:right w:val="none" w:sz="0" w:space="0" w:color="auto"/>
          </w:divBdr>
        </w:div>
        <w:div w:id="1054112521">
          <w:marLeft w:val="0"/>
          <w:marRight w:val="0"/>
          <w:marTop w:val="0"/>
          <w:marBottom w:val="0"/>
          <w:divBdr>
            <w:top w:val="none" w:sz="0" w:space="0" w:color="auto"/>
            <w:left w:val="none" w:sz="0" w:space="0" w:color="auto"/>
            <w:bottom w:val="none" w:sz="0" w:space="0" w:color="auto"/>
            <w:right w:val="none" w:sz="0" w:space="0" w:color="auto"/>
          </w:divBdr>
        </w:div>
        <w:div w:id="1193763961">
          <w:marLeft w:val="0"/>
          <w:marRight w:val="0"/>
          <w:marTop w:val="0"/>
          <w:marBottom w:val="0"/>
          <w:divBdr>
            <w:top w:val="none" w:sz="0" w:space="0" w:color="auto"/>
            <w:left w:val="none" w:sz="0" w:space="0" w:color="auto"/>
            <w:bottom w:val="none" w:sz="0" w:space="0" w:color="auto"/>
            <w:right w:val="none" w:sz="0" w:space="0" w:color="auto"/>
          </w:divBdr>
        </w:div>
      </w:divsChild>
    </w:div>
    <w:div w:id="675498362">
      <w:bodyDiv w:val="1"/>
      <w:marLeft w:val="0"/>
      <w:marRight w:val="0"/>
      <w:marTop w:val="0"/>
      <w:marBottom w:val="0"/>
      <w:divBdr>
        <w:top w:val="none" w:sz="0" w:space="0" w:color="auto"/>
        <w:left w:val="none" w:sz="0" w:space="0" w:color="auto"/>
        <w:bottom w:val="none" w:sz="0" w:space="0" w:color="auto"/>
        <w:right w:val="none" w:sz="0" w:space="0" w:color="auto"/>
      </w:divBdr>
      <w:divsChild>
        <w:div w:id="1681589683">
          <w:marLeft w:val="806"/>
          <w:marRight w:val="0"/>
          <w:marTop w:val="72"/>
          <w:marBottom w:val="0"/>
          <w:divBdr>
            <w:top w:val="none" w:sz="0" w:space="0" w:color="auto"/>
            <w:left w:val="none" w:sz="0" w:space="0" w:color="auto"/>
            <w:bottom w:val="none" w:sz="0" w:space="0" w:color="auto"/>
            <w:right w:val="none" w:sz="0" w:space="0" w:color="auto"/>
          </w:divBdr>
        </w:div>
      </w:divsChild>
    </w:div>
    <w:div w:id="794712550">
      <w:bodyDiv w:val="1"/>
      <w:marLeft w:val="0"/>
      <w:marRight w:val="0"/>
      <w:marTop w:val="0"/>
      <w:marBottom w:val="0"/>
      <w:divBdr>
        <w:top w:val="none" w:sz="0" w:space="0" w:color="auto"/>
        <w:left w:val="none" w:sz="0" w:space="0" w:color="auto"/>
        <w:bottom w:val="none" w:sz="0" w:space="0" w:color="auto"/>
        <w:right w:val="none" w:sz="0" w:space="0" w:color="auto"/>
      </w:divBdr>
      <w:divsChild>
        <w:div w:id="67962385">
          <w:marLeft w:val="1440"/>
          <w:marRight w:val="0"/>
          <w:marTop w:val="67"/>
          <w:marBottom w:val="0"/>
          <w:divBdr>
            <w:top w:val="none" w:sz="0" w:space="0" w:color="auto"/>
            <w:left w:val="none" w:sz="0" w:space="0" w:color="auto"/>
            <w:bottom w:val="none" w:sz="0" w:space="0" w:color="auto"/>
            <w:right w:val="none" w:sz="0" w:space="0" w:color="auto"/>
          </w:divBdr>
        </w:div>
        <w:div w:id="170728940">
          <w:marLeft w:val="1440"/>
          <w:marRight w:val="0"/>
          <w:marTop w:val="67"/>
          <w:marBottom w:val="0"/>
          <w:divBdr>
            <w:top w:val="none" w:sz="0" w:space="0" w:color="auto"/>
            <w:left w:val="none" w:sz="0" w:space="0" w:color="auto"/>
            <w:bottom w:val="none" w:sz="0" w:space="0" w:color="auto"/>
            <w:right w:val="none" w:sz="0" w:space="0" w:color="auto"/>
          </w:divBdr>
        </w:div>
        <w:div w:id="422722681">
          <w:marLeft w:val="1800"/>
          <w:marRight w:val="0"/>
          <w:marTop w:val="48"/>
          <w:marBottom w:val="0"/>
          <w:divBdr>
            <w:top w:val="none" w:sz="0" w:space="0" w:color="auto"/>
            <w:left w:val="none" w:sz="0" w:space="0" w:color="auto"/>
            <w:bottom w:val="none" w:sz="0" w:space="0" w:color="auto"/>
            <w:right w:val="none" w:sz="0" w:space="0" w:color="auto"/>
          </w:divBdr>
        </w:div>
        <w:div w:id="537400086">
          <w:marLeft w:val="806"/>
          <w:marRight w:val="0"/>
          <w:marTop w:val="72"/>
          <w:marBottom w:val="0"/>
          <w:divBdr>
            <w:top w:val="none" w:sz="0" w:space="0" w:color="auto"/>
            <w:left w:val="none" w:sz="0" w:space="0" w:color="auto"/>
            <w:bottom w:val="none" w:sz="0" w:space="0" w:color="auto"/>
            <w:right w:val="none" w:sz="0" w:space="0" w:color="auto"/>
          </w:divBdr>
        </w:div>
        <w:div w:id="656344529">
          <w:marLeft w:val="1800"/>
          <w:marRight w:val="0"/>
          <w:marTop w:val="48"/>
          <w:marBottom w:val="0"/>
          <w:divBdr>
            <w:top w:val="none" w:sz="0" w:space="0" w:color="auto"/>
            <w:left w:val="none" w:sz="0" w:space="0" w:color="auto"/>
            <w:bottom w:val="none" w:sz="0" w:space="0" w:color="auto"/>
            <w:right w:val="none" w:sz="0" w:space="0" w:color="auto"/>
          </w:divBdr>
        </w:div>
        <w:div w:id="903029954">
          <w:marLeft w:val="1440"/>
          <w:marRight w:val="0"/>
          <w:marTop w:val="67"/>
          <w:marBottom w:val="0"/>
          <w:divBdr>
            <w:top w:val="none" w:sz="0" w:space="0" w:color="auto"/>
            <w:left w:val="none" w:sz="0" w:space="0" w:color="auto"/>
            <w:bottom w:val="none" w:sz="0" w:space="0" w:color="auto"/>
            <w:right w:val="none" w:sz="0" w:space="0" w:color="auto"/>
          </w:divBdr>
        </w:div>
        <w:div w:id="1098331056">
          <w:marLeft w:val="1440"/>
          <w:marRight w:val="0"/>
          <w:marTop w:val="67"/>
          <w:marBottom w:val="0"/>
          <w:divBdr>
            <w:top w:val="none" w:sz="0" w:space="0" w:color="auto"/>
            <w:left w:val="none" w:sz="0" w:space="0" w:color="auto"/>
            <w:bottom w:val="none" w:sz="0" w:space="0" w:color="auto"/>
            <w:right w:val="none" w:sz="0" w:space="0" w:color="auto"/>
          </w:divBdr>
        </w:div>
        <w:div w:id="1137256038">
          <w:marLeft w:val="1440"/>
          <w:marRight w:val="0"/>
          <w:marTop w:val="67"/>
          <w:marBottom w:val="0"/>
          <w:divBdr>
            <w:top w:val="none" w:sz="0" w:space="0" w:color="auto"/>
            <w:left w:val="none" w:sz="0" w:space="0" w:color="auto"/>
            <w:bottom w:val="none" w:sz="0" w:space="0" w:color="auto"/>
            <w:right w:val="none" w:sz="0" w:space="0" w:color="auto"/>
          </w:divBdr>
        </w:div>
        <w:div w:id="1356351019">
          <w:marLeft w:val="806"/>
          <w:marRight w:val="0"/>
          <w:marTop w:val="72"/>
          <w:marBottom w:val="0"/>
          <w:divBdr>
            <w:top w:val="none" w:sz="0" w:space="0" w:color="auto"/>
            <w:left w:val="none" w:sz="0" w:space="0" w:color="auto"/>
            <w:bottom w:val="none" w:sz="0" w:space="0" w:color="auto"/>
            <w:right w:val="none" w:sz="0" w:space="0" w:color="auto"/>
          </w:divBdr>
        </w:div>
        <w:div w:id="1544249065">
          <w:marLeft w:val="1440"/>
          <w:marRight w:val="0"/>
          <w:marTop w:val="67"/>
          <w:marBottom w:val="0"/>
          <w:divBdr>
            <w:top w:val="none" w:sz="0" w:space="0" w:color="auto"/>
            <w:left w:val="none" w:sz="0" w:space="0" w:color="auto"/>
            <w:bottom w:val="none" w:sz="0" w:space="0" w:color="auto"/>
            <w:right w:val="none" w:sz="0" w:space="0" w:color="auto"/>
          </w:divBdr>
        </w:div>
        <w:div w:id="1708874776">
          <w:marLeft w:val="1166"/>
          <w:marRight w:val="0"/>
          <w:marTop w:val="58"/>
          <w:marBottom w:val="0"/>
          <w:divBdr>
            <w:top w:val="none" w:sz="0" w:space="0" w:color="auto"/>
            <w:left w:val="none" w:sz="0" w:space="0" w:color="auto"/>
            <w:bottom w:val="none" w:sz="0" w:space="0" w:color="auto"/>
            <w:right w:val="none" w:sz="0" w:space="0" w:color="auto"/>
          </w:divBdr>
        </w:div>
        <w:div w:id="1718311960">
          <w:marLeft w:val="1440"/>
          <w:marRight w:val="0"/>
          <w:marTop w:val="67"/>
          <w:marBottom w:val="0"/>
          <w:divBdr>
            <w:top w:val="none" w:sz="0" w:space="0" w:color="auto"/>
            <w:left w:val="none" w:sz="0" w:space="0" w:color="auto"/>
            <w:bottom w:val="none" w:sz="0" w:space="0" w:color="auto"/>
            <w:right w:val="none" w:sz="0" w:space="0" w:color="auto"/>
          </w:divBdr>
        </w:div>
        <w:div w:id="1796099052">
          <w:marLeft w:val="1440"/>
          <w:marRight w:val="0"/>
          <w:marTop w:val="67"/>
          <w:marBottom w:val="0"/>
          <w:divBdr>
            <w:top w:val="none" w:sz="0" w:space="0" w:color="auto"/>
            <w:left w:val="none" w:sz="0" w:space="0" w:color="auto"/>
            <w:bottom w:val="none" w:sz="0" w:space="0" w:color="auto"/>
            <w:right w:val="none" w:sz="0" w:space="0" w:color="auto"/>
          </w:divBdr>
        </w:div>
        <w:div w:id="1819572505">
          <w:marLeft w:val="1440"/>
          <w:marRight w:val="0"/>
          <w:marTop w:val="67"/>
          <w:marBottom w:val="0"/>
          <w:divBdr>
            <w:top w:val="none" w:sz="0" w:space="0" w:color="auto"/>
            <w:left w:val="none" w:sz="0" w:space="0" w:color="auto"/>
            <w:bottom w:val="none" w:sz="0" w:space="0" w:color="auto"/>
            <w:right w:val="none" w:sz="0" w:space="0" w:color="auto"/>
          </w:divBdr>
        </w:div>
        <w:div w:id="1991013543">
          <w:marLeft w:val="806"/>
          <w:marRight w:val="0"/>
          <w:marTop w:val="72"/>
          <w:marBottom w:val="0"/>
          <w:divBdr>
            <w:top w:val="none" w:sz="0" w:space="0" w:color="auto"/>
            <w:left w:val="none" w:sz="0" w:space="0" w:color="auto"/>
            <w:bottom w:val="none" w:sz="0" w:space="0" w:color="auto"/>
            <w:right w:val="none" w:sz="0" w:space="0" w:color="auto"/>
          </w:divBdr>
        </w:div>
      </w:divsChild>
    </w:div>
    <w:div w:id="913247913">
      <w:bodyDiv w:val="1"/>
      <w:marLeft w:val="0"/>
      <w:marRight w:val="0"/>
      <w:marTop w:val="0"/>
      <w:marBottom w:val="0"/>
      <w:divBdr>
        <w:top w:val="none" w:sz="0" w:space="0" w:color="auto"/>
        <w:left w:val="none" w:sz="0" w:space="0" w:color="auto"/>
        <w:bottom w:val="none" w:sz="0" w:space="0" w:color="auto"/>
        <w:right w:val="none" w:sz="0" w:space="0" w:color="auto"/>
      </w:divBdr>
    </w:div>
    <w:div w:id="1025712083">
      <w:bodyDiv w:val="1"/>
      <w:marLeft w:val="0"/>
      <w:marRight w:val="0"/>
      <w:marTop w:val="0"/>
      <w:marBottom w:val="0"/>
      <w:divBdr>
        <w:top w:val="none" w:sz="0" w:space="0" w:color="auto"/>
        <w:left w:val="none" w:sz="0" w:space="0" w:color="auto"/>
        <w:bottom w:val="none" w:sz="0" w:space="0" w:color="auto"/>
        <w:right w:val="none" w:sz="0" w:space="0" w:color="auto"/>
      </w:divBdr>
    </w:div>
    <w:div w:id="1199659044">
      <w:bodyDiv w:val="1"/>
      <w:marLeft w:val="0"/>
      <w:marRight w:val="0"/>
      <w:marTop w:val="0"/>
      <w:marBottom w:val="0"/>
      <w:divBdr>
        <w:top w:val="none" w:sz="0" w:space="0" w:color="auto"/>
        <w:left w:val="none" w:sz="0" w:space="0" w:color="auto"/>
        <w:bottom w:val="none" w:sz="0" w:space="0" w:color="auto"/>
        <w:right w:val="none" w:sz="0" w:space="0" w:color="auto"/>
      </w:divBdr>
      <w:divsChild>
        <w:div w:id="1955867629">
          <w:marLeft w:val="806"/>
          <w:marRight w:val="0"/>
          <w:marTop w:val="86"/>
          <w:marBottom w:val="0"/>
          <w:divBdr>
            <w:top w:val="none" w:sz="0" w:space="0" w:color="auto"/>
            <w:left w:val="none" w:sz="0" w:space="0" w:color="auto"/>
            <w:bottom w:val="none" w:sz="0" w:space="0" w:color="auto"/>
            <w:right w:val="none" w:sz="0" w:space="0" w:color="auto"/>
          </w:divBdr>
        </w:div>
      </w:divsChild>
    </w:div>
    <w:div w:id="1262033174">
      <w:bodyDiv w:val="1"/>
      <w:marLeft w:val="0"/>
      <w:marRight w:val="0"/>
      <w:marTop w:val="0"/>
      <w:marBottom w:val="0"/>
      <w:divBdr>
        <w:top w:val="none" w:sz="0" w:space="0" w:color="auto"/>
        <w:left w:val="none" w:sz="0" w:space="0" w:color="auto"/>
        <w:bottom w:val="none" w:sz="0" w:space="0" w:color="auto"/>
        <w:right w:val="none" w:sz="0" w:space="0" w:color="auto"/>
      </w:divBdr>
      <w:divsChild>
        <w:div w:id="1593852598">
          <w:marLeft w:val="806"/>
          <w:marRight w:val="0"/>
          <w:marTop w:val="86"/>
          <w:marBottom w:val="0"/>
          <w:divBdr>
            <w:top w:val="none" w:sz="0" w:space="0" w:color="auto"/>
            <w:left w:val="none" w:sz="0" w:space="0" w:color="auto"/>
            <w:bottom w:val="none" w:sz="0" w:space="0" w:color="auto"/>
            <w:right w:val="none" w:sz="0" w:space="0" w:color="auto"/>
          </w:divBdr>
        </w:div>
      </w:divsChild>
    </w:div>
    <w:div w:id="1484076944">
      <w:bodyDiv w:val="1"/>
      <w:marLeft w:val="0"/>
      <w:marRight w:val="0"/>
      <w:marTop w:val="0"/>
      <w:marBottom w:val="0"/>
      <w:divBdr>
        <w:top w:val="none" w:sz="0" w:space="0" w:color="auto"/>
        <w:left w:val="none" w:sz="0" w:space="0" w:color="auto"/>
        <w:bottom w:val="none" w:sz="0" w:space="0" w:color="auto"/>
        <w:right w:val="none" w:sz="0" w:space="0" w:color="auto"/>
      </w:divBdr>
      <w:divsChild>
        <w:div w:id="406656945">
          <w:marLeft w:val="0"/>
          <w:marRight w:val="0"/>
          <w:marTop w:val="0"/>
          <w:marBottom w:val="0"/>
          <w:divBdr>
            <w:top w:val="none" w:sz="0" w:space="0" w:color="auto"/>
            <w:left w:val="none" w:sz="0" w:space="0" w:color="auto"/>
            <w:bottom w:val="none" w:sz="0" w:space="0" w:color="auto"/>
            <w:right w:val="none" w:sz="0" w:space="0" w:color="auto"/>
          </w:divBdr>
        </w:div>
        <w:div w:id="1775131186">
          <w:marLeft w:val="0"/>
          <w:marRight w:val="0"/>
          <w:marTop w:val="0"/>
          <w:marBottom w:val="0"/>
          <w:divBdr>
            <w:top w:val="none" w:sz="0" w:space="0" w:color="auto"/>
            <w:left w:val="none" w:sz="0" w:space="0" w:color="auto"/>
            <w:bottom w:val="none" w:sz="0" w:space="0" w:color="auto"/>
            <w:right w:val="none" w:sz="0" w:space="0" w:color="auto"/>
          </w:divBdr>
        </w:div>
      </w:divsChild>
    </w:div>
    <w:div w:id="1647929035">
      <w:bodyDiv w:val="1"/>
      <w:marLeft w:val="0"/>
      <w:marRight w:val="0"/>
      <w:marTop w:val="0"/>
      <w:marBottom w:val="0"/>
      <w:divBdr>
        <w:top w:val="none" w:sz="0" w:space="0" w:color="auto"/>
        <w:left w:val="none" w:sz="0" w:space="0" w:color="auto"/>
        <w:bottom w:val="none" w:sz="0" w:space="0" w:color="auto"/>
        <w:right w:val="none" w:sz="0" w:space="0" w:color="auto"/>
      </w:divBdr>
      <w:divsChild>
        <w:div w:id="59450289">
          <w:marLeft w:val="1440"/>
          <w:marRight w:val="0"/>
          <w:marTop w:val="72"/>
          <w:marBottom w:val="0"/>
          <w:divBdr>
            <w:top w:val="none" w:sz="0" w:space="0" w:color="auto"/>
            <w:left w:val="none" w:sz="0" w:space="0" w:color="auto"/>
            <w:bottom w:val="none" w:sz="0" w:space="0" w:color="auto"/>
            <w:right w:val="none" w:sz="0" w:space="0" w:color="auto"/>
          </w:divBdr>
        </w:div>
        <w:div w:id="249778000">
          <w:marLeft w:val="1440"/>
          <w:marRight w:val="0"/>
          <w:marTop w:val="72"/>
          <w:marBottom w:val="0"/>
          <w:divBdr>
            <w:top w:val="none" w:sz="0" w:space="0" w:color="auto"/>
            <w:left w:val="none" w:sz="0" w:space="0" w:color="auto"/>
            <w:bottom w:val="none" w:sz="0" w:space="0" w:color="auto"/>
            <w:right w:val="none" w:sz="0" w:space="0" w:color="auto"/>
          </w:divBdr>
        </w:div>
        <w:div w:id="640765785">
          <w:marLeft w:val="1440"/>
          <w:marRight w:val="0"/>
          <w:marTop w:val="72"/>
          <w:marBottom w:val="0"/>
          <w:divBdr>
            <w:top w:val="none" w:sz="0" w:space="0" w:color="auto"/>
            <w:left w:val="none" w:sz="0" w:space="0" w:color="auto"/>
            <w:bottom w:val="none" w:sz="0" w:space="0" w:color="auto"/>
            <w:right w:val="none" w:sz="0" w:space="0" w:color="auto"/>
          </w:divBdr>
        </w:div>
        <w:div w:id="711423899">
          <w:marLeft w:val="1440"/>
          <w:marRight w:val="0"/>
          <w:marTop w:val="72"/>
          <w:marBottom w:val="0"/>
          <w:divBdr>
            <w:top w:val="none" w:sz="0" w:space="0" w:color="auto"/>
            <w:left w:val="none" w:sz="0" w:space="0" w:color="auto"/>
            <w:bottom w:val="none" w:sz="0" w:space="0" w:color="auto"/>
            <w:right w:val="none" w:sz="0" w:space="0" w:color="auto"/>
          </w:divBdr>
        </w:div>
        <w:div w:id="805007211">
          <w:marLeft w:val="1440"/>
          <w:marRight w:val="0"/>
          <w:marTop w:val="72"/>
          <w:marBottom w:val="0"/>
          <w:divBdr>
            <w:top w:val="none" w:sz="0" w:space="0" w:color="auto"/>
            <w:left w:val="none" w:sz="0" w:space="0" w:color="auto"/>
            <w:bottom w:val="none" w:sz="0" w:space="0" w:color="auto"/>
            <w:right w:val="none" w:sz="0" w:space="0" w:color="auto"/>
          </w:divBdr>
        </w:div>
        <w:div w:id="1248463691">
          <w:marLeft w:val="1440"/>
          <w:marRight w:val="0"/>
          <w:marTop w:val="72"/>
          <w:marBottom w:val="0"/>
          <w:divBdr>
            <w:top w:val="none" w:sz="0" w:space="0" w:color="auto"/>
            <w:left w:val="none" w:sz="0" w:space="0" w:color="auto"/>
            <w:bottom w:val="none" w:sz="0" w:space="0" w:color="auto"/>
            <w:right w:val="none" w:sz="0" w:space="0" w:color="auto"/>
          </w:divBdr>
        </w:div>
        <w:div w:id="1315992192">
          <w:marLeft w:val="1440"/>
          <w:marRight w:val="0"/>
          <w:marTop w:val="72"/>
          <w:marBottom w:val="0"/>
          <w:divBdr>
            <w:top w:val="none" w:sz="0" w:space="0" w:color="auto"/>
            <w:left w:val="none" w:sz="0" w:space="0" w:color="auto"/>
            <w:bottom w:val="none" w:sz="0" w:space="0" w:color="auto"/>
            <w:right w:val="none" w:sz="0" w:space="0" w:color="auto"/>
          </w:divBdr>
        </w:div>
        <w:div w:id="1560943314">
          <w:marLeft w:val="1440"/>
          <w:marRight w:val="0"/>
          <w:marTop w:val="72"/>
          <w:marBottom w:val="0"/>
          <w:divBdr>
            <w:top w:val="none" w:sz="0" w:space="0" w:color="auto"/>
            <w:left w:val="none" w:sz="0" w:space="0" w:color="auto"/>
            <w:bottom w:val="none" w:sz="0" w:space="0" w:color="auto"/>
            <w:right w:val="none" w:sz="0" w:space="0" w:color="auto"/>
          </w:divBdr>
        </w:div>
        <w:div w:id="1580023067">
          <w:marLeft w:val="806"/>
          <w:marRight w:val="0"/>
          <w:marTop w:val="86"/>
          <w:marBottom w:val="0"/>
          <w:divBdr>
            <w:top w:val="none" w:sz="0" w:space="0" w:color="auto"/>
            <w:left w:val="none" w:sz="0" w:space="0" w:color="auto"/>
            <w:bottom w:val="none" w:sz="0" w:space="0" w:color="auto"/>
            <w:right w:val="none" w:sz="0" w:space="0" w:color="auto"/>
          </w:divBdr>
        </w:div>
        <w:div w:id="1695112895">
          <w:marLeft w:val="806"/>
          <w:marRight w:val="0"/>
          <w:marTop w:val="86"/>
          <w:marBottom w:val="0"/>
          <w:divBdr>
            <w:top w:val="none" w:sz="0" w:space="0" w:color="auto"/>
            <w:left w:val="none" w:sz="0" w:space="0" w:color="auto"/>
            <w:bottom w:val="none" w:sz="0" w:space="0" w:color="auto"/>
            <w:right w:val="none" w:sz="0" w:space="0" w:color="auto"/>
          </w:divBdr>
        </w:div>
        <w:div w:id="2050450190">
          <w:marLeft w:val="806"/>
          <w:marRight w:val="0"/>
          <w:marTop w:val="86"/>
          <w:marBottom w:val="0"/>
          <w:divBdr>
            <w:top w:val="none" w:sz="0" w:space="0" w:color="auto"/>
            <w:left w:val="none" w:sz="0" w:space="0" w:color="auto"/>
            <w:bottom w:val="none" w:sz="0" w:space="0" w:color="auto"/>
            <w:right w:val="none" w:sz="0" w:space="0" w:color="auto"/>
          </w:divBdr>
        </w:div>
      </w:divsChild>
    </w:div>
    <w:div w:id="1829439182">
      <w:bodyDiv w:val="1"/>
      <w:marLeft w:val="0"/>
      <w:marRight w:val="0"/>
      <w:marTop w:val="0"/>
      <w:marBottom w:val="0"/>
      <w:divBdr>
        <w:top w:val="none" w:sz="0" w:space="0" w:color="auto"/>
        <w:left w:val="none" w:sz="0" w:space="0" w:color="auto"/>
        <w:bottom w:val="none" w:sz="0" w:space="0" w:color="auto"/>
        <w:right w:val="none" w:sz="0" w:space="0" w:color="auto"/>
      </w:divBdr>
    </w:div>
    <w:div w:id="1868442160">
      <w:bodyDiv w:val="1"/>
      <w:marLeft w:val="0"/>
      <w:marRight w:val="0"/>
      <w:marTop w:val="0"/>
      <w:marBottom w:val="0"/>
      <w:divBdr>
        <w:top w:val="none" w:sz="0" w:space="0" w:color="auto"/>
        <w:left w:val="none" w:sz="0" w:space="0" w:color="auto"/>
        <w:bottom w:val="none" w:sz="0" w:space="0" w:color="auto"/>
        <w:right w:val="none" w:sz="0" w:space="0" w:color="auto"/>
      </w:divBdr>
    </w:div>
    <w:div w:id="1978560774">
      <w:bodyDiv w:val="1"/>
      <w:marLeft w:val="0"/>
      <w:marRight w:val="0"/>
      <w:marTop w:val="0"/>
      <w:marBottom w:val="0"/>
      <w:divBdr>
        <w:top w:val="none" w:sz="0" w:space="0" w:color="auto"/>
        <w:left w:val="none" w:sz="0" w:space="0" w:color="auto"/>
        <w:bottom w:val="none" w:sz="0" w:space="0" w:color="auto"/>
        <w:right w:val="none" w:sz="0" w:space="0" w:color="auto"/>
      </w:divBdr>
    </w:div>
    <w:div w:id="2012104710">
      <w:bodyDiv w:val="1"/>
      <w:marLeft w:val="0"/>
      <w:marRight w:val="0"/>
      <w:marTop w:val="0"/>
      <w:marBottom w:val="0"/>
      <w:divBdr>
        <w:top w:val="none" w:sz="0" w:space="0" w:color="auto"/>
        <w:left w:val="none" w:sz="0" w:space="0" w:color="auto"/>
        <w:bottom w:val="none" w:sz="0" w:space="0" w:color="auto"/>
        <w:right w:val="none" w:sz="0" w:space="0" w:color="auto"/>
      </w:divBdr>
      <w:divsChild>
        <w:div w:id="197591574">
          <w:marLeft w:val="0"/>
          <w:marRight w:val="0"/>
          <w:marTop w:val="0"/>
          <w:marBottom w:val="0"/>
          <w:divBdr>
            <w:top w:val="none" w:sz="0" w:space="0" w:color="auto"/>
            <w:left w:val="none" w:sz="0" w:space="0" w:color="auto"/>
            <w:bottom w:val="none" w:sz="0" w:space="0" w:color="auto"/>
            <w:right w:val="none" w:sz="0" w:space="0" w:color="auto"/>
          </w:divBdr>
        </w:div>
        <w:div w:id="238447066">
          <w:marLeft w:val="0"/>
          <w:marRight w:val="0"/>
          <w:marTop w:val="0"/>
          <w:marBottom w:val="0"/>
          <w:divBdr>
            <w:top w:val="none" w:sz="0" w:space="0" w:color="auto"/>
            <w:left w:val="none" w:sz="0" w:space="0" w:color="auto"/>
            <w:bottom w:val="none" w:sz="0" w:space="0" w:color="auto"/>
            <w:right w:val="none" w:sz="0" w:space="0" w:color="auto"/>
          </w:divBdr>
        </w:div>
        <w:div w:id="266012378">
          <w:marLeft w:val="0"/>
          <w:marRight w:val="0"/>
          <w:marTop w:val="0"/>
          <w:marBottom w:val="0"/>
          <w:divBdr>
            <w:top w:val="none" w:sz="0" w:space="0" w:color="auto"/>
            <w:left w:val="none" w:sz="0" w:space="0" w:color="auto"/>
            <w:bottom w:val="none" w:sz="0" w:space="0" w:color="auto"/>
            <w:right w:val="none" w:sz="0" w:space="0" w:color="auto"/>
          </w:divBdr>
        </w:div>
        <w:div w:id="541287128">
          <w:marLeft w:val="0"/>
          <w:marRight w:val="0"/>
          <w:marTop w:val="0"/>
          <w:marBottom w:val="0"/>
          <w:divBdr>
            <w:top w:val="none" w:sz="0" w:space="0" w:color="auto"/>
            <w:left w:val="none" w:sz="0" w:space="0" w:color="auto"/>
            <w:bottom w:val="none" w:sz="0" w:space="0" w:color="auto"/>
            <w:right w:val="none" w:sz="0" w:space="0" w:color="auto"/>
          </w:divBdr>
        </w:div>
        <w:div w:id="1641611561">
          <w:marLeft w:val="0"/>
          <w:marRight w:val="0"/>
          <w:marTop w:val="0"/>
          <w:marBottom w:val="0"/>
          <w:divBdr>
            <w:top w:val="none" w:sz="0" w:space="0" w:color="auto"/>
            <w:left w:val="none" w:sz="0" w:space="0" w:color="auto"/>
            <w:bottom w:val="none" w:sz="0" w:space="0" w:color="auto"/>
            <w:right w:val="none" w:sz="0" w:space="0" w:color="auto"/>
          </w:divBdr>
        </w:div>
        <w:div w:id="1760953440">
          <w:marLeft w:val="0"/>
          <w:marRight w:val="0"/>
          <w:marTop w:val="0"/>
          <w:marBottom w:val="0"/>
          <w:divBdr>
            <w:top w:val="none" w:sz="0" w:space="0" w:color="auto"/>
            <w:left w:val="none" w:sz="0" w:space="0" w:color="auto"/>
            <w:bottom w:val="none" w:sz="0" w:space="0" w:color="auto"/>
            <w:right w:val="none" w:sz="0" w:space="0" w:color="auto"/>
          </w:divBdr>
        </w:div>
      </w:divsChild>
    </w:div>
  </w:divs>
  <w:encoding w:val="windows-1252"/>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em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emf"/><Relationship Id="rId19" Type="http://schemas.openxmlformats.org/officeDocument/2006/relationships/image" Target="media/image10.jpe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7A7389B3-AA1D-4F47-8FFC-C089794E44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6218</Words>
  <Characters>35443</Characters>
  <Application>Microsoft Office Word</Application>
  <DocSecurity>4</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World Health Organization</Company>
  <LinksUpToDate>false</LinksUpToDate>
  <CharactersWithSpaces>41578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SENOUCI, Kamel</dc:creator>
  <cp:lastModifiedBy>MAFUNGA, Neddy</cp:lastModifiedBy>
  <cp:revision>2</cp:revision>
  <cp:lastPrinted>2016-06-28T07:36:00Z</cp:lastPrinted>
  <dcterms:created xsi:type="dcterms:W3CDTF">2016-08-26T10:50:00Z</dcterms:created>
  <dcterms:modified xsi:type="dcterms:W3CDTF">2016-08-26T10:50:00Z</dcterms:modified>
</cp:coreProperties>
</file>