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B5" w:rsidRPr="00C27BB5" w:rsidRDefault="00C27BB5" w:rsidP="00C27BB5">
      <w:pPr>
        <w:jc w:val="center"/>
        <w:rPr>
          <w:b/>
          <w:sz w:val="40"/>
          <w:szCs w:val="40"/>
        </w:rPr>
      </w:pPr>
      <w:bookmarkStart w:id="0" w:name="_GoBack"/>
      <w:bookmarkEnd w:id="0"/>
      <w:r w:rsidRPr="00C27BB5">
        <w:rPr>
          <w:b/>
          <w:sz w:val="40"/>
          <w:szCs w:val="40"/>
        </w:rPr>
        <w:t>Global Vaccine Action Plan</w:t>
      </w:r>
    </w:p>
    <w:p w:rsidR="009D32E5" w:rsidRDefault="00C27BB5" w:rsidP="00C27BB5">
      <w:pPr>
        <w:jc w:val="center"/>
        <w:rPr>
          <w:i/>
          <w:sz w:val="40"/>
          <w:szCs w:val="40"/>
        </w:rPr>
      </w:pPr>
      <w:r w:rsidRPr="00C27BB5">
        <w:rPr>
          <w:i/>
          <w:sz w:val="40"/>
          <w:szCs w:val="40"/>
        </w:rPr>
        <w:t>Secretariat Annual Report 2016</w:t>
      </w:r>
    </w:p>
    <w:p w:rsidR="009D32E5" w:rsidRDefault="00C27BB5" w:rsidP="00C27BB5">
      <w:pPr>
        <w:jc w:val="center"/>
        <w:rPr>
          <w:i/>
          <w:sz w:val="40"/>
          <w:szCs w:val="40"/>
        </w:rPr>
      </w:pPr>
      <w:r>
        <w:rPr>
          <w:i/>
          <w:sz w:val="40"/>
          <w:szCs w:val="40"/>
        </w:rPr>
        <w:t>Priority C</w:t>
      </w:r>
      <w:r w:rsidRPr="00C27BB5">
        <w:rPr>
          <w:i/>
          <w:sz w:val="40"/>
          <w:szCs w:val="40"/>
        </w:rPr>
        <w:t xml:space="preserve">ountry report on progress towards </w:t>
      </w:r>
    </w:p>
    <w:p w:rsidR="00734BA0" w:rsidRPr="00C27BB5" w:rsidRDefault="00C27BB5" w:rsidP="00C27BB5">
      <w:pPr>
        <w:jc w:val="center"/>
        <w:rPr>
          <w:i/>
          <w:sz w:val="40"/>
          <w:szCs w:val="40"/>
        </w:rPr>
      </w:pPr>
      <w:r>
        <w:rPr>
          <w:i/>
          <w:sz w:val="40"/>
          <w:szCs w:val="40"/>
        </w:rPr>
        <w:t>GVAP-RVAP</w:t>
      </w:r>
      <w:r w:rsidRPr="00C27BB5">
        <w:rPr>
          <w:i/>
          <w:sz w:val="40"/>
          <w:szCs w:val="40"/>
        </w:rPr>
        <w:t xml:space="preserve"> goals </w:t>
      </w:r>
    </w:p>
    <w:p w:rsidR="009D32E5" w:rsidRDefault="009D32E5" w:rsidP="00C27BB5">
      <w:pPr>
        <w:jc w:val="center"/>
        <w:rPr>
          <w:rFonts w:ascii="Arial" w:hAnsi="Arial"/>
          <w:b/>
          <w:sz w:val="32"/>
        </w:rPr>
      </w:pPr>
    </w:p>
    <w:p w:rsidR="00C27BB5" w:rsidRPr="00C400A7" w:rsidRDefault="00C27BB5" w:rsidP="00C27BB5">
      <w:pPr>
        <w:jc w:val="center"/>
        <w:rPr>
          <w:rFonts w:ascii="Arial" w:hAnsi="Arial"/>
          <w:b/>
          <w:sz w:val="36"/>
        </w:rPr>
      </w:pPr>
      <w:r w:rsidRPr="00C400A7">
        <w:rPr>
          <w:rFonts w:ascii="Arial" w:hAnsi="Arial"/>
          <w:b/>
          <w:sz w:val="36"/>
        </w:rPr>
        <w:t xml:space="preserve">UGANDA </w:t>
      </w:r>
    </w:p>
    <w:p w:rsidR="00C27BB5" w:rsidRDefault="00C27BB5" w:rsidP="00C27BB5">
      <w:pPr>
        <w:jc w:val="center"/>
        <w:rPr>
          <w:rFonts w:ascii="Arial" w:hAnsi="Arial"/>
          <w:b/>
          <w:sz w:val="32"/>
        </w:rPr>
      </w:pPr>
    </w:p>
    <w:p w:rsidR="00457E0A" w:rsidRPr="00BB5F62" w:rsidRDefault="00457E0A" w:rsidP="00457E0A">
      <w:pPr>
        <w:pStyle w:val="ListParagraph"/>
        <w:numPr>
          <w:ilvl w:val="0"/>
          <w:numId w:val="3"/>
        </w:numPr>
        <w:rPr>
          <w:rFonts w:ascii="Arial" w:hAnsi="Arial"/>
          <w:b/>
          <w:sz w:val="26"/>
          <w:szCs w:val="26"/>
        </w:rPr>
      </w:pPr>
      <w:r w:rsidRPr="00BB5F62">
        <w:rPr>
          <w:rFonts w:ascii="Arial" w:hAnsi="Arial"/>
          <w:b/>
          <w:sz w:val="26"/>
          <w:szCs w:val="26"/>
        </w:rPr>
        <w:t xml:space="preserve">Progress towards achievement of GVAP goals </w:t>
      </w:r>
    </w:p>
    <w:p w:rsidR="00457E0A" w:rsidRPr="00457E0A" w:rsidRDefault="00457E0A" w:rsidP="00457E0A">
      <w:pPr>
        <w:pStyle w:val="ListParagraph"/>
        <w:rPr>
          <w:rFonts w:ascii="Arial" w:hAnsi="Arial"/>
          <w:b/>
        </w:rPr>
      </w:pPr>
    </w:p>
    <w:p w:rsidR="00163179" w:rsidRPr="00BB5F62" w:rsidRDefault="00C67C9D" w:rsidP="00163179">
      <w:pPr>
        <w:pStyle w:val="ListParagraph"/>
        <w:numPr>
          <w:ilvl w:val="0"/>
          <w:numId w:val="1"/>
        </w:numPr>
        <w:rPr>
          <w:rFonts w:ascii="Arial" w:hAnsi="Arial"/>
          <w:b/>
          <w:sz w:val="24"/>
          <w:szCs w:val="24"/>
        </w:rPr>
      </w:pPr>
      <w:r w:rsidRPr="00BB5F62">
        <w:rPr>
          <w:rFonts w:ascii="Arial" w:hAnsi="Arial"/>
          <w:b/>
          <w:sz w:val="24"/>
          <w:szCs w:val="24"/>
        </w:rPr>
        <w:t xml:space="preserve">Summary </w:t>
      </w:r>
    </w:p>
    <w:p w:rsidR="00BA2589" w:rsidRDefault="00BA2589" w:rsidP="006A05E4">
      <w:pPr>
        <w:rPr>
          <w:rFonts w:ascii="Arial" w:hAnsi="Arial"/>
        </w:rPr>
      </w:pPr>
      <w:r w:rsidRPr="0000352E">
        <w:rPr>
          <w:rFonts w:ascii="Arial" w:hAnsi="Arial"/>
        </w:rPr>
        <w:t xml:space="preserve">This </w:t>
      </w:r>
      <w:r w:rsidR="006C334B">
        <w:rPr>
          <w:rFonts w:ascii="Arial" w:hAnsi="Arial"/>
        </w:rPr>
        <w:t xml:space="preserve">summary table describes </w:t>
      </w:r>
      <w:r w:rsidRPr="0000352E">
        <w:rPr>
          <w:rFonts w:ascii="Arial" w:hAnsi="Arial"/>
        </w:rPr>
        <w:t xml:space="preserve">the current situation in </w:t>
      </w:r>
      <w:r w:rsidR="006A05E4">
        <w:rPr>
          <w:rFonts w:ascii="Arial" w:hAnsi="Arial"/>
        </w:rPr>
        <w:t>Uganda</w:t>
      </w:r>
      <w:r w:rsidRPr="0000352E">
        <w:rPr>
          <w:rFonts w:ascii="Arial" w:hAnsi="Arial"/>
        </w:rPr>
        <w:t xml:space="preserve"> regarding achieving the GVAP goals.</w:t>
      </w:r>
      <w:r w:rsidR="00492F98">
        <w:rPr>
          <w:rFonts w:ascii="Arial" w:hAnsi="Arial"/>
        </w:rPr>
        <w:t xml:space="preserve"> </w:t>
      </w:r>
      <w:r w:rsidR="00500171">
        <w:rPr>
          <w:rFonts w:ascii="Arial" w:hAnsi="Arial"/>
        </w:rPr>
        <w:t>D</w:t>
      </w:r>
      <w:r w:rsidR="00696E6A">
        <w:rPr>
          <w:rFonts w:ascii="Arial" w:hAnsi="Arial"/>
        </w:rPr>
        <w:t xml:space="preserve">ata </w:t>
      </w:r>
      <w:r w:rsidR="00E11B99">
        <w:rPr>
          <w:rFonts w:ascii="Arial" w:hAnsi="Arial"/>
        </w:rPr>
        <w:t xml:space="preserve">used to assess progress towards achievement of </w:t>
      </w:r>
      <w:r w:rsidR="00696E6A">
        <w:rPr>
          <w:rFonts w:ascii="Arial" w:hAnsi="Arial"/>
        </w:rPr>
        <w:t xml:space="preserve">GVAP goals are included in the annex (Country </w:t>
      </w:r>
      <w:r w:rsidR="00D00DC6">
        <w:rPr>
          <w:rFonts w:ascii="Arial" w:hAnsi="Arial"/>
        </w:rPr>
        <w:t xml:space="preserve">immunization </w:t>
      </w:r>
      <w:r w:rsidR="00696E6A">
        <w:rPr>
          <w:rFonts w:ascii="Arial" w:hAnsi="Arial"/>
        </w:rPr>
        <w:t>profile).</w:t>
      </w:r>
    </w:p>
    <w:tbl>
      <w:tblPr>
        <w:tblW w:w="9249" w:type="dxa"/>
        <w:jc w:val="center"/>
        <w:tblLook w:val="04A0" w:firstRow="1" w:lastRow="0" w:firstColumn="1" w:lastColumn="0" w:noHBand="0" w:noVBand="1"/>
      </w:tblPr>
      <w:tblGrid>
        <w:gridCol w:w="3189"/>
        <w:gridCol w:w="3673"/>
        <w:gridCol w:w="2387"/>
      </w:tblGrid>
      <w:tr w:rsidR="00572AD9" w:rsidRPr="00B13A2F" w:rsidTr="00AB1003">
        <w:trPr>
          <w:trHeight w:val="675"/>
          <w:tblHeader/>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Area</w:t>
            </w:r>
          </w:p>
        </w:tc>
        <w:tc>
          <w:tcPr>
            <w:tcW w:w="3673"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Indicator</w:t>
            </w:r>
          </w:p>
        </w:tc>
        <w:tc>
          <w:tcPr>
            <w:tcW w:w="2387"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BC6E1F" w:rsidP="00572AD9">
            <w:pPr>
              <w:spacing w:after="0" w:line="240" w:lineRule="auto"/>
              <w:jc w:val="center"/>
              <w:rPr>
                <w:rFonts w:eastAsia="Times New Roman" w:cs="Calibri"/>
                <w:b/>
                <w:bCs/>
                <w:color w:val="000000"/>
                <w:sz w:val="28"/>
                <w:szCs w:val="28"/>
                <w:lang w:eastAsia="en-GB"/>
              </w:rPr>
            </w:pPr>
            <w:r>
              <w:rPr>
                <w:rFonts w:eastAsia="Times New Roman" w:cs="Calibri"/>
                <w:b/>
                <w:bCs/>
                <w:color w:val="000000"/>
                <w:sz w:val="28"/>
                <w:szCs w:val="28"/>
                <w:lang w:eastAsia="en-GB"/>
              </w:rPr>
              <w:t xml:space="preserve">Data for </w:t>
            </w:r>
            <w:r w:rsidR="00572AD9" w:rsidRPr="00572AD9">
              <w:rPr>
                <w:rFonts w:eastAsia="Times New Roman" w:cs="Calibri"/>
                <w:b/>
                <w:bCs/>
                <w:color w:val="000000"/>
                <w:sz w:val="28"/>
                <w:szCs w:val="28"/>
                <w:lang w:eastAsia="en-GB"/>
              </w:rPr>
              <w:t>Uganda</w:t>
            </w:r>
          </w:p>
        </w:tc>
      </w:tr>
      <w:tr w:rsidR="00572AD9" w:rsidRPr="00B13A2F" w:rsidTr="00AB1003">
        <w:trPr>
          <w:trHeight w:val="900"/>
          <w:jc w:val="center"/>
        </w:trPr>
        <w:tc>
          <w:tcPr>
            <w:tcW w:w="3189" w:type="dxa"/>
            <w:tcBorders>
              <w:top w:val="nil"/>
              <w:left w:val="single" w:sz="4" w:space="0" w:color="auto"/>
              <w:bottom w:val="single" w:sz="4" w:space="0" w:color="auto"/>
              <w:right w:val="single" w:sz="4" w:space="0" w:color="auto"/>
            </w:tcBorders>
            <w:shd w:val="clear" w:color="000000" w:fill="FDE9D9"/>
            <w:hideMark/>
          </w:tcPr>
          <w:p w:rsidR="00572AD9" w:rsidRPr="00572AD9" w:rsidRDefault="00572AD9" w:rsidP="00AB1003">
            <w:pPr>
              <w:spacing w:after="0" w:line="240" w:lineRule="auto"/>
              <w:rPr>
                <w:rFonts w:eastAsia="Times New Roman" w:cs="Calibri"/>
                <w:b/>
                <w:bCs/>
                <w:color w:val="000000"/>
                <w:lang w:eastAsia="en-GB"/>
              </w:rPr>
            </w:pPr>
            <w:r w:rsidRPr="00572AD9">
              <w:rPr>
                <w:rFonts w:eastAsia="Times New Roman" w:cs="Calibri"/>
                <w:b/>
                <w:bCs/>
                <w:color w:val="000000"/>
                <w:lang w:eastAsia="en-GB"/>
              </w:rPr>
              <w:t xml:space="preserve">10. Government expenditure on routine immunization per live birth </w:t>
            </w:r>
            <w:r w:rsidR="00AB1003">
              <w:rPr>
                <w:rFonts w:eastAsia="Times New Roman" w:cs="Calibri"/>
                <w:b/>
                <w:bCs/>
                <w:color w:val="000000"/>
                <w:lang w:eastAsia="en-GB"/>
              </w:rPr>
              <w:t>(</w:t>
            </w:r>
            <w:r w:rsidRPr="00572AD9">
              <w:rPr>
                <w:rFonts w:eastAsia="Times New Roman" w:cs="Calibri"/>
                <w:b/>
                <w:bCs/>
                <w:color w:val="000000"/>
                <w:lang w:eastAsia="en-GB"/>
              </w:rPr>
              <w:t>US</w:t>
            </w:r>
            <w:r w:rsidR="00AB1003">
              <w:rPr>
                <w:rFonts w:eastAsia="Times New Roman" w:cs="Calibri"/>
                <w:b/>
                <w:bCs/>
                <w:color w:val="000000"/>
                <w:lang w:eastAsia="en-GB"/>
              </w:rPr>
              <w:t>$)</w:t>
            </w:r>
          </w:p>
        </w:tc>
        <w:tc>
          <w:tcPr>
            <w:tcW w:w="3673" w:type="dxa"/>
            <w:tcBorders>
              <w:top w:val="nil"/>
              <w:left w:val="nil"/>
              <w:bottom w:val="single" w:sz="4" w:space="0" w:color="auto"/>
              <w:right w:val="single" w:sz="4" w:space="0" w:color="auto"/>
            </w:tcBorders>
            <w:shd w:val="clear" w:color="000000" w:fill="FDE9D9"/>
            <w:hideMark/>
          </w:tcPr>
          <w:p w:rsidR="00572AD9" w:rsidRPr="00572AD9" w:rsidRDefault="00F1695C" w:rsidP="00F1695C">
            <w:pPr>
              <w:spacing w:after="0" w:line="240" w:lineRule="auto"/>
              <w:rPr>
                <w:rFonts w:eastAsia="Times New Roman" w:cs="Calibri"/>
                <w:b/>
                <w:bCs/>
                <w:color w:val="000000"/>
                <w:lang w:eastAsia="en-GB"/>
              </w:rPr>
            </w:pPr>
            <w:r>
              <w:rPr>
                <w:rFonts w:eastAsia="Times New Roman" w:cs="Calibri"/>
                <w:b/>
                <w:bCs/>
                <w:color w:val="000000"/>
                <w:lang w:eastAsia="en-GB"/>
              </w:rPr>
              <w:t>A</w:t>
            </w:r>
            <w:r w:rsidR="00572AD9" w:rsidRPr="00572AD9">
              <w:rPr>
                <w:rFonts w:eastAsia="Times New Roman" w:cs="Calibri"/>
                <w:b/>
                <w:bCs/>
                <w:color w:val="000000"/>
                <w:lang w:eastAsia="en-GB"/>
              </w:rPr>
              <w:t>verage for 2013-2015 (% change</w:t>
            </w:r>
            <w:r w:rsidR="00BB5F62">
              <w:rPr>
                <w:rFonts w:eastAsia="Times New Roman" w:cs="Calibri"/>
                <w:b/>
                <w:bCs/>
                <w:color w:val="000000"/>
                <w:lang w:eastAsia="en-GB"/>
              </w:rPr>
              <w:t xml:space="preserve"> from 2010/2011</w:t>
            </w:r>
            <w:r w:rsidR="00572AD9" w:rsidRPr="00572AD9">
              <w:rPr>
                <w:rFonts w:eastAsia="Times New Roman" w:cs="Calibri"/>
                <w:b/>
                <w:bCs/>
                <w:color w:val="000000"/>
                <w:lang w:eastAsia="en-GB"/>
              </w:rPr>
              <w:t>)</w:t>
            </w:r>
          </w:p>
        </w:tc>
        <w:tc>
          <w:tcPr>
            <w:tcW w:w="2387" w:type="dxa"/>
            <w:tcBorders>
              <w:top w:val="nil"/>
              <w:left w:val="nil"/>
              <w:bottom w:val="single" w:sz="4" w:space="0" w:color="auto"/>
              <w:right w:val="single" w:sz="4" w:space="0" w:color="auto"/>
            </w:tcBorders>
            <w:shd w:val="clear" w:color="000000" w:fill="00B050"/>
            <w:hideMark/>
          </w:tcPr>
          <w:p w:rsidR="00572AD9" w:rsidRPr="00572AD9" w:rsidRDefault="00572AD9" w:rsidP="00F1695C">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2.1 to 7.0 (+232%)</w:t>
            </w:r>
          </w:p>
        </w:tc>
      </w:tr>
    </w:tbl>
    <w:p w:rsidR="00734BA0" w:rsidRDefault="00734BA0" w:rsidP="00DB46DE">
      <w:pPr>
        <w:pStyle w:val="ListParagraph"/>
        <w:numPr>
          <w:ilvl w:val="1"/>
          <w:numId w:val="38"/>
        </w:numPr>
        <w:contextualSpacing w:val="0"/>
        <w:rPr>
          <w:rFonts w:ascii="Arial" w:hAnsi="Arial"/>
          <w:b/>
        </w:rPr>
      </w:pPr>
      <w:r>
        <w:rPr>
          <w:rFonts w:ascii="Arial" w:hAnsi="Arial"/>
          <w:b/>
        </w:rPr>
        <w:t>Govern</w:t>
      </w:r>
      <w:r w:rsidR="00DB46DE">
        <w:rPr>
          <w:rFonts w:ascii="Arial" w:hAnsi="Arial"/>
          <w:b/>
        </w:rPr>
        <w:t>ment financing of i</w:t>
      </w:r>
      <w:r w:rsidRPr="00825812">
        <w:rPr>
          <w:rFonts w:ascii="Arial" w:hAnsi="Arial"/>
          <w:b/>
        </w:rPr>
        <w:t>mmunization</w:t>
      </w:r>
    </w:p>
    <w:p w:rsidR="00734BA0" w:rsidRDefault="005002BB" w:rsidP="00734BA0">
      <w:pPr>
        <w:pStyle w:val="ListParagraph"/>
        <w:ind w:left="0"/>
        <w:contextualSpacing w:val="0"/>
        <w:rPr>
          <w:rFonts w:ascii="Arial" w:hAnsi="Arial"/>
        </w:rPr>
      </w:pPr>
      <w:r>
        <w:rPr>
          <w:rFonts w:ascii="Arial" w:hAnsi="Arial"/>
        </w:rPr>
        <w:t xml:space="preserve">The Government is meeting its financial commitments in that it is paying for 100% of the procurement costs of all traditional vaccines (BCG, TT, OPV and measles). It was estimated in FY2013/14 that the Government paid 49% of the total immunization budget, </w:t>
      </w:r>
      <w:r w:rsidR="00AF3E7B">
        <w:rPr>
          <w:rFonts w:ascii="Arial" w:hAnsi="Arial"/>
        </w:rPr>
        <w:t>with the majority going towards</w:t>
      </w:r>
      <w:r>
        <w:rPr>
          <w:rFonts w:ascii="Arial" w:hAnsi="Arial"/>
        </w:rPr>
        <w:t xml:space="preserve"> health worker salaries, </w:t>
      </w:r>
      <w:r w:rsidR="00AF3E7B">
        <w:rPr>
          <w:rFonts w:ascii="Arial" w:hAnsi="Arial"/>
        </w:rPr>
        <w:t xml:space="preserve">procurement of traditional vaccines and co-financing of new vaccines (pentavalent, PCV, HPV), vaccine storage and distribution, </w:t>
      </w:r>
      <w:r>
        <w:rPr>
          <w:rFonts w:ascii="Arial" w:hAnsi="Arial"/>
        </w:rPr>
        <w:t xml:space="preserve">the staff and operations of the Uganda National EPI (UNEPI), </w:t>
      </w:r>
      <w:r w:rsidR="00677182">
        <w:rPr>
          <w:rFonts w:ascii="Arial" w:hAnsi="Arial"/>
        </w:rPr>
        <w:t xml:space="preserve">operational costs for polio and measles campaigns, </w:t>
      </w:r>
      <w:r>
        <w:rPr>
          <w:rFonts w:ascii="Arial" w:hAnsi="Arial"/>
        </w:rPr>
        <w:t xml:space="preserve">and block grants to the districts </w:t>
      </w:r>
      <w:r w:rsidR="00AF3E7B">
        <w:rPr>
          <w:rFonts w:ascii="Arial" w:hAnsi="Arial"/>
        </w:rPr>
        <w:t>to cover the costs of providing</w:t>
      </w:r>
      <w:r>
        <w:rPr>
          <w:rFonts w:ascii="Arial" w:hAnsi="Arial"/>
        </w:rPr>
        <w:t xml:space="preserve"> primary health care services </w:t>
      </w:r>
      <w:r w:rsidR="006321C4">
        <w:rPr>
          <w:rFonts w:ascii="Arial" w:hAnsi="Arial"/>
        </w:rPr>
        <w:t>(</w:t>
      </w:r>
      <w:r>
        <w:rPr>
          <w:rFonts w:ascii="Arial" w:hAnsi="Arial"/>
        </w:rPr>
        <w:t>called PHC grants</w:t>
      </w:r>
      <w:r w:rsidR="006321C4">
        <w:rPr>
          <w:rFonts w:ascii="Arial" w:hAnsi="Arial"/>
        </w:rPr>
        <w:t>)</w:t>
      </w:r>
      <w:r w:rsidR="00AF3E7B">
        <w:rPr>
          <w:rFonts w:ascii="Arial" w:hAnsi="Arial"/>
        </w:rPr>
        <w:t xml:space="preserve">. </w:t>
      </w:r>
    </w:p>
    <w:p w:rsidR="00C82C17" w:rsidRDefault="00AF3E7B" w:rsidP="00734BA0">
      <w:pPr>
        <w:pStyle w:val="ListParagraph"/>
        <w:ind w:left="0"/>
        <w:contextualSpacing w:val="0"/>
        <w:rPr>
          <w:rFonts w:ascii="Arial" w:hAnsi="Arial"/>
        </w:rPr>
      </w:pPr>
      <w:r>
        <w:rPr>
          <w:rFonts w:ascii="Arial" w:hAnsi="Arial"/>
        </w:rPr>
        <w:t xml:space="preserve">The Government’s contribution in absolute terms has been increasing </w:t>
      </w:r>
      <w:r w:rsidR="00677182">
        <w:rPr>
          <w:rFonts w:ascii="Arial" w:hAnsi="Arial"/>
        </w:rPr>
        <w:t>–</w:t>
      </w:r>
      <w:r>
        <w:rPr>
          <w:rFonts w:ascii="Arial" w:hAnsi="Arial"/>
        </w:rPr>
        <w:t xml:space="preserve"> </w:t>
      </w:r>
      <w:r w:rsidR="008062DF">
        <w:rPr>
          <w:rFonts w:ascii="Arial" w:hAnsi="Arial"/>
        </w:rPr>
        <w:t xml:space="preserve">41% from 2009/10 to 2013/14 – </w:t>
      </w:r>
      <w:r>
        <w:rPr>
          <w:rFonts w:ascii="Arial" w:hAnsi="Arial"/>
        </w:rPr>
        <w:t>mainly as a result of co-financing of newly introduced vaccines, which has increased six-fold from 2013 to 2016, as first PCV and then HPV were added to the immunization schedule</w:t>
      </w:r>
      <w:r w:rsidR="00677182">
        <w:rPr>
          <w:rFonts w:ascii="Arial" w:hAnsi="Arial"/>
        </w:rPr>
        <w:t xml:space="preserve"> (Figure 1)</w:t>
      </w:r>
      <w:r>
        <w:rPr>
          <w:rFonts w:ascii="Arial" w:hAnsi="Arial"/>
        </w:rPr>
        <w:t xml:space="preserve">. </w:t>
      </w:r>
      <w:r w:rsidR="00677182">
        <w:rPr>
          <w:rFonts w:ascii="Arial" w:hAnsi="Arial"/>
        </w:rPr>
        <w:t>The country’s c</w:t>
      </w:r>
      <w:r>
        <w:rPr>
          <w:rFonts w:ascii="Arial" w:hAnsi="Arial"/>
        </w:rPr>
        <w:t>o-financing</w:t>
      </w:r>
      <w:r w:rsidR="00677182">
        <w:rPr>
          <w:rFonts w:ascii="Arial" w:hAnsi="Arial"/>
        </w:rPr>
        <w:t xml:space="preserve"> obligation now stands at $2.5 million per year. The Government’s contribution actually declined from 2011 to 2014, </w:t>
      </w:r>
      <w:r w:rsidR="002716CC">
        <w:rPr>
          <w:rFonts w:ascii="Arial" w:hAnsi="Arial"/>
        </w:rPr>
        <w:t xml:space="preserve">due in part to delays in making its co-financing obligations. Uganda has, in fact, been in default in co-financing </w:t>
      </w:r>
      <w:r w:rsidR="006321C4">
        <w:rPr>
          <w:rFonts w:ascii="Arial" w:hAnsi="Arial"/>
        </w:rPr>
        <w:t xml:space="preserve">for GAVI-supported vaccines </w:t>
      </w:r>
      <w:r w:rsidR="002716CC">
        <w:rPr>
          <w:rFonts w:ascii="Arial" w:hAnsi="Arial"/>
        </w:rPr>
        <w:t xml:space="preserve">each year since 2014. This is due to the fact that </w:t>
      </w:r>
      <w:r w:rsidR="002716CC">
        <w:rPr>
          <w:rFonts w:ascii="Arial" w:hAnsi="Arial"/>
        </w:rPr>
        <w:lastRenderedPageBreak/>
        <w:t xml:space="preserve">funds for co-financing are not “ring-fenced” and have been diverted to cover emergencies, such as pension arrears for health staff and </w:t>
      </w:r>
      <w:r w:rsidR="00347756">
        <w:rPr>
          <w:rFonts w:ascii="Arial" w:hAnsi="Arial"/>
        </w:rPr>
        <w:t>salary increases</w:t>
      </w:r>
      <w:r w:rsidR="002716CC">
        <w:rPr>
          <w:rFonts w:ascii="Arial" w:hAnsi="Arial"/>
        </w:rPr>
        <w:t xml:space="preserve"> for intern doctors who went on strike. The mismatch between the Government’s quarterly budgetary procedures and GAVI’s fiscal year cycles, as well as devaluation of the Uganda shilling have also contributed to delays in co-financing. These defaults have delayed the introduction of additional vaccines</w:t>
      </w:r>
      <w:r w:rsidR="0006192C">
        <w:rPr>
          <w:rFonts w:ascii="Arial" w:hAnsi="Arial"/>
        </w:rPr>
        <w:t xml:space="preserve"> into the routine immunization program</w:t>
      </w:r>
      <w:r w:rsidR="002716CC">
        <w:rPr>
          <w:rFonts w:ascii="Arial" w:hAnsi="Arial"/>
        </w:rPr>
        <w:t>, including rotavirus</w:t>
      </w:r>
      <w:r w:rsidR="00E72094">
        <w:rPr>
          <w:rFonts w:ascii="Arial" w:hAnsi="Arial"/>
        </w:rPr>
        <w:t xml:space="preserve"> </w:t>
      </w:r>
      <w:r w:rsidR="006321C4">
        <w:rPr>
          <w:rFonts w:ascii="Arial" w:hAnsi="Arial"/>
        </w:rPr>
        <w:t>vaccine</w:t>
      </w:r>
      <w:r w:rsidR="002716CC">
        <w:rPr>
          <w:rFonts w:ascii="Arial" w:hAnsi="Arial"/>
        </w:rPr>
        <w:t>.</w:t>
      </w:r>
    </w:p>
    <w:p w:rsidR="00EF28C5" w:rsidRDefault="006321C4" w:rsidP="006321C4">
      <w:pPr>
        <w:pStyle w:val="ListParagraph"/>
        <w:ind w:left="0"/>
        <w:contextualSpacing w:val="0"/>
        <w:rPr>
          <w:rFonts w:ascii="Arial" w:hAnsi="Arial"/>
        </w:rPr>
      </w:pPr>
      <w:r>
        <w:rPr>
          <w:rFonts w:ascii="Arial" w:hAnsi="Arial"/>
        </w:rPr>
        <w:t>Apart from the issue of co-financing of new vaccines, the government budget for immunization is considered insufficient, and as a result, more costly activities, such as polio and measles campaigns, can mean less funding for routine immunization activities. As mentioned in one report,</w:t>
      </w:r>
      <w:r>
        <w:rPr>
          <w:rStyle w:val="FootnoteReference"/>
          <w:rFonts w:ascii="Arial" w:hAnsi="Arial"/>
        </w:rPr>
        <w:footnoteReference w:id="1"/>
      </w:r>
      <w:r>
        <w:rPr>
          <w:rFonts w:ascii="Arial" w:hAnsi="Arial"/>
        </w:rPr>
        <w:t xml:space="preserve"> one national measles campaign can cost the equivalent of two years of recurrent costs for the routine immunization program. Because the Ugandan government could not raise its share of the operational costs for the 2015 measles campaign, the campaign was combined with the introduction of HPV vaccine and Child Health Days, to save costs and to allow funding from the GAVI vaccine introduction grant (VIG) to be used in part for the measles campaign. This resulted in a reduction in the planned activities for the HPV introduction (see below).</w:t>
      </w:r>
    </w:p>
    <w:p w:rsidR="00F41E81" w:rsidRPr="00EF28C5" w:rsidRDefault="00EF28C5" w:rsidP="00EF28C5">
      <w:pPr>
        <w:rPr>
          <w:rFonts w:ascii="Arial" w:hAnsi="Arial"/>
          <w:b/>
        </w:rPr>
      </w:pPr>
      <w:r>
        <w:br w:type="page"/>
      </w:r>
      <w:r w:rsidRPr="00EF28C5">
        <w:lastRenderedPageBreak/>
        <w:t xml:space="preserve">Figure </w:t>
      </w:r>
      <w:r w:rsidRPr="00EF28C5">
        <w:fldChar w:fldCharType="begin"/>
      </w:r>
      <w:r w:rsidRPr="00EF28C5">
        <w:instrText xml:space="preserve"> SEQ Figure \* ARABIC </w:instrText>
      </w:r>
      <w:r w:rsidRPr="00EF28C5">
        <w:fldChar w:fldCharType="separate"/>
      </w:r>
      <w:r w:rsidR="007D3409">
        <w:rPr>
          <w:noProof/>
        </w:rPr>
        <w:t>1</w:t>
      </w:r>
      <w:r w:rsidRPr="00EF28C5">
        <w:fldChar w:fldCharType="end"/>
      </w:r>
      <w:r w:rsidRPr="00EF28C5">
        <w:t xml:space="preserve">: </w:t>
      </w:r>
      <w:r w:rsidR="006321C4" w:rsidRPr="00EF28C5">
        <w:rPr>
          <w:rFonts w:ascii="Arial" w:hAnsi="Arial"/>
          <w:b/>
        </w:rPr>
        <w:t>Trends in Ugandan Government financing for immunization</w:t>
      </w:r>
    </w:p>
    <w:p w:rsidR="00F41E81" w:rsidRDefault="00505F3C" w:rsidP="00734BA0">
      <w:pPr>
        <w:pStyle w:val="ListParagraph"/>
        <w:ind w:left="0"/>
        <w:contextualSpacing w:val="0"/>
        <w:rPr>
          <w:rFonts w:ascii="Arial" w:hAnsi="Arial"/>
        </w:rPr>
      </w:pPr>
      <w:r>
        <w:rPr>
          <w:rFonts w:ascii="Arial" w:hAnsi="Arial"/>
          <w:noProof/>
          <w:lang w:eastAsia="en-GB"/>
        </w:rPr>
        <mc:AlternateContent>
          <mc:Choice Requires="wps">
            <w:drawing>
              <wp:anchor distT="0" distB="0" distL="114300" distR="114300" simplePos="0" relativeHeight="251658240" behindDoc="0" locked="0" layoutInCell="1" allowOverlap="1">
                <wp:simplePos x="0" y="0"/>
                <wp:positionH relativeFrom="column">
                  <wp:posOffset>600710</wp:posOffset>
                </wp:positionH>
                <wp:positionV relativeFrom="paragraph">
                  <wp:posOffset>-15875</wp:posOffset>
                </wp:positionV>
                <wp:extent cx="4442460" cy="3009265"/>
                <wp:effectExtent l="10160" t="12700" r="14605" b="6985"/>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2460" cy="3009265"/>
                        </a:xfrm>
                        <a:prstGeom prst="rect">
                          <a:avLst/>
                        </a:prstGeom>
                        <a:solidFill>
                          <a:srgbClr val="FFFFFF"/>
                        </a:solidFill>
                        <a:ln w="12700" algn="ctr">
                          <a:solidFill>
                            <a:srgbClr val="000000"/>
                          </a:solidFill>
                          <a:miter lim="800000"/>
                          <a:headEnd/>
                          <a:tailEnd/>
                        </a:ln>
                      </wps:spPr>
                      <wps:txbx>
                        <w:txbxContent>
                          <w:p w:rsidR="00EF28C5" w:rsidRPr="00B13A2F" w:rsidRDefault="00505F3C" w:rsidP="00EF28C5">
                            <w:pPr>
                              <w:jc w:val="center"/>
                              <w:rPr>
                                <w:color w:val="000000"/>
                              </w:rPr>
                            </w:pPr>
                            <w:r>
                              <w:rPr>
                                <w:noProof/>
                                <w:sz w:val="32"/>
                                <w:szCs w:val="32"/>
                                <w:lang w:eastAsia="en-GB"/>
                              </w:rPr>
                              <w:drawing>
                                <wp:inline distT="0" distB="0" distL="0" distR="0">
                                  <wp:extent cx="4244340" cy="2752090"/>
                                  <wp:effectExtent l="0" t="0" r="381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4340" cy="275209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page">
                  <wp14:pctHeight>0</wp14:pctHeight>
                </wp14:sizeRelV>
              </wp:anchor>
            </w:drawing>
          </mc:Choice>
          <mc:Fallback>
            <w:pict>
              <v:rect id="Rectangle 11" o:spid="_x0000_s1026" style="position:absolute;margin-left:47.3pt;margin-top:-1.25pt;width:349.8pt;height:236.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" strokeweight="1pt">
                <v:textbox style="mso-fit-shape-to-text:t">
                  <w:txbxContent>
                    <w:p w:rsidR="00EF28C5" w:rsidRPr="00B13A2F" w:rsidRDefault="00505F3C" w:rsidP="00EF28C5">
                      <w:pPr>
                        <w:jc w:val="center"/>
                        <w:rPr>
                          <w:color w:val="000000"/>
                        </w:rPr>
                      </w:pPr>
                      <w:r>
                        <w:rPr>
                          <w:noProof/>
                          <w:sz w:val="32"/>
                          <w:szCs w:val="32"/>
                          <w:lang w:eastAsia="en-GB"/>
                        </w:rPr>
                        <w:drawing>
                          <wp:inline distT="0" distB="0" distL="0" distR="0">
                            <wp:extent cx="4244340" cy="2752090"/>
                            <wp:effectExtent l="0" t="0" r="381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4340" cy="2752090"/>
                                    </a:xfrm>
                                    <a:prstGeom prst="rect">
                                      <a:avLst/>
                                    </a:prstGeom>
                                    <a:noFill/>
                                    <a:ln>
                                      <a:noFill/>
                                    </a:ln>
                                  </pic:spPr>
                                </pic:pic>
                              </a:graphicData>
                            </a:graphic>
                          </wp:inline>
                        </w:drawing>
                      </w:r>
                    </w:p>
                  </w:txbxContent>
                </v:textbox>
              </v:rect>
            </w:pict>
          </mc:Fallback>
        </mc:AlternateContent>
      </w:r>
    </w:p>
    <w:p w:rsidR="00F41E81" w:rsidRDefault="00F41E81" w:rsidP="00734BA0">
      <w:pPr>
        <w:pStyle w:val="ListParagraph"/>
        <w:ind w:left="0"/>
        <w:contextualSpacing w:val="0"/>
        <w:rPr>
          <w:rFonts w:ascii="Arial" w:hAnsi="Arial"/>
        </w:rPr>
      </w:pPr>
    </w:p>
    <w:p w:rsidR="00F41E81" w:rsidRDefault="00F41E81" w:rsidP="00734BA0">
      <w:pPr>
        <w:pStyle w:val="ListParagraph"/>
        <w:ind w:left="0"/>
        <w:contextualSpacing w:val="0"/>
        <w:rPr>
          <w:rFonts w:ascii="Arial" w:hAnsi="Arial"/>
        </w:rPr>
      </w:pPr>
    </w:p>
    <w:p w:rsidR="00F41E81" w:rsidRDefault="00F41E81" w:rsidP="00734BA0">
      <w:pPr>
        <w:pStyle w:val="ListParagraph"/>
        <w:ind w:left="0"/>
        <w:contextualSpacing w:val="0"/>
        <w:rPr>
          <w:rFonts w:ascii="Arial" w:hAnsi="Arial"/>
        </w:rPr>
      </w:pPr>
    </w:p>
    <w:p w:rsidR="00F41E81" w:rsidRDefault="00F41E81" w:rsidP="00734BA0">
      <w:pPr>
        <w:pStyle w:val="ListParagraph"/>
        <w:ind w:left="0"/>
        <w:contextualSpacing w:val="0"/>
        <w:rPr>
          <w:rFonts w:ascii="Arial" w:hAnsi="Arial"/>
        </w:rPr>
      </w:pPr>
    </w:p>
    <w:p w:rsidR="00F41E81" w:rsidRDefault="00F41E81" w:rsidP="00734BA0">
      <w:pPr>
        <w:pStyle w:val="ListParagraph"/>
        <w:ind w:left="0"/>
        <w:contextualSpacing w:val="0"/>
        <w:rPr>
          <w:rFonts w:ascii="Arial" w:hAnsi="Arial"/>
        </w:rPr>
      </w:pPr>
    </w:p>
    <w:p w:rsidR="00F41E81" w:rsidRDefault="00F41E81" w:rsidP="00734BA0">
      <w:pPr>
        <w:pStyle w:val="ListParagraph"/>
        <w:ind w:left="0"/>
        <w:contextualSpacing w:val="0"/>
        <w:rPr>
          <w:rFonts w:ascii="Arial" w:hAnsi="Arial"/>
        </w:rPr>
      </w:pPr>
    </w:p>
    <w:p w:rsidR="0002156C" w:rsidRDefault="0002156C" w:rsidP="00734BA0">
      <w:pPr>
        <w:pStyle w:val="ListParagraph"/>
        <w:ind w:left="0"/>
        <w:rPr>
          <w:rFonts w:ascii="Arial" w:hAnsi="Arial"/>
        </w:rPr>
      </w:pPr>
    </w:p>
    <w:p w:rsidR="0002156C" w:rsidRDefault="0002156C" w:rsidP="00734BA0">
      <w:pPr>
        <w:pStyle w:val="ListParagraph"/>
        <w:ind w:left="0"/>
        <w:rPr>
          <w:rFonts w:ascii="Arial" w:hAnsi="Arial"/>
        </w:rPr>
      </w:pPr>
    </w:p>
    <w:p w:rsidR="00EF28C5" w:rsidRDefault="00EF28C5" w:rsidP="00734BA0">
      <w:pPr>
        <w:pStyle w:val="ListParagraph"/>
        <w:ind w:left="0"/>
        <w:rPr>
          <w:rFonts w:ascii="Arial" w:hAnsi="Arial"/>
          <w:sz w:val="18"/>
          <w:szCs w:val="18"/>
        </w:rPr>
      </w:pPr>
    </w:p>
    <w:p w:rsidR="00EF28C5" w:rsidRDefault="00505F3C" w:rsidP="00734BA0">
      <w:pPr>
        <w:pStyle w:val="ListParagraph"/>
        <w:ind w:left="0"/>
        <w:rPr>
          <w:rFonts w:ascii="Arial" w:hAnsi="Arial"/>
          <w:sz w:val="18"/>
          <w:szCs w:val="18"/>
        </w:rPr>
      </w:pPr>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600710</wp:posOffset>
                </wp:positionH>
                <wp:positionV relativeFrom="paragraph">
                  <wp:posOffset>6985</wp:posOffset>
                </wp:positionV>
                <wp:extent cx="4442460" cy="3407410"/>
                <wp:effectExtent l="0" t="0" r="15240" b="2159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2460" cy="3407410"/>
                        </a:xfrm>
                        <a:prstGeom prst="rect">
                          <a:avLst/>
                        </a:prstGeom>
                        <a:solidFill>
                          <a:sysClr val="window" lastClr="FFFFFF"/>
                        </a:solidFill>
                        <a:ln w="12700" cap="flat" cmpd="sng" algn="ctr">
                          <a:solidFill>
                            <a:sysClr val="windowText" lastClr="000000"/>
                          </a:solidFill>
                          <a:prstDash val="solid"/>
                        </a:ln>
                        <a:effectLst/>
                      </wps:spPr>
                      <wps:txbx>
                        <w:txbxContent>
                          <w:p w:rsidR="00E6488A" w:rsidRPr="00B13A2F" w:rsidRDefault="00E6488A" w:rsidP="001C3946">
                            <w:pPr>
                              <w:jc w:val="center"/>
                              <w:rPr>
                                <w:color w:val="000000"/>
                              </w:rPr>
                            </w:pPr>
                            <w:r w:rsidRPr="00B13A2F">
                              <w:rPr>
                                <w:color w:val="000000"/>
                              </w:rPr>
                              <w:t>Annual co-financing obligation to GAVI in Uganda</w:t>
                            </w:r>
                            <w:r w:rsidRPr="00347756">
                              <w:rPr>
                                <w:noProof/>
                                <w:lang w:val="en-US"/>
                              </w:rPr>
                              <w:t xml:space="preserve"> </w:t>
                            </w:r>
                            <w:r w:rsidR="00505F3C">
                              <w:rPr>
                                <w:noProof/>
                                <w:lang w:eastAsia="en-GB"/>
                              </w:rPr>
                              <w:drawing>
                                <wp:inline distT="0" distB="0" distL="0" distR="0">
                                  <wp:extent cx="3942080" cy="2846705"/>
                                  <wp:effectExtent l="0" t="0" r="127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080" cy="28467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47.3pt;margin-top:.55pt;width:349.8pt;height:26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" fillcolor="window" strokecolor="windowText" strokeweight="1pt">
                <v:path arrowok="t"/>
                <v:textbox>
                  <w:txbxContent>
                    <w:p w:rsidR="00E6488A" w:rsidRPr="00B13A2F" w:rsidRDefault="00E6488A" w:rsidP="001C3946">
                      <w:pPr>
                        <w:jc w:val="center"/>
                        <w:rPr>
                          <w:color w:val="000000"/>
                        </w:rPr>
                      </w:pPr>
                      <w:r w:rsidRPr="00B13A2F">
                        <w:rPr>
                          <w:color w:val="000000"/>
                        </w:rPr>
                        <w:t>Annual co-financing obligation to GAVI in Uganda</w:t>
                      </w:r>
                      <w:r w:rsidRPr="00347756">
                        <w:rPr>
                          <w:noProof/>
                          <w:lang w:val="en-US"/>
                        </w:rPr>
                        <w:t xml:space="preserve"> </w:t>
                      </w:r>
                      <w:r w:rsidR="00505F3C">
                        <w:rPr>
                          <w:noProof/>
                          <w:lang w:eastAsia="en-GB"/>
                        </w:rPr>
                        <w:drawing>
                          <wp:inline distT="0" distB="0" distL="0" distR="0">
                            <wp:extent cx="3942080" cy="2846705"/>
                            <wp:effectExtent l="0" t="0" r="127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080" cy="2846705"/>
                                    </a:xfrm>
                                    <a:prstGeom prst="rect">
                                      <a:avLst/>
                                    </a:prstGeom>
                                    <a:noFill/>
                                    <a:ln>
                                      <a:noFill/>
                                    </a:ln>
                                  </pic:spPr>
                                </pic:pic>
                              </a:graphicData>
                            </a:graphic>
                          </wp:inline>
                        </w:drawing>
                      </w:r>
                    </w:p>
                  </w:txbxContent>
                </v:textbox>
              </v:rect>
            </w:pict>
          </mc:Fallback>
        </mc:AlternateContent>
      </w: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EF28C5" w:rsidRDefault="00EF28C5" w:rsidP="00734BA0">
      <w:pPr>
        <w:pStyle w:val="ListParagraph"/>
        <w:ind w:left="0"/>
        <w:rPr>
          <w:rFonts w:ascii="Arial" w:hAnsi="Arial"/>
          <w:sz w:val="18"/>
          <w:szCs w:val="18"/>
        </w:rPr>
      </w:pPr>
    </w:p>
    <w:p w:rsidR="0002156C" w:rsidRDefault="006321C4" w:rsidP="00734BA0">
      <w:pPr>
        <w:pStyle w:val="ListParagraph"/>
        <w:ind w:left="0"/>
        <w:rPr>
          <w:rFonts w:ascii="Arial" w:hAnsi="Arial"/>
          <w:sz w:val="18"/>
          <w:szCs w:val="18"/>
        </w:rPr>
      </w:pPr>
      <w:r>
        <w:rPr>
          <w:rFonts w:ascii="Arial" w:hAnsi="Arial"/>
          <w:sz w:val="18"/>
          <w:szCs w:val="18"/>
        </w:rPr>
        <w:t xml:space="preserve">In the </w:t>
      </w:r>
      <w:r w:rsidR="00EF28C5">
        <w:rPr>
          <w:rFonts w:ascii="Arial" w:hAnsi="Arial"/>
          <w:sz w:val="18"/>
          <w:szCs w:val="18"/>
        </w:rPr>
        <w:t>top</w:t>
      </w:r>
      <w:r>
        <w:rPr>
          <w:rFonts w:ascii="Arial" w:hAnsi="Arial"/>
          <w:sz w:val="18"/>
          <w:szCs w:val="18"/>
        </w:rPr>
        <w:t xml:space="preserve"> chart, the p</w:t>
      </w:r>
      <w:r w:rsidR="00347756" w:rsidRPr="00347756">
        <w:rPr>
          <w:rFonts w:ascii="Arial" w:hAnsi="Arial"/>
          <w:sz w:val="18"/>
          <w:szCs w:val="18"/>
        </w:rPr>
        <w:t>urple bar (GOU) is Uganda government contribution</w:t>
      </w:r>
      <w:r w:rsidR="003E3AFC">
        <w:rPr>
          <w:rFonts w:ascii="Arial" w:hAnsi="Arial"/>
          <w:sz w:val="18"/>
          <w:szCs w:val="18"/>
        </w:rPr>
        <w:t>, including shared costs for health worker salaries and the proportion of PHC grant funding going to immunization</w:t>
      </w:r>
      <w:r w:rsidR="003D0373">
        <w:rPr>
          <w:rFonts w:ascii="Arial" w:hAnsi="Arial"/>
          <w:sz w:val="18"/>
          <w:szCs w:val="18"/>
        </w:rPr>
        <w:t>.</w:t>
      </w:r>
      <w:r w:rsidR="001C3946">
        <w:rPr>
          <w:rStyle w:val="FootnoteReference"/>
          <w:rFonts w:ascii="Arial" w:hAnsi="Arial"/>
          <w:sz w:val="18"/>
          <w:szCs w:val="18"/>
        </w:rPr>
        <w:footnoteReference w:id="2"/>
      </w:r>
    </w:p>
    <w:p w:rsidR="00347756" w:rsidRPr="00066111" w:rsidRDefault="003D0373" w:rsidP="00734BA0">
      <w:pPr>
        <w:pStyle w:val="ListParagraph"/>
        <w:ind w:left="0"/>
        <w:rPr>
          <w:rFonts w:ascii="Arial" w:hAnsi="Arial"/>
          <w:sz w:val="18"/>
          <w:szCs w:val="18"/>
        </w:rPr>
      </w:pPr>
      <w:r>
        <w:rPr>
          <w:rFonts w:ascii="Arial" w:hAnsi="Arial"/>
          <w:sz w:val="18"/>
          <w:szCs w:val="18"/>
        </w:rPr>
        <w:t xml:space="preserve"> </w:t>
      </w:r>
    </w:p>
    <w:p w:rsidR="00AF3E7B" w:rsidRDefault="00C82C17" w:rsidP="00734BA0">
      <w:pPr>
        <w:pStyle w:val="ListParagraph"/>
        <w:ind w:left="0"/>
        <w:contextualSpacing w:val="0"/>
        <w:rPr>
          <w:rFonts w:ascii="Arial" w:hAnsi="Arial"/>
        </w:rPr>
      </w:pPr>
      <w:r>
        <w:rPr>
          <w:rFonts w:ascii="Arial" w:hAnsi="Arial"/>
        </w:rPr>
        <w:t>Funding for immunization at the local level comes from PHC grants from the central government, which must pay for all of the oper</w:t>
      </w:r>
      <w:r w:rsidR="00AF7C4D">
        <w:rPr>
          <w:rFonts w:ascii="Arial" w:hAnsi="Arial"/>
        </w:rPr>
        <w:t>ational costs of providing the National M</w:t>
      </w:r>
      <w:r>
        <w:rPr>
          <w:rFonts w:ascii="Arial" w:hAnsi="Arial"/>
        </w:rPr>
        <w:t xml:space="preserve">inimum </w:t>
      </w:r>
      <w:r w:rsidR="00AF7C4D">
        <w:rPr>
          <w:rFonts w:ascii="Arial" w:hAnsi="Arial"/>
        </w:rPr>
        <w:t>Health Care P</w:t>
      </w:r>
      <w:r>
        <w:rPr>
          <w:rFonts w:ascii="Arial" w:hAnsi="Arial"/>
        </w:rPr>
        <w:t xml:space="preserve">ackage, of which immunization is one component. </w:t>
      </w:r>
      <w:r w:rsidR="00E578A3">
        <w:rPr>
          <w:rFonts w:ascii="Arial" w:hAnsi="Arial"/>
        </w:rPr>
        <w:t xml:space="preserve">The grants </w:t>
      </w:r>
      <w:r w:rsidR="00BD72BB">
        <w:rPr>
          <w:rFonts w:ascii="Arial" w:hAnsi="Arial"/>
        </w:rPr>
        <w:t xml:space="preserve">are distributed to each district, but </w:t>
      </w:r>
      <w:r w:rsidR="00E578A3">
        <w:rPr>
          <w:rFonts w:ascii="Arial" w:hAnsi="Arial"/>
        </w:rPr>
        <w:t xml:space="preserve">do not have a fixed percentage allocated to immunization. </w:t>
      </w:r>
      <w:r w:rsidR="008062DF">
        <w:rPr>
          <w:rFonts w:ascii="Arial" w:hAnsi="Arial"/>
        </w:rPr>
        <w:t xml:space="preserve">PHC funding is considered inadequate and as a result, health facilities often lack funding for fuel to operate refrigerators and means of transport and fuel to pick up vaccines from district medical stores or to conduct outreach immunization activities. A lack of funding at the district </w:t>
      </w:r>
      <w:r w:rsidR="008062DF">
        <w:rPr>
          <w:rFonts w:ascii="Arial" w:hAnsi="Arial"/>
        </w:rPr>
        <w:lastRenderedPageBreak/>
        <w:t xml:space="preserve">level makes it difficult for EPI coordinators to conduct supervisory and monitoring visits, assist with RED/REC activities and the like. All of this can negatively affect immunization coverage and overall program performance. </w:t>
      </w:r>
    </w:p>
    <w:p w:rsidR="008062DF" w:rsidRDefault="008062DF" w:rsidP="00734BA0">
      <w:pPr>
        <w:pStyle w:val="ListParagraph"/>
        <w:ind w:left="0"/>
        <w:contextualSpacing w:val="0"/>
        <w:rPr>
          <w:rFonts w:ascii="Arial" w:hAnsi="Arial"/>
        </w:rPr>
      </w:pPr>
      <w:r>
        <w:rPr>
          <w:rFonts w:ascii="Arial" w:hAnsi="Arial"/>
        </w:rPr>
        <w:t>In the aim of mobilizing additional resources</w:t>
      </w:r>
      <w:r w:rsidR="00E578A3">
        <w:rPr>
          <w:rFonts w:ascii="Arial" w:hAnsi="Arial"/>
        </w:rPr>
        <w:t xml:space="preserve"> for immunization and to meet the Government’s growing co-financing obligations, an Immunization Fund is being established as part of the 2016 Immunization Act.  The Fund, currently being designed, will pool funds from the Government, donations and “voluntary contributions” to pay for “vaccines and related supplies, cold chain expenses and immunization outreach activities.” Its reported purpose will be to better protect immunization funding (including co-financing) through “ring-fencing” to prevent its diversion, and to mobilize new resources for immunization, including from private industries, such as telecommunications and pharmaceutical companies.</w:t>
      </w:r>
    </w:p>
    <w:p w:rsidR="00960450" w:rsidRPr="00960450" w:rsidRDefault="00960450" w:rsidP="00960450">
      <w:pPr>
        <w:rPr>
          <w:rFonts w:ascii="Arial" w:hAnsi="Arial"/>
        </w:rPr>
        <w:sectPr w:rsidR="00960450" w:rsidRPr="00960450" w:rsidSect="00734BA0">
          <w:footerReference w:type="default" r:id="rId11"/>
          <w:type w:val="continuous"/>
          <w:pgSz w:w="11906" w:h="16838"/>
          <w:pgMar w:top="1440" w:right="1440" w:bottom="1440" w:left="1440" w:header="709" w:footer="709" w:gutter="0"/>
          <w:cols w:space="708"/>
          <w:docGrid w:linePitch="360"/>
        </w:sectPr>
      </w:pPr>
    </w:p>
    <w:p w:rsidR="006F219F" w:rsidRDefault="006F219F" w:rsidP="006F219F">
      <w:pPr>
        <w:rPr>
          <w:rFonts w:ascii="Arial" w:hAnsi="Arial"/>
          <w:b/>
          <w:sz w:val="24"/>
        </w:rPr>
      </w:pPr>
      <w:r>
        <w:rPr>
          <w:rFonts w:ascii="Arial" w:hAnsi="Arial"/>
          <w:b/>
          <w:sz w:val="24"/>
        </w:rPr>
        <w:lastRenderedPageBreak/>
        <w:t>ANNEX: Country immunization profile</w:t>
      </w:r>
    </w:p>
    <w:p w:rsidR="00E6488A" w:rsidRPr="00F01C3B" w:rsidRDefault="006F219F" w:rsidP="00492F98">
      <w:pPr>
        <w:pStyle w:val="ListParagraph"/>
        <w:numPr>
          <w:ilvl w:val="0"/>
          <w:numId w:val="4"/>
        </w:numPr>
        <w:rPr>
          <w:rFonts w:ascii="Arial" w:hAnsi="Arial"/>
        </w:rPr>
      </w:pPr>
      <w:r>
        <w:t xml:space="preserve">% of total expenditures on vaccines financed by government funds: </w:t>
      </w:r>
      <w:r w:rsidR="00097B01">
        <w:t>15</w:t>
      </w:r>
      <w:r>
        <w:t>%</w:t>
      </w:r>
    </w:p>
    <w:sectPr w:rsidR="00E6488A" w:rsidRPr="00F01C3B" w:rsidSect="0063487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7E4" w:rsidRDefault="004C57E4">
      <w:pPr>
        <w:spacing w:after="0" w:line="240" w:lineRule="auto"/>
      </w:pPr>
      <w:r>
        <w:separator/>
      </w:r>
    </w:p>
  </w:endnote>
  <w:endnote w:type="continuationSeparator" w:id="0">
    <w:p w:rsidR="004C57E4" w:rsidRDefault="004C5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88A" w:rsidRDefault="00E6488A">
    <w:pPr>
      <w:pStyle w:val="Footer"/>
      <w:jc w:val="center"/>
    </w:pPr>
    <w:r>
      <w:fldChar w:fldCharType="begin"/>
    </w:r>
    <w:r>
      <w:instrText xml:space="preserve"> PAGE   \* MERGEFORMAT </w:instrText>
    </w:r>
    <w:r>
      <w:fldChar w:fldCharType="separate"/>
    </w:r>
    <w:r w:rsidR="00505F3C">
      <w:rPr>
        <w:noProof/>
      </w:rPr>
      <w:t>1</w:t>
    </w:r>
    <w:r>
      <w:rPr>
        <w:noProof/>
      </w:rPr>
      <w:fldChar w:fldCharType="end"/>
    </w:r>
  </w:p>
  <w:p w:rsidR="00E6488A" w:rsidRDefault="00E6488A" w:rsidP="00641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7E4" w:rsidRDefault="004C57E4">
      <w:pPr>
        <w:spacing w:after="0" w:line="240" w:lineRule="auto"/>
      </w:pPr>
      <w:r>
        <w:separator/>
      </w:r>
    </w:p>
  </w:footnote>
  <w:footnote w:type="continuationSeparator" w:id="0">
    <w:p w:rsidR="004C57E4" w:rsidRDefault="004C57E4">
      <w:pPr>
        <w:spacing w:after="0" w:line="240" w:lineRule="auto"/>
      </w:pPr>
      <w:r>
        <w:continuationSeparator/>
      </w:r>
    </w:p>
  </w:footnote>
  <w:footnote w:id="1">
    <w:p w:rsidR="006321C4" w:rsidRPr="00F31093" w:rsidRDefault="006321C4">
      <w:pPr>
        <w:pStyle w:val="FootnoteText"/>
      </w:pPr>
      <w:r>
        <w:rPr>
          <w:rStyle w:val="FootnoteReference"/>
        </w:rPr>
        <w:footnoteRef/>
      </w:r>
      <w:r>
        <w:t xml:space="preserve"> </w:t>
      </w:r>
      <w:r w:rsidRPr="00F31093">
        <w:t>Uganda Comprehensive EPI, Surveillance, Immunization Financing Review and Post-introduction Evaluation of Pneumococcal vaccine, 23 Feb – 6 March 2015.</w:t>
      </w:r>
    </w:p>
  </w:footnote>
  <w:footnote w:id="2">
    <w:p w:rsidR="00E6488A" w:rsidRPr="00066111" w:rsidRDefault="00E6488A" w:rsidP="00066111">
      <w:pPr>
        <w:pStyle w:val="ListParagraph"/>
        <w:ind w:left="0"/>
        <w:rPr>
          <w:rFonts w:ascii="Arial" w:hAnsi="Arial"/>
          <w:sz w:val="18"/>
          <w:szCs w:val="18"/>
        </w:rPr>
      </w:pPr>
      <w:r w:rsidRPr="00F31093">
        <w:rPr>
          <w:rStyle w:val="FootnoteReference"/>
          <w:sz w:val="20"/>
          <w:szCs w:val="20"/>
        </w:rPr>
        <w:footnoteRef/>
      </w:r>
      <w:r w:rsidRPr="00F31093">
        <w:rPr>
          <w:sz w:val="20"/>
          <w:szCs w:val="20"/>
        </w:rPr>
        <w:t xml:space="preserve"> </w:t>
      </w:r>
      <w:r w:rsidRPr="00F31093">
        <w:rPr>
          <w:sz w:val="20"/>
          <w:szCs w:val="20"/>
          <w:lang w:val="en-US"/>
        </w:rPr>
        <w:t xml:space="preserve">Sources: </w:t>
      </w:r>
      <w:r w:rsidRPr="00F31093">
        <w:rPr>
          <w:sz w:val="20"/>
          <w:szCs w:val="20"/>
        </w:rPr>
        <w:t>Resource Tracking for Immunization in Uganda, 2013/14, Full Country Evaluation brief,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BCA"/>
    <w:multiLevelType w:val="hybridMultilevel"/>
    <w:tmpl w:val="60F29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DD3098"/>
    <w:multiLevelType w:val="hybridMultilevel"/>
    <w:tmpl w:val="F3E8D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9FF2851"/>
    <w:multiLevelType w:val="hybridMultilevel"/>
    <w:tmpl w:val="EB5A7962"/>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E73830"/>
    <w:multiLevelType w:val="hybridMultilevel"/>
    <w:tmpl w:val="95BE387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A3E5941"/>
    <w:multiLevelType w:val="multilevel"/>
    <w:tmpl w:val="A5A4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AE3068E"/>
    <w:multiLevelType w:val="multilevel"/>
    <w:tmpl w:val="417A48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3A0448"/>
    <w:multiLevelType w:val="hybridMultilevel"/>
    <w:tmpl w:val="BBAC69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3055F6"/>
    <w:multiLevelType w:val="hybridMultilevel"/>
    <w:tmpl w:val="1E0AAD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5309A"/>
    <w:multiLevelType w:val="hybridMultilevel"/>
    <w:tmpl w:val="6C1CFB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D5180B"/>
    <w:multiLevelType w:val="hybridMultilevel"/>
    <w:tmpl w:val="AAA283B2"/>
    <w:lvl w:ilvl="0" w:tplc="10421B90">
      <w:numFmt w:val="bullet"/>
      <w:lvlText w:val="-"/>
      <w:lvlJc w:val="left"/>
      <w:pPr>
        <w:ind w:left="1080" w:hanging="360"/>
      </w:pPr>
      <w:rPr>
        <w:rFonts w:ascii="Arial" w:eastAsia="Calibr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3AA214CF"/>
    <w:multiLevelType w:val="hybridMultilevel"/>
    <w:tmpl w:val="DBBEA9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22">
    <w:nsid w:val="4B960D6B"/>
    <w:multiLevelType w:val="hybridMultilevel"/>
    <w:tmpl w:val="F8A221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4">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B050937"/>
    <w:multiLevelType w:val="hybridMultilevel"/>
    <w:tmpl w:val="7004DC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12109B1"/>
    <w:multiLevelType w:val="hybridMultilevel"/>
    <w:tmpl w:val="CC8E0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44C4D"/>
    <w:multiLevelType w:val="multilevel"/>
    <w:tmpl w:val="D122A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31">
    <w:nsid w:val="665D4B37"/>
    <w:multiLevelType w:val="hybridMultilevel"/>
    <w:tmpl w:val="A5C047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8C7A5B"/>
    <w:multiLevelType w:val="multilevel"/>
    <w:tmpl w:val="900EF6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24A5E1E"/>
    <w:multiLevelType w:val="multilevel"/>
    <w:tmpl w:val="C11AAA4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35">
    <w:nsid w:val="750809DB"/>
    <w:multiLevelType w:val="hybridMultilevel"/>
    <w:tmpl w:val="A34C09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716A93"/>
    <w:multiLevelType w:val="multilevel"/>
    <w:tmpl w:val="C46CE1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9">
    <w:nsid w:val="7E2B1B49"/>
    <w:multiLevelType w:val="hybridMultilevel"/>
    <w:tmpl w:val="D5048F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5"/>
  </w:num>
  <w:num w:numId="4">
    <w:abstractNumId w:val="16"/>
  </w:num>
  <w:num w:numId="5">
    <w:abstractNumId w:val="26"/>
  </w:num>
  <w:num w:numId="6">
    <w:abstractNumId w:val="3"/>
  </w:num>
  <w:num w:numId="7">
    <w:abstractNumId w:val="9"/>
  </w:num>
  <w:num w:numId="8">
    <w:abstractNumId w:val="24"/>
  </w:num>
  <w:num w:numId="9">
    <w:abstractNumId w:val="7"/>
  </w:num>
  <w:num w:numId="10">
    <w:abstractNumId w:val="37"/>
  </w:num>
  <w:num w:numId="11">
    <w:abstractNumId w:val="34"/>
  </w:num>
  <w:num w:numId="12">
    <w:abstractNumId w:val="21"/>
  </w:num>
  <w:num w:numId="13">
    <w:abstractNumId w:val="30"/>
  </w:num>
  <w:num w:numId="14">
    <w:abstractNumId w:val="23"/>
  </w:num>
  <w:num w:numId="15">
    <w:abstractNumId w:val="38"/>
  </w:num>
  <w:num w:numId="16">
    <w:abstractNumId w:val="15"/>
  </w:num>
  <w:num w:numId="17">
    <w:abstractNumId w:val="25"/>
  </w:num>
  <w:num w:numId="18">
    <w:abstractNumId w:val="18"/>
  </w:num>
  <w:num w:numId="19">
    <w:abstractNumId w:val="40"/>
  </w:num>
  <w:num w:numId="20">
    <w:abstractNumId w:val="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9"/>
  </w:num>
  <w:num w:numId="25">
    <w:abstractNumId w:val="20"/>
  </w:num>
  <w:num w:numId="26">
    <w:abstractNumId w:val="31"/>
  </w:num>
  <w:num w:numId="27">
    <w:abstractNumId w:val="14"/>
  </w:num>
  <w:num w:numId="28">
    <w:abstractNumId w:val="4"/>
  </w:num>
  <w:num w:numId="29">
    <w:abstractNumId w:val="8"/>
  </w:num>
  <w:num w:numId="30">
    <w:abstractNumId w:val="27"/>
  </w:num>
  <w:num w:numId="31">
    <w:abstractNumId w:val="13"/>
  </w:num>
  <w:num w:numId="32">
    <w:abstractNumId w:val="11"/>
  </w:num>
  <w:num w:numId="33">
    <w:abstractNumId w:val="29"/>
  </w:num>
  <w:num w:numId="34">
    <w:abstractNumId w:val="28"/>
  </w:num>
  <w:num w:numId="35">
    <w:abstractNumId w:val="22"/>
  </w:num>
  <w:num w:numId="36">
    <w:abstractNumId w:val="35"/>
  </w:num>
  <w:num w:numId="37">
    <w:abstractNumId w:val="0"/>
  </w:num>
  <w:num w:numId="38">
    <w:abstractNumId w:val="36"/>
  </w:num>
  <w:num w:numId="39">
    <w:abstractNumId w:val="33"/>
  </w:num>
  <w:num w:numId="40">
    <w:abstractNumId w:val="1"/>
  </w:num>
  <w:num w:numId="41">
    <w:abstractNumId w:val="12"/>
  </w:num>
  <w:num w:numId="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05239"/>
    <w:rsid w:val="0002156C"/>
    <w:rsid w:val="00052693"/>
    <w:rsid w:val="0006192C"/>
    <w:rsid w:val="00066111"/>
    <w:rsid w:val="0007442D"/>
    <w:rsid w:val="00090336"/>
    <w:rsid w:val="00096E70"/>
    <w:rsid w:val="00097B01"/>
    <w:rsid w:val="000A4394"/>
    <w:rsid w:val="000C2C44"/>
    <w:rsid w:val="000D6892"/>
    <w:rsid w:val="000E3D3E"/>
    <w:rsid w:val="001067B7"/>
    <w:rsid w:val="00163179"/>
    <w:rsid w:val="0018360B"/>
    <w:rsid w:val="00192CE6"/>
    <w:rsid w:val="001B0097"/>
    <w:rsid w:val="001B541B"/>
    <w:rsid w:val="001C1193"/>
    <w:rsid w:val="001C1E4D"/>
    <w:rsid w:val="001C3946"/>
    <w:rsid w:val="001C5026"/>
    <w:rsid w:val="001F2D8D"/>
    <w:rsid w:val="001F695A"/>
    <w:rsid w:val="00211848"/>
    <w:rsid w:val="002258E3"/>
    <w:rsid w:val="002327A5"/>
    <w:rsid w:val="00232D9A"/>
    <w:rsid w:val="002654C3"/>
    <w:rsid w:val="00267F0A"/>
    <w:rsid w:val="002716CC"/>
    <w:rsid w:val="0027368A"/>
    <w:rsid w:val="0028043B"/>
    <w:rsid w:val="002818D0"/>
    <w:rsid w:val="00281CEF"/>
    <w:rsid w:val="00292589"/>
    <w:rsid w:val="002B3BCF"/>
    <w:rsid w:val="002B73D6"/>
    <w:rsid w:val="002C0BCF"/>
    <w:rsid w:val="002C65B5"/>
    <w:rsid w:val="002D3347"/>
    <w:rsid w:val="002D3C3D"/>
    <w:rsid w:val="002D61F5"/>
    <w:rsid w:val="002D762A"/>
    <w:rsid w:val="002F1749"/>
    <w:rsid w:val="002F20C9"/>
    <w:rsid w:val="00347756"/>
    <w:rsid w:val="00354BF5"/>
    <w:rsid w:val="00357361"/>
    <w:rsid w:val="00365AB4"/>
    <w:rsid w:val="00370616"/>
    <w:rsid w:val="00371B50"/>
    <w:rsid w:val="00373BA5"/>
    <w:rsid w:val="00385AF1"/>
    <w:rsid w:val="003B4E55"/>
    <w:rsid w:val="003B6F84"/>
    <w:rsid w:val="003D0373"/>
    <w:rsid w:val="003D0BC3"/>
    <w:rsid w:val="003D24BB"/>
    <w:rsid w:val="003D6679"/>
    <w:rsid w:val="003E30EC"/>
    <w:rsid w:val="003E3AFC"/>
    <w:rsid w:val="003F4825"/>
    <w:rsid w:val="004013B6"/>
    <w:rsid w:val="00412E93"/>
    <w:rsid w:val="00413925"/>
    <w:rsid w:val="00432B70"/>
    <w:rsid w:val="004333B5"/>
    <w:rsid w:val="00436537"/>
    <w:rsid w:val="00441EDC"/>
    <w:rsid w:val="00457E0A"/>
    <w:rsid w:val="00460FC0"/>
    <w:rsid w:val="004826EF"/>
    <w:rsid w:val="00492F98"/>
    <w:rsid w:val="004A0122"/>
    <w:rsid w:val="004A203B"/>
    <w:rsid w:val="004A394A"/>
    <w:rsid w:val="004B1494"/>
    <w:rsid w:val="004B1E23"/>
    <w:rsid w:val="004B5B75"/>
    <w:rsid w:val="004C353D"/>
    <w:rsid w:val="004C57E4"/>
    <w:rsid w:val="004C6880"/>
    <w:rsid w:val="004D307D"/>
    <w:rsid w:val="004F4D18"/>
    <w:rsid w:val="004F6777"/>
    <w:rsid w:val="00500171"/>
    <w:rsid w:val="005002BB"/>
    <w:rsid w:val="0050564C"/>
    <w:rsid w:val="00505F3C"/>
    <w:rsid w:val="005133F8"/>
    <w:rsid w:val="00513BF2"/>
    <w:rsid w:val="00522DB6"/>
    <w:rsid w:val="00530FEA"/>
    <w:rsid w:val="00532476"/>
    <w:rsid w:val="00534013"/>
    <w:rsid w:val="00572AD9"/>
    <w:rsid w:val="005737AD"/>
    <w:rsid w:val="0057783D"/>
    <w:rsid w:val="0058000D"/>
    <w:rsid w:val="00586763"/>
    <w:rsid w:val="00591618"/>
    <w:rsid w:val="005B6B29"/>
    <w:rsid w:val="005C6F1C"/>
    <w:rsid w:val="005D52E5"/>
    <w:rsid w:val="005F0283"/>
    <w:rsid w:val="005F74EB"/>
    <w:rsid w:val="00600D0F"/>
    <w:rsid w:val="006321C4"/>
    <w:rsid w:val="00634879"/>
    <w:rsid w:val="0063770B"/>
    <w:rsid w:val="006410AE"/>
    <w:rsid w:val="00641572"/>
    <w:rsid w:val="00641AEE"/>
    <w:rsid w:val="00677182"/>
    <w:rsid w:val="006842AB"/>
    <w:rsid w:val="00696E6A"/>
    <w:rsid w:val="006A05E4"/>
    <w:rsid w:val="006A269E"/>
    <w:rsid w:val="006A4380"/>
    <w:rsid w:val="006C334B"/>
    <w:rsid w:val="006C5F9A"/>
    <w:rsid w:val="006D0B40"/>
    <w:rsid w:val="006D7CA5"/>
    <w:rsid w:val="006F2132"/>
    <w:rsid w:val="006F219F"/>
    <w:rsid w:val="007033F7"/>
    <w:rsid w:val="00716827"/>
    <w:rsid w:val="00724435"/>
    <w:rsid w:val="00734BA0"/>
    <w:rsid w:val="0076408F"/>
    <w:rsid w:val="00767749"/>
    <w:rsid w:val="00767A52"/>
    <w:rsid w:val="007709E9"/>
    <w:rsid w:val="00770EEA"/>
    <w:rsid w:val="00774C59"/>
    <w:rsid w:val="00782C2A"/>
    <w:rsid w:val="0079008F"/>
    <w:rsid w:val="00797196"/>
    <w:rsid w:val="007A3008"/>
    <w:rsid w:val="007A35F6"/>
    <w:rsid w:val="007A48F9"/>
    <w:rsid w:val="007B053A"/>
    <w:rsid w:val="007B7B71"/>
    <w:rsid w:val="007C10B9"/>
    <w:rsid w:val="007C2400"/>
    <w:rsid w:val="007C5F79"/>
    <w:rsid w:val="007D16A4"/>
    <w:rsid w:val="007D2844"/>
    <w:rsid w:val="007D2AA9"/>
    <w:rsid w:val="007D3409"/>
    <w:rsid w:val="007D7DC8"/>
    <w:rsid w:val="007E0DEE"/>
    <w:rsid w:val="007E1D0A"/>
    <w:rsid w:val="007E50D9"/>
    <w:rsid w:val="007E5C55"/>
    <w:rsid w:val="007F0729"/>
    <w:rsid w:val="00805389"/>
    <w:rsid w:val="008053B7"/>
    <w:rsid w:val="008062DF"/>
    <w:rsid w:val="008105B2"/>
    <w:rsid w:val="00812E29"/>
    <w:rsid w:val="00824C6B"/>
    <w:rsid w:val="00825812"/>
    <w:rsid w:val="0083568C"/>
    <w:rsid w:val="00835BBC"/>
    <w:rsid w:val="00856B69"/>
    <w:rsid w:val="00862516"/>
    <w:rsid w:val="00863F77"/>
    <w:rsid w:val="00865907"/>
    <w:rsid w:val="00883C0A"/>
    <w:rsid w:val="00894DF4"/>
    <w:rsid w:val="008A1C67"/>
    <w:rsid w:val="008A70DC"/>
    <w:rsid w:val="008A7BEC"/>
    <w:rsid w:val="008B3034"/>
    <w:rsid w:val="008C1347"/>
    <w:rsid w:val="008C64BB"/>
    <w:rsid w:val="008E4926"/>
    <w:rsid w:val="008E7AA0"/>
    <w:rsid w:val="008F4F49"/>
    <w:rsid w:val="008F69E2"/>
    <w:rsid w:val="009318B8"/>
    <w:rsid w:val="00933AAE"/>
    <w:rsid w:val="009563E8"/>
    <w:rsid w:val="00960450"/>
    <w:rsid w:val="0098010F"/>
    <w:rsid w:val="009A5026"/>
    <w:rsid w:val="009B091D"/>
    <w:rsid w:val="009C09D8"/>
    <w:rsid w:val="009C5F7F"/>
    <w:rsid w:val="009D32E5"/>
    <w:rsid w:val="009E1E59"/>
    <w:rsid w:val="009E5202"/>
    <w:rsid w:val="009E5E09"/>
    <w:rsid w:val="00A11AC1"/>
    <w:rsid w:val="00A1775D"/>
    <w:rsid w:val="00A233ED"/>
    <w:rsid w:val="00A44D74"/>
    <w:rsid w:val="00A56EBF"/>
    <w:rsid w:val="00A75FEA"/>
    <w:rsid w:val="00A77C6F"/>
    <w:rsid w:val="00A821A2"/>
    <w:rsid w:val="00AA67AB"/>
    <w:rsid w:val="00AB1003"/>
    <w:rsid w:val="00AE11AD"/>
    <w:rsid w:val="00AE5D37"/>
    <w:rsid w:val="00AE7557"/>
    <w:rsid w:val="00AF31C8"/>
    <w:rsid w:val="00AF3E7B"/>
    <w:rsid w:val="00AF7C4D"/>
    <w:rsid w:val="00B11D26"/>
    <w:rsid w:val="00B13423"/>
    <w:rsid w:val="00B13A2F"/>
    <w:rsid w:val="00B17114"/>
    <w:rsid w:val="00B218CC"/>
    <w:rsid w:val="00B37105"/>
    <w:rsid w:val="00B4470F"/>
    <w:rsid w:val="00B61247"/>
    <w:rsid w:val="00BA2589"/>
    <w:rsid w:val="00BB5F62"/>
    <w:rsid w:val="00BC039B"/>
    <w:rsid w:val="00BC6904"/>
    <w:rsid w:val="00BC6E1F"/>
    <w:rsid w:val="00BD25D9"/>
    <w:rsid w:val="00BD47CC"/>
    <w:rsid w:val="00BD72BB"/>
    <w:rsid w:val="00BE3AFD"/>
    <w:rsid w:val="00BF14CF"/>
    <w:rsid w:val="00BF4CFA"/>
    <w:rsid w:val="00C000F1"/>
    <w:rsid w:val="00C03FFE"/>
    <w:rsid w:val="00C15E8C"/>
    <w:rsid w:val="00C2602F"/>
    <w:rsid w:val="00C27BB5"/>
    <w:rsid w:val="00C400A7"/>
    <w:rsid w:val="00C679C0"/>
    <w:rsid w:val="00C67C9D"/>
    <w:rsid w:val="00C8156B"/>
    <w:rsid w:val="00C82C17"/>
    <w:rsid w:val="00C95CCD"/>
    <w:rsid w:val="00CA4529"/>
    <w:rsid w:val="00CA465F"/>
    <w:rsid w:val="00CA4698"/>
    <w:rsid w:val="00CA7D81"/>
    <w:rsid w:val="00CC7611"/>
    <w:rsid w:val="00CD1366"/>
    <w:rsid w:val="00CD3FD9"/>
    <w:rsid w:val="00CF0E45"/>
    <w:rsid w:val="00CF23E9"/>
    <w:rsid w:val="00D00342"/>
    <w:rsid w:val="00D00DC6"/>
    <w:rsid w:val="00D0293C"/>
    <w:rsid w:val="00D05442"/>
    <w:rsid w:val="00D151A4"/>
    <w:rsid w:val="00D17551"/>
    <w:rsid w:val="00D27E92"/>
    <w:rsid w:val="00D30DD8"/>
    <w:rsid w:val="00D732C7"/>
    <w:rsid w:val="00D9435D"/>
    <w:rsid w:val="00D9563B"/>
    <w:rsid w:val="00DB46DE"/>
    <w:rsid w:val="00DB7347"/>
    <w:rsid w:val="00DC3E5F"/>
    <w:rsid w:val="00DC5960"/>
    <w:rsid w:val="00DC6AC7"/>
    <w:rsid w:val="00DD2B4F"/>
    <w:rsid w:val="00E11B99"/>
    <w:rsid w:val="00E1686A"/>
    <w:rsid w:val="00E2660D"/>
    <w:rsid w:val="00E3004C"/>
    <w:rsid w:val="00E3264D"/>
    <w:rsid w:val="00E34D87"/>
    <w:rsid w:val="00E37109"/>
    <w:rsid w:val="00E5103C"/>
    <w:rsid w:val="00E578A3"/>
    <w:rsid w:val="00E6488A"/>
    <w:rsid w:val="00E72094"/>
    <w:rsid w:val="00E86411"/>
    <w:rsid w:val="00E935C8"/>
    <w:rsid w:val="00E963B9"/>
    <w:rsid w:val="00EA1528"/>
    <w:rsid w:val="00EC5704"/>
    <w:rsid w:val="00EC678F"/>
    <w:rsid w:val="00ED0BD7"/>
    <w:rsid w:val="00EE1233"/>
    <w:rsid w:val="00EE1747"/>
    <w:rsid w:val="00EF28C5"/>
    <w:rsid w:val="00F01C3B"/>
    <w:rsid w:val="00F06C80"/>
    <w:rsid w:val="00F1695C"/>
    <w:rsid w:val="00F215A2"/>
    <w:rsid w:val="00F31093"/>
    <w:rsid w:val="00F41E81"/>
    <w:rsid w:val="00F539CA"/>
    <w:rsid w:val="00F577A7"/>
    <w:rsid w:val="00F63D60"/>
    <w:rsid w:val="00F76419"/>
    <w:rsid w:val="00F81B65"/>
    <w:rsid w:val="00F85BA5"/>
    <w:rsid w:val="00F9232C"/>
    <w:rsid w:val="00F96B80"/>
    <w:rsid w:val="00FB6476"/>
    <w:rsid w:val="00FD688B"/>
    <w:rsid w:val="00FD74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3530">
      <w:bodyDiv w:val="1"/>
      <w:marLeft w:val="0"/>
      <w:marRight w:val="0"/>
      <w:marTop w:val="0"/>
      <w:marBottom w:val="0"/>
      <w:divBdr>
        <w:top w:val="none" w:sz="0" w:space="0" w:color="auto"/>
        <w:left w:val="none" w:sz="0" w:space="0" w:color="auto"/>
        <w:bottom w:val="none" w:sz="0" w:space="0" w:color="auto"/>
        <w:right w:val="none" w:sz="0" w:space="0" w:color="auto"/>
      </w:divBdr>
    </w:div>
    <w:div w:id="479274181">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599725068">
      <w:bodyDiv w:val="1"/>
      <w:marLeft w:val="0"/>
      <w:marRight w:val="0"/>
      <w:marTop w:val="0"/>
      <w:marBottom w:val="0"/>
      <w:divBdr>
        <w:top w:val="none" w:sz="0" w:space="0" w:color="auto"/>
        <w:left w:val="none" w:sz="0" w:space="0" w:color="auto"/>
        <w:bottom w:val="none" w:sz="0" w:space="0" w:color="auto"/>
        <w:right w:val="none" w:sz="0" w:space="0" w:color="auto"/>
      </w:divBdr>
      <w:divsChild>
        <w:div w:id="224100292">
          <w:marLeft w:val="0"/>
          <w:marRight w:val="0"/>
          <w:marTop w:val="0"/>
          <w:marBottom w:val="0"/>
          <w:divBdr>
            <w:top w:val="none" w:sz="0" w:space="0" w:color="auto"/>
            <w:left w:val="none" w:sz="0" w:space="0" w:color="auto"/>
            <w:bottom w:val="none" w:sz="0" w:space="0" w:color="auto"/>
            <w:right w:val="none" w:sz="0" w:space="0" w:color="auto"/>
          </w:divBdr>
        </w:div>
        <w:div w:id="287786343">
          <w:marLeft w:val="0"/>
          <w:marRight w:val="0"/>
          <w:marTop w:val="0"/>
          <w:marBottom w:val="0"/>
          <w:divBdr>
            <w:top w:val="none" w:sz="0" w:space="0" w:color="auto"/>
            <w:left w:val="none" w:sz="0" w:space="0" w:color="auto"/>
            <w:bottom w:val="none" w:sz="0" w:space="0" w:color="auto"/>
            <w:right w:val="none" w:sz="0" w:space="0" w:color="auto"/>
          </w:divBdr>
        </w:div>
        <w:div w:id="345906336">
          <w:marLeft w:val="0"/>
          <w:marRight w:val="0"/>
          <w:marTop w:val="0"/>
          <w:marBottom w:val="0"/>
          <w:divBdr>
            <w:top w:val="none" w:sz="0" w:space="0" w:color="auto"/>
            <w:left w:val="none" w:sz="0" w:space="0" w:color="auto"/>
            <w:bottom w:val="none" w:sz="0" w:space="0" w:color="auto"/>
            <w:right w:val="none" w:sz="0" w:space="0" w:color="auto"/>
          </w:divBdr>
        </w:div>
        <w:div w:id="424228582">
          <w:marLeft w:val="0"/>
          <w:marRight w:val="0"/>
          <w:marTop w:val="0"/>
          <w:marBottom w:val="0"/>
          <w:divBdr>
            <w:top w:val="none" w:sz="0" w:space="0" w:color="auto"/>
            <w:left w:val="none" w:sz="0" w:space="0" w:color="auto"/>
            <w:bottom w:val="none" w:sz="0" w:space="0" w:color="auto"/>
            <w:right w:val="none" w:sz="0" w:space="0" w:color="auto"/>
          </w:divBdr>
        </w:div>
        <w:div w:id="764106792">
          <w:marLeft w:val="0"/>
          <w:marRight w:val="0"/>
          <w:marTop w:val="0"/>
          <w:marBottom w:val="0"/>
          <w:divBdr>
            <w:top w:val="none" w:sz="0" w:space="0" w:color="auto"/>
            <w:left w:val="none" w:sz="0" w:space="0" w:color="auto"/>
            <w:bottom w:val="none" w:sz="0" w:space="0" w:color="auto"/>
            <w:right w:val="none" w:sz="0" w:space="0" w:color="auto"/>
          </w:divBdr>
        </w:div>
        <w:div w:id="988099662">
          <w:marLeft w:val="0"/>
          <w:marRight w:val="0"/>
          <w:marTop w:val="0"/>
          <w:marBottom w:val="0"/>
          <w:divBdr>
            <w:top w:val="none" w:sz="0" w:space="0" w:color="auto"/>
            <w:left w:val="none" w:sz="0" w:space="0" w:color="auto"/>
            <w:bottom w:val="none" w:sz="0" w:space="0" w:color="auto"/>
            <w:right w:val="none" w:sz="0" w:space="0" w:color="auto"/>
          </w:divBdr>
        </w:div>
        <w:div w:id="1054112521">
          <w:marLeft w:val="0"/>
          <w:marRight w:val="0"/>
          <w:marTop w:val="0"/>
          <w:marBottom w:val="0"/>
          <w:divBdr>
            <w:top w:val="none" w:sz="0" w:space="0" w:color="auto"/>
            <w:left w:val="none" w:sz="0" w:space="0" w:color="auto"/>
            <w:bottom w:val="none" w:sz="0" w:space="0" w:color="auto"/>
            <w:right w:val="none" w:sz="0" w:space="0" w:color="auto"/>
          </w:divBdr>
        </w:div>
        <w:div w:id="1193763961">
          <w:marLeft w:val="0"/>
          <w:marRight w:val="0"/>
          <w:marTop w:val="0"/>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484076944">
      <w:bodyDiv w:val="1"/>
      <w:marLeft w:val="0"/>
      <w:marRight w:val="0"/>
      <w:marTop w:val="0"/>
      <w:marBottom w:val="0"/>
      <w:divBdr>
        <w:top w:val="none" w:sz="0" w:space="0" w:color="auto"/>
        <w:left w:val="none" w:sz="0" w:space="0" w:color="auto"/>
        <w:bottom w:val="none" w:sz="0" w:space="0" w:color="auto"/>
        <w:right w:val="none" w:sz="0" w:space="0" w:color="auto"/>
      </w:divBdr>
      <w:divsChild>
        <w:div w:id="406656945">
          <w:marLeft w:val="0"/>
          <w:marRight w:val="0"/>
          <w:marTop w:val="0"/>
          <w:marBottom w:val="0"/>
          <w:divBdr>
            <w:top w:val="none" w:sz="0" w:space="0" w:color="auto"/>
            <w:left w:val="none" w:sz="0" w:space="0" w:color="auto"/>
            <w:bottom w:val="none" w:sz="0" w:space="0" w:color="auto"/>
            <w:right w:val="none" w:sz="0" w:space="0" w:color="auto"/>
          </w:divBdr>
        </w:div>
        <w:div w:id="1775131186">
          <w:marLeft w:val="0"/>
          <w:marRight w:val="0"/>
          <w:marTop w:val="0"/>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8560774">
      <w:bodyDiv w:val="1"/>
      <w:marLeft w:val="0"/>
      <w:marRight w:val="0"/>
      <w:marTop w:val="0"/>
      <w:marBottom w:val="0"/>
      <w:divBdr>
        <w:top w:val="none" w:sz="0" w:space="0" w:color="auto"/>
        <w:left w:val="none" w:sz="0" w:space="0" w:color="auto"/>
        <w:bottom w:val="none" w:sz="0" w:space="0" w:color="auto"/>
        <w:right w:val="none" w:sz="0" w:space="0" w:color="auto"/>
      </w:divBdr>
    </w:div>
    <w:div w:id="2012104710">
      <w:bodyDiv w:val="1"/>
      <w:marLeft w:val="0"/>
      <w:marRight w:val="0"/>
      <w:marTop w:val="0"/>
      <w:marBottom w:val="0"/>
      <w:divBdr>
        <w:top w:val="none" w:sz="0" w:space="0" w:color="auto"/>
        <w:left w:val="none" w:sz="0" w:space="0" w:color="auto"/>
        <w:bottom w:val="none" w:sz="0" w:space="0" w:color="auto"/>
        <w:right w:val="none" w:sz="0" w:space="0" w:color="auto"/>
      </w:divBdr>
      <w:divsChild>
        <w:div w:id="197591574">
          <w:marLeft w:val="0"/>
          <w:marRight w:val="0"/>
          <w:marTop w:val="0"/>
          <w:marBottom w:val="0"/>
          <w:divBdr>
            <w:top w:val="none" w:sz="0" w:space="0" w:color="auto"/>
            <w:left w:val="none" w:sz="0" w:space="0" w:color="auto"/>
            <w:bottom w:val="none" w:sz="0" w:space="0" w:color="auto"/>
            <w:right w:val="none" w:sz="0" w:space="0" w:color="auto"/>
          </w:divBdr>
        </w:div>
        <w:div w:id="238447066">
          <w:marLeft w:val="0"/>
          <w:marRight w:val="0"/>
          <w:marTop w:val="0"/>
          <w:marBottom w:val="0"/>
          <w:divBdr>
            <w:top w:val="none" w:sz="0" w:space="0" w:color="auto"/>
            <w:left w:val="none" w:sz="0" w:space="0" w:color="auto"/>
            <w:bottom w:val="none" w:sz="0" w:space="0" w:color="auto"/>
            <w:right w:val="none" w:sz="0" w:space="0" w:color="auto"/>
          </w:divBdr>
        </w:div>
        <w:div w:id="266012378">
          <w:marLeft w:val="0"/>
          <w:marRight w:val="0"/>
          <w:marTop w:val="0"/>
          <w:marBottom w:val="0"/>
          <w:divBdr>
            <w:top w:val="none" w:sz="0" w:space="0" w:color="auto"/>
            <w:left w:val="none" w:sz="0" w:space="0" w:color="auto"/>
            <w:bottom w:val="none" w:sz="0" w:space="0" w:color="auto"/>
            <w:right w:val="none" w:sz="0" w:space="0" w:color="auto"/>
          </w:divBdr>
        </w:div>
        <w:div w:id="541287128">
          <w:marLeft w:val="0"/>
          <w:marRight w:val="0"/>
          <w:marTop w:val="0"/>
          <w:marBottom w:val="0"/>
          <w:divBdr>
            <w:top w:val="none" w:sz="0" w:space="0" w:color="auto"/>
            <w:left w:val="none" w:sz="0" w:space="0" w:color="auto"/>
            <w:bottom w:val="none" w:sz="0" w:space="0" w:color="auto"/>
            <w:right w:val="none" w:sz="0" w:space="0" w:color="auto"/>
          </w:divBdr>
        </w:div>
        <w:div w:id="1641611561">
          <w:marLeft w:val="0"/>
          <w:marRight w:val="0"/>
          <w:marTop w:val="0"/>
          <w:marBottom w:val="0"/>
          <w:divBdr>
            <w:top w:val="none" w:sz="0" w:space="0" w:color="auto"/>
            <w:left w:val="none" w:sz="0" w:space="0" w:color="auto"/>
            <w:bottom w:val="none" w:sz="0" w:space="0" w:color="auto"/>
            <w:right w:val="none" w:sz="0" w:space="0" w:color="auto"/>
          </w:divBdr>
        </w:div>
        <w:div w:id="1760953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D35F62-5FDB-4AD0-BF34-E9225D4C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783</Words>
  <Characters>4465</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MAFUNGA, Neddy</cp:lastModifiedBy>
  <cp:revision>2</cp:revision>
  <cp:lastPrinted>2016-06-28T07:36:00Z</cp:lastPrinted>
  <dcterms:created xsi:type="dcterms:W3CDTF">2016-08-26T10:47:00Z</dcterms:created>
  <dcterms:modified xsi:type="dcterms:W3CDTF">2016-08-26T10:47:00Z</dcterms:modified>
</cp:coreProperties>
</file>