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B5" w:rsidRPr="00C27BB5" w:rsidRDefault="00C27BB5" w:rsidP="00C27BB5">
      <w:pPr>
        <w:jc w:val="center"/>
        <w:rPr>
          <w:b/>
          <w:sz w:val="40"/>
          <w:szCs w:val="40"/>
        </w:rPr>
      </w:pPr>
      <w:bookmarkStart w:id="0" w:name="_GoBack"/>
      <w:bookmarkEnd w:id="0"/>
      <w:r w:rsidRPr="00C27BB5">
        <w:rPr>
          <w:b/>
          <w:sz w:val="40"/>
          <w:szCs w:val="40"/>
        </w:rPr>
        <w:t>Global Vaccine Action Plan</w:t>
      </w:r>
    </w:p>
    <w:p w:rsidR="009D32E5" w:rsidRDefault="00C27BB5" w:rsidP="00C27BB5">
      <w:pPr>
        <w:jc w:val="center"/>
        <w:rPr>
          <w:i/>
          <w:sz w:val="40"/>
          <w:szCs w:val="40"/>
        </w:rPr>
      </w:pPr>
      <w:r w:rsidRPr="00C27BB5">
        <w:rPr>
          <w:i/>
          <w:sz w:val="40"/>
          <w:szCs w:val="40"/>
        </w:rPr>
        <w:t>Secretariat Annual Report 2016</w:t>
      </w:r>
    </w:p>
    <w:p w:rsidR="009D32E5" w:rsidRDefault="00C27BB5" w:rsidP="00C27BB5">
      <w:pPr>
        <w:jc w:val="center"/>
        <w:rPr>
          <w:i/>
          <w:sz w:val="40"/>
          <w:szCs w:val="40"/>
        </w:rPr>
      </w:pPr>
      <w:r>
        <w:rPr>
          <w:i/>
          <w:sz w:val="40"/>
          <w:szCs w:val="40"/>
        </w:rPr>
        <w:t>Priority C</w:t>
      </w:r>
      <w:r w:rsidRPr="00C27BB5">
        <w:rPr>
          <w:i/>
          <w:sz w:val="40"/>
          <w:szCs w:val="40"/>
        </w:rPr>
        <w:t xml:space="preserve">ountry report on progress towards </w:t>
      </w:r>
    </w:p>
    <w:p w:rsidR="00734BA0" w:rsidRPr="00C27BB5" w:rsidRDefault="00C27BB5" w:rsidP="00C27BB5">
      <w:pPr>
        <w:jc w:val="center"/>
        <w:rPr>
          <w:i/>
          <w:sz w:val="40"/>
          <w:szCs w:val="40"/>
        </w:rPr>
      </w:pPr>
      <w:r>
        <w:rPr>
          <w:i/>
          <w:sz w:val="40"/>
          <w:szCs w:val="40"/>
        </w:rPr>
        <w:t>GVAP-RVAP</w:t>
      </w:r>
      <w:r w:rsidRPr="00C27BB5">
        <w:rPr>
          <w:i/>
          <w:sz w:val="40"/>
          <w:szCs w:val="40"/>
        </w:rPr>
        <w:t xml:space="preserve"> goals </w:t>
      </w:r>
    </w:p>
    <w:p w:rsidR="009D32E5" w:rsidRDefault="009D32E5" w:rsidP="00C27BB5">
      <w:pPr>
        <w:jc w:val="center"/>
        <w:rPr>
          <w:rFonts w:ascii="Arial" w:hAnsi="Arial"/>
          <w:b/>
          <w:sz w:val="32"/>
        </w:rPr>
      </w:pPr>
    </w:p>
    <w:p w:rsidR="00C27BB5" w:rsidRPr="00C400A7" w:rsidRDefault="00C27BB5" w:rsidP="00C27BB5">
      <w:pPr>
        <w:jc w:val="center"/>
        <w:rPr>
          <w:rFonts w:ascii="Arial" w:hAnsi="Arial"/>
          <w:b/>
          <w:sz w:val="36"/>
        </w:rPr>
      </w:pPr>
      <w:r w:rsidRPr="00C400A7">
        <w:rPr>
          <w:rFonts w:ascii="Arial" w:hAnsi="Arial"/>
          <w:b/>
          <w:sz w:val="36"/>
        </w:rPr>
        <w:t xml:space="preserve">UGANDA </w:t>
      </w:r>
    </w:p>
    <w:p w:rsidR="00C27BB5" w:rsidRDefault="00C27BB5" w:rsidP="00C27BB5">
      <w:pPr>
        <w:jc w:val="center"/>
        <w:rPr>
          <w:rFonts w:ascii="Arial" w:hAnsi="Arial"/>
          <w:b/>
          <w:sz w:val="32"/>
        </w:rPr>
      </w:pPr>
    </w:p>
    <w:p w:rsidR="00457E0A" w:rsidRPr="00BB5F62" w:rsidRDefault="00457E0A" w:rsidP="00457E0A">
      <w:pPr>
        <w:pStyle w:val="ListParagraph"/>
        <w:numPr>
          <w:ilvl w:val="0"/>
          <w:numId w:val="3"/>
        </w:numPr>
        <w:rPr>
          <w:rFonts w:ascii="Arial" w:hAnsi="Arial"/>
          <w:b/>
          <w:sz w:val="26"/>
          <w:szCs w:val="26"/>
        </w:rPr>
      </w:pPr>
      <w:r w:rsidRPr="00BB5F62">
        <w:rPr>
          <w:rFonts w:ascii="Arial" w:hAnsi="Arial"/>
          <w:b/>
          <w:sz w:val="26"/>
          <w:szCs w:val="26"/>
        </w:rPr>
        <w:t xml:space="preserve">Progress towards achievement of GVAP goals </w:t>
      </w:r>
    </w:p>
    <w:p w:rsidR="00457E0A" w:rsidRPr="00457E0A" w:rsidRDefault="00457E0A" w:rsidP="00457E0A">
      <w:pPr>
        <w:pStyle w:val="ListParagraph"/>
        <w:rPr>
          <w:rFonts w:ascii="Arial" w:hAnsi="Arial"/>
          <w:b/>
        </w:rPr>
      </w:pPr>
    </w:p>
    <w:p w:rsidR="00163179" w:rsidRPr="00BB5F62" w:rsidRDefault="00C67C9D" w:rsidP="00163179">
      <w:pPr>
        <w:pStyle w:val="ListParagraph"/>
        <w:numPr>
          <w:ilvl w:val="0"/>
          <w:numId w:val="1"/>
        </w:numPr>
        <w:rPr>
          <w:rFonts w:ascii="Arial" w:hAnsi="Arial"/>
          <w:b/>
          <w:sz w:val="24"/>
          <w:szCs w:val="24"/>
        </w:rPr>
      </w:pPr>
      <w:r w:rsidRPr="00BB5F62">
        <w:rPr>
          <w:rFonts w:ascii="Arial" w:hAnsi="Arial"/>
          <w:b/>
          <w:sz w:val="24"/>
          <w:szCs w:val="24"/>
        </w:rPr>
        <w:t xml:space="preserve">Summary </w:t>
      </w:r>
    </w:p>
    <w:p w:rsidR="00BA2589" w:rsidRDefault="00BA2589" w:rsidP="006A05E4">
      <w:pPr>
        <w:rPr>
          <w:rFonts w:ascii="Arial" w:hAnsi="Arial"/>
        </w:rPr>
      </w:pPr>
      <w:r w:rsidRPr="0000352E">
        <w:rPr>
          <w:rFonts w:ascii="Arial" w:hAnsi="Arial"/>
        </w:rPr>
        <w:t xml:space="preserve">This </w:t>
      </w:r>
      <w:r w:rsidR="006C334B">
        <w:rPr>
          <w:rFonts w:ascii="Arial" w:hAnsi="Arial"/>
        </w:rPr>
        <w:t xml:space="preserve">summary table describes </w:t>
      </w:r>
      <w:r w:rsidRPr="0000352E">
        <w:rPr>
          <w:rFonts w:ascii="Arial" w:hAnsi="Arial"/>
        </w:rPr>
        <w:t xml:space="preserve">the current situation in </w:t>
      </w:r>
      <w:r w:rsidR="006A05E4">
        <w:rPr>
          <w:rFonts w:ascii="Arial" w:hAnsi="Arial"/>
        </w:rPr>
        <w:t>Uganda</w:t>
      </w:r>
      <w:r w:rsidRPr="0000352E">
        <w:rPr>
          <w:rFonts w:ascii="Arial" w:hAnsi="Arial"/>
        </w:rPr>
        <w:t xml:space="preserve"> regarding achieving the GVAP goals.</w:t>
      </w:r>
      <w:r w:rsidR="00492F98">
        <w:rPr>
          <w:rFonts w:ascii="Arial" w:hAnsi="Arial"/>
        </w:rPr>
        <w:t xml:space="preserve"> </w:t>
      </w:r>
      <w:r w:rsidR="00500171">
        <w:rPr>
          <w:rFonts w:ascii="Arial" w:hAnsi="Arial"/>
        </w:rPr>
        <w:t>D</w:t>
      </w:r>
      <w:r w:rsidR="00696E6A">
        <w:rPr>
          <w:rFonts w:ascii="Arial" w:hAnsi="Arial"/>
        </w:rPr>
        <w:t xml:space="preserve">ata </w:t>
      </w:r>
      <w:r w:rsidR="00E11B99">
        <w:rPr>
          <w:rFonts w:ascii="Arial" w:hAnsi="Arial"/>
        </w:rPr>
        <w:t xml:space="preserve">used to assess progress towards achievement of </w:t>
      </w:r>
      <w:r w:rsidR="00696E6A">
        <w:rPr>
          <w:rFonts w:ascii="Arial" w:hAnsi="Arial"/>
        </w:rPr>
        <w:t xml:space="preserve">GVAP goals are included in the annex (Country </w:t>
      </w:r>
      <w:r w:rsidR="00D00DC6">
        <w:rPr>
          <w:rFonts w:ascii="Arial" w:hAnsi="Arial"/>
        </w:rPr>
        <w:t xml:space="preserve">immunization </w:t>
      </w:r>
      <w:r w:rsidR="00696E6A">
        <w:rPr>
          <w:rFonts w:ascii="Arial" w:hAnsi="Arial"/>
        </w:rPr>
        <w:t>profile).</w:t>
      </w:r>
    </w:p>
    <w:tbl>
      <w:tblPr>
        <w:tblW w:w="9249" w:type="dxa"/>
        <w:jc w:val="center"/>
        <w:tblLook w:val="04A0" w:firstRow="1" w:lastRow="0" w:firstColumn="1" w:lastColumn="0" w:noHBand="0" w:noVBand="1"/>
      </w:tblPr>
      <w:tblGrid>
        <w:gridCol w:w="3189"/>
        <w:gridCol w:w="3673"/>
        <w:gridCol w:w="2387"/>
      </w:tblGrid>
      <w:tr w:rsidR="00572AD9" w:rsidRPr="00B13A2F" w:rsidTr="00AB1003">
        <w:trPr>
          <w:trHeight w:val="675"/>
          <w:tblHeader/>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Area</w:t>
            </w:r>
          </w:p>
        </w:tc>
        <w:tc>
          <w:tcPr>
            <w:tcW w:w="3673"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Indicator</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BC6E1F" w:rsidP="00572AD9">
            <w:pPr>
              <w:spacing w:after="0" w:line="240" w:lineRule="auto"/>
              <w:jc w:val="center"/>
              <w:rPr>
                <w:rFonts w:eastAsia="Times New Roman" w:cs="Calibri"/>
                <w:b/>
                <w:bCs/>
                <w:color w:val="000000"/>
                <w:sz w:val="28"/>
                <w:szCs w:val="28"/>
                <w:lang w:eastAsia="en-GB"/>
              </w:rPr>
            </w:pPr>
            <w:r>
              <w:rPr>
                <w:rFonts w:eastAsia="Times New Roman" w:cs="Calibri"/>
                <w:b/>
                <w:bCs/>
                <w:color w:val="000000"/>
                <w:sz w:val="28"/>
                <w:szCs w:val="28"/>
                <w:lang w:eastAsia="en-GB"/>
              </w:rPr>
              <w:t xml:space="preserve">Data for </w:t>
            </w:r>
            <w:r w:rsidR="00572AD9" w:rsidRPr="00572AD9">
              <w:rPr>
                <w:rFonts w:eastAsia="Times New Roman" w:cs="Calibri"/>
                <w:b/>
                <w:bCs/>
                <w:color w:val="000000"/>
                <w:sz w:val="28"/>
                <w:szCs w:val="28"/>
                <w:lang w:eastAsia="en-GB"/>
              </w:rPr>
              <w:t>Uganda</w:t>
            </w:r>
          </w:p>
        </w:tc>
      </w:tr>
      <w:tr w:rsidR="00BC6E1F" w:rsidRPr="00B13A2F" w:rsidTr="00AB1003">
        <w:trPr>
          <w:trHeight w:val="300"/>
          <w:jc w:val="center"/>
        </w:trPr>
        <w:tc>
          <w:tcPr>
            <w:tcW w:w="3189" w:type="dxa"/>
            <w:vMerge w:val="restart"/>
            <w:tcBorders>
              <w:top w:val="nil"/>
              <w:left w:val="single" w:sz="4" w:space="0" w:color="auto"/>
              <w:right w:val="single" w:sz="4" w:space="0" w:color="auto"/>
            </w:tcBorders>
            <w:shd w:val="clear" w:color="000000" w:fill="F2DCDB"/>
            <w:hideMark/>
          </w:tcPr>
          <w:p w:rsidR="00BC6E1F" w:rsidRPr="00572AD9" w:rsidRDefault="00BC6E1F" w:rsidP="00BC6E1F">
            <w:pPr>
              <w:spacing w:after="0" w:line="240" w:lineRule="auto"/>
              <w:rPr>
                <w:rFonts w:eastAsia="Times New Roman" w:cs="Calibri"/>
                <w:b/>
                <w:bCs/>
                <w:color w:val="000000"/>
                <w:lang w:eastAsia="en-GB"/>
              </w:rPr>
            </w:pPr>
            <w:r w:rsidRPr="00572AD9">
              <w:rPr>
                <w:rFonts w:eastAsia="Times New Roman" w:cs="Calibri"/>
                <w:b/>
                <w:bCs/>
                <w:color w:val="000000"/>
                <w:lang w:eastAsia="en-GB"/>
              </w:rPr>
              <w:t>3. Measles Elimination</w:t>
            </w:r>
          </w:p>
        </w:tc>
        <w:tc>
          <w:tcPr>
            <w:tcW w:w="3673" w:type="dxa"/>
            <w:tcBorders>
              <w:top w:val="nil"/>
              <w:left w:val="nil"/>
              <w:bottom w:val="single" w:sz="4" w:space="0" w:color="auto"/>
              <w:right w:val="single" w:sz="4" w:space="0" w:color="auto"/>
            </w:tcBorders>
            <w:shd w:val="clear" w:color="000000" w:fill="F2DCDB"/>
            <w:vAlign w:val="center"/>
            <w:hideMark/>
          </w:tcPr>
          <w:p w:rsidR="00BC6E1F" w:rsidRPr="00572AD9" w:rsidRDefault="00BC6E1F" w:rsidP="00AE11AD">
            <w:pPr>
              <w:spacing w:after="0" w:line="240" w:lineRule="auto"/>
              <w:rPr>
                <w:rFonts w:eastAsia="Times New Roman" w:cs="Calibri"/>
                <w:b/>
                <w:bCs/>
                <w:color w:val="000000"/>
                <w:lang w:eastAsia="en-GB"/>
              </w:rPr>
            </w:pPr>
            <w:r w:rsidRPr="00572AD9">
              <w:rPr>
                <w:rFonts w:eastAsia="Times New Roman" w:cs="Calibri"/>
                <w:b/>
                <w:bCs/>
                <w:color w:val="000000"/>
                <w:lang w:eastAsia="en-GB"/>
              </w:rPr>
              <w:t>Coverage MCV1 (201</w:t>
            </w:r>
            <w:r w:rsidR="00AE11AD">
              <w:rPr>
                <w:rFonts w:eastAsia="Times New Roman" w:cs="Calibri"/>
                <w:b/>
                <w:bCs/>
                <w:color w:val="000000"/>
                <w:lang w:eastAsia="en-GB"/>
              </w:rPr>
              <w:t>5</w:t>
            </w:r>
            <w:r w:rsidRPr="00572AD9">
              <w:rPr>
                <w:rFonts w:eastAsia="Times New Roman" w:cs="Calibri"/>
                <w:b/>
                <w:bCs/>
                <w:color w:val="000000"/>
                <w:lang w:eastAsia="en-GB"/>
              </w:rPr>
              <w:t xml:space="preserve"> WUENIC)</w:t>
            </w:r>
          </w:p>
        </w:tc>
        <w:tc>
          <w:tcPr>
            <w:tcW w:w="2387" w:type="dxa"/>
            <w:tcBorders>
              <w:top w:val="nil"/>
              <w:left w:val="nil"/>
              <w:bottom w:val="single" w:sz="4" w:space="0" w:color="auto"/>
              <w:right w:val="single" w:sz="4" w:space="0" w:color="auto"/>
            </w:tcBorders>
            <w:shd w:val="clear" w:color="000000" w:fill="FFC000"/>
            <w:vAlign w:val="center"/>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82%</w:t>
            </w:r>
          </w:p>
        </w:tc>
      </w:tr>
      <w:tr w:rsidR="00BC6E1F" w:rsidRPr="00B13A2F" w:rsidTr="00AB1003">
        <w:trPr>
          <w:trHeight w:val="300"/>
          <w:jc w:val="center"/>
        </w:trPr>
        <w:tc>
          <w:tcPr>
            <w:tcW w:w="3189" w:type="dxa"/>
            <w:vMerge/>
            <w:tcBorders>
              <w:left w:val="single" w:sz="4" w:space="0" w:color="auto"/>
              <w:right w:val="single" w:sz="4" w:space="0" w:color="auto"/>
            </w:tcBorders>
            <w:shd w:val="clear" w:color="000000" w:fill="F2DCDB"/>
            <w:vAlign w:val="center"/>
            <w:hideMark/>
          </w:tcPr>
          <w:p w:rsidR="00BC6E1F" w:rsidRPr="00572AD9" w:rsidRDefault="00BC6E1F"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F2DCDB"/>
            <w:vAlign w:val="center"/>
            <w:hideMark/>
          </w:tcPr>
          <w:p w:rsidR="00BC6E1F" w:rsidRPr="00572AD9" w:rsidRDefault="00BC6E1F"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 xml:space="preserve">Coverage MCV2 </w:t>
            </w:r>
          </w:p>
        </w:tc>
        <w:tc>
          <w:tcPr>
            <w:tcW w:w="2387" w:type="dxa"/>
            <w:tcBorders>
              <w:top w:val="nil"/>
              <w:left w:val="nil"/>
              <w:bottom w:val="single" w:sz="4" w:space="0" w:color="auto"/>
              <w:right w:val="single" w:sz="4" w:space="0" w:color="auto"/>
            </w:tcBorders>
            <w:shd w:val="clear" w:color="000000" w:fill="FF0000"/>
            <w:vAlign w:val="center"/>
            <w:hideMark/>
          </w:tcPr>
          <w:p w:rsidR="00BC6E1F" w:rsidRPr="00572AD9" w:rsidRDefault="00BC6E1F" w:rsidP="00AE11AD">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Not in schedule</w:t>
            </w:r>
            <w:r w:rsidR="00F1695C">
              <w:rPr>
                <w:rFonts w:eastAsia="Times New Roman" w:cs="Calibri"/>
                <w:b/>
                <w:bCs/>
                <w:color w:val="000000"/>
                <w:lang w:eastAsia="en-GB"/>
              </w:rPr>
              <w:t xml:space="preserve"> </w:t>
            </w:r>
          </w:p>
        </w:tc>
      </w:tr>
      <w:tr w:rsidR="00BC6E1F" w:rsidRPr="00B13A2F" w:rsidTr="00AB1003">
        <w:trPr>
          <w:trHeight w:val="600"/>
          <w:jc w:val="center"/>
        </w:trPr>
        <w:tc>
          <w:tcPr>
            <w:tcW w:w="3189" w:type="dxa"/>
            <w:vMerge/>
            <w:tcBorders>
              <w:left w:val="single" w:sz="4" w:space="0" w:color="auto"/>
              <w:right w:val="single" w:sz="4" w:space="0" w:color="auto"/>
            </w:tcBorders>
            <w:shd w:val="clear" w:color="000000" w:fill="F2DCDB"/>
            <w:vAlign w:val="center"/>
            <w:hideMark/>
          </w:tcPr>
          <w:p w:rsidR="00BC6E1F" w:rsidRPr="00572AD9" w:rsidRDefault="00BC6E1F"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F2DCDB"/>
            <w:vAlign w:val="center"/>
            <w:hideMark/>
          </w:tcPr>
          <w:p w:rsidR="00BC6E1F" w:rsidRPr="00572AD9" w:rsidRDefault="00BC6E1F" w:rsidP="00BC6E1F">
            <w:pPr>
              <w:spacing w:after="0" w:line="240" w:lineRule="auto"/>
              <w:rPr>
                <w:rFonts w:eastAsia="Times New Roman" w:cs="Calibri"/>
                <w:b/>
                <w:bCs/>
                <w:color w:val="000000"/>
                <w:lang w:eastAsia="en-GB"/>
              </w:rPr>
            </w:pPr>
            <w:r w:rsidRPr="00572AD9">
              <w:rPr>
                <w:rFonts w:eastAsia="Times New Roman" w:cs="Calibri"/>
                <w:b/>
                <w:bCs/>
                <w:color w:val="000000"/>
                <w:lang w:eastAsia="en-GB"/>
              </w:rPr>
              <w:t xml:space="preserve">Percentage of districts with MCV1 coverage </w:t>
            </w:r>
            <w:r>
              <w:rPr>
                <w:rFonts w:eastAsia="Times New Roman" w:cs="Calibri"/>
                <w:b/>
                <w:bCs/>
                <w:color w:val="000000"/>
                <w:lang w:eastAsia="en-GB"/>
              </w:rPr>
              <w:t>≥</w:t>
            </w:r>
            <w:r w:rsidRPr="00572AD9">
              <w:rPr>
                <w:rFonts w:eastAsia="Times New Roman" w:cs="Calibri"/>
                <w:b/>
                <w:bCs/>
                <w:color w:val="000000"/>
                <w:lang w:eastAsia="en-GB"/>
              </w:rPr>
              <w:t>95% (2015 JRF)</w:t>
            </w:r>
          </w:p>
        </w:tc>
        <w:tc>
          <w:tcPr>
            <w:tcW w:w="2387" w:type="dxa"/>
            <w:tcBorders>
              <w:top w:val="nil"/>
              <w:left w:val="nil"/>
              <w:bottom w:val="single" w:sz="4" w:space="0" w:color="auto"/>
              <w:right w:val="single" w:sz="4" w:space="0" w:color="auto"/>
            </w:tcBorders>
            <w:shd w:val="clear" w:color="000000" w:fill="FF0000"/>
            <w:vAlign w:val="center"/>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46%</w:t>
            </w:r>
          </w:p>
        </w:tc>
      </w:tr>
      <w:tr w:rsidR="00BC6E1F" w:rsidRPr="00B13A2F" w:rsidTr="00AB1003">
        <w:trPr>
          <w:trHeight w:val="300"/>
          <w:jc w:val="center"/>
        </w:trPr>
        <w:tc>
          <w:tcPr>
            <w:tcW w:w="3189" w:type="dxa"/>
            <w:vMerge/>
            <w:tcBorders>
              <w:left w:val="single" w:sz="4" w:space="0" w:color="auto"/>
              <w:right w:val="single" w:sz="4" w:space="0" w:color="auto"/>
            </w:tcBorders>
            <w:shd w:val="clear" w:color="000000" w:fill="F2DCDB"/>
            <w:vAlign w:val="center"/>
            <w:hideMark/>
          </w:tcPr>
          <w:p w:rsidR="00BC6E1F" w:rsidRPr="00572AD9" w:rsidRDefault="00BC6E1F"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F2DCDB"/>
            <w:vAlign w:val="center"/>
            <w:hideMark/>
          </w:tcPr>
          <w:p w:rsidR="00BC6E1F" w:rsidRPr="00572AD9" w:rsidRDefault="00BC6E1F"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Last national SIA</w:t>
            </w:r>
          </w:p>
        </w:tc>
        <w:tc>
          <w:tcPr>
            <w:tcW w:w="2387" w:type="dxa"/>
            <w:tcBorders>
              <w:top w:val="nil"/>
              <w:left w:val="nil"/>
              <w:bottom w:val="single" w:sz="4" w:space="0" w:color="auto"/>
              <w:right w:val="single" w:sz="4" w:space="0" w:color="auto"/>
            </w:tcBorders>
            <w:shd w:val="clear" w:color="000000" w:fill="00B050"/>
            <w:vAlign w:val="center"/>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2015</w:t>
            </w:r>
          </w:p>
        </w:tc>
      </w:tr>
      <w:tr w:rsidR="00BC6E1F" w:rsidRPr="00B13A2F" w:rsidTr="00AB1003">
        <w:trPr>
          <w:trHeight w:val="300"/>
          <w:jc w:val="center"/>
        </w:trPr>
        <w:tc>
          <w:tcPr>
            <w:tcW w:w="3189" w:type="dxa"/>
            <w:vMerge/>
            <w:tcBorders>
              <w:left w:val="single" w:sz="4" w:space="0" w:color="auto"/>
              <w:bottom w:val="single" w:sz="4" w:space="0" w:color="auto"/>
              <w:right w:val="single" w:sz="4" w:space="0" w:color="auto"/>
            </w:tcBorders>
            <w:shd w:val="clear" w:color="000000" w:fill="F2DCDB"/>
            <w:vAlign w:val="center"/>
            <w:hideMark/>
          </w:tcPr>
          <w:p w:rsidR="00BC6E1F" w:rsidRPr="00572AD9" w:rsidRDefault="00BC6E1F"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F2DCDB"/>
            <w:vAlign w:val="center"/>
            <w:hideMark/>
          </w:tcPr>
          <w:p w:rsidR="00BC6E1F" w:rsidRPr="00572AD9" w:rsidRDefault="00BC6E1F"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Post SIA coverage survey conducted</w:t>
            </w:r>
          </w:p>
        </w:tc>
        <w:tc>
          <w:tcPr>
            <w:tcW w:w="2387" w:type="dxa"/>
            <w:tcBorders>
              <w:top w:val="nil"/>
              <w:left w:val="nil"/>
              <w:bottom w:val="single" w:sz="4" w:space="0" w:color="auto"/>
              <w:right w:val="single" w:sz="4" w:space="0" w:color="auto"/>
            </w:tcBorders>
            <w:shd w:val="clear" w:color="000000" w:fill="FF0000"/>
            <w:vAlign w:val="center"/>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No</w:t>
            </w:r>
          </w:p>
        </w:tc>
      </w:tr>
    </w:tbl>
    <w:p w:rsidR="00572AD9" w:rsidRDefault="00572AD9">
      <w:pPr>
        <w:rPr>
          <w:rFonts w:ascii="Arial" w:hAnsi="Arial"/>
        </w:rPr>
        <w:sectPr w:rsidR="00572AD9" w:rsidSect="00734BA0">
          <w:footerReference w:type="default" r:id="rId9"/>
          <w:type w:val="continuous"/>
          <w:pgSz w:w="11906" w:h="16838"/>
          <w:pgMar w:top="1440" w:right="1440" w:bottom="1440" w:left="1440" w:header="709" w:footer="709" w:gutter="0"/>
          <w:cols w:space="708"/>
          <w:docGrid w:linePitch="360"/>
        </w:sectPr>
      </w:pPr>
    </w:p>
    <w:p w:rsidR="003B4E55" w:rsidRPr="00805389" w:rsidRDefault="003B4E55" w:rsidP="00C95CCD">
      <w:pPr>
        <w:pStyle w:val="ListParagraph"/>
        <w:numPr>
          <w:ilvl w:val="2"/>
          <w:numId w:val="39"/>
        </w:numPr>
        <w:rPr>
          <w:rFonts w:ascii="Arial" w:hAnsi="Arial"/>
          <w:b/>
        </w:rPr>
      </w:pPr>
      <w:r w:rsidRPr="00805389">
        <w:rPr>
          <w:rFonts w:ascii="Arial" w:hAnsi="Arial"/>
          <w:b/>
        </w:rPr>
        <w:lastRenderedPageBreak/>
        <w:t xml:space="preserve">Achieve measles elimination and rubella &amp; CRS elimination </w:t>
      </w:r>
    </w:p>
    <w:p w:rsidR="008A7BEC" w:rsidRPr="00C95CCD" w:rsidRDefault="008A7BEC" w:rsidP="003B4E55">
      <w:pPr>
        <w:rPr>
          <w:rFonts w:ascii="Arial" w:hAnsi="Arial"/>
          <w:u w:val="single"/>
        </w:rPr>
      </w:pPr>
      <w:r w:rsidRPr="00C95CCD">
        <w:rPr>
          <w:rFonts w:ascii="Arial" w:hAnsi="Arial"/>
          <w:u w:val="single"/>
        </w:rPr>
        <w:t>Measles</w:t>
      </w:r>
    </w:p>
    <w:p w:rsidR="008A7BEC" w:rsidRDefault="008A7BEC" w:rsidP="003B4E55">
      <w:pPr>
        <w:rPr>
          <w:rFonts w:ascii="Arial" w:hAnsi="Arial"/>
        </w:rPr>
      </w:pPr>
      <w:r>
        <w:rPr>
          <w:rFonts w:ascii="Arial" w:hAnsi="Arial"/>
        </w:rPr>
        <w:t xml:space="preserve">An estimated 46% of districts achieved coverage with a single dose of measles vaccine of ≥95% in 2015, against the GVAP target of </w:t>
      </w:r>
      <w:r w:rsidR="00AF31C8" w:rsidRPr="00F31093">
        <w:rPr>
          <w:rFonts w:ascii="Arial" w:hAnsi="Arial"/>
          <w:color w:val="000000"/>
        </w:rPr>
        <w:t>100</w:t>
      </w:r>
      <w:r w:rsidRPr="00F31093">
        <w:rPr>
          <w:rFonts w:ascii="Arial" w:hAnsi="Arial"/>
          <w:color w:val="000000"/>
        </w:rPr>
        <w:t>%</w:t>
      </w:r>
      <w:r>
        <w:rPr>
          <w:rFonts w:ascii="Arial" w:hAnsi="Arial"/>
        </w:rPr>
        <w:t xml:space="preserve"> of districts</w:t>
      </w:r>
      <w:r w:rsidR="00B37105">
        <w:rPr>
          <w:rFonts w:ascii="Arial" w:hAnsi="Arial"/>
        </w:rPr>
        <w:t>, according to the Joint Reporting Form</w:t>
      </w:r>
      <w:r>
        <w:rPr>
          <w:rFonts w:ascii="Arial" w:hAnsi="Arial"/>
        </w:rPr>
        <w:t>. National measles vaccination coverage is estimated by WHO and UNICEF at 82% in 2015.</w:t>
      </w:r>
      <w:r w:rsidR="00354BF5">
        <w:rPr>
          <w:rFonts w:ascii="Arial" w:hAnsi="Arial"/>
        </w:rPr>
        <w:t xml:space="preserve"> The country has experienced measles outbreaks each year of different magnitude, in areas with low vaccination coverage. </w:t>
      </w:r>
      <w:r w:rsidR="00BC039B">
        <w:rPr>
          <w:rFonts w:ascii="Arial" w:hAnsi="Arial"/>
        </w:rPr>
        <w:t>Uganda</w:t>
      </w:r>
      <w:r w:rsidR="00354BF5">
        <w:rPr>
          <w:rFonts w:ascii="Arial" w:hAnsi="Arial"/>
        </w:rPr>
        <w:t xml:space="preserve"> is therefore not currently on track to eliminate the disease by 2020</w:t>
      </w:r>
      <w:r w:rsidR="00354BF5">
        <w:rPr>
          <w:rFonts w:ascii="Arial" w:hAnsi="Arial"/>
          <w:color w:val="FF0000"/>
        </w:rPr>
        <w:t>.</w:t>
      </w:r>
      <w:r w:rsidR="00354BF5">
        <w:rPr>
          <w:rFonts w:ascii="Arial" w:hAnsi="Arial"/>
        </w:rPr>
        <w:t xml:space="preserve"> </w:t>
      </w:r>
    </w:p>
    <w:p w:rsidR="008A70DC" w:rsidRDefault="00354BF5" w:rsidP="003B4E55">
      <w:pPr>
        <w:rPr>
          <w:rFonts w:ascii="Arial" w:hAnsi="Arial"/>
        </w:rPr>
      </w:pPr>
      <w:r>
        <w:rPr>
          <w:rFonts w:ascii="Arial" w:hAnsi="Arial"/>
        </w:rPr>
        <w:t xml:space="preserve">A key factor </w:t>
      </w:r>
      <w:r w:rsidR="00BC039B">
        <w:rPr>
          <w:rFonts w:ascii="Arial" w:hAnsi="Arial"/>
        </w:rPr>
        <w:t>contributing to</w:t>
      </w:r>
      <w:r>
        <w:rPr>
          <w:rFonts w:ascii="Arial" w:hAnsi="Arial"/>
        </w:rPr>
        <w:t xml:space="preserve"> </w:t>
      </w:r>
      <w:r w:rsidR="000A4394">
        <w:rPr>
          <w:rFonts w:ascii="Arial" w:hAnsi="Arial"/>
        </w:rPr>
        <w:t>the continuing outbreaks is that, due in part to a global shortage of measles vaccine, actual measles vaccination coverage in 2012 was only around 30%, according to the c</w:t>
      </w:r>
      <w:r w:rsidR="00C95CCD">
        <w:rPr>
          <w:rFonts w:ascii="Arial" w:hAnsi="Arial"/>
        </w:rPr>
        <w:t>MYP</w:t>
      </w:r>
      <w:r w:rsidR="000A4394">
        <w:rPr>
          <w:rFonts w:ascii="Arial" w:hAnsi="Arial"/>
        </w:rPr>
        <w:t xml:space="preserve"> (in contrast to the considerably highe</w:t>
      </w:r>
      <w:r w:rsidR="00C95CCD">
        <w:rPr>
          <w:rFonts w:ascii="Arial" w:hAnsi="Arial"/>
        </w:rPr>
        <w:t>r WUENIC estimate)</w:t>
      </w:r>
      <w:r w:rsidR="000A4394">
        <w:rPr>
          <w:rFonts w:ascii="Arial" w:hAnsi="Arial"/>
        </w:rPr>
        <w:t xml:space="preserve">. Because of this </w:t>
      </w:r>
      <w:r w:rsidR="008A70DC">
        <w:rPr>
          <w:rFonts w:ascii="Arial" w:hAnsi="Arial"/>
        </w:rPr>
        <w:t xml:space="preserve">as well as </w:t>
      </w:r>
      <w:r w:rsidR="000A4394">
        <w:rPr>
          <w:rFonts w:ascii="Arial" w:hAnsi="Arial"/>
        </w:rPr>
        <w:t>continued low coverage</w:t>
      </w:r>
      <w:r w:rsidR="008A70DC">
        <w:rPr>
          <w:rFonts w:ascii="Arial" w:hAnsi="Arial"/>
        </w:rPr>
        <w:t xml:space="preserve"> in some areas of the country</w:t>
      </w:r>
      <w:r w:rsidR="000A4394">
        <w:rPr>
          <w:rFonts w:ascii="Arial" w:hAnsi="Arial"/>
        </w:rPr>
        <w:t xml:space="preserve">, there were an </w:t>
      </w:r>
      <w:r w:rsidR="000A4394">
        <w:rPr>
          <w:rFonts w:ascii="Arial" w:hAnsi="Arial"/>
        </w:rPr>
        <w:lastRenderedPageBreak/>
        <w:t>estimated 1.56 million children not immunized against measles by 2013.</w:t>
      </w:r>
      <w:r w:rsidR="00C95CCD">
        <w:rPr>
          <w:rStyle w:val="FootnoteReference"/>
          <w:rFonts w:ascii="Arial" w:hAnsi="Arial"/>
        </w:rPr>
        <w:footnoteReference w:id="1"/>
      </w:r>
      <w:r w:rsidR="000A4394">
        <w:rPr>
          <w:rFonts w:ascii="Arial" w:hAnsi="Arial"/>
        </w:rPr>
        <w:t xml:space="preserve"> This has created a </w:t>
      </w:r>
      <w:r w:rsidR="008A70DC">
        <w:rPr>
          <w:rFonts w:ascii="Arial" w:hAnsi="Arial"/>
        </w:rPr>
        <w:t>large</w:t>
      </w:r>
      <w:r w:rsidR="000A4394">
        <w:rPr>
          <w:rFonts w:ascii="Arial" w:hAnsi="Arial"/>
        </w:rPr>
        <w:t xml:space="preserve"> </w:t>
      </w:r>
      <w:r w:rsidR="008A70DC">
        <w:rPr>
          <w:rFonts w:ascii="Arial" w:hAnsi="Arial"/>
        </w:rPr>
        <w:t>susceptible population</w:t>
      </w:r>
      <w:r w:rsidR="000A4394">
        <w:rPr>
          <w:rFonts w:ascii="Arial" w:hAnsi="Arial"/>
        </w:rPr>
        <w:t xml:space="preserve"> of unimmunized older children</w:t>
      </w:r>
      <w:r w:rsidR="008A70DC">
        <w:rPr>
          <w:rFonts w:ascii="Arial" w:hAnsi="Arial"/>
        </w:rPr>
        <w:t xml:space="preserve"> and a consequent shift in the age of cases to older children and adults, who have the potential of causing outbreaks.</w:t>
      </w:r>
    </w:p>
    <w:p w:rsidR="008A70DC" w:rsidRDefault="008A70DC" w:rsidP="003B4E55">
      <w:pPr>
        <w:rPr>
          <w:rFonts w:ascii="Arial" w:hAnsi="Arial"/>
        </w:rPr>
      </w:pPr>
      <w:r>
        <w:rPr>
          <w:rFonts w:ascii="Arial" w:hAnsi="Arial"/>
        </w:rPr>
        <w:t>Key challenges and issues affecting Uganda’s ability to meet the measles elimination target include:</w:t>
      </w:r>
    </w:p>
    <w:p w:rsidR="003B4E55" w:rsidRDefault="008A70DC" w:rsidP="004C353D">
      <w:pPr>
        <w:pStyle w:val="ListParagraph"/>
        <w:numPr>
          <w:ilvl w:val="0"/>
          <w:numId w:val="40"/>
        </w:numPr>
        <w:contextualSpacing w:val="0"/>
        <w:rPr>
          <w:rFonts w:ascii="Arial" w:hAnsi="Arial"/>
        </w:rPr>
      </w:pPr>
      <w:r>
        <w:rPr>
          <w:rFonts w:ascii="Arial" w:hAnsi="Arial"/>
        </w:rPr>
        <w:t>The fact that case-based measles surveillance is still weak and only an estimated 35% of cases are investigated, according to one informant.</w:t>
      </w:r>
      <w:r w:rsidR="008B3034">
        <w:rPr>
          <w:rFonts w:ascii="Arial" w:hAnsi="Arial"/>
        </w:rPr>
        <w:t xml:space="preserve"> There continues to be some “silent districts” and delays in reporting</w:t>
      </w:r>
      <w:r w:rsidR="00C000F1">
        <w:rPr>
          <w:rFonts w:ascii="Arial" w:hAnsi="Arial"/>
        </w:rPr>
        <w:t xml:space="preserve"> cases to higher levels of the system</w:t>
      </w:r>
      <w:r w:rsidR="008B3034">
        <w:rPr>
          <w:rFonts w:ascii="Arial" w:hAnsi="Arial"/>
        </w:rPr>
        <w:t>. The reasons are many of the same mentioned above, including a shortage of health workers, means of transport and fuel to investigate cases in the field and to collect and transport specimens to the reference lab. Polio funds are often used for case investigation</w:t>
      </w:r>
      <w:r w:rsidR="00C95CCD">
        <w:rPr>
          <w:rFonts w:ascii="Arial" w:hAnsi="Arial"/>
        </w:rPr>
        <w:t>s</w:t>
      </w:r>
      <w:r w:rsidR="008B3034">
        <w:rPr>
          <w:rFonts w:ascii="Arial" w:hAnsi="Arial"/>
        </w:rPr>
        <w:t>, specimen transport and testing.</w:t>
      </w:r>
    </w:p>
    <w:p w:rsidR="008B3034" w:rsidRDefault="00C000F1" w:rsidP="004C353D">
      <w:pPr>
        <w:pStyle w:val="ListParagraph"/>
        <w:numPr>
          <w:ilvl w:val="0"/>
          <w:numId w:val="40"/>
        </w:numPr>
        <w:contextualSpacing w:val="0"/>
        <w:rPr>
          <w:rFonts w:ascii="Arial" w:hAnsi="Arial"/>
        </w:rPr>
      </w:pPr>
      <w:r>
        <w:rPr>
          <w:rFonts w:ascii="Arial" w:hAnsi="Arial"/>
        </w:rPr>
        <w:t xml:space="preserve">While national measles SIAs </w:t>
      </w:r>
      <w:r w:rsidR="00C95CCD">
        <w:rPr>
          <w:rFonts w:ascii="Arial" w:hAnsi="Arial"/>
        </w:rPr>
        <w:t>take place</w:t>
      </w:r>
      <w:r>
        <w:rPr>
          <w:rFonts w:ascii="Arial" w:hAnsi="Arial"/>
        </w:rPr>
        <w:t xml:space="preserve"> every three years, along with localized campaigns in outbreak areas, actual coverage rates of these campaigns is unknown, due to data quality issues (reported coverage rates are often 100% or higher).</w:t>
      </w:r>
      <w:r w:rsidR="00A77C6F">
        <w:rPr>
          <w:rFonts w:ascii="Arial" w:hAnsi="Arial"/>
        </w:rPr>
        <w:t xml:space="preserve"> The frequency of the SIAs is, however, considered adequate.</w:t>
      </w:r>
    </w:p>
    <w:p w:rsidR="00A77C6F" w:rsidRDefault="00522DB6" w:rsidP="004C353D">
      <w:pPr>
        <w:pStyle w:val="ListParagraph"/>
        <w:numPr>
          <w:ilvl w:val="0"/>
          <w:numId w:val="40"/>
        </w:numPr>
        <w:contextualSpacing w:val="0"/>
        <w:rPr>
          <w:rFonts w:ascii="Arial" w:hAnsi="Arial"/>
        </w:rPr>
      </w:pPr>
      <w:r>
        <w:rPr>
          <w:rFonts w:ascii="Arial" w:hAnsi="Arial"/>
        </w:rPr>
        <w:t>Rapidly reducing the population of susceptibles</w:t>
      </w:r>
      <w:r w:rsidRPr="00522DB6">
        <w:rPr>
          <w:rFonts w:ascii="Arial" w:hAnsi="Arial"/>
        </w:rPr>
        <w:t xml:space="preserve"> </w:t>
      </w:r>
      <w:r w:rsidR="004C353D">
        <w:rPr>
          <w:rFonts w:ascii="Arial" w:hAnsi="Arial"/>
        </w:rPr>
        <w:t xml:space="preserve">who were </w:t>
      </w:r>
      <w:r>
        <w:rPr>
          <w:rFonts w:ascii="Arial" w:hAnsi="Arial"/>
        </w:rPr>
        <w:t xml:space="preserve">missed due to poor vaccination coverage </w:t>
      </w:r>
      <w:r w:rsidR="004C353D">
        <w:rPr>
          <w:rFonts w:ascii="Arial" w:hAnsi="Arial"/>
        </w:rPr>
        <w:t xml:space="preserve">in the past </w:t>
      </w:r>
      <w:r>
        <w:rPr>
          <w:rFonts w:ascii="Arial" w:hAnsi="Arial"/>
        </w:rPr>
        <w:t xml:space="preserve">would require conducting SIAs </w:t>
      </w:r>
      <w:r w:rsidR="004C353D">
        <w:rPr>
          <w:rFonts w:ascii="Arial" w:hAnsi="Arial"/>
        </w:rPr>
        <w:t>(e.g., using MR vaccine) for</w:t>
      </w:r>
      <w:r>
        <w:rPr>
          <w:rFonts w:ascii="Arial" w:hAnsi="Arial"/>
        </w:rPr>
        <w:t xml:space="preserve"> a wide-age cohort, such as 9 month to 15 year olds. However, the Government lacks the funding to conduct these and GAVI </w:t>
      </w:r>
      <w:r w:rsidR="004C353D">
        <w:rPr>
          <w:rFonts w:ascii="Arial" w:hAnsi="Arial"/>
        </w:rPr>
        <w:t>provides</w:t>
      </w:r>
      <w:r>
        <w:rPr>
          <w:rFonts w:ascii="Arial" w:hAnsi="Arial"/>
        </w:rPr>
        <w:t xml:space="preserve"> supports </w:t>
      </w:r>
      <w:r w:rsidR="004C353D">
        <w:rPr>
          <w:rFonts w:ascii="Arial" w:hAnsi="Arial"/>
        </w:rPr>
        <w:t xml:space="preserve">only for </w:t>
      </w:r>
      <w:r>
        <w:rPr>
          <w:rFonts w:ascii="Arial" w:hAnsi="Arial"/>
        </w:rPr>
        <w:t xml:space="preserve">SIAs </w:t>
      </w:r>
      <w:r w:rsidR="004C353D">
        <w:rPr>
          <w:rFonts w:ascii="Arial" w:hAnsi="Arial"/>
        </w:rPr>
        <w:t>targeting</w:t>
      </w:r>
      <w:r>
        <w:rPr>
          <w:rFonts w:ascii="Arial" w:hAnsi="Arial"/>
        </w:rPr>
        <w:t xml:space="preserve"> children under five. However, UNEPI plans to conduct SIAs with measles-rubella vaccine in 2018, with GAVI support, which will target children up to 14 years of age.</w:t>
      </w:r>
    </w:p>
    <w:p w:rsidR="00782C2A" w:rsidRPr="004C353D" w:rsidRDefault="004C353D" w:rsidP="00522DB6">
      <w:pPr>
        <w:rPr>
          <w:rFonts w:ascii="Arial" w:hAnsi="Arial"/>
        </w:rPr>
      </w:pPr>
      <w:r w:rsidRPr="004C353D">
        <w:rPr>
          <w:rFonts w:ascii="Arial" w:hAnsi="Arial"/>
        </w:rPr>
        <w:t xml:space="preserve">It should be noted that the Government plans </w:t>
      </w:r>
      <w:r w:rsidR="007C10B9">
        <w:rPr>
          <w:rFonts w:ascii="Arial" w:hAnsi="Arial"/>
        </w:rPr>
        <w:t>to introduce a second measles vaccine dose into the routine schedule (using MR vaccine). T</w:t>
      </w:r>
      <w:r w:rsidR="007C10B9" w:rsidRPr="00A77C6F">
        <w:rPr>
          <w:rFonts w:ascii="Arial" w:hAnsi="Arial"/>
        </w:rPr>
        <w:t xml:space="preserve">he year of introduction will depend on the results of the cost assessment and financial sustainability plan currently in progress and subsequent decisions about </w:t>
      </w:r>
      <w:r w:rsidR="007C10B9">
        <w:rPr>
          <w:rFonts w:ascii="Arial" w:hAnsi="Arial"/>
        </w:rPr>
        <w:t xml:space="preserve">other </w:t>
      </w:r>
      <w:r w:rsidR="007C10B9" w:rsidRPr="00A77C6F">
        <w:rPr>
          <w:rFonts w:ascii="Arial" w:hAnsi="Arial"/>
        </w:rPr>
        <w:t>new vaccine introductions</w:t>
      </w:r>
      <w:r w:rsidR="007C10B9">
        <w:rPr>
          <w:rFonts w:ascii="Arial" w:hAnsi="Arial"/>
        </w:rPr>
        <w:t>.</w:t>
      </w:r>
    </w:p>
    <w:p w:rsidR="00960450" w:rsidRPr="00960450" w:rsidRDefault="00960450" w:rsidP="00960450">
      <w:pPr>
        <w:rPr>
          <w:rFonts w:ascii="Arial" w:hAnsi="Arial"/>
        </w:rPr>
        <w:sectPr w:rsidR="00960450" w:rsidRPr="00960450" w:rsidSect="00734BA0">
          <w:type w:val="continuous"/>
          <w:pgSz w:w="11906" w:h="16838"/>
          <w:pgMar w:top="1440" w:right="1440" w:bottom="1440" w:left="1440" w:header="709" w:footer="709" w:gutter="0"/>
          <w:cols w:space="708"/>
          <w:docGrid w:linePitch="360"/>
        </w:sectPr>
      </w:pPr>
    </w:p>
    <w:p w:rsidR="006F219F" w:rsidRDefault="006F219F" w:rsidP="006F219F">
      <w:pPr>
        <w:rPr>
          <w:rFonts w:ascii="Arial" w:hAnsi="Arial"/>
          <w:b/>
          <w:sz w:val="24"/>
        </w:rPr>
      </w:pPr>
      <w:r>
        <w:rPr>
          <w:rFonts w:ascii="Arial" w:hAnsi="Arial"/>
          <w:b/>
          <w:sz w:val="24"/>
        </w:rPr>
        <w:lastRenderedPageBreak/>
        <w:t>ANNEX: Country immunization profile</w:t>
      </w:r>
    </w:p>
    <w:p w:rsidR="006F219F" w:rsidRDefault="006F219F" w:rsidP="006F219F">
      <w:pPr>
        <w:pStyle w:val="ListParagraph"/>
        <w:numPr>
          <w:ilvl w:val="0"/>
          <w:numId w:val="22"/>
        </w:numPr>
        <w:rPr>
          <w:b/>
          <w:bCs/>
          <w:sz w:val="24"/>
          <w:szCs w:val="24"/>
        </w:rPr>
      </w:pPr>
      <w:r>
        <w:rPr>
          <w:b/>
          <w:bCs/>
          <w:sz w:val="24"/>
          <w:szCs w:val="24"/>
        </w:rPr>
        <w:t>Measles and rubella</w:t>
      </w:r>
    </w:p>
    <w:p w:rsidR="00F01C3B" w:rsidRDefault="00F01C3B" w:rsidP="00F01C3B">
      <w:pPr>
        <w:pStyle w:val="Caption"/>
        <w:rPr>
          <w:b w:val="0"/>
          <w:bCs w:val="0"/>
          <w:sz w:val="24"/>
          <w:szCs w:val="24"/>
        </w:rPr>
      </w:pPr>
      <w:r>
        <w:t xml:space="preserve">Figure </w:t>
      </w:r>
      <w:r>
        <w:fldChar w:fldCharType="begin"/>
      </w:r>
      <w:r>
        <w:instrText xml:space="preserve"> SEQ Figure \* ARABIC </w:instrText>
      </w:r>
      <w:r>
        <w:fldChar w:fldCharType="separate"/>
      </w:r>
      <w:r w:rsidR="007D3409">
        <w:rPr>
          <w:noProof/>
        </w:rPr>
        <w:t>2</w:t>
      </w:r>
      <w:r>
        <w:fldChar w:fldCharType="end"/>
      </w:r>
      <w:r>
        <w:t>: Reported measles cases and MCV1 coverage, Uganda, 1990-2015</w:t>
      </w:r>
    </w:p>
    <w:p w:rsidR="006F219F" w:rsidRPr="00F01C3B" w:rsidRDefault="00C02EED" w:rsidP="004F4D18">
      <w:r>
        <w:rPr>
          <w:b/>
          <w:noProof/>
          <w:sz w:val="32"/>
          <w:szCs w:val="32"/>
          <w:lang w:eastAsia="en-GB"/>
        </w:rPr>
        <w:drawing>
          <wp:inline distT="0" distB="0" distL="0" distR="0">
            <wp:extent cx="5727700" cy="3217545"/>
            <wp:effectExtent l="19050" t="19050" r="25400" b="20955"/>
            <wp:docPr id="1" name="Picture 1" descr="Y:\GVAP\Priority_countries\UGAMCV1_MCV2_MEAS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GVAP\Priority_countries\UGAMCV1_MCV2_MEASL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w="6350" cmpd="sng">
                      <a:solidFill>
                        <a:srgbClr val="000000"/>
                      </a:solidFill>
                      <a:miter lim="800000"/>
                      <a:headEnd/>
                      <a:tailEnd/>
                    </a:ln>
                    <a:effectLst/>
                  </pic:spPr>
                </pic:pic>
              </a:graphicData>
            </a:graphic>
          </wp:inline>
        </w:drawing>
      </w:r>
    </w:p>
    <w:p w:rsidR="006F219F" w:rsidRDefault="006F219F" w:rsidP="006F219F">
      <w:pPr>
        <w:pStyle w:val="ListParagraph"/>
      </w:pPr>
    </w:p>
    <w:p w:rsidR="006F219F" w:rsidRPr="00D151A4" w:rsidRDefault="001F695A" w:rsidP="006F219F">
      <w:pPr>
        <w:pStyle w:val="ListParagraph"/>
        <w:numPr>
          <w:ilvl w:val="0"/>
          <w:numId w:val="22"/>
        </w:numPr>
        <w:rPr>
          <w:b/>
          <w:bCs/>
        </w:rPr>
      </w:pPr>
      <w:r>
        <w:rPr>
          <w:b/>
          <w:bCs/>
        </w:rPr>
        <w:t>Immunization coverage and e</w:t>
      </w:r>
      <w:r w:rsidR="006F219F" w:rsidRPr="00D151A4">
        <w:rPr>
          <w:b/>
          <w:bCs/>
        </w:rPr>
        <w:t>quity</w:t>
      </w:r>
    </w:p>
    <w:p w:rsidR="007D3409" w:rsidRDefault="00C02EED" w:rsidP="007D3409">
      <w:pPr>
        <w:pStyle w:val="Caption"/>
        <w:jc w:val="center"/>
        <w:rPr>
          <w:sz w:val="22"/>
        </w:rPr>
      </w:pPr>
      <w:r>
        <w:rPr>
          <w:bCs w:val="0"/>
          <w:noProof/>
          <w:sz w:val="22"/>
          <w:lang w:eastAsia="en-GB"/>
        </w:rPr>
        <w:drawing>
          <wp:inline distT="0" distB="0" distL="0" distR="0">
            <wp:extent cx="3890645" cy="2837815"/>
            <wp:effectExtent l="0" t="0" r="0" b="635"/>
            <wp:docPr id="2" name="Picture 2" descr="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gan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0645" cy="2837815"/>
                    </a:xfrm>
                    <a:prstGeom prst="rect">
                      <a:avLst/>
                    </a:prstGeom>
                    <a:noFill/>
                    <a:ln>
                      <a:noFill/>
                    </a:ln>
                  </pic:spPr>
                </pic:pic>
              </a:graphicData>
            </a:graphic>
          </wp:inline>
        </w:drawing>
      </w:r>
    </w:p>
    <w:p w:rsidR="00E6488A" w:rsidRPr="004F4D18" w:rsidRDefault="00C02EED" w:rsidP="004F4D18">
      <w:pPr>
        <w:pStyle w:val="Caption"/>
        <w:jc w:val="center"/>
        <w:rPr>
          <w:sz w:val="22"/>
        </w:rPr>
      </w:pPr>
      <w:r>
        <w:rPr>
          <w:noProof/>
          <w:lang w:eastAsia="en-GB"/>
        </w:rPr>
        <w:drawing>
          <wp:inline distT="0" distB="0" distL="0" distR="0">
            <wp:extent cx="3554095" cy="819785"/>
            <wp:effectExtent l="0" t="0" r="8255" b="0"/>
            <wp:docPr id="3"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GVAP Reports\2016\3. Scrore Cards 2016\jan visualizations DTP3 per country\Punch cards per country\_legend-punchcar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4095" cy="819785"/>
                    </a:xfrm>
                    <a:prstGeom prst="rect">
                      <a:avLst/>
                    </a:prstGeom>
                    <a:noFill/>
                    <a:ln>
                      <a:noFill/>
                    </a:ln>
                  </pic:spPr>
                </pic:pic>
              </a:graphicData>
            </a:graphic>
          </wp:inline>
        </w:drawing>
      </w:r>
    </w:p>
    <w:sectPr w:rsidR="00E6488A" w:rsidRPr="004F4D18" w:rsidSect="006348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C9A" w:rsidRDefault="00CE6C9A">
      <w:pPr>
        <w:spacing w:after="0" w:line="240" w:lineRule="auto"/>
      </w:pPr>
      <w:r>
        <w:separator/>
      </w:r>
    </w:p>
  </w:endnote>
  <w:endnote w:type="continuationSeparator" w:id="0">
    <w:p w:rsidR="00CE6C9A" w:rsidRDefault="00CE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8A" w:rsidRDefault="00E6488A">
    <w:pPr>
      <w:pStyle w:val="Footer"/>
      <w:jc w:val="center"/>
    </w:pPr>
    <w:r>
      <w:fldChar w:fldCharType="begin"/>
    </w:r>
    <w:r>
      <w:instrText xml:space="preserve"> PAGE   \* MERGEFORMAT </w:instrText>
    </w:r>
    <w:r>
      <w:fldChar w:fldCharType="separate"/>
    </w:r>
    <w:r w:rsidR="00C02EED">
      <w:rPr>
        <w:noProof/>
      </w:rPr>
      <w:t>1</w:t>
    </w:r>
    <w:r>
      <w:rPr>
        <w:noProof/>
      </w:rPr>
      <w:fldChar w:fldCharType="end"/>
    </w:r>
  </w:p>
  <w:p w:rsidR="00E6488A" w:rsidRDefault="00E6488A" w:rsidP="00641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C9A" w:rsidRDefault="00CE6C9A">
      <w:pPr>
        <w:spacing w:after="0" w:line="240" w:lineRule="auto"/>
      </w:pPr>
      <w:r>
        <w:separator/>
      </w:r>
    </w:p>
  </w:footnote>
  <w:footnote w:type="continuationSeparator" w:id="0">
    <w:p w:rsidR="00CE6C9A" w:rsidRDefault="00CE6C9A">
      <w:pPr>
        <w:spacing w:after="0" w:line="240" w:lineRule="auto"/>
      </w:pPr>
      <w:r>
        <w:continuationSeparator/>
      </w:r>
    </w:p>
  </w:footnote>
  <w:footnote w:id="1">
    <w:p w:rsidR="00C95CCD" w:rsidRPr="00C95CCD" w:rsidRDefault="00C95CCD">
      <w:pPr>
        <w:pStyle w:val="FootnoteText"/>
      </w:pPr>
      <w:r>
        <w:rPr>
          <w:rStyle w:val="FootnoteReference"/>
        </w:rPr>
        <w:footnoteRef/>
      </w:r>
      <w:r>
        <w:t xml:space="preserve"> </w:t>
      </w:r>
      <w:r w:rsidRPr="00DB46DE">
        <w:t>Uganda Comprehensive EPI, Surveillance, Immunization Financing Review and Post-introduction Evaluation of Pneumococcal vaccine, 23 Feb – 6 March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CA"/>
    <w:multiLevelType w:val="hybridMultilevel"/>
    <w:tmpl w:val="60F29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D3098"/>
    <w:multiLevelType w:val="hybridMultilevel"/>
    <w:tmpl w:val="F3E8D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A3E5941"/>
    <w:multiLevelType w:val="multilevel"/>
    <w:tmpl w:val="A5A4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AE3068E"/>
    <w:multiLevelType w:val="multilevel"/>
    <w:tmpl w:val="417A48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3A0448"/>
    <w:multiLevelType w:val="hybridMultilevel"/>
    <w:tmpl w:val="BBAC69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3055F6"/>
    <w:multiLevelType w:val="hybridMultilevel"/>
    <w:tmpl w:val="1E0AAD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5309A"/>
    <w:multiLevelType w:val="hybridMultilevel"/>
    <w:tmpl w:val="6C1CF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D5180B"/>
    <w:multiLevelType w:val="hybridMultilevel"/>
    <w:tmpl w:val="AAA283B2"/>
    <w:lvl w:ilvl="0" w:tplc="10421B90">
      <w:numFmt w:val="bullet"/>
      <w:lvlText w:val="-"/>
      <w:lvlJc w:val="left"/>
      <w:pPr>
        <w:ind w:left="1080" w:hanging="360"/>
      </w:pPr>
      <w:rPr>
        <w:rFonts w:ascii="Arial" w:eastAsia="Calibr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3AA214CF"/>
    <w:multiLevelType w:val="hybridMultilevel"/>
    <w:tmpl w:val="DBBEA9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22">
    <w:nsid w:val="4B960D6B"/>
    <w:multiLevelType w:val="hybridMultilevel"/>
    <w:tmpl w:val="F8A221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4">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12109B1"/>
    <w:multiLevelType w:val="hybridMultilevel"/>
    <w:tmpl w:val="CC8E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31">
    <w:nsid w:val="665D4B37"/>
    <w:multiLevelType w:val="hybridMultilevel"/>
    <w:tmpl w:val="A5C047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8C7A5B"/>
    <w:multiLevelType w:val="multilevel"/>
    <w:tmpl w:val="900EF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4A5E1E"/>
    <w:multiLevelType w:val="multilevel"/>
    <w:tmpl w:val="C11AAA4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35">
    <w:nsid w:val="750809DB"/>
    <w:multiLevelType w:val="hybridMultilevel"/>
    <w:tmpl w:val="A34C09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716A93"/>
    <w:multiLevelType w:val="multilevel"/>
    <w:tmpl w:val="C46CE1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9">
    <w:nsid w:val="7E2B1B49"/>
    <w:multiLevelType w:val="hybridMultilevel"/>
    <w:tmpl w:val="D5048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5"/>
  </w:num>
  <w:num w:numId="4">
    <w:abstractNumId w:val="16"/>
  </w:num>
  <w:num w:numId="5">
    <w:abstractNumId w:val="26"/>
  </w:num>
  <w:num w:numId="6">
    <w:abstractNumId w:val="3"/>
  </w:num>
  <w:num w:numId="7">
    <w:abstractNumId w:val="9"/>
  </w:num>
  <w:num w:numId="8">
    <w:abstractNumId w:val="24"/>
  </w:num>
  <w:num w:numId="9">
    <w:abstractNumId w:val="7"/>
  </w:num>
  <w:num w:numId="10">
    <w:abstractNumId w:val="37"/>
  </w:num>
  <w:num w:numId="11">
    <w:abstractNumId w:val="34"/>
  </w:num>
  <w:num w:numId="12">
    <w:abstractNumId w:val="21"/>
  </w:num>
  <w:num w:numId="13">
    <w:abstractNumId w:val="30"/>
  </w:num>
  <w:num w:numId="14">
    <w:abstractNumId w:val="23"/>
  </w:num>
  <w:num w:numId="15">
    <w:abstractNumId w:val="38"/>
  </w:num>
  <w:num w:numId="16">
    <w:abstractNumId w:val="15"/>
  </w:num>
  <w:num w:numId="17">
    <w:abstractNumId w:val="25"/>
  </w:num>
  <w:num w:numId="18">
    <w:abstractNumId w:val="18"/>
  </w:num>
  <w:num w:numId="19">
    <w:abstractNumId w:val="40"/>
  </w:num>
  <w:num w:numId="20">
    <w:abstractNumId w:val="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9"/>
  </w:num>
  <w:num w:numId="25">
    <w:abstractNumId w:val="20"/>
  </w:num>
  <w:num w:numId="26">
    <w:abstractNumId w:val="31"/>
  </w:num>
  <w:num w:numId="27">
    <w:abstractNumId w:val="14"/>
  </w:num>
  <w:num w:numId="28">
    <w:abstractNumId w:val="4"/>
  </w:num>
  <w:num w:numId="29">
    <w:abstractNumId w:val="8"/>
  </w:num>
  <w:num w:numId="30">
    <w:abstractNumId w:val="27"/>
  </w:num>
  <w:num w:numId="31">
    <w:abstractNumId w:val="13"/>
  </w:num>
  <w:num w:numId="32">
    <w:abstractNumId w:val="11"/>
  </w:num>
  <w:num w:numId="33">
    <w:abstractNumId w:val="29"/>
  </w:num>
  <w:num w:numId="34">
    <w:abstractNumId w:val="28"/>
  </w:num>
  <w:num w:numId="35">
    <w:abstractNumId w:val="22"/>
  </w:num>
  <w:num w:numId="36">
    <w:abstractNumId w:val="35"/>
  </w:num>
  <w:num w:numId="37">
    <w:abstractNumId w:val="0"/>
  </w:num>
  <w:num w:numId="38">
    <w:abstractNumId w:val="36"/>
  </w:num>
  <w:num w:numId="39">
    <w:abstractNumId w:val="33"/>
  </w:num>
  <w:num w:numId="40">
    <w:abstractNumId w:val="1"/>
  </w:num>
  <w:num w:numId="41">
    <w:abstractNumId w:val="12"/>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05239"/>
    <w:rsid w:val="0002156C"/>
    <w:rsid w:val="00052693"/>
    <w:rsid w:val="0006192C"/>
    <w:rsid w:val="00066111"/>
    <w:rsid w:val="0007442D"/>
    <w:rsid w:val="00090336"/>
    <w:rsid w:val="00096E70"/>
    <w:rsid w:val="00097B01"/>
    <w:rsid w:val="000A4394"/>
    <w:rsid w:val="000C2C44"/>
    <w:rsid w:val="000E3D3E"/>
    <w:rsid w:val="001067B7"/>
    <w:rsid w:val="00163179"/>
    <w:rsid w:val="0018360B"/>
    <w:rsid w:val="00192CE6"/>
    <w:rsid w:val="001B0097"/>
    <w:rsid w:val="001B541B"/>
    <w:rsid w:val="001C1193"/>
    <w:rsid w:val="001C1E4D"/>
    <w:rsid w:val="001C3946"/>
    <w:rsid w:val="001C5026"/>
    <w:rsid w:val="001F2D8D"/>
    <w:rsid w:val="001F695A"/>
    <w:rsid w:val="00211848"/>
    <w:rsid w:val="002258E3"/>
    <w:rsid w:val="002327A5"/>
    <w:rsid w:val="00232D9A"/>
    <w:rsid w:val="002654C3"/>
    <w:rsid w:val="00267F0A"/>
    <w:rsid w:val="002716CC"/>
    <w:rsid w:val="0027368A"/>
    <w:rsid w:val="0028043B"/>
    <w:rsid w:val="002818D0"/>
    <w:rsid w:val="00281CEF"/>
    <w:rsid w:val="00292589"/>
    <w:rsid w:val="002B3BCF"/>
    <w:rsid w:val="002B73D6"/>
    <w:rsid w:val="002C0BCF"/>
    <w:rsid w:val="002C65B5"/>
    <w:rsid w:val="002D3C3D"/>
    <w:rsid w:val="002D61F5"/>
    <w:rsid w:val="002D762A"/>
    <w:rsid w:val="002F1749"/>
    <w:rsid w:val="002F20C9"/>
    <w:rsid w:val="00347756"/>
    <w:rsid w:val="00354BF5"/>
    <w:rsid w:val="00357361"/>
    <w:rsid w:val="00365AB4"/>
    <w:rsid w:val="00370616"/>
    <w:rsid w:val="00371B50"/>
    <w:rsid w:val="00373BA5"/>
    <w:rsid w:val="00385AF1"/>
    <w:rsid w:val="003B4E55"/>
    <w:rsid w:val="003B6F84"/>
    <w:rsid w:val="003D0373"/>
    <w:rsid w:val="003D0BC3"/>
    <w:rsid w:val="003D24BB"/>
    <w:rsid w:val="003D6679"/>
    <w:rsid w:val="003E30EC"/>
    <w:rsid w:val="003E3AFC"/>
    <w:rsid w:val="003F4825"/>
    <w:rsid w:val="004013B6"/>
    <w:rsid w:val="00412E93"/>
    <w:rsid w:val="00413925"/>
    <w:rsid w:val="00432B70"/>
    <w:rsid w:val="004333B5"/>
    <w:rsid w:val="00436537"/>
    <w:rsid w:val="00441EDC"/>
    <w:rsid w:val="00457E0A"/>
    <w:rsid w:val="00460FC0"/>
    <w:rsid w:val="004826EF"/>
    <w:rsid w:val="00492F98"/>
    <w:rsid w:val="004A0122"/>
    <w:rsid w:val="004A203B"/>
    <w:rsid w:val="004A394A"/>
    <w:rsid w:val="004B1494"/>
    <w:rsid w:val="004B1E23"/>
    <w:rsid w:val="004B5B75"/>
    <w:rsid w:val="004C353D"/>
    <w:rsid w:val="004C6880"/>
    <w:rsid w:val="004D307D"/>
    <w:rsid w:val="004F4D18"/>
    <w:rsid w:val="004F6777"/>
    <w:rsid w:val="00500171"/>
    <w:rsid w:val="005002BB"/>
    <w:rsid w:val="0050564C"/>
    <w:rsid w:val="005133F8"/>
    <w:rsid w:val="00513BF2"/>
    <w:rsid w:val="00522DB6"/>
    <w:rsid w:val="00530FEA"/>
    <w:rsid w:val="00532476"/>
    <w:rsid w:val="00534013"/>
    <w:rsid w:val="00572AD9"/>
    <w:rsid w:val="005737AD"/>
    <w:rsid w:val="0057783D"/>
    <w:rsid w:val="0058000D"/>
    <w:rsid w:val="00586763"/>
    <w:rsid w:val="00591618"/>
    <w:rsid w:val="005B6B29"/>
    <w:rsid w:val="005C6F1C"/>
    <w:rsid w:val="005D52E5"/>
    <w:rsid w:val="005F0283"/>
    <w:rsid w:val="005F74EB"/>
    <w:rsid w:val="00600D0F"/>
    <w:rsid w:val="006321C4"/>
    <w:rsid w:val="00634879"/>
    <w:rsid w:val="0063770B"/>
    <w:rsid w:val="006410AE"/>
    <w:rsid w:val="00641572"/>
    <w:rsid w:val="00641AEE"/>
    <w:rsid w:val="00677182"/>
    <w:rsid w:val="006842AB"/>
    <w:rsid w:val="00696E6A"/>
    <w:rsid w:val="006A05E4"/>
    <w:rsid w:val="006A269E"/>
    <w:rsid w:val="006A4380"/>
    <w:rsid w:val="006C334B"/>
    <w:rsid w:val="006C5F9A"/>
    <w:rsid w:val="006D0B40"/>
    <w:rsid w:val="006D7CA5"/>
    <w:rsid w:val="006F2132"/>
    <w:rsid w:val="006F219F"/>
    <w:rsid w:val="007033F7"/>
    <w:rsid w:val="00716827"/>
    <w:rsid w:val="00724435"/>
    <w:rsid w:val="00734BA0"/>
    <w:rsid w:val="0076408F"/>
    <w:rsid w:val="00767749"/>
    <w:rsid w:val="007709E9"/>
    <w:rsid w:val="00770EEA"/>
    <w:rsid w:val="00774C59"/>
    <w:rsid w:val="00782C2A"/>
    <w:rsid w:val="0079008F"/>
    <w:rsid w:val="00797196"/>
    <w:rsid w:val="007A3008"/>
    <w:rsid w:val="007A35F6"/>
    <w:rsid w:val="007B053A"/>
    <w:rsid w:val="007B7B71"/>
    <w:rsid w:val="007C10B9"/>
    <w:rsid w:val="007C2400"/>
    <w:rsid w:val="007C5F79"/>
    <w:rsid w:val="007D16A4"/>
    <w:rsid w:val="007D2844"/>
    <w:rsid w:val="007D2AA9"/>
    <w:rsid w:val="007D3409"/>
    <w:rsid w:val="007D7DC8"/>
    <w:rsid w:val="007E0DEE"/>
    <w:rsid w:val="007E1D0A"/>
    <w:rsid w:val="007E50D9"/>
    <w:rsid w:val="007E5C55"/>
    <w:rsid w:val="007F0729"/>
    <w:rsid w:val="00805389"/>
    <w:rsid w:val="008053B7"/>
    <w:rsid w:val="008062DF"/>
    <w:rsid w:val="008105B2"/>
    <w:rsid w:val="00812E29"/>
    <w:rsid w:val="00824C6B"/>
    <w:rsid w:val="00825812"/>
    <w:rsid w:val="0083568C"/>
    <w:rsid w:val="00835BBC"/>
    <w:rsid w:val="00856B69"/>
    <w:rsid w:val="00862516"/>
    <w:rsid w:val="00863F77"/>
    <w:rsid w:val="00865907"/>
    <w:rsid w:val="00883C0A"/>
    <w:rsid w:val="00894DF4"/>
    <w:rsid w:val="008A1C67"/>
    <w:rsid w:val="008A70DC"/>
    <w:rsid w:val="008A7BEC"/>
    <w:rsid w:val="008B3034"/>
    <w:rsid w:val="008C1347"/>
    <w:rsid w:val="008C64BB"/>
    <w:rsid w:val="008E4926"/>
    <w:rsid w:val="008E7AA0"/>
    <w:rsid w:val="008F4F49"/>
    <w:rsid w:val="008F69E2"/>
    <w:rsid w:val="009318B8"/>
    <w:rsid w:val="00933AAE"/>
    <w:rsid w:val="009563E8"/>
    <w:rsid w:val="00960450"/>
    <w:rsid w:val="0098010F"/>
    <w:rsid w:val="009A5026"/>
    <w:rsid w:val="009B091D"/>
    <w:rsid w:val="009C09D8"/>
    <w:rsid w:val="009C5F7F"/>
    <w:rsid w:val="009D32E5"/>
    <w:rsid w:val="009E1E59"/>
    <w:rsid w:val="009E5202"/>
    <w:rsid w:val="009E5E09"/>
    <w:rsid w:val="00A11AC1"/>
    <w:rsid w:val="00A1775D"/>
    <w:rsid w:val="00A233ED"/>
    <w:rsid w:val="00A44D74"/>
    <w:rsid w:val="00A56EBF"/>
    <w:rsid w:val="00A75FEA"/>
    <w:rsid w:val="00A77C6F"/>
    <w:rsid w:val="00A821A2"/>
    <w:rsid w:val="00AA67AB"/>
    <w:rsid w:val="00AB1003"/>
    <w:rsid w:val="00AE11AD"/>
    <w:rsid w:val="00AE5D37"/>
    <w:rsid w:val="00AE7557"/>
    <w:rsid w:val="00AF31C8"/>
    <w:rsid w:val="00AF3E7B"/>
    <w:rsid w:val="00AF7C4D"/>
    <w:rsid w:val="00B11D26"/>
    <w:rsid w:val="00B13423"/>
    <w:rsid w:val="00B13A2F"/>
    <w:rsid w:val="00B17114"/>
    <w:rsid w:val="00B218CC"/>
    <w:rsid w:val="00B37105"/>
    <w:rsid w:val="00B4470F"/>
    <w:rsid w:val="00B61247"/>
    <w:rsid w:val="00BA2589"/>
    <w:rsid w:val="00BB5F62"/>
    <w:rsid w:val="00BC039B"/>
    <w:rsid w:val="00BC6E1F"/>
    <w:rsid w:val="00BD25D9"/>
    <w:rsid w:val="00BD47CC"/>
    <w:rsid w:val="00BD72BB"/>
    <w:rsid w:val="00BF14CF"/>
    <w:rsid w:val="00BF4CFA"/>
    <w:rsid w:val="00C000F1"/>
    <w:rsid w:val="00C02EED"/>
    <w:rsid w:val="00C03FFE"/>
    <w:rsid w:val="00C15E8C"/>
    <w:rsid w:val="00C2602F"/>
    <w:rsid w:val="00C27BB5"/>
    <w:rsid w:val="00C400A7"/>
    <w:rsid w:val="00C679C0"/>
    <w:rsid w:val="00C67C9D"/>
    <w:rsid w:val="00C8156B"/>
    <w:rsid w:val="00C82C17"/>
    <w:rsid w:val="00C95CCD"/>
    <w:rsid w:val="00CA4529"/>
    <w:rsid w:val="00CA465F"/>
    <w:rsid w:val="00CA4698"/>
    <w:rsid w:val="00CA7D81"/>
    <w:rsid w:val="00CC7611"/>
    <w:rsid w:val="00CD1366"/>
    <w:rsid w:val="00CD3FD9"/>
    <w:rsid w:val="00CE6C9A"/>
    <w:rsid w:val="00CF0E45"/>
    <w:rsid w:val="00CF23E9"/>
    <w:rsid w:val="00D00342"/>
    <w:rsid w:val="00D00DC6"/>
    <w:rsid w:val="00D0293C"/>
    <w:rsid w:val="00D05442"/>
    <w:rsid w:val="00D151A4"/>
    <w:rsid w:val="00D17551"/>
    <w:rsid w:val="00D27E92"/>
    <w:rsid w:val="00D30DD8"/>
    <w:rsid w:val="00D732C7"/>
    <w:rsid w:val="00D9435D"/>
    <w:rsid w:val="00D9563B"/>
    <w:rsid w:val="00DB46DE"/>
    <w:rsid w:val="00DB7347"/>
    <w:rsid w:val="00DC3E5F"/>
    <w:rsid w:val="00DC5960"/>
    <w:rsid w:val="00DC6AC7"/>
    <w:rsid w:val="00DD2B4F"/>
    <w:rsid w:val="00E11B99"/>
    <w:rsid w:val="00E1686A"/>
    <w:rsid w:val="00E2660D"/>
    <w:rsid w:val="00E3004C"/>
    <w:rsid w:val="00E3264D"/>
    <w:rsid w:val="00E34D87"/>
    <w:rsid w:val="00E37109"/>
    <w:rsid w:val="00E5103C"/>
    <w:rsid w:val="00E578A3"/>
    <w:rsid w:val="00E6488A"/>
    <w:rsid w:val="00E72094"/>
    <w:rsid w:val="00E86411"/>
    <w:rsid w:val="00E935C8"/>
    <w:rsid w:val="00E963B9"/>
    <w:rsid w:val="00EA1528"/>
    <w:rsid w:val="00EC5704"/>
    <w:rsid w:val="00EC678F"/>
    <w:rsid w:val="00ED0BD7"/>
    <w:rsid w:val="00EE1233"/>
    <w:rsid w:val="00EE1747"/>
    <w:rsid w:val="00EF28C5"/>
    <w:rsid w:val="00F01C3B"/>
    <w:rsid w:val="00F06C80"/>
    <w:rsid w:val="00F1695C"/>
    <w:rsid w:val="00F215A2"/>
    <w:rsid w:val="00F31093"/>
    <w:rsid w:val="00F41E81"/>
    <w:rsid w:val="00F539CA"/>
    <w:rsid w:val="00F577A7"/>
    <w:rsid w:val="00F63D60"/>
    <w:rsid w:val="00F76419"/>
    <w:rsid w:val="00F81B65"/>
    <w:rsid w:val="00F85BA5"/>
    <w:rsid w:val="00F9232C"/>
    <w:rsid w:val="00F96B80"/>
    <w:rsid w:val="00FB6476"/>
    <w:rsid w:val="00FD688B"/>
    <w:rsid w:val="00FD74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3530">
      <w:bodyDiv w:val="1"/>
      <w:marLeft w:val="0"/>
      <w:marRight w:val="0"/>
      <w:marTop w:val="0"/>
      <w:marBottom w:val="0"/>
      <w:divBdr>
        <w:top w:val="none" w:sz="0" w:space="0" w:color="auto"/>
        <w:left w:val="none" w:sz="0" w:space="0" w:color="auto"/>
        <w:bottom w:val="none" w:sz="0" w:space="0" w:color="auto"/>
        <w:right w:val="none" w:sz="0" w:space="0" w:color="auto"/>
      </w:divBdr>
    </w:div>
    <w:div w:id="479274181">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599725068">
      <w:bodyDiv w:val="1"/>
      <w:marLeft w:val="0"/>
      <w:marRight w:val="0"/>
      <w:marTop w:val="0"/>
      <w:marBottom w:val="0"/>
      <w:divBdr>
        <w:top w:val="none" w:sz="0" w:space="0" w:color="auto"/>
        <w:left w:val="none" w:sz="0" w:space="0" w:color="auto"/>
        <w:bottom w:val="none" w:sz="0" w:space="0" w:color="auto"/>
        <w:right w:val="none" w:sz="0" w:space="0" w:color="auto"/>
      </w:divBdr>
      <w:divsChild>
        <w:div w:id="224100292">
          <w:marLeft w:val="0"/>
          <w:marRight w:val="0"/>
          <w:marTop w:val="0"/>
          <w:marBottom w:val="0"/>
          <w:divBdr>
            <w:top w:val="none" w:sz="0" w:space="0" w:color="auto"/>
            <w:left w:val="none" w:sz="0" w:space="0" w:color="auto"/>
            <w:bottom w:val="none" w:sz="0" w:space="0" w:color="auto"/>
            <w:right w:val="none" w:sz="0" w:space="0" w:color="auto"/>
          </w:divBdr>
        </w:div>
        <w:div w:id="287786343">
          <w:marLeft w:val="0"/>
          <w:marRight w:val="0"/>
          <w:marTop w:val="0"/>
          <w:marBottom w:val="0"/>
          <w:divBdr>
            <w:top w:val="none" w:sz="0" w:space="0" w:color="auto"/>
            <w:left w:val="none" w:sz="0" w:space="0" w:color="auto"/>
            <w:bottom w:val="none" w:sz="0" w:space="0" w:color="auto"/>
            <w:right w:val="none" w:sz="0" w:space="0" w:color="auto"/>
          </w:divBdr>
        </w:div>
        <w:div w:id="345906336">
          <w:marLeft w:val="0"/>
          <w:marRight w:val="0"/>
          <w:marTop w:val="0"/>
          <w:marBottom w:val="0"/>
          <w:divBdr>
            <w:top w:val="none" w:sz="0" w:space="0" w:color="auto"/>
            <w:left w:val="none" w:sz="0" w:space="0" w:color="auto"/>
            <w:bottom w:val="none" w:sz="0" w:space="0" w:color="auto"/>
            <w:right w:val="none" w:sz="0" w:space="0" w:color="auto"/>
          </w:divBdr>
        </w:div>
        <w:div w:id="424228582">
          <w:marLeft w:val="0"/>
          <w:marRight w:val="0"/>
          <w:marTop w:val="0"/>
          <w:marBottom w:val="0"/>
          <w:divBdr>
            <w:top w:val="none" w:sz="0" w:space="0" w:color="auto"/>
            <w:left w:val="none" w:sz="0" w:space="0" w:color="auto"/>
            <w:bottom w:val="none" w:sz="0" w:space="0" w:color="auto"/>
            <w:right w:val="none" w:sz="0" w:space="0" w:color="auto"/>
          </w:divBdr>
        </w:div>
        <w:div w:id="764106792">
          <w:marLeft w:val="0"/>
          <w:marRight w:val="0"/>
          <w:marTop w:val="0"/>
          <w:marBottom w:val="0"/>
          <w:divBdr>
            <w:top w:val="none" w:sz="0" w:space="0" w:color="auto"/>
            <w:left w:val="none" w:sz="0" w:space="0" w:color="auto"/>
            <w:bottom w:val="none" w:sz="0" w:space="0" w:color="auto"/>
            <w:right w:val="none" w:sz="0" w:space="0" w:color="auto"/>
          </w:divBdr>
        </w:div>
        <w:div w:id="988099662">
          <w:marLeft w:val="0"/>
          <w:marRight w:val="0"/>
          <w:marTop w:val="0"/>
          <w:marBottom w:val="0"/>
          <w:divBdr>
            <w:top w:val="none" w:sz="0" w:space="0" w:color="auto"/>
            <w:left w:val="none" w:sz="0" w:space="0" w:color="auto"/>
            <w:bottom w:val="none" w:sz="0" w:space="0" w:color="auto"/>
            <w:right w:val="none" w:sz="0" w:space="0" w:color="auto"/>
          </w:divBdr>
        </w:div>
        <w:div w:id="1054112521">
          <w:marLeft w:val="0"/>
          <w:marRight w:val="0"/>
          <w:marTop w:val="0"/>
          <w:marBottom w:val="0"/>
          <w:divBdr>
            <w:top w:val="none" w:sz="0" w:space="0" w:color="auto"/>
            <w:left w:val="none" w:sz="0" w:space="0" w:color="auto"/>
            <w:bottom w:val="none" w:sz="0" w:space="0" w:color="auto"/>
            <w:right w:val="none" w:sz="0" w:space="0" w:color="auto"/>
          </w:divBdr>
        </w:div>
        <w:div w:id="1193763961">
          <w:marLeft w:val="0"/>
          <w:marRight w:val="0"/>
          <w:marTop w:val="0"/>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484076944">
      <w:bodyDiv w:val="1"/>
      <w:marLeft w:val="0"/>
      <w:marRight w:val="0"/>
      <w:marTop w:val="0"/>
      <w:marBottom w:val="0"/>
      <w:divBdr>
        <w:top w:val="none" w:sz="0" w:space="0" w:color="auto"/>
        <w:left w:val="none" w:sz="0" w:space="0" w:color="auto"/>
        <w:bottom w:val="none" w:sz="0" w:space="0" w:color="auto"/>
        <w:right w:val="none" w:sz="0" w:space="0" w:color="auto"/>
      </w:divBdr>
      <w:divsChild>
        <w:div w:id="406656945">
          <w:marLeft w:val="0"/>
          <w:marRight w:val="0"/>
          <w:marTop w:val="0"/>
          <w:marBottom w:val="0"/>
          <w:divBdr>
            <w:top w:val="none" w:sz="0" w:space="0" w:color="auto"/>
            <w:left w:val="none" w:sz="0" w:space="0" w:color="auto"/>
            <w:bottom w:val="none" w:sz="0" w:space="0" w:color="auto"/>
            <w:right w:val="none" w:sz="0" w:space="0" w:color="auto"/>
          </w:divBdr>
        </w:div>
        <w:div w:id="1775131186">
          <w:marLeft w:val="0"/>
          <w:marRight w:val="0"/>
          <w:marTop w:val="0"/>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8560774">
      <w:bodyDiv w:val="1"/>
      <w:marLeft w:val="0"/>
      <w:marRight w:val="0"/>
      <w:marTop w:val="0"/>
      <w:marBottom w:val="0"/>
      <w:divBdr>
        <w:top w:val="none" w:sz="0" w:space="0" w:color="auto"/>
        <w:left w:val="none" w:sz="0" w:space="0" w:color="auto"/>
        <w:bottom w:val="none" w:sz="0" w:space="0" w:color="auto"/>
        <w:right w:val="none" w:sz="0" w:space="0" w:color="auto"/>
      </w:divBdr>
    </w:div>
    <w:div w:id="2012104710">
      <w:bodyDiv w:val="1"/>
      <w:marLeft w:val="0"/>
      <w:marRight w:val="0"/>
      <w:marTop w:val="0"/>
      <w:marBottom w:val="0"/>
      <w:divBdr>
        <w:top w:val="none" w:sz="0" w:space="0" w:color="auto"/>
        <w:left w:val="none" w:sz="0" w:space="0" w:color="auto"/>
        <w:bottom w:val="none" w:sz="0" w:space="0" w:color="auto"/>
        <w:right w:val="none" w:sz="0" w:space="0" w:color="auto"/>
      </w:divBdr>
      <w:divsChild>
        <w:div w:id="197591574">
          <w:marLeft w:val="0"/>
          <w:marRight w:val="0"/>
          <w:marTop w:val="0"/>
          <w:marBottom w:val="0"/>
          <w:divBdr>
            <w:top w:val="none" w:sz="0" w:space="0" w:color="auto"/>
            <w:left w:val="none" w:sz="0" w:space="0" w:color="auto"/>
            <w:bottom w:val="none" w:sz="0" w:space="0" w:color="auto"/>
            <w:right w:val="none" w:sz="0" w:space="0" w:color="auto"/>
          </w:divBdr>
        </w:div>
        <w:div w:id="238447066">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541287128">
          <w:marLeft w:val="0"/>
          <w:marRight w:val="0"/>
          <w:marTop w:val="0"/>
          <w:marBottom w:val="0"/>
          <w:divBdr>
            <w:top w:val="none" w:sz="0" w:space="0" w:color="auto"/>
            <w:left w:val="none" w:sz="0" w:space="0" w:color="auto"/>
            <w:bottom w:val="none" w:sz="0" w:space="0" w:color="auto"/>
            <w:right w:val="none" w:sz="0" w:space="0" w:color="auto"/>
          </w:divBdr>
        </w:div>
        <w:div w:id="1641611561">
          <w:marLeft w:val="0"/>
          <w:marRight w:val="0"/>
          <w:marTop w:val="0"/>
          <w:marBottom w:val="0"/>
          <w:divBdr>
            <w:top w:val="none" w:sz="0" w:space="0" w:color="auto"/>
            <w:left w:val="none" w:sz="0" w:space="0" w:color="auto"/>
            <w:bottom w:val="none" w:sz="0" w:space="0" w:color="auto"/>
            <w:right w:val="none" w:sz="0" w:space="0" w:color="auto"/>
          </w:divBdr>
        </w:div>
        <w:div w:id="1760953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421DE30-DD59-4AA3-A07C-5603E5F4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3215</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MAFUNGA, Neddy</cp:lastModifiedBy>
  <cp:revision>2</cp:revision>
  <cp:lastPrinted>2016-06-28T07:36:00Z</cp:lastPrinted>
  <dcterms:created xsi:type="dcterms:W3CDTF">2016-08-26T10:50:00Z</dcterms:created>
  <dcterms:modified xsi:type="dcterms:W3CDTF">2016-08-26T10:50:00Z</dcterms:modified>
</cp:coreProperties>
</file>