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B5" w:rsidRPr="00C27BB5" w:rsidRDefault="00C27BB5" w:rsidP="00C27BB5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27BB5">
        <w:rPr>
          <w:b/>
          <w:sz w:val="40"/>
          <w:szCs w:val="40"/>
        </w:rPr>
        <w:t>Global Vaccine Action Plan</w:t>
      </w:r>
    </w:p>
    <w:p w:rsidR="009D32E5" w:rsidRDefault="00C27BB5" w:rsidP="00C27BB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:rsidR="009D32E5" w:rsidRDefault="00C27BB5" w:rsidP="00C27BB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:rsidR="00734BA0" w:rsidRPr="00C27BB5" w:rsidRDefault="00C27BB5" w:rsidP="00C27BB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:rsidR="009D32E5" w:rsidRDefault="009D32E5" w:rsidP="00C27BB5">
      <w:pPr>
        <w:jc w:val="center"/>
        <w:rPr>
          <w:rFonts w:ascii="Arial" w:hAnsi="Arial"/>
          <w:b/>
          <w:sz w:val="32"/>
        </w:rPr>
      </w:pPr>
    </w:p>
    <w:p w:rsidR="00C27BB5" w:rsidRPr="00C400A7" w:rsidRDefault="00C27BB5" w:rsidP="00C27BB5">
      <w:pPr>
        <w:jc w:val="center"/>
        <w:rPr>
          <w:rFonts w:ascii="Arial" w:hAnsi="Arial"/>
          <w:b/>
          <w:sz w:val="36"/>
        </w:rPr>
      </w:pPr>
      <w:r w:rsidRPr="00C400A7">
        <w:rPr>
          <w:rFonts w:ascii="Arial" w:hAnsi="Arial"/>
          <w:b/>
          <w:sz w:val="36"/>
        </w:rPr>
        <w:t xml:space="preserve">UGANDA </w:t>
      </w:r>
    </w:p>
    <w:p w:rsidR="00C27BB5" w:rsidRDefault="00C27BB5" w:rsidP="00C27BB5">
      <w:pPr>
        <w:jc w:val="center"/>
        <w:rPr>
          <w:rFonts w:ascii="Arial" w:hAnsi="Arial"/>
          <w:b/>
          <w:sz w:val="32"/>
        </w:rPr>
      </w:pPr>
    </w:p>
    <w:p w:rsidR="00457E0A" w:rsidRPr="00BB5F62" w:rsidRDefault="00457E0A" w:rsidP="00457E0A">
      <w:pPr>
        <w:pStyle w:val="ListParagraph"/>
        <w:numPr>
          <w:ilvl w:val="0"/>
          <w:numId w:val="3"/>
        </w:numPr>
        <w:rPr>
          <w:rFonts w:ascii="Arial" w:hAnsi="Arial"/>
          <w:b/>
          <w:sz w:val="26"/>
          <w:szCs w:val="26"/>
        </w:rPr>
      </w:pPr>
      <w:r w:rsidRPr="00BB5F62">
        <w:rPr>
          <w:rFonts w:ascii="Arial" w:hAnsi="Arial"/>
          <w:b/>
          <w:sz w:val="26"/>
          <w:szCs w:val="26"/>
        </w:rPr>
        <w:t xml:space="preserve">Progress towards achievement of GVAP goals </w:t>
      </w:r>
    </w:p>
    <w:p w:rsidR="00457E0A" w:rsidRPr="00457E0A" w:rsidRDefault="00457E0A" w:rsidP="00457E0A">
      <w:pPr>
        <w:pStyle w:val="ListParagraph"/>
        <w:rPr>
          <w:rFonts w:ascii="Arial" w:hAnsi="Arial"/>
          <w:b/>
        </w:rPr>
      </w:pPr>
    </w:p>
    <w:p w:rsidR="00163179" w:rsidRPr="00BB5F62" w:rsidRDefault="00C67C9D" w:rsidP="00163179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 w:rsidRPr="00BB5F62">
        <w:rPr>
          <w:rFonts w:ascii="Arial" w:hAnsi="Arial"/>
          <w:b/>
          <w:sz w:val="24"/>
          <w:szCs w:val="24"/>
        </w:rPr>
        <w:t xml:space="preserve">Summary </w:t>
      </w:r>
    </w:p>
    <w:p w:rsidR="00BA2589" w:rsidRDefault="00BA2589" w:rsidP="006A05E4">
      <w:pPr>
        <w:rPr>
          <w:rFonts w:ascii="Arial" w:hAnsi="Arial"/>
        </w:rPr>
      </w:pPr>
      <w:r w:rsidRPr="0000352E">
        <w:rPr>
          <w:rFonts w:ascii="Arial" w:hAnsi="Arial"/>
        </w:rPr>
        <w:t xml:space="preserve">This </w:t>
      </w:r>
      <w:r w:rsidR="006C334B">
        <w:rPr>
          <w:rFonts w:ascii="Arial" w:hAnsi="Arial"/>
        </w:rPr>
        <w:t xml:space="preserve">summary table describes </w:t>
      </w:r>
      <w:r w:rsidRPr="0000352E">
        <w:rPr>
          <w:rFonts w:ascii="Arial" w:hAnsi="Arial"/>
        </w:rPr>
        <w:t xml:space="preserve">the current situation in </w:t>
      </w:r>
      <w:r w:rsidR="006A05E4">
        <w:rPr>
          <w:rFonts w:ascii="Arial" w:hAnsi="Arial"/>
        </w:rPr>
        <w:t>Uganda</w:t>
      </w:r>
      <w:r w:rsidRPr="0000352E">
        <w:rPr>
          <w:rFonts w:ascii="Arial" w:hAnsi="Arial"/>
        </w:rPr>
        <w:t xml:space="preserve"> regarding achieving the GVAP goals.</w:t>
      </w:r>
      <w:r w:rsidR="00492F98">
        <w:rPr>
          <w:rFonts w:ascii="Arial" w:hAnsi="Arial"/>
        </w:rPr>
        <w:t xml:space="preserve"> </w:t>
      </w:r>
      <w:r w:rsidR="00500171">
        <w:rPr>
          <w:rFonts w:ascii="Arial" w:hAnsi="Arial"/>
        </w:rPr>
        <w:t>D</w:t>
      </w:r>
      <w:r w:rsidR="00696E6A">
        <w:rPr>
          <w:rFonts w:ascii="Arial" w:hAnsi="Arial"/>
        </w:rPr>
        <w:t xml:space="preserve">ata </w:t>
      </w:r>
      <w:r w:rsidR="00E11B99">
        <w:rPr>
          <w:rFonts w:ascii="Arial" w:hAnsi="Arial"/>
        </w:rPr>
        <w:t xml:space="preserve">used to assess progress towards achievement of </w:t>
      </w:r>
      <w:r w:rsidR="00696E6A">
        <w:rPr>
          <w:rFonts w:ascii="Arial" w:hAnsi="Arial"/>
        </w:rPr>
        <w:t xml:space="preserve">GVAP goals are included in the annex (Country </w:t>
      </w:r>
      <w:r w:rsidR="00D00DC6">
        <w:rPr>
          <w:rFonts w:ascii="Arial" w:hAnsi="Arial"/>
        </w:rPr>
        <w:t xml:space="preserve">immunization </w:t>
      </w:r>
      <w:r w:rsidR="00696E6A">
        <w:rPr>
          <w:rFonts w:ascii="Arial" w:hAnsi="Arial"/>
        </w:rPr>
        <w:t>profile).</w:t>
      </w:r>
    </w:p>
    <w:tbl>
      <w:tblPr>
        <w:tblW w:w="9249" w:type="dxa"/>
        <w:jc w:val="center"/>
        <w:tblLook w:val="04A0" w:firstRow="1" w:lastRow="0" w:firstColumn="1" w:lastColumn="0" w:noHBand="0" w:noVBand="1"/>
      </w:tblPr>
      <w:tblGrid>
        <w:gridCol w:w="3189"/>
        <w:gridCol w:w="3673"/>
        <w:gridCol w:w="2387"/>
      </w:tblGrid>
      <w:tr w:rsidR="00572AD9" w:rsidRPr="00B13A2F" w:rsidTr="00AB1003">
        <w:trPr>
          <w:trHeight w:val="675"/>
          <w:tblHeader/>
          <w:jc w:val="center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AD9" w:rsidRPr="00572AD9" w:rsidRDefault="00572AD9" w:rsidP="00572AD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572AD9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Area</w:t>
            </w:r>
          </w:p>
        </w:tc>
        <w:tc>
          <w:tcPr>
            <w:tcW w:w="3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AD9" w:rsidRPr="00572AD9" w:rsidRDefault="00572AD9" w:rsidP="00572AD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572AD9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Indicator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2AD9" w:rsidRPr="00572AD9" w:rsidRDefault="00BC6E1F" w:rsidP="00572AD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Data for </w:t>
            </w:r>
            <w:r w:rsidR="00572AD9" w:rsidRPr="00572AD9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Uganda</w:t>
            </w:r>
          </w:p>
        </w:tc>
      </w:tr>
      <w:tr w:rsidR="00BC6E1F" w:rsidRPr="00B13A2F" w:rsidTr="00AB1003">
        <w:trPr>
          <w:trHeight w:val="350"/>
          <w:jc w:val="center"/>
        </w:trPr>
        <w:tc>
          <w:tcPr>
            <w:tcW w:w="31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DCDB"/>
            <w:hideMark/>
          </w:tcPr>
          <w:p w:rsidR="00BC6E1F" w:rsidRPr="00572AD9" w:rsidRDefault="00BC6E1F" w:rsidP="00BC6E1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572AD9">
              <w:rPr>
                <w:rFonts w:eastAsia="Times New Roman" w:cs="Calibri"/>
                <w:b/>
                <w:bCs/>
                <w:color w:val="000000"/>
                <w:lang w:eastAsia="en-GB"/>
              </w:rPr>
              <w:t>4. Rubella/CRS Elimination</w:t>
            </w: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C6E1F" w:rsidRPr="00572AD9" w:rsidRDefault="00BC6E1F" w:rsidP="00BC6E1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Rubella-containing vaccine c</w:t>
            </w:r>
            <w:r w:rsidRPr="00572AD9"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overage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BC6E1F" w:rsidRPr="00572AD9" w:rsidRDefault="00BC6E1F" w:rsidP="00572AD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572AD9">
              <w:rPr>
                <w:rFonts w:eastAsia="Times New Roman" w:cs="Calibri"/>
                <w:b/>
                <w:bCs/>
                <w:color w:val="000000"/>
                <w:lang w:eastAsia="en-GB"/>
              </w:rPr>
              <w:t>N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ot introduced </w:t>
            </w:r>
          </w:p>
        </w:tc>
      </w:tr>
      <w:tr w:rsidR="00BC6E1F" w:rsidRPr="00B13A2F" w:rsidTr="00AB1003">
        <w:trPr>
          <w:trHeight w:val="300"/>
          <w:jc w:val="center"/>
        </w:trPr>
        <w:tc>
          <w:tcPr>
            <w:tcW w:w="3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C6E1F" w:rsidRPr="00572AD9" w:rsidRDefault="00BC6E1F" w:rsidP="00572AD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BC6E1F" w:rsidRPr="00572AD9" w:rsidRDefault="00BC6E1F" w:rsidP="00572AD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572AD9">
              <w:rPr>
                <w:rFonts w:eastAsia="Times New Roman" w:cs="Calibri"/>
                <w:b/>
                <w:bCs/>
                <w:color w:val="000000"/>
                <w:lang w:eastAsia="en-GB"/>
              </w:rPr>
              <w:t>SIAs planned?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BC6E1F" w:rsidRPr="00572AD9" w:rsidRDefault="00BC6E1F" w:rsidP="00BC6E1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>P</w:t>
            </w:r>
            <w:r w:rsidRPr="00572AD9">
              <w:rPr>
                <w:rFonts w:eastAsia="Times New Roman" w:cs="Calibri"/>
                <w:b/>
                <w:bCs/>
                <w:color w:val="000000"/>
                <w:lang w:eastAsia="en-GB"/>
              </w:rPr>
              <w:t>lanned</w:t>
            </w:r>
            <w:r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 for</w:t>
            </w:r>
            <w:r w:rsidRPr="00572AD9">
              <w:rPr>
                <w:rFonts w:eastAsia="Times New Roman" w:cs="Calibri"/>
                <w:b/>
                <w:bCs/>
                <w:color w:val="000000"/>
                <w:lang w:eastAsia="en-GB"/>
              </w:rPr>
              <w:t xml:space="preserve"> 2018</w:t>
            </w:r>
          </w:p>
        </w:tc>
      </w:tr>
    </w:tbl>
    <w:p w:rsidR="00572AD9" w:rsidRDefault="00572AD9">
      <w:pPr>
        <w:rPr>
          <w:rFonts w:ascii="Arial" w:hAnsi="Arial"/>
        </w:rPr>
        <w:sectPr w:rsidR="00572AD9" w:rsidSect="00734BA0">
          <w:footerReference w:type="default" r:id="rId9"/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B4E55" w:rsidRPr="00805389" w:rsidRDefault="003B4E55" w:rsidP="00C95CCD">
      <w:pPr>
        <w:pStyle w:val="ListParagraph"/>
        <w:numPr>
          <w:ilvl w:val="2"/>
          <w:numId w:val="39"/>
        </w:numPr>
        <w:rPr>
          <w:rFonts w:ascii="Arial" w:hAnsi="Arial"/>
          <w:b/>
        </w:rPr>
      </w:pPr>
      <w:r w:rsidRPr="00805389">
        <w:rPr>
          <w:rFonts w:ascii="Arial" w:hAnsi="Arial"/>
          <w:b/>
        </w:rPr>
        <w:lastRenderedPageBreak/>
        <w:t xml:space="preserve">Achieve measles elimination and rubella &amp; CRS elimination </w:t>
      </w:r>
    </w:p>
    <w:p w:rsidR="00522DB6" w:rsidRPr="004C353D" w:rsidRDefault="00522DB6" w:rsidP="00522DB6">
      <w:pPr>
        <w:rPr>
          <w:rFonts w:ascii="Arial" w:hAnsi="Arial"/>
          <w:u w:val="single"/>
        </w:rPr>
      </w:pPr>
      <w:r w:rsidRPr="004C353D">
        <w:rPr>
          <w:rFonts w:ascii="Arial" w:hAnsi="Arial"/>
          <w:u w:val="single"/>
        </w:rPr>
        <w:t>Rubella</w:t>
      </w:r>
    </w:p>
    <w:p w:rsidR="00522DB6" w:rsidRDefault="00522DB6" w:rsidP="00522DB6">
      <w:pPr>
        <w:rPr>
          <w:rFonts w:ascii="Arial" w:hAnsi="Arial"/>
        </w:rPr>
      </w:pPr>
      <w:r>
        <w:rPr>
          <w:rFonts w:ascii="Arial" w:hAnsi="Arial"/>
        </w:rPr>
        <w:t xml:space="preserve">According to informants, rubella outbreaks have been occurring, and </w:t>
      </w:r>
      <w:r w:rsidR="00D00342">
        <w:rPr>
          <w:rFonts w:ascii="Arial" w:hAnsi="Arial"/>
        </w:rPr>
        <w:t xml:space="preserve">many suspected cases of measles that are not lab-confirmed are believed to be rubella. </w:t>
      </w:r>
      <w:r w:rsidR="004C353D">
        <w:rPr>
          <w:rFonts w:ascii="Arial" w:hAnsi="Arial"/>
        </w:rPr>
        <w:t xml:space="preserve">For instance, while the routine disease surveillance system reported more than 60,000 cases of measles in 2015, many of these are believed to have been rubella. </w:t>
      </w:r>
      <w:r w:rsidR="007C10B9">
        <w:rPr>
          <w:rFonts w:ascii="Arial" w:hAnsi="Arial"/>
        </w:rPr>
        <w:t xml:space="preserve">To quickly reduce rubella transmission in the population, UNEPI is planning </w:t>
      </w:r>
      <w:r w:rsidR="00D00342">
        <w:rPr>
          <w:rFonts w:ascii="Arial" w:hAnsi="Arial"/>
        </w:rPr>
        <w:t xml:space="preserve">MR </w:t>
      </w:r>
      <w:r w:rsidR="007C10B9">
        <w:rPr>
          <w:rFonts w:ascii="Arial" w:hAnsi="Arial"/>
        </w:rPr>
        <w:t xml:space="preserve">catch-up </w:t>
      </w:r>
      <w:r w:rsidR="00D00342">
        <w:rPr>
          <w:rFonts w:ascii="Arial" w:hAnsi="Arial"/>
        </w:rPr>
        <w:t xml:space="preserve">campaigns </w:t>
      </w:r>
      <w:r w:rsidR="007C10B9">
        <w:rPr>
          <w:rFonts w:ascii="Arial" w:hAnsi="Arial"/>
        </w:rPr>
        <w:t>in</w:t>
      </w:r>
      <w:r w:rsidR="00D00342">
        <w:rPr>
          <w:rFonts w:ascii="Arial" w:hAnsi="Arial"/>
        </w:rPr>
        <w:t xml:space="preserve"> 2018</w:t>
      </w:r>
      <w:r w:rsidR="007C10B9">
        <w:rPr>
          <w:rFonts w:ascii="Arial" w:hAnsi="Arial"/>
        </w:rPr>
        <w:t>, with GAVI support</w:t>
      </w:r>
      <w:r w:rsidR="00D00342">
        <w:rPr>
          <w:rFonts w:ascii="Arial" w:hAnsi="Arial"/>
        </w:rPr>
        <w:t>.</w:t>
      </w:r>
    </w:p>
    <w:p w:rsidR="00960450" w:rsidRPr="00960450" w:rsidRDefault="00960450" w:rsidP="00960450">
      <w:pPr>
        <w:rPr>
          <w:rFonts w:ascii="Arial" w:hAnsi="Arial"/>
        </w:rPr>
        <w:sectPr w:rsidR="00960450" w:rsidRPr="00960450" w:rsidSect="00734BA0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6F219F" w:rsidRPr="007A48F9" w:rsidRDefault="006F219F" w:rsidP="007A48F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ANNE</w:t>
      </w:r>
      <w:r w:rsidR="007A48F9">
        <w:rPr>
          <w:rFonts w:ascii="Arial" w:hAnsi="Arial"/>
          <w:b/>
          <w:sz w:val="24"/>
        </w:rPr>
        <w:t>X: Country immunization profile</w:t>
      </w:r>
    </w:p>
    <w:p w:rsidR="006F219F" w:rsidRPr="00D151A4" w:rsidRDefault="001F695A" w:rsidP="006F219F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Immunization coverage and e</w:t>
      </w:r>
      <w:r w:rsidR="006F219F" w:rsidRPr="00D151A4">
        <w:rPr>
          <w:b/>
          <w:bCs/>
        </w:rPr>
        <w:t>quity</w:t>
      </w:r>
    </w:p>
    <w:p w:rsidR="007D3409" w:rsidRDefault="007E0C66" w:rsidP="007D3409">
      <w:pPr>
        <w:pStyle w:val="Caption"/>
        <w:jc w:val="center"/>
        <w:rPr>
          <w:sz w:val="22"/>
        </w:rPr>
      </w:pPr>
      <w:r>
        <w:rPr>
          <w:bCs w:val="0"/>
          <w:noProof/>
          <w:sz w:val="22"/>
          <w:lang w:eastAsia="en-GB"/>
        </w:rPr>
        <w:drawing>
          <wp:inline distT="0" distB="0" distL="0" distR="0">
            <wp:extent cx="3890645" cy="2837815"/>
            <wp:effectExtent l="0" t="0" r="0" b="635"/>
            <wp:docPr id="1" name="Picture 1" descr="ug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an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88A" w:rsidRPr="007A48F9" w:rsidRDefault="007E0C66" w:rsidP="007A48F9">
      <w:pPr>
        <w:pStyle w:val="Caption"/>
        <w:jc w:val="center"/>
        <w:rPr>
          <w:sz w:val="22"/>
        </w:rPr>
      </w:pPr>
      <w:r>
        <w:rPr>
          <w:noProof/>
          <w:lang w:eastAsia="en-GB"/>
        </w:rPr>
        <w:drawing>
          <wp:inline distT="0" distB="0" distL="0" distR="0">
            <wp:extent cx="3554095" cy="819785"/>
            <wp:effectExtent l="0" t="0" r="8255" b="0"/>
            <wp:docPr id="2" name="Picture 7" descr="D:\data\GVAP Reports\2016\3. Scrore Cards 2016\jan visualizations DTP3 per country\Punch cards per country\_legend-punch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\GVAP Reports\2016\3. Scrore Cards 2016\jan visualizations DTP3 per country\Punch cards per country\_legend-punchc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88A" w:rsidRPr="007A48F9" w:rsidSect="006348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FDB" w:rsidRDefault="00AD3FDB">
      <w:pPr>
        <w:spacing w:after="0" w:line="240" w:lineRule="auto"/>
      </w:pPr>
      <w:r>
        <w:separator/>
      </w:r>
    </w:p>
  </w:endnote>
  <w:endnote w:type="continuationSeparator" w:id="0">
    <w:p w:rsidR="00AD3FDB" w:rsidRDefault="00AD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88A" w:rsidRDefault="00E648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0C66">
      <w:rPr>
        <w:noProof/>
      </w:rPr>
      <w:t>1</w:t>
    </w:r>
    <w:r>
      <w:rPr>
        <w:noProof/>
      </w:rPr>
      <w:fldChar w:fldCharType="end"/>
    </w:r>
  </w:p>
  <w:p w:rsidR="00E6488A" w:rsidRDefault="00E6488A" w:rsidP="00641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FDB" w:rsidRDefault="00AD3FDB">
      <w:pPr>
        <w:spacing w:after="0" w:line="240" w:lineRule="auto"/>
      </w:pPr>
      <w:r>
        <w:separator/>
      </w:r>
    </w:p>
  </w:footnote>
  <w:footnote w:type="continuationSeparator" w:id="0">
    <w:p w:rsidR="00AD3FDB" w:rsidRDefault="00AD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BCA"/>
    <w:multiLevelType w:val="hybridMultilevel"/>
    <w:tmpl w:val="60F29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3098"/>
    <w:multiLevelType w:val="hybridMultilevel"/>
    <w:tmpl w:val="F3E8D5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FF2851"/>
    <w:multiLevelType w:val="hybridMultilevel"/>
    <w:tmpl w:val="EB5A796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E73830"/>
    <w:multiLevelType w:val="hybridMultilevel"/>
    <w:tmpl w:val="95BE387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E5941"/>
    <w:multiLevelType w:val="multilevel"/>
    <w:tmpl w:val="A5A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3068E"/>
    <w:multiLevelType w:val="multilevel"/>
    <w:tmpl w:val="417A4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B3A0448"/>
    <w:multiLevelType w:val="hybridMultilevel"/>
    <w:tmpl w:val="BBAC69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3055F6"/>
    <w:multiLevelType w:val="hybridMultilevel"/>
    <w:tmpl w:val="1E0AAD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95309A"/>
    <w:multiLevelType w:val="hybridMultilevel"/>
    <w:tmpl w:val="6C1CFB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A214CF"/>
    <w:multiLevelType w:val="hybridMultilevel"/>
    <w:tmpl w:val="DBBEA9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960D6B"/>
    <w:multiLevelType w:val="hybridMultilevel"/>
    <w:tmpl w:val="F8A221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050937"/>
    <w:multiLevelType w:val="hybridMultilevel"/>
    <w:tmpl w:val="7004DC1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2109B1"/>
    <w:multiLevelType w:val="hybridMultilevel"/>
    <w:tmpl w:val="CC8E0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44C4D"/>
    <w:multiLevelType w:val="multilevel"/>
    <w:tmpl w:val="D122AE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5D4B37"/>
    <w:multiLevelType w:val="hybridMultilevel"/>
    <w:tmpl w:val="A5C04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8C7A5B"/>
    <w:multiLevelType w:val="multilevel"/>
    <w:tmpl w:val="900EF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24A5E1E"/>
    <w:multiLevelType w:val="multilevel"/>
    <w:tmpl w:val="C11AAA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0809DB"/>
    <w:multiLevelType w:val="hybridMultilevel"/>
    <w:tmpl w:val="A34C09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716A93"/>
    <w:multiLevelType w:val="multilevel"/>
    <w:tmpl w:val="C46CE1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2B1B49"/>
    <w:multiLevelType w:val="hybridMultilevel"/>
    <w:tmpl w:val="D5048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6"/>
  </w:num>
  <w:num w:numId="5">
    <w:abstractNumId w:val="26"/>
  </w:num>
  <w:num w:numId="6">
    <w:abstractNumId w:val="3"/>
  </w:num>
  <w:num w:numId="7">
    <w:abstractNumId w:val="9"/>
  </w:num>
  <w:num w:numId="8">
    <w:abstractNumId w:val="24"/>
  </w:num>
  <w:num w:numId="9">
    <w:abstractNumId w:val="7"/>
  </w:num>
  <w:num w:numId="10">
    <w:abstractNumId w:val="37"/>
  </w:num>
  <w:num w:numId="11">
    <w:abstractNumId w:val="34"/>
  </w:num>
  <w:num w:numId="12">
    <w:abstractNumId w:val="21"/>
  </w:num>
  <w:num w:numId="13">
    <w:abstractNumId w:val="30"/>
  </w:num>
  <w:num w:numId="14">
    <w:abstractNumId w:val="23"/>
  </w:num>
  <w:num w:numId="15">
    <w:abstractNumId w:val="38"/>
  </w:num>
  <w:num w:numId="16">
    <w:abstractNumId w:val="15"/>
  </w:num>
  <w:num w:numId="17">
    <w:abstractNumId w:val="25"/>
  </w:num>
  <w:num w:numId="18">
    <w:abstractNumId w:val="18"/>
  </w:num>
  <w:num w:numId="19">
    <w:abstractNumId w:val="40"/>
  </w:num>
  <w:num w:numId="20">
    <w:abstractNumId w:val="2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9"/>
  </w:num>
  <w:num w:numId="25">
    <w:abstractNumId w:val="20"/>
  </w:num>
  <w:num w:numId="26">
    <w:abstractNumId w:val="31"/>
  </w:num>
  <w:num w:numId="27">
    <w:abstractNumId w:val="14"/>
  </w:num>
  <w:num w:numId="28">
    <w:abstractNumId w:val="4"/>
  </w:num>
  <w:num w:numId="29">
    <w:abstractNumId w:val="8"/>
  </w:num>
  <w:num w:numId="30">
    <w:abstractNumId w:val="27"/>
  </w:num>
  <w:num w:numId="31">
    <w:abstractNumId w:val="13"/>
  </w:num>
  <w:num w:numId="32">
    <w:abstractNumId w:val="11"/>
  </w:num>
  <w:num w:numId="33">
    <w:abstractNumId w:val="29"/>
  </w:num>
  <w:num w:numId="34">
    <w:abstractNumId w:val="28"/>
  </w:num>
  <w:num w:numId="35">
    <w:abstractNumId w:val="22"/>
  </w:num>
  <w:num w:numId="36">
    <w:abstractNumId w:val="35"/>
  </w:num>
  <w:num w:numId="37">
    <w:abstractNumId w:val="0"/>
  </w:num>
  <w:num w:numId="38">
    <w:abstractNumId w:val="36"/>
  </w:num>
  <w:num w:numId="39">
    <w:abstractNumId w:val="33"/>
  </w:num>
  <w:num w:numId="40">
    <w:abstractNumId w:val="1"/>
  </w:num>
  <w:num w:numId="41">
    <w:abstractNumId w:val="12"/>
  </w:num>
  <w:num w:numId="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05239"/>
    <w:rsid w:val="0002156C"/>
    <w:rsid w:val="00052693"/>
    <w:rsid w:val="0006192C"/>
    <w:rsid w:val="00066111"/>
    <w:rsid w:val="0007442D"/>
    <w:rsid w:val="00090336"/>
    <w:rsid w:val="00096E70"/>
    <w:rsid w:val="00097B01"/>
    <w:rsid w:val="000A4394"/>
    <w:rsid w:val="000C2C44"/>
    <w:rsid w:val="000E3D3E"/>
    <w:rsid w:val="001067B7"/>
    <w:rsid w:val="00163179"/>
    <w:rsid w:val="0018360B"/>
    <w:rsid w:val="00192CE6"/>
    <w:rsid w:val="001B0097"/>
    <w:rsid w:val="001B541B"/>
    <w:rsid w:val="001C1193"/>
    <w:rsid w:val="001C1E4D"/>
    <w:rsid w:val="001C3946"/>
    <w:rsid w:val="001C5026"/>
    <w:rsid w:val="001F2D8D"/>
    <w:rsid w:val="001F695A"/>
    <w:rsid w:val="00211848"/>
    <w:rsid w:val="002258E3"/>
    <w:rsid w:val="002327A5"/>
    <w:rsid w:val="00232D9A"/>
    <w:rsid w:val="002654C3"/>
    <w:rsid w:val="00267F0A"/>
    <w:rsid w:val="002716CC"/>
    <w:rsid w:val="0027368A"/>
    <w:rsid w:val="0028043B"/>
    <w:rsid w:val="002818D0"/>
    <w:rsid w:val="00281CEF"/>
    <w:rsid w:val="00292589"/>
    <w:rsid w:val="002B3BCF"/>
    <w:rsid w:val="002B73D6"/>
    <w:rsid w:val="002C0BCF"/>
    <w:rsid w:val="002C65B5"/>
    <w:rsid w:val="002D3C3D"/>
    <w:rsid w:val="002D61F5"/>
    <w:rsid w:val="002D762A"/>
    <w:rsid w:val="002F1749"/>
    <w:rsid w:val="002F20C9"/>
    <w:rsid w:val="00347756"/>
    <w:rsid w:val="00354BF5"/>
    <w:rsid w:val="00357361"/>
    <w:rsid w:val="00365AB4"/>
    <w:rsid w:val="00370616"/>
    <w:rsid w:val="00371B50"/>
    <w:rsid w:val="00373BA5"/>
    <w:rsid w:val="00385AF1"/>
    <w:rsid w:val="003B4E55"/>
    <w:rsid w:val="003B6F84"/>
    <w:rsid w:val="003D0373"/>
    <w:rsid w:val="003D0BC3"/>
    <w:rsid w:val="003D24BB"/>
    <w:rsid w:val="003D6679"/>
    <w:rsid w:val="003E30EC"/>
    <w:rsid w:val="003E3AFC"/>
    <w:rsid w:val="003F4825"/>
    <w:rsid w:val="004013B6"/>
    <w:rsid w:val="00412E93"/>
    <w:rsid w:val="00413925"/>
    <w:rsid w:val="00432B70"/>
    <w:rsid w:val="004333B5"/>
    <w:rsid w:val="00436537"/>
    <w:rsid w:val="00441EDC"/>
    <w:rsid w:val="00457E0A"/>
    <w:rsid w:val="00460FC0"/>
    <w:rsid w:val="004826EF"/>
    <w:rsid w:val="00492F98"/>
    <w:rsid w:val="004A0122"/>
    <w:rsid w:val="004A203B"/>
    <w:rsid w:val="004A394A"/>
    <w:rsid w:val="004B1494"/>
    <w:rsid w:val="004B1E23"/>
    <w:rsid w:val="004B5B75"/>
    <w:rsid w:val="004C353D"/>
    <w:rsid w:val="004C6880"/>
    <w:rsid w:val="004D307D"/>
    <w:rsid w:val="004F4D18"/>
    <w:rsid w:val="004F6777"/>
    <w:rsid w:val="00500171"/>
    <w:rsid w:val="005002BB"/>
    <w:rsid w:val="0050564C"/>
    <w:rsid w:val="005133F8"/>
    <w:rsid w:val="00513BF2"/>
    <w:rsid w:val="00522DB6"/>
    <w:rsid w:val="00530FEA"/>
    <w:rsid w:val="00532476"/>
    <w:rsid w:val="00534013"/>
    <w:rsid w:val="00572AD9"/>
    <w:rsid w:val="005737AD"/>
    <w:rsid w:val="0057783D"/>
    <w:rsid w:val="0058000D"/>
    <w:rsid w:val="00586763"/>
    <w:rsid w:val="00591618"/>
    <w:rsid w:val="005B6B29"/>
    <w:rsid w:val="005C6F1C"/>
    <w:rsid w:val="005D52E5"/>
    <w:rsid w:val="005F0283"/>
    <w:rsid w:val="005F74EB"/>
    <w:rsid w:val="00600D0F"/>
    <w:rsid w:val="006321C4"/>
    <w:rsid w:val="00634879"/>
    <w:rsid w:val="0063770B"/>
    <w:rsid w:val="006410AE"/>
    <w:rsid w:val="00641572"/>
    <w:rsid w:val="00641AEE"/>
    <w:rsid w:val="00677182"/>
    <w:rsid w:val="006842AB"/>
    <w:rsid w:val="00696E6A"/>
    <w:rsid w:val="006A05E4"/>
    <w:rsid w:val="006A269E"/>
    <w:rsid w:val="006A4380"/>
    <w:rsid w:val="006C334B"/>
    <w:rsid w:val="006C5F9A"/>
    <w:rsid w:val="006D0B40"/>
    <w:rsid w:val="006D7CA5"/>
    <w:rsid w:val="006F2132"/>
    <w:rsid w:val="006F219F"/>
    <w:rsid w:val="007033F7"/>
    <w:rsid w:val="00716827"/>
    <w:rsid w:val="00724435"/>
    <w:rsid w:val="00734BA0"/>
    <w:rsid w:val="0076408F"/>
    <w:rsid w:val="00767749"/>
    <w:rsid w:val="007709E9"/>
    <w:rsid w:val="00770EEA"/>
    <w:rsid w:val="00774C59"/>
    <w:rsid w:val="00782C2A"/>
    <w:rsid w:val="0079008F"/>
    <w:rsid w:val="00797196"/>
    <w:rsid w:val="007A3008"/>
    <w:rsid w:val="007A35F6"/>
    <w:rsid w:val="007A48F9"/>
    <w:rsid w:val="007B053A"/>
    <w:rsid w:val="007B7B71"/>
    <w:rsid w:val="007C10B9"/>
    <w:rsid w:val="007C2400"/>
    <w:rsid w:val="007C5F79"/>
    <w:rsid w:val="007D16A4"/>
    <w:rsid w:val="007D2844"/>
    <w:rsid w:val="007D2AA9"/>
    <w:rsid w:val="007D3409"/>
    <w:rsid w:val="007D7DC8"/>
    <w:rsid w:val="007E0C66"/>
    <w:rsid w:val="007E0DEE"/>
    <w:rsid w:val="007E1D0A"/>
    <w:rsid w:val="007E50D9"/>
    <w:rsid w:val="007E5C55"/>
    <w:rsid w:val="007F0729"/>
    <w:rsid w:val="00805389"/>
    <w:rsid w:val="008053B7"/>
    <w:rsid w:val="008062DF"/>
    <w:rsid w:val="008105B2"/>
    <w:rsid w:val="00812E29"/>
    <w:rsid w:val="00824C6B"/>
    <w:rsid w:val="00825812"/>
    <w:rsid w:val="0083568C"/>
    <w:rsid w:val="00835BBC"/>
    <w:rsid w:val="00856B69"/>
    <w:rsid w:val="00862516"/>
    <w:rsid w:val="00863F77"/>
    <w:rsid w:val="00865907"/>
    <w:rsid w:val="00883C0A"/>
    <w:rsid w:val="00894DF4"/>
    <w:rsid w:val="008A1C67"/>
    <w:rsid w:val="008A70DC"/>
    <w:rsid w:val="008A7BEC"/>
    <w:rsid w:val="008B3034"/>
    <w:rsid w:val="008C1347"/>
    <w:rsid w:val="008C64BB"/>
    <w:rsid w:val="008E4926"/>
    <w:rsid w:val="008E7AA0"/>
    <w:rsid w:val="008F4F49"/>
    <w:rsid w:val="008F69E2"/>
    <w:rsid w:val="009318B8"/>
    <w:rsid w:val="00933AAE"/>
    <w:rsid w:val="009563E8"/>
    <w:rsid w:val="00960450"/>
    <w:rsid w:val="0098010F"/>
    <w:rsid w:val="009A5026"/>
    <w:rsid w:val="009B091D"/>
    <w:rsid w:val="009C09D8"/>
    <w:rsid w:val="009C5F7F"/>
    <w:rsid w:val="009D32E5"/>
    <w:rsid w:val="009E1E59"/>
    <w:rsid w:val="009E5202"/>
    <w:rsid w:val="009E5E09"/>
    <w:rsid w:val="00A11AC1"/>
    <w:rsid w:val="00A1775D"/>
    <w:rsid w:val="00A233ED"/>
    <w:rsid w:val="00A44D74"/>
    <w:rsid w:val="00A56EBF"/>
    <w:rsid w:val="00A75FEA"/>
    <w:rsid w:val="00A77C6F"/>
    <w:rsid w:val="00A821A2"/>
    <w:rsid w:val="00AA67AB"/>
    <w:rsid w:val="00AB1003"/>
    <w:rsid w:val="00AD3FDB"/>
    <w:rsid w:val="00AE11AD"/>
    <w:rsid w:val="00AE5D37"/>
    <w:rsid w:val="00AE7557"/>
    <w:rsid w:val="00AF31C8"/>
    <w:rsid w:val="00AF3E7B"/>
    <w:rsid w:val="00AF7C4D"/>
    <w:rsid w:val="00B11D26"/>
    <w:rsid w:val="00B13423"/>
    <w:rsid w:val="00B13A2F"/>
    <w:rsid w:val="00B17114"/>
    <w:rsid w:val="00B218CC"/>
    <w:rsid w:val="00B37105"/>
    <w:rsid w:val="00B4470F"/>
    <w:rsid w:val="00B61247"/>
    <w:rsid w:val="00BA2589"/>
    <w:rsid w:val="00BB5F62"/>
    <w:rsid w:val="00BC039B"/>
    <w:rsid w:val="00BC6E1F"/>
    <w:rsid w:val="00BD25D9"/>
    <w:rsid w:val="00BD47CC"/>
    <w:rsid w:val="00BD72BB"/>
    <w:rsid w:val="00BF14CF"/>
    <w:rsid w:val="00BF4CFA"/>
    <w:rsid w:val="00C000F1"/>
    <w:rsid w:val="00C03FFE"/>
    <w:rsid w:val="00C15E8C"/>
    <w:rsid w:val="00C2602F"/>
    <w:rsid w:val="00C27BB5"/>
    <w:rsid w:val="00C400A7"/>
    <w:rsid w:val="00C679C0"/>
    <w:rsid w:val="00C67C9D"/>
    <w:rsid w:val="00C8156B"/>
    <w:rsid w:val="00C82C17"/>
    <w:rsid w:val="00C95CCD"/>
    <w:rsid w:val="00CA4529"/>
    <w:rsid w:val="00CA465F"/>
    <w:rsid w:val="00CA4698"/>
    <w:rsid w:val="00CA7D81"/>
    <w:rsid w:val="00CC7611"/>
    <w:rsid w:val="00CD1366"/>
    <w:rsid w:val="00CD3FD9"/>
    <w:rsid w:val="00CF0E45"/>
    <w:rsid w:val="00CF23E9"/>
    <w:rsid w:val="00D00342"/>
    <w:rsid w:val="00D00DC6"/>
    <w:rsid w:val="00D0293C"/>
    <w:rsid w:val="00D05442"/>
    <w:rsid w:val="00D151A4"/>
    <w:rsid w:val="00D17551"/>
    <w:rsid w:val="00D27E92"/>
    <w:rsid w:val="00D30DD8"/>
    <w:rsid w:val="00D732C7"/>
    <w:rsid w:val="00D9435D"/>
    <w:rsid w:val="00D9563B"/>
    <w:rsid w:val="00DB46DE"/>
    <w:rsid w:val="00DB7347"/>
    <w:rsid w:val="00DC3E5F"/>
    <w:rsid w:val="00DC5960"/>
    <w:rsid w:val="00DC6AC7"/>
    <w:rsid w:val="00DD2B4F"/>
    <w:rsid w:val="00E11B99"/>
    <w:rsid w:val="00E1686A"/>
    <w:rsid w:val="00E2660D"/>
    <w:rsid w:val="00E3004C"/>
    <w:rsid w:val="00E3264D"/>
    <w:rsid w:val="00E34D87"/>
    <w:rsid w:val="00E37109"/>
    <w:rsid w:val="00E5103C"/>
    <w:rsid w:val="00E578A3"/>
    <w:rsid w:val="00E6488A"/>
    <w:rsid w:val="00E72094"/>
    <w:rsid w:val="00E86411"/>
    <w:rsid w:val="00E935C8"/>
    <w:rsid w:val="00E963B9"/>
    <w:rsid w:val="00EA1528"/>
    <w:rsid w:val="00EC5704"/>
    <w:rsid w:val="00EC678F"/>
    <w:rsid w:val="00ED0BD7"/>
    <w:rsid w:val="00EE1233"/>
    <w:rsid w:val="00EE1747"/>
    <w:rsid w:val="00EF28C5"/>
    <w:rsid w:val="00F01C3B"/>
    <w:rsid w:val="00F06C80"/>
    <w:rsid w:val="00F1695C"/>
    <w:rsid w:val="00F215A2"/>
    <w:rsid w:val="00F31093"/>
    <w:rsid w:val="00F41E81"/>
    <w:rsid w:val="00F539CA"/>
    <w:rsid w:val="00F577A7"/>
    <w:rsid w:val="00F63D60"/>
    <w:rsid w:val="00F76419"/>
    <w:rsid w:val="00F81B65"/>
    <w:rsid w:val="00F85BA5"/>
    <w:rsid w:val="00F9232C"/>
    <w:rsid w:val="00F96B80"/>
    <w:rsid w:val="00FB6476"/>
    <w:rsid w:val="00FD688B"/>
    <w:rsid w:val="00FD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="SimSun"/>
      <w:lang w:eastAsia="zh-CN"/>
    </w:rPr>
  </w:style>
  <w:style w:type="character" w:customStyle="1" w:styleId="FooterChar">
    <w:name w:val="Footer Char"/>
    <w:link w:val="Footer"/>
    <w:uiPriority w:val="99"/>
    <w:rsid w:val="00513BF2"/>
    <w:rPr>
      <w:rFonts w:eastAsia="SimSun"/>
      <w:lang w:eastAsia="zh-CN"/>
    </w:rPr>
  </w:style>
  <w:style w:type="table" w:styleId="TableGrid">
    <w:name w:val="Table Grid"/>
    <w:basedOn w:val="TableNormal"/>
    <w:uiPriority w:val="59"/>
    <w:rsid w:val="00513BF2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13BF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F16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1695C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1695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01C3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="SimSun"/>
      <w:lang w:eastAsia="zh-CN"/>
    </w:rPr>
  </w:style>
  <w:style w:type="character" w:customStyle="1" w:styleId="FooterChar">
    <w:name w:val="Footer Char"/>
    <w:link w:val="Footer"/>
    <w:uiPriority w:val="99"/>
    <w:rsid w:val="00513BF2"/>
    <w:rPr>
      <w:rFonts w:eastAsia="SimSun"/>
      <w:lang w:eastAsia="zh-CN"/>
    </w:rPr>
  </w:style>
  <w:style w:type="table" w:styleId="TableGrid">
    <w:name w:val="Table Grid"/>
    <w:basedOn w:val="TableNormal"/>
    <w:uiPriority w:val="59"/>
    <w:rsid w:val="00513BF2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13BF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F16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1695C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1695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01C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518FDE9-1420-4F96-8C59-B09427AD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MAFUNGA, Neddy</cp:lastModifiedBy>
  <cp:revision>2</cp:revision>
  <cp:lastPrinted>2016-06-28T07:36:00Z</cp:lastPrinted>
  <dcterms:created xsi:type="dcterms:W3CDTF">2016-08-26T10:49:00Z</dcterms:created>
  <dcterms:modified xsi:type="dcterms:W3CDTF">2016-08-26T10:49:00Z</dcterms:modified>
</cp:coreProperties>
</file>